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44"/>
          <w:szCs w:val="44"/>
          <w:highlight w:val="none"/>
        </w:rPr>
      </w:pPr>
    </w:p>
    <w:p>
      <w:pPr>
        <w:adjustRightInd/>
        <w:spacing w:line="360" w:lineRule="auto"/>
        <w:jc w:val="center"/>
        <w:rPr>
          <w:rFonts w:ascii="宋体" w:hAnsi="宋体" w:cs="宋体"/>
          <w:b/>
          <w:sz w:val="48"/>
          <w:szCs w:val="48"/>
          <w:highlight w:val="none"/>
        </w:rPr>
      </w:pP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fldChar w:fldCharType="begin"/>
      </w:r>
      <w:r>
        <w:rPr>
          <w:rFonts w:ascii="宋体" w:hAnsi="宋体" w:cs="宋体"/>
          <w:sz w:val="48"/>
          <w:szCs w:val="48"/>
          <w:highlight w:val="none"/>
        </w:rPr>
        <w:instrText xml:space="preserve"> HYPERLINK "https://www.gcy.zfcg.gxzf.gov.cn/delegation-order/_procurement_/order/orderInfo/detail/6821773913934694803" \t "https://www.gcy.zfcg.gxzf.gov.cn/delegation-order/_procurement_/order/_blank" </w:instrText>
      </w:r>
      <w:r>
        <w:rPr>
          <w:rFonts w:hint="eastAsia" w:ascii="宋体" w:hAnsi="宋体" w:cs="宋体"/>
          <w:sz w:val="48"/>
          <w:szCs w:val="48"/>
          <w:highlight w:val="none"/>
        </w:rPr>
        <w:fldChar w:fldCharType="separate"/>
      </w: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来宾市电子政务外网三期服务采购</w:t>
      </w: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fldChar w:fldCharType="end"/>
      </w:r>
    </w:p>
    <w:p>
      <w:pPr>
        <w:adjustRightInd/>
        <w:spacing w:line="480" w:lineRule="auto"/>
        <w:jc w:val="center"/>
        <w:rPr>
          <w:rFonts w:ascii="宋体" w:hAnsi="宋体" w:cs="宋体"/>
          <w:sz w:val="48"/>
          <w:szCs w:val="48"/>
          <w:highlight w:val="none"/>
        </w:rPr>
      </w:pPr>
    </w:p>
    <w:p>
      <w:pPr>
        <w:adjustRightInd/>
        <w:spacing w:line="48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pPr>
        <w:adjustRightInd/>
        <w:spacing w:line="480" w:lineRule="auto"/>
        <w:jc w:val="center"/>
        <w:rPr>
          <w:rFonts w:ascii="宋体" w:hAnsi="宋体" w:cs="宋体"/>
          <w:b/>
          <w:sz w:val="44"/>
          <w:szCs w:val="44"/>
          <w:highlight w:val="none"/>
        </w:rPr>
      </w:pPr>
      <w:r>
        <w:rPr>
          <w:rFonts w:hint="eastAsia" w:ascii="宋体" w:hAnsi="宋体" w:cs="宋体"/>
          <w:b/>
          <w:sz w:val="44"/>
          <w:szCs w:val="44"/>
          <w:highlight w:val="none"/>
        </w:rPr>
        <w:t>（电子招投标）</w:t>
      </w:r>
    </w:p>
    <w:p>
      <w:pPr>
        <w:snapToGrid w:val="0"/>
        <w:spacing w:line="480" w:lineRule="auto"/>
        <w:jc w:val="center"/>
        <w:rPr>
          <w:rFonts w:ascii="宋体" w:hAnsi="宋体" w:cs="宋体"/>
          <w:sz w:val="30"/>
          <w:szCs w:val="30"/>
          <w:highlight w:val="none"/>
        </w:rPr>
      </w:pPr>
      <w:r>
        <w:rPr>
          <w:rFonts w:hint="eastAsia" w:ascii="宋体" w:hAnsi="宋体" w:cs="宋体"/>
          <w:sz w:val="30"/>
          <w:szCs w:val="30"/>
          <w:highlight w:val="none"/>
        </w:rPr>
        <w:t>编号:（</w:t>
      </w:r>
      <w:bookmarkStart w:id="0" w:name="OLE_LINK9"/>
      <w:bookmarkStart w:id="1" w:name="OLE_LINK10"/>
      <w:r>
        <w:rPr>
          <w:rFonts w:hint="eastAsia" w:ascii="宋体" w:hAnsi="宋体" w:cs="宋体"/>
          <w:sz w:val="30"/>
          <w:szCs w:val="30"/>
          <w:highlight w:val="none"/>
        </w:rPr>
        <w:t>LBZC2026-G3-990053-CGZX</w:t>
      </w:r>
      <w:bookmarkEnd w:id="0"/>
      <w:bookmarkEnd w:id="1"/>
      <w:r>
        <w:rPr>
          <w:rFonts w:hint="eastAsia" w:ascii="宋体" w:hAnsi="宋体" w:cs="宋体"/>
          <w:sz w:val="30"/>
          <w:szCs w:val="30"/>
          <w:highlight w:val="none"/>
        </w:rPr>
        <w:t>）</w:t>
      </w:r>
    </w:p>
    <w:p>
      <w:pPr>
        <w:adjustRightInd/>
        <w:spacing w:line="360" w:lineRule="auto"/>
        <w:rPr>
          <w:rFonts w:ascii="宋体" w:hAnsi="宋体" w:cs="宋体"/>
          <w:sz w:val="28"/>
          <w:szCs w:val="20"/>
          <w:highlight w:val="none"/>
        </w:rPr>
      </w:pPr>
    </w:p>
    <w:p>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pPr>
        <w:spacing w:line="360" w:lineRule="auto"/>
        <w:jc w:val="center"/>
        <w:rPr>
          <w:rFonts w:ascii="宋体" w:hAnsi="宋体" w:cs="宋体"/>
          <w:b/>
          <w:sz w:val="44"/>
          <w:szCs w:val="44"/>
          <w:highlight w:val="none"/>
        </w:rPr>
      </w:pPr>
    </w:p>
    <w:p>
      <w:pPr>
        <w:spacing w:line="360" w:lineRule="auto"/>
        <w:jc w:val="center"/>
        <w:rPr>
          <w:rFonts w:ascii="宋体" w:hAnsi="宋体" w:cs="宋体"/>
          <w:sz w:val="24"/>
          <w:highlight w:val="none"/>
        </w:rPr>
      </w:pPr>
    </w:p>
    <w:p>
      <w:pPr>
        <w:pStyle w:val="2"/>
        <w:ind w:firstLine="480"/>
        <w:rPr>
          <w:rFonts w:cs="宋体"/>
          <w:sz w:val="24"/>
          <w:highlight w:val="none"/>
        </w:rPr>
      </w:pPr>
    </w:p>
    <w:p>
      <w:pPr>
        <w:rPr>
          <w:rFonts w:ascii="宋体" w:hAnsi="宋体" w:cs="宋体"/>
          <w:sz w:val="24"/>
          <w:highlight w:val="none"/>
        </w:rPr>
      </w:pPr>
    </w:p>
    <w:p>
      <w:pPr>
        <w:pStyle w:val="2"/>
        <w:ind w:firstLine="420"/>
        <w:rPr>
          <w:highlight w:val="none"/>
        </w:rPr>
      </w:pPr>
    </w:p>
    <w:p>
      <w:pPr>
        <w:spacing w:line="360" w:lineRule="auto"/>
        <w:rPr>
          <w:rFonts w:ascii="宋体" w:hAnsi="宋体" w:cs="宋体"/>
          <w:sz w:val="32"/>
          <w:szCs w:val="32"/>
          <w:highlight w:val="none"/>
        </w:rPr>
      </w:pPr>
    </w:p>
    <w:p>
      <w:pPr>
        <w:snapToGrid w:val="0"/>
        <w:spacing w:line="360" w:lineRule="auto"/>
        <w:jc w:val="center"/>
        <w:rPr>
          <w:rFonts w:ascii="宋体" w:hAnsi="宋体" w:cs="宋体"/>
          <w:sz w:val="32"/>
          <w:szCs w:val="32"/>
          <w:highlight w:val="none"/>
        </w:rPr>
      </w:pPr>
      <w:bookmarkStart w:id="2" w:name="OLE_LINK12"/>
      <w:bookmarkStart w:id="3" w:name="OLE_LINK11"/>
      <w:r>
        <w:rPr>
          <w:rFonts w:hint="eastAsia" w:ascii="宋体" w:hAnsi="宋体" w:cs="宋体"/>
          <w:sz w:val="32"/>
          <w:szCs w:val="32"/>
          <w:highlight w:val="none"/>
        </w:rPr>
        <w:t>来宾市政务服务和大数据发展局</w:t>
      </w:r>
    </w:p>
    <w:bookmarkEnd w:id="2"/>
    <w:bookmarkEnd w:id="3"/>
    <w:p>
      <w:pPr>
        <w:spacing w:line="360" w:lineRule="auto"/>
        <w:jc w:val="center"/>
        <w:rPr>
          <w:rFonts w:ascii="宋体" w:hAnsi="宋体" w:cs="宋体"/>
          <w:bCs/>
          <w:sz w:val="32"/>
          <w:szCs w:val="32"/>
          <w:highlight w:val="none"/>
        </w:rPr>
      </w:pPr>
      <w:r>
        <w:rPr>
          <w:rFonts w:ascii="宋体" w:hAnsi="宋体" w:cs="宋体"/>
          <w:bCs/>
          <w:sz w:val="32"/>
          <w:szCs w:val="32"/>
          <w:highlight w:val="none"/>
        </w:rPr>
        <w:t>北海市政府采购中心</w:t>
      </w:r>
    </w:p>
    <w:p>
      <w:pPr>
        <w:spacing w:line="360" w:lineRule="auto"/>
        <w:jc w:val="center"/>
        <w:rPr>
          <w:rFonts w:ascii="宋体" w:hAnsi="宋体" w:cs="宋体"/>
          <w:sz w:val="24"/>
          <w:highlight w:val="none"/>
        </w:rPr>
      </w:pPr>
      <w:r>
        <w:rPr>
          <w:rFonts w:hint="eastAsia" w:ascii="宋体" w:hAnsi="宋体" w:cs="宋体"/>
          <w:bCs/>
          <w:sz w:val="32"/>
          <w:szCs w:val="32"/>
          <w:highlight w:val="none"/>
        </w:rPr>
        <w:t>2026年</w:t>
      </w:r>
      <w:r>
        <w:rPr>
          <w:rFonts w:hint="eastAsia" w:ascii="宋体" w:hAnsi="宋体" w:cs="宋体"/>
          <w:bCs/>
          <w:sz w:val="32"/>
          <w:szCs w:val="32"/>
          <w:highlight w:val="none"/>
          <w:lang w:val="en-US" w:eastAsia="zh-CN"/>
        </w:rPr>
        <w:t>6</w:t>
      </w:r>
      <w:r>
        <w:rPr>
          <w:rFonts w:hint="eastAsia" w:ascii="宋体" w:hAnsi="宋体" w:cs="宋体"/>
          <w:bCs/>
          <w:sz w:val="32"/>
          <w:szCs w:val="32"/>
          <w:highlight w:val="none"/>
        </w:rPr>
        <w:t>月</w:t>
      </w:r>
      <w:r>
        <w:rPr>
          <w:rFonts w:hint="eastAsia" w:ascii="宋体" w:hAnsi="宋体" w:cs="宋体"/>
          <w:bCs/>
          <w:sz w:val="32"/>
          <w:szCs w:val="32"/>
          <w:highlight w:val="none"/>
          <w:lang w:val="en-US" w:eastAsia="zh-CN"/>
        </w:rPr>
        <w:t>17</w:t>
      </w:r>
      <w:r>
        <w:rPr>
          <w:rFonts w:hint="eastAsia" w:ascii="宋体" w:hAnsi="宋体" w:cs="宋体"/>
          <w:bCs/>
          <w:sz w:val="32"/>
          <w:szCs w:val="32"/>
          <w:highlight w:val="none"/>
        </w:rPr>
        <w:t>日</w:t>
      </w:r>
      <w:r>
        <w:rPr>
          <w:rFonts w:hint="eastAsia" w:ascii="宋体" w:hAnsi="宋体" w:cs="宋体"/>
          <w:sz w:val="24"/>
          <w:highlight w:val="none"/>
        </w:rPr>
        <w:br w:type="page"/>
      </w:r>
      <w:bookmarkStart w:id="4" w:name="_Hlt67893495"/>
      <w:bookmarkEnd w:id="4"/>
    </w:p>
    <w:p>
      <w:pPr>
        <w:pStyle w:val="634"/>
        <w:outlineLvl w:val="9"/>
        <w:rPr>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pPr>
        <w:spacing w:line="360" w:lineRule="auto"/>
        <w:rPr>
          <w:rFonts w:ascii="宋体" w:hAnsi="宋体" w:cs="宋体"/>
          <w:sz w:val="32"/>
          <w:szCs w:val="32"/>
          <w:highlight w:val="none"/>
        </w:rPr>
      </w:pPr>
    </w:p>
    <w:sdt>
      <w:sdtPr>
        <w:rPr>
          <w:rFonts w:ascii="宋体" w:hAnsi="宋体"/>
          <w:highlight w:val="none"/>
        </w:rPr>
        <w:id w:val="147479748"/>
      </w:sdtPr>
      <w:sdtEndPr>
        <w:rPr>
          <w:rFonts w:ascii="宋体" w:hAnsi="宋体" w:cs="宋体"/>
          <w:highlight w:val="none"/>
        </w:rPr>
      </w:sdtEndPr>
      <w:sdtContent>
        <w:p>
          <w:pPr>
            <w:jc w:val="center"/>
            <w:rPr>
              <w:highlight w:val="none"/>
            </w:rPr>
          </w:pPr>
          <w:bookmarkStart w:id="5" w:name="_Hlt91233176"/>
          <w:bookmarkEnd w:id="5"/>
          <w:bookmarkStart w:id="6" w:name="_Toc91899869"/>
        </w:p>
        <w:p>
          <w:pPr>
            <w:pStyle w:val="43"/>
            <w:tabs>
              <w:tab w:val="right" w:leader="dot" w:pos="9638"/>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"_Toc12366" </w:instrText>
          </w:r>
          <w:r>
            <w:rPr>
              <w:highlight w:val="none"/>
            </w:rPr>
            <w:fldChar w:fldCharType="separate"/>
          </w:r>
          <w:r>
            <w:rPr>
              <w:rFonts w:hint="eastAsia" w:ascii="宋体" w:hAnsi="宋体" w:cs="宋体"/>
              <w:sz w:val="28"/>
              <w:szCs w:val="28"/>
              <w:highlight w:val="none"/>
            </w:rPr>
            <w:t>第一部分 招标公告</w:t>
          </w:r>
          <w:r>
            <w:rPr>
              <w:rFonts w:hint="eastAsia" w:ascii="宋体" w:hAnsi="宋体" w:cs="宋体"/>
              <w:sz w:val="28"/>
              <w:szCs w:val="28"/>
              <w:highlight w:val="none"/>
              <w:lang w:val="en-US" w:eastAsia="zh-CN"/>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_Toc12366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"_Toc24634" </w:instrText>
          </w:r>
          <w:r>
            <w:rPr>
              <w:highlight w:val="none"/>
            </w:rPr>
            <w:fldChar w:fldCharType="separate"/>
          </w:r>
          <w:r>
            <w:rPr>
              <w:rFonts w:hint="eastAsia" w:ascii="宋体" w:hAnsi="宋体" w:cs="宋体"/>
              <w:sz w:val="28"/>
              <w:szCs w:val="28"/>
              <w:highlight w:val="none"/>
            </w:rPr>
            <w:t>第二部分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_Toc24634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"_Toc29010" </w:instrText>
          </w:r>
          <w:r>
            <w:rPr>
              <w:highlight w:val="none"/>
            </w:rPr>
            <w:fldChar w:fldCharType="separate"/>
          </w:r>
          <w:r>
            <w:rPr>
              <w:rFonts w:hint="eastAsia" w:ascii="宋体" w:hAnsi="宋体" w:cs="宋体"/>
              <w:sz w:val="28"/>
              <w:szCs w:val="28"/>
              <w:highlight w:val="none"/>
            </w:rPr>
            <w:t>第三部分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_Toc29010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"_Toc11298" </w:instrText>
          </w:r>
          <w:r>
            <w:rPr>
              <w:highlight w:val="none"/>
            </w:rPr>
            <w:fldChar w:fldCharType="separate"/>
          </w:r>
          <w:r>
            <w:rPr>
              <w:rFonts w:hint="eastAsia" w:ascii="宋体" w:hAnsi="宋体" w:cs="宋体"/>
              <w:sz w:val="28"/>
              <w:szCs w:val="28"/>
              <w:highlight w:val="none"/>
            </w:rPr>
            <w:t>第四部分 评标办法</w:t>
          </w:r>
          <w:r>
            <w:rPr>
              <w:rFonts w:hint="eastAsia" w:ascii="宋体" w:hAnsi="宋体" w:cs="宋体"/>
              <w:sz w:val="28"/>
              <w:szCs w:val="28"/>
              <w:highlight w:val="none"/>
            </w:rPr>
            <w:tab/>
          </w:r>
          <w:r>
            <w:rPr>
              <w:rFonts w:hint="eastAsia" w:ascii="宋体" w:hAnsi="宋体" w:cs="宋体"/>
              <w:sz w:val="28"/>
              <w:szCs w:val="28"/>
              <w:highlight w:val="none"/>
            </w:rPr>
            <w:t>52</w:t>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"_Toc32594" </w:instrText>
          </w:r>
          <w:r>
            <w:rPr>
              <w:highlight w:val="none"/>
            </w:rPr>
            <w:fldChar w:fldCharType="separate"/>
          </w:r>
          <w:r>
            <w:rPr>
              <w:rFonts w:hint="eastAsia" w:ascii="宋体" w:hAnsi="宋体" w:cs="宋体"/>
              <w:sz w:val="28"/>
              <w:szCs w:val="28"/>
              <w:highlight w:val="none"/>
            </w:rPr>
            <w:t>第五部分 拟签订的合同文本</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_Toc32594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66</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"_Toc20755" </w:instrText>
          </w:r>
          <w:r>
            <w:rPr>
              <w:highlight w:val="none"/>
            </w:rPr>
            <w:fldChar w:fldCharType="separate"/>
          </w:r>
          <w:r>
            <w:rPr>
              <w:rFonts w:hint="eastAsia" w:ascii="宋体" w:hAnsi="宋体" w:cs="宋体"/>
              <w:sz w:val="28"/>
              <w:szCs w:val="28"/>
              <w:highlight w:val="none"/>
            </w:rPr>
            <w:t>第六部分 应提交的有关格式范例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_Toc20755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spacing w:line="360" w:lineRule="auto"/>
            <w:ind w:firstLine="641" w:firstLineChars="229"/>
            <w:rPr>
              <w:rFonts w:ascii="宋体" w:hAnsi="宋体" w:cs="宋体"/>
              <w:highlight w:val="none"/>
            </w:rPr>
          </w:pPr>
          <w:r>
            <w:rPr>
              <w:rFonts w:hint="eastAsia" w:ascii="宋体" w:hAnsi="宋体" w:cs="宋体"/>
              <w:sz w:val="28"/>
              <w:szCs w:val="28"/>
              <w:highlight w:val="none"/>
            </w:rPr>
            <w:fldChar w:fldCharType="end"/>
          </w:r>
        </w:p>
      </w:sdtContent>
    </w:sdt>
    <w:p>
      <w:pPr>
        <w:pStyle w:val="79"/>
        <w:ind w:firstLine="460"/>
        <w:rPr>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rPr>
          <w:rFonts w:ascii="宋体" w:hAnsi="宋体" w:cs="宋体"/>
          <w:sz w:val="24"/>
          <w:highlight w:val="none"/>
        </w:rPr>
      </w:pPr>
    </w:p>
    <w:bookmarkEnd w:id="6"/>
    <w:p>
      <w:pPr>
        <w:numPr>
          <w:ilvl w:val="0"/>
          <w:numId w:val="1"/>
        </w:numPr>
        <w:adjustRightInd/>
        <w:spacing w:line="360" w:lineRule="auto"/>
        <w:jc w:val="center"/>
        <w:outlineLvl w:val="0"/>
        <w:rPr>
          <w:rFonts w:ascii="宋体" w:hAnsi="宋体" w:cs="宋体"/>
          <w:b/>
          <w:sz w:val="36"/>
          <w:szCs w:val="20"/>
          <w:highlight w:val="none"/>
        </w:rPr>
        <w:sectPr>
          <w:headerReference r:id="rId4" w:type="first"/>
          <w:headerReference r:id="rId3" w:type="default"/>
          <w:footerReference r:id="rId5" w:type="even"/>
          <w:pgSz w:w="11906" w:h="16838"/>
          <w:pgMar w:top="1134" w:right="1134" w:bottom="1134" w:left="1134" w:header="567" w:footer="680" w:gutter="0"/>
          <w:pgNumType w:start="1"/>
          <w:cols w:space="720" w:num="1"/>
          <w:titlePg/>
          <w:docGrid w:type="lines" w:linePitch="312" w:charSpace="0"/>
        </w:sectPr>
      </w:pPr>
      <w:bookmarkStart w:id="7" w:name="_Hlt74729822"/>
      <w:bookmarkEnd w:id="7"/>
      <w:bookmarkStart w:id="8" w:name="_Hlt74649545"/>
      <w:bookmarkEnd w:id="8"/>
      <w:bookmarkStart w:id="9" w:name="_Hlt74728647"/>
      <w:bookmarkEnd w:id="9"/>
      <w:bookmarkStart w:id="10" w:name="_Hlt74707423"/>
      <w:bookmarkEnd w:id="10"/>
      <w:bookmarkStart w:id="11" w:name="_Toc176185119"/>
      <w:bookmarkStart w:id="12" w:name="_Toc12366"/>
      <w:bookmarkStart w:id="13" w:name="_Toc176343848"/>
      <w:bookmarkStart w:id="14" w:name="第二部分"/>
      <w:bookmarkStart w:id="15" w:name="_Toc91899870"/>
      <w:bookmarkStart w:id="16" w:name="_Toc91899871"/>
    </w:p>
    <w:p>
      <w:pPr>
        <w:numPr>
          <w:ilvl w:val="0"/>
          <w:numId w:val="1"/>
        </w:numPr>
        <w:adjustRightInd/>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 xml:space="preserve"> 招标公告</w:t>
      </w:r>
      <w:bookmarkEnd w:id="11"/>
      <w:bookmarkEnd w:id="12"/>
      <w:bookmarkEnd w:id="13"/>
    </w:p>
    <w:p>
      <w:pPr>
        <w:pStyle w:val="41"/>
        <w:rPr>
          <w:rFonts w:ascii="宋体" w:hAnsi="宋体" w:cs="宋体"/>
          <w:b/>
          <w:sz w:val="36"/>
          <w:szCs w:val="20"/>
          <w:highlight w:val="none"/>
        </w:rPr>
      </w:pPr>
      <w:r>
        <w:rPr>
          <w:rFonts w:hint="eastAsia" w:ascii="宋体" w:hAnsi="宋体" w:cs="宋体"/>
          <w:b/>
          <w:sz w:val="32"/>
          <w:szCs w:val="32"/>
          <w:highlight w:val="none"/>
        </w:rPr>
        <w:t>北海市政府采购中心关于</w:t>
      </w:r>
      <w:bookmarkStart w:id="17" w:name="OLE_LINK31"/>
      <w:bookmarkStart w:id="18" w:name="OLE_LINK32"/>
      <w:bookmarkStart w:id="19" w:name="OLE_LINK26"/>
      <w:bookmarkStart w:id="20" w:name="OLE_LINK28"/>
      <w:bookmarkStart w:id="21" w:name="OLE_LINK27"/>
      <w:r>
        <w:rPr>
          <w:rFonts w:hint="eastAsia" w:ascii="宋体" w:hAnsi="宋体" w:cs="宋体"/>
          <w:b/>
          <w:sz w:val="32"/>
          <w:szCs w:val="32"/>
          <w:highlight w:val="none"/>
        </w:rPr>
        <w:t>来宾市政务服务和大数据发展局</w:t>
      </w:r>
      <w:bookmarkEnd w:id="17"/>
      <w:bookmarkEnd w:id="18"/>
      <w:r>
        <w:rPr>
          <w:rFonts w:hint="eastAsia" w:ascii="宋体" w:hAnsi="宋体" w:cs="宋体"/>
          <w:b/>
          <w:sz w:val="32"/>
          <w:szCs w:val="32"/>
          <w:highlight w:val="none"/>
        </w:rPr>
        <w:t>来宾市电子政务外网三期服务采购</w:t>
      </w:r>
      <w:bookmarkEnd w:id="19"/>
      <w:r>
        <w:rPr>
          <w:rFonts w:hint="eastAsia" w:ascii="宋体" w:hAnsi="宋体" w:cs="宋体"/>
          <w:b/>
          <w:sz w:val="32"/>
          <w:szCs w:val="32"/>
          <w:highlight w:val="none"/>
        </w:rPr>
        <w:t>(LBZC2026-G3-990053-CGZX)公开招标</w:t>
      </w:r>
      <w:bookmarkEnd w:id="20"/>
      <w:bookmarkEnd w:id="21"/>
      <w:r>
        <w:rPr>
          <w:rFonts w:hint="eastAsia" w:ascii="宋体" w:hAnsi="宋体" w:cs="宋体"/>
          <w:b/>
          <w:sz w:val="32"/>
          <w:szCs w:val="32"/>
          <w:highlight w:val="none"/>
        </w:rPr>
        <w:t>公告（远程异地评标）</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u w:val="single"/>
        </w:rPr>
        <w:t>来宾市电子政务外网三期服务采购</w:t>
      </w:r>
      <w:r>
        <w:rPr>
          <w:rFonts w:hint="eastAsia" w:asciiTheme="minorEastAsia" w:hAnsiTheme="minorEastAsia" w:eastAsiaTheme="minorEastAsia"/>
          <w:sz w:val="24"/>
          <w:highlight w:val="none"/>
        </w:rPr>
        <w:t>招标项目的潜在投标人应在</w:t>
      </w:r>
      <w:r>
        <w:rPr>
          <w:rFonts w:hint="eastAsia" w:ascii="宋体" w:hAnsi="宋体" w:cs="宋体"/>
          <w:sz w:val="24"/>
          <w:highlight w:val="none"/>
        </w:rPr>
        <w:t>广西政府采购云平台（https://www.gcy.zfcg.gxzf.gov.cn/）</w:t>
      </w:r>
      <w:r>
        <w:rPr>
          <w:rFonts w:asciiTheme="minorEastAsia" w:hAnsiTheme="minorEastAsia" w:eastAsiaTheme="minorEastAsia"/>
          <w:sz w:val="24"/>
          <w:highlight w:val="none"/>
        </w:rPr>
        <w:t>获取（下载）招标文件，并于</w:t>
      </w:r>
      <w:r>
        <w:rPr>
          <w:rFonts w:hint="eastAsia" w:asciiTheme="minorEastAsia" w:hAnsiTheme="minorEastAsia" w:eastAsiaTheme="minorEastAsia"/>
          <w:sz w:val="24"/>
          <w:highlight w:val="none"/>
        </w:rPr>
        <w:t>2026年</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8</w:t>
      </w:r>
      <w:r>
        <w:rPr>
          <w:rFonts w:hint="eastAsia" w:asciiTheme="minorEastAsia" w:hAnsiTheme="minorEastAsia" w:eastAsiaTheme="minorEastAsia"/>
          <w:sz w:val="24"/>
          <w:highlight w:val="none"/>
        </w:rPr>
        <w:t>日9点0分00秒</w:t>
      </w:r>
      <w:r>
        <w:rPr>
          <w:rFonts w:hint="eastAsia" w:asciiTheme="minorEastAsia" w:hAnsiTheme="minorEastAsia" w:eastAsiaTheme="minorEastAsia"/>
          <w:bCs/>
          <w:sz w:val="24"/>
          <w:highlight w:val="none"/>
        </w:rPr>
        <w:t>（北京时间）前</w:t>
      </w:r>
      <w:r>
        <w:rPr>
          <w:rFonts w:hint="eastAsia" w:asciiTheme="minorEastAsia" w:hAnsiTheme="minorEastAsia" w:eastAsiaTheme="minorEastAsia"/>
          <w:sz w:val="24"/>
          <w:highlight w:val="none"/>
        </w:rPr>
        <w:t>递交（上传）投标文件。</w:t>
      </w:r>
    </w:p>
    <w:p>
      <w:pPr>
        <w:spacing w:line="360" w:lineRule="auto"/>
        <w:rPr>
          <w:rFonts w:ascii="宋体" w:hAnsi="宋体" w:cs="宋体"/>
          <w:b/>
          <w:sz w:val="24"/>
          <w:highlight w:val="none"/>
        </w:rPr>
      </w:pPr>
      <w:r>
        <w:rPr>
          <w:rFonts w:hint="eastAsia" w:ascii="宋体" w:hAnsi="宋体" w:cs="宋体"/>
          <w:b/>
          <w:sz w:val="24"/>
          <w:highlight w:val="none"/>
        </w:rPr>
        <w:t>一、项目基本情况</w:t>
      </w:r>
    </w:p>
    <w:p>
      <w:pPr>
        <w:spacing w:line="360" w:lineRule="auto"/>
        <w:rPr>
          <w:rFonts w:ascii="宋体" w:hAnsi="宋体" w:cs="宋体"/>
          <w:sz w:val="24"/>
          <w:highlight w:val="none"/>
        </w:rPr>
      </w:pPr>
      <w:r>
        <w:rPr>
          <w:rFonts w:hint="eastAsia" w:ascii="宋体" w:hAnsi="宋体" w:cs="宋体"/>
          <w:sz w:val="24"/>
          <w:highlight w:val="none"/>
        </w:rPr>
        <w:t xml:space="preserve">    项目编号：</w:t>
      </w:r>
      <w:bookmarkStart w:id="22" w:name="OLE_LINK24"/>
      <w:bookmarkStart w:id="23" w:name="OLE_LINK25"/>
      <w:r>
        <w:rPr>
          <w:rFonts w:hint="eastAsia" w:ascii="宋体" w:hAnsi="宋体" w:cs="宋体"/>
          <w:sz w:val="24"/>
          <w:highlight w:val="none"/>
        </w:rPr>
        <w:t>LBZC2026-G3-990053-CGZX</w:t>
      </w:r>
      <w:bookmarkEnd w:id="22"/>
      <w:bookmarkEnd w:id="23"/>
    </w:p>
    <w:p>
      <w:pPr>
        <w:spacing w:line="360" w:lineRule="auto"/>
        <w:rPr>
          <w:rFonts w:ascii="宋体" w:hAnsi="宋体" w:cs="宋体"/>
          <w:sz w:val="24"/>
          <w:highlight w:val="none"/>
        </w:rPr>
      </w:pPr>
      <w:r>
        <w:rPr>
          <w:rFonts w:hint="eastAsia" w:ascii="宋体" w:hAnsi="宋体" w:cs="宋体"/>
          <w:sz w:val="24"/>
          <w:highlight w:val="none"/>
        </w:rPr>
        <w:t xml:space="preserve">    项目名称：</w:t>
      </w:r>
      <w:bookmarkStart w:id="24" w:name="OLE_LINK16"/>
      <w:bookmarkStart w:id="25" w:name="OLE_LINK15"/>
      <w:bookmarkStart w:id="26" w:name="OLE_LINK17"/>
      <w:bookmarkStart w:id="27" w:name="OLE_LINK33"/>
      <w:r>
        <w:rPr>
          <w:rFonts w:hint="eastAsia" w:ascii="宋体" w:hAnsi="宋体" w:cs="宋体"/>
          <w:sz w:val="24"/>
          <w:highlight w:val="none"/>
        </w:rPr>
        <w:t>来宾市电子政务外网三期服务采购</w:t>
      </w:r>
      <w:bookmarkEnd w:id="24"/>
      <w:bookmarkEnd w:id="25"/>
      <w:bookmarkEnd w:id="26"/>
      <w:bookmarkEnd w:id="27"/>
    </w:p>
    <w:p>
      <w:pPr>
        <w:spacing w:line="360" w:lineRule="auto"/>
        <w:rPr>
          <w:rFonts w:ascii="宋体" w:hAnsi="宋体" w:cs="宋体"/>
          <w:sz w:val="24"/>
          <w:highlight w:val="none"/>
        </w:rPr>
      </w:pPr>
      <w:r>
        <w:rPr>
          <w:rFonts w:hint="eastAsia" w:ascii="宋体" w:hAnsi="宋体" w:cs="宋体"/>
          <w:sz w:val="24"/>
          <w:highlight w:val="none"/>
        </w:rPr>
        <w:t xml:space="preserve">    预算金额（元）：</w:t>
      </w:r>
      <w:bookmarkStart w:id="28" w:name="OLE_LINK18"/>
      <w:bookmarkStart w:id="29" w:name="OLE_LINK19"/>
      <w:r>
        <w:rPr>
          <w:rFonts w:hint="eastAsia" w:ascii="宋体" w:hAnsi="宋体" w:cs="宋体"/>
          <w:sz w:val="24"/>
          <w:highlight w:val="none"/>
        </w:rPr>
        <w:t xml:space="preserve"> </w:t>
      </w:r>
      <w:bookmarkStart w:id="30" w:name="OLE_LINK20"/>
      <w:bookmarkStart w:id="31" w:name="OLE_LINK21"/>
      <w:r>
        <w:rPr>
          <w:rFonts w:hint="eastAsia" w:ascii="宋体" w:hAnsi="宋体" w:cs="宋体"/>
          <w:sz w:val="24"/>
          <w:highlight w:val="none"/>
        </w:rPr>
        <w:t>4947400.00</w:t>
      </w:r>
      <w:bookmarkEnd w:id="28"/>
      <w:bookmarkEnd w:id="29"/>
    </w:p>
    <w:bookmarkEnd w:id="30"/>
    <w:bookmarkEnd w:id="31"/>
    <w:p>
      <w:pPr>
        <w:spacing w:line="360" w:lineRule="auto"/>
        <w:ind w:firstLine="480"/>
        <w:rPr>
          <w:rFonts w:ascii="宋体" w:hAnsi="宋体" w:cs="宋体"/>
          <w:sz w:val="24"/>
          <w:highlight w:val="none"/>
        </w:rPr>
      </w:pPr>
      <w:r>
        <w:rPr>
          <w:rFonts w:hint="eastAsia" w:ascii="宋体" w:hAnsi="宋体" w:cs="宋体"/>
          <w:sz w:val="24"/>
          <w:highlight w:val="none"/>
        </w:rPr>
        <w:t>采购需求：</w:t>
      </w:r>
    </w:p>
    <w:p>
      <w:pPr>
        <w:pStyle w:val="4"/>
        <w:spacing w:line="360" w:lineRule="auto"/>
        <w:ind w:firstLine="480"/>
        <w:rPr>
          <w:rFonts w:hAnsi="宋体" w:cs="宋体"/>
          <w:color w:val="auto"/>
          <w:kern w:val="0"/>
          <w:sz w:val="24"/>
          <w:highlight w:val="none"/>
        </w:rPr>
      </w:pP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标项1</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标项名称:信息技术服务</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预算金额（元）: 4205000.00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通过购买服务的方式保障来宾市电子政务外网的正常运行，服务期3年，服务内容包括：网络服务、运维管理服务、安全服务、密码服务、线路及机柜租赁服务。具体详见招标文件。</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最高限价（如有）：4205000.00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合同履约期限：自签订合同之日起60天内完成安装调试并通过验收交付使用，服务期限为3年。</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本标项（是）接受联合体投标</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备注：</w:t>
      </w:r>
    </w:p>
    <w:p>
      <w:pPr>
        <w:pStyle w:val="4"/>
        <w:spacing w:line="360" w:lineRule="auto"/>
        <w:ind w:firstLine="480"/>
        <w:rPr>
          <w:rFonts w:hAnsi="宋体" w:cs="宋体"/>
          <w:color w:val="auto"/>
          <w:kern w:val="0"/>
          <w:sz w:val="24"/>
          <w:highlight w:val="none"/>
        </w:rPr>
      </w:pP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标项2</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标项名称:信息技术服务（备用链路服务）</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预算金额（元）:742400.00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通过购买服务的方式保障来宾市电子政务外网的正常运行，服务期3年，服务内容包括：网络服务、运维管理服务、安全服务、密码服务、线路及机柜租赁服务。具体详见招标文件。</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最高限价（如有）：742400.00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合同履约期限：自签订合同之日起60天内完成安装调试并通过验收交付使用，服务期限为3年。</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本标项（是）接受联合体投标</w:t>
      </w:r>
    </w:p>
    <w:p>
      <w:pPr>
        <w:ind w:firstLine="480" w:firstLineChars="200"/>
        <w:rPr>
          <w:highlight w:val="none"/>
        </w:rPr>
      </w:pPr>
      <w:r>
        <w:rPr>
          <w:rFonts w:hint="eastAsia" w:hAnsi="宋体" w:cs="宋体"/>
          <w:kern w:val="0"/>
          <w:sz w:val="24"/>
          <w:highlight w:val="none"/>
        </w:rPr>
        <w:t>备注：</w:t>
      </w:r>
    </w:p>
    <w:p>
      <w:pPr>
        <w:spacing w:line="360" w:lineRule="auto"/>
        <w:rPr>
          <w:rFonts w:ascii="宋体" w:hAnsi="宋体" w:cs="宋体"/>
          <w:b/>
          <w:sz w:val="24"/>
          <w:highlight w:val="none"/>
        </w:rPr>
      </w:pPr>
      <w:r>
        <w:rPr>
          <w:rFonts w:hint="eastAsia" w:ascii="宋体" w:hAnsi="宋体" w:cs="宋体"/>
          <w:b/>
          <w:sz w:val="24"/>
          <w:highlight w:val="none"/>
        </w:rPr>
        <w:t>二、</w:t>
      </w:r>
      <w:bookmarkStart w:id="32" w:name="_Hlk101132948"/>
      <w:r>
        <w:rPr>
          <w:rFonts w:hint="eastAsia" w:ascii="宋体" w:hAnsi="宋体" w:cs="宋体"/>
          <w:b/>
          <w:sz w:val="24"/>
          <w:highlight w:val="none"/>
        </w:rPr>
        <w:t>申请人的资格要求</w:t>
      </w:r>
      <w:bookmarkEnd w:id="32"/>
      <w:r>
        <w:rPr>
          <w:rFonts w:hint="eastAsia" w:ascii="宋体" w:hAnsi="宋体" w:cs="宋体"/>
          <w:b/>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2.落实政府采购政策需满足的资格要求：无；</w:t>
      </w:r>
    </w:p>
    <w:p>
      <w:pPr>
        <w:pStyle w:val="4"/>
        <w:spacing w:line="360" w:lineRule="auto"/>
        <w:ind w:firstLine="480"/>
        <w:rPr>
          <w:rFonts w:hAnsi="宋体" w:cs="宋体"/>
          <w:color w:val="auto"/>
          <w:sz w:val="24"/>
          <w:highlight w:val="none"/>
        </w:rPr>
      </w:pPr>
      <w:r>
        <w:rPr>
          <w:rFonts w:hint="eastAsia" w:hAnsi="宋体" w:cs="宋体"/>
          <w:color w:val="auto"/>
          <w:sz w:val="24"/>
          <w:highlight w:val="none"/>
        </w:rPr>
        <w:t>3.本项目的特定资格要求：无。</w:t>
      </w:r>
    </w:p>
    <w:p>
      <w:pPr>
        <w:spacing w:line="360" w:lineRule="auto"/>
        <w:rPr>
          <w:rFonts w:ascii="宋体" w:hAnsi="宋体" w:cs="宋体"/>
          <w:b/>
          <w:sz w:val="24"/>
          <w:highlight w:val="none"/>
        </w:rPr>
      </w:pPr>
      <w:r>
        <w:rPr>
          <w:rFonts w:hint="eastAsia" w:ascii="宋体" w:hAnsi="宋体" w:cs="宋体"/>
          <w:b/>
          <w:sz w:val="24"/>
          <w:highlight w:val="none"/>
        </w:rPr>
        <w:t>三、获取招标文件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rPr>
        <w:t>2026年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17</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2026年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25</w:t>
      </w:r>
      <w:r>
        <w:rPr>
          <w:rFonts w:hint="eastAsia" w:ascii="宋体" w:hAnsi="宋体" w:cs="宋体"/>
          <w:sz w:val="24"/>
          <w:highlight w:val="none"/>
          <w:u w:val="single"/>
        </w:rPr>
        <w:t>日</w:t>
      </w:r>
      <w:r>
        <w:rPr>
          <w:rFonts w:hint="eastAsia" w:ascii="宋体" w:hAnsi="宋体" w:cs="宋体"/>
          <w:sz w:val="24"/>
          <w:highlight w:val="none"/>
        </w:rPr>
        <w:t>，每天上午00:00至12:00 ，下午12:00至23:59（北京时间，法定节假日除外）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地点（网址）：广西政府采购云平台（https://www.gcy.zfcg.gxzf.gov.cn/）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售价（元）：0</w:t>
      </w:r>
    </w:p>
    <w:p>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提交投标文件截止时间：</w:t>
      </w:r>
      <w:r>
        <w:rPr>
          <w:rFonts w:hint="eastAsia" w:ascii="宋体" w:hAnsi="宋体" w:cs="宋体"/>
          <w:sz w:val="24"/>
          <w:highlight w:val="none"/>
          <w:u w:val="single"/>
        </w:rPr>
        <w:t xml:space="preserve"> 2026年</w:t>
      </w:r>
      <w:r>
        <w:rPr>
          <w:rFonts w:hint="eastAsia" w:ascii="宋体" w:hAnsi="宋体" w:cs="宋体"/>
          <w:sz w:val="24"/>
          <w:highlight w:val="none"/>
          <w:u w:val="single"/>
          <w:lang w:val="en-US" w:eastAsia="zh-CN"/>
        </w:rPr>
        <w:t>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8</w:t>
      </w:r>
      <w:r>
        <w:rPr>
          <w:rFonts w:hint="eastAsia" w:ascii="宋体" w:hAnsi="宋体" w:cs="宋体"/>
          <w:sz w:val="24"/>
          <w:highlight w:val="none"/>
          <w:u w:val="single"/>
        </w:rPr>
        <w:t>日9点0分00秒</w:t>
      </w:r>
      <w:r>
        <w:rPr>
          <w:rFonts w:hint="eastAsia" w:ascii="宋体" w:hAnsi="宋体" w:cs="宋体"/>
          <w:sz w:val="24"/>
          <w:highlight w:val="none"/>
        </w:rPr>
        <w:t>（北京时间）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投标地点（网址）：广西政府采购云平台（https://www.gcy.zfcg.gxzf.gov.cn/） </w:t>
      </w:r>
    </w:p>
    <w:p>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开标时间：</w:t>
      </w:r>
      <w:r>
        <w:rPr>
          <w:rFonts w:hint="eastAsia" w:ascii="宋体" w:hAnsi="宋体" w:cs="宋体"/>
          <w:sz w:val="24"/>
          <w:highlight w:val="none"/>
          <w:u w:val="single"/>
        </w:rPr>
        <w:t>2026年</w:t>
      </w:r>
      <w:r>
        <w:rPr>
          <w:rFonts w:hint="eastAsia" w:ascii="宋体" w:hAnsi="宋体" w:cs="宋体"/>
          <w:sz w:val="24"/>
          <w:highlight w:val="none"/>
          <w:u w:val="single"/>
          <w:lang w:val="en-US" w:eastAsia="zh-CN"/>
        </w:rPr>
        <w:t>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8</w:t>
      </w:r>
      <w:r>
        <w:rPr>
          <w:rFonts w:hint="eastAsia" w:ascii="宋体" w:hAnsi="宋体" w:cs="宋体"/>
          <w:sz w:val="24"/>
          <w:highlight w:val="none"/>
          <w:u w:val="single"/>
        </w:rPr>
        <w:t>日9点0分00秒</w:t>
      </w:r>
      <w:r>
        <w:rPr>
          <w:rFonts w:hint="eastAsia" w:ascii="宋体" w:hAnsi="宋体" w:cs="宋体"/>
          <w:sz w:val="24"/>
          <w:highlight w:val="none"/>
        </w:rPr>
        <w:t>（北京时间）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开标地点（网址）：广西政府采购云平台（https://www.gcy.zfcg.gxzf.gov.cn/）</w:t>
      </w:r>
    </w:p>
    <w:p>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pPr>
        <w:spacing w:line="360" w:lineRule="auto"/>
        <w:rPr>
          <w:rFonts w:ascii="宋体" w:hAnsi="宋体" w:cs="宋体"/>
          <w:b/>
          <w:sz w:val="24"/>
          <w:highlight w:val="none"/>
        </w:rPr>
      </w:pPr>
      <w:r>
        <w:rPr>
          <w:rFonts w:hint="eastAsia" w:ascii="宋体" w:hAnsi="宋体" w:cs="宋体"/>
          <w:b/>
          <w:sz w:val="24"/>
          <w:highlight w:val="none"/>
        </w:rPr>
        <w:t>六、其他补充事宜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1.本项目不收取投标保证金。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对小型和微型企业的投标报价给予20%的扣除，用扣除后的价格参与评审。（5）支持监狱企业、残疾人福利性单位发展：监狱企业、残疾人福利性单位视同小型和微型企业。（6）平等对待内外资企业和符合条件的破产重整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4.网上公告媒体查询：中国政府采购网、广西政府采购网、全国公共资源交易平台（广西·北海）、北海市人民政府网-北海市政府采购中心网站。</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7.本项目采用远程异地评标。</w:t>
      </w:r>
    </w:p>
    <w:p>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pPr>
        <w:spacing w:line="360" w:lineRule="auto"/>
        <w:ind w:firstLine="480"/>
        <w:rPr>
          <w:rFonts w:ascii="宋体" w:hAnsi="宋体" w:cs="宋体"/>
          <w:sz w:val="24"/>
          <w:highlight w:val="none"/>
        </w:rPr>
      </w:pPr>
      <w:r>
        <w:rPr>
          <w:rFonts w:hint="eastAsia" w:ascii="宋体" w:hAnsi="宋体" w:cs="宋体"/>
          <w:sz w:val="24"/>
          <w:highlight w:val="none"/>
        </w:rPr>
        <w:t>1.采购人信息</w:t>
      </w:r>
    </w:p>
    <w:p>
      <w:pPr>
        <w:spacing w:line="360" w:lineRule="auto"/>
        <w:ind w:firstLine="480"/>
        <w:rPr>
          <w:rFonts w:ascii="宋体" w:hAnsi="宋体" w:cs="宋体"/>
          <w:sz w:val="24"/>
          <w:highlight w:val="none"/>
        </w:rPr>
      </w:pPr>
      <w:r>
        <w:rPr>
          <w:rFonts w:hint="eastAsia" w:ascii="宋体" w:hAnsi="宋体" w:cs="宋体"/>
          <w:sz w:val="24"/>
          <w:highlight w:val="none"/>
        </w:rPr>
        <w:t xml:space="preserve">名    称：来宾市政务服务和大数据发展局 </w:t>
      </w:r>
    </w:p>
    <w:p>
      <w:pPr>
        <w:spacing w:line="360" w:lineRule="auto"/>
        <w:rPr>
          <w:rFonts w:ascii="宋体" w:hAnsi="宋体" w:cs="宋体"/>
          <w:sz w:val="24"/>
          <w:highlight w:val="none"/>
        </w:rPr>
      </w:pPr>
      <w:r>
        <w:rPr>
          <w:rFonts w:hint="eastAsia" w:ascii="宋体" w:hAnsi="宋体" w:cs="宋体"/>
          <w:sz w:val="24"/>
          <w:highlight w:val="none"/>
        </w:rPr>
        <w:t xml:space="preserve">    地    址：来宾市红水河大道336号</w:t>
      </w:r>
    </w:p>
    <w:p>
      <w:pPr>
        <w:spacing w:line="360" w:lineRule="auto"/>
        <w:ind w:firstLine="480"/>
        <w:rPr>
          <w:rFonts w:ascii="宋体" w:hAnsi="宋体" w:cs="宋体"/>
          <w:sz w:val="24"/>
          <w:highlight w:val="none"/>
        </w:rPr>
      </w:pPr>
      <w:r>
        <w:rPr>
          <w:rFonts w:hint="eastAsia" w:ascii="宋体" w:hAnsi="宋体" w:cs="宋体"/>
          <w:sz w:val="24"/>
          <w:highlight w:val="none"/>
        </w:rPr>
        <w:t>项目联系人：覃彦婷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项目联系方式：0772-4271316</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名    称：北海市政府采购中心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地    址：</w:t>
      </w:r>
      <w:bookmarkStart w:id="33" w:name="OLE_LINK36"/>
      <w:bookmarkStart w:id="34" w:name="OLE_LINK37"/>
      <w:r>
        <w:rPr>
          <w:rFonts w:hint="eastAsia" w:ascii="宋体" w:hAnsi="宋体" w:cs="宋体"/>
          <w:sz w:val="24"/>
          <w:highlight w:val="none"/>
        </w:rPr>
        <w:t>北海市海城区陈文村北路7号市直机关第三办公区2号楼一层</w:t>
      </w:r>
      <w:bookmarkEnd w:id="33"/>
      <w:bookmarkEnd w:id="34"/>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项目联系人(询问)：欧呈东</w:t>
      </w:r>
    </w:p>
    <w:p>
      <w:pPr>
        <w:spacing w:line="360" w:lineRule="auto"/>
        <w:ind w:firstLine="480" w:firstLineChars="200"/>
        <w:outlineLvl w:val="0"/>
        <w:rPr>
          <w:rFonts w:ascii="宋体" w:hAnsi="宋体" w:cs="宋体"/>
          <w:sz w:val="24"/>
          <w:highlight w:val="none"/>
        </w:rPr>
      </w:pPr>
      <w:bookmarkStart w:id="35" w:name="_Toc6543"/>
      <w:r>
        <w:rPr>
          <w:rFonts w:hint="eastAsia" w:ascii="宋体" w:hAnsi="宋体" w:cs="宋体"/>
          <w:sz w:val="24"/>
          <w:highlight w:val="none"/>
        </w:rPr>
        <w:t>项目联系方式(询问)：0779-3071101</w:t>
      </w:r>
      <w:bookmarkEnd w:id="35"/>
    </w:p>
    <w:p>
      <w:pPr>
        <w:spacing w:line="360" w:lineRule="auto"/>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widowControl/>
        <w:adjustRightInd/>
        <w:jc w:val="left"/>
        <w:rPr>
          <w:rFonts w:ascii="宋体" w:hAnsi="宋体" w:cs="宋体"/>
          <w:b/>
          <w:sz w:val="36"/>
          <w:szCs w:val="20"/>
          <w:highlight w:val="none"/>
        </w:rPr>
      </w:pPr>
      <w:r>
        <w:rPr>
          <w:rFonts w:ascii="宋体" w:hAnsi="宋体" w:cs="宋体"/>
          <w:b/>
          <w:sz w:val="36"/>
          <w:szCs w:val="20"/>
          <w:highlight w:val="none"/>
        </w:rPr>
        <w:br w:type="page"/>
      </w:r>
    </w:p>
    <w:p>
      <w:pPr>
        <w:adjustRightInd/>
        <w:spacing w:line="360" w:lineRule="auto"/>
        <w:jc w:val="center"/>
        <w:outlineLvl w:val="0"/>
        <w:rPr>
          <w:rFonts w:ascii="宋体" w:hAnsi="宋体" w:cs="宋体"/>
          <w:b/>
          <w:sz w:val="36"/>
          <w:szCs w:val="20"/>
          <w:highlight w:val="none"/>
        </w:rPr>
      </w:pPr>
      <w:bookmarkStart w:id="36" w:name="_Toc176368903"/>
      <w:bookmarkStart w:id="37" w:name="_Toc24634"/>
      <w:r>
        <w:rPr>
          <w:rFonts w:hint="eastAsia" w:ascii="宋体" w:hAnsi="宋体" w:cs="宋体"/>
          <w:b/>
          <w:sz w:val="36"/>
          <w:szCs w:val="20"/>
          <w:highlight w:val="none"/>
        </w:rPr>
        <w:t>第二部分</w:t>
      </w:r>
      <w:bookmarkEnd w:id="14"/>
      <w:r>
        <w:rPr>
          <w:rFonts w:hint="eastAsia" w:ascii="宋体" w:hAnsi="宋体" w:cs="宋体"/>
          <w:b/>
          <w:sz w:val="36"/>
          <w:szCs w:val="20"/>
          <w:highlight w:val="none"/>
        </w:rPr>
        <w:t xml:space="preserve"> 投标人须知</w:t>
      </w:r>
      <w:bookmarkEnd w:id="15"/>
      <w:bookmarkEnd w:id="36"/>
      <w:bookmarkEnd w:id="37"/>
    </w:p>
    <w:p>
      <w:pPr>
        <w:adjustRightInd/>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981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82"/>
        <w:gridCol w:w="70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highlight w:val="none"/>
              </w:rPr>
            </w:pPr>
            <w:r>
              <w:rPr>
                <w:rFonts w:hint="eastAsia" w:ascii="宋体" w:hAnsi="宋体" w:cs="宋体"/>
                <w:kern w:val="0"/>
                <w:sz w:val="24"/>
                <w:highlight w:val="none"/>
              </w:rPr>
              <w:t>（1）标的：</w:t>
            </w:r>
            <w:r>
              <w:rPr>
                <w:rFonts w:hint="eastAsia" w:ascii="宋体" w:hAnsi="宋体" w:cs="宋体"/>
                <w:kern w:val="0"/>
                <w:sz w:val="24"/>
                <w:highlight w:val="none"/>
                <w:u w:val="single"/>
              </w:rPr>
              <w:t>信息技术服务</w:t>
            </w:r>
            <w:r>
              <w:rPr>
                <w:rFonts w:hint="eastAsia" w:ascii="宋体" w:hAnsi="宋体" w:cs="宋体"/>
                <w:kern w:val="0"/>
                <w:sz w:val="24"/>
                <w:highlight w:val="none"/>
              </w:rPr>
              <w:t>，属于</w:t>
            </w:r>
            <w:r>
              <w:rPr>
                <w:rFonts w:hint="eastAsia" w:ascii="宋体" w:hAnsi="宋体" w:cs="宋体"/>
                <w:kern w:val="0"/>
                <w:sz w:val="24"/>
                <w:highlight w:val="none"/>
                <w:u w:val="single"/>
              </w:rPr>
              <w:t xml:space="preserve"> 软件和信息技术服务业 </w:t>
            </w:r>
            <w:r>
              <w:rPr>
                <w:rFonts w:hint="eastAsia" w:ascii="宋体" w:hAnsi="宋体" w:cs="宋体"/>
                <w:kern w:val="0"/>
                <w:sz w:val="24"/>
                <w:highlight w:val="none"/>
              </w:rPr>
              <w:t>行业；（2）标的：</w:t>
            </w:r>
            <w:r>
              <w:rPr>
                <w:rFonts w:hint="eastAsia" w:ascii="宋体" w:hAnsi="宋体" w:cs="宋体"/>
                <w:kern w:val="0"/>
                <w:sz w:val="24"/>
                <w:highlight w:val="none"/>
                <w:u w:val="single"/>
              </w:rPr>
              <w:t>信息技术服务（备用链路服务）</w:t>
            </w:r>
            <w:r>
              <w:rPr>
                <w:rFonts w:hint="eastAsia" w:ascii="宋体" w:hAnsi="宋体" w:cs="宋体"/>
                <w:kern w:val="0"/>
                <w:sz w:val="24"/>
                <w:highlight w:val="none"/>
              </w:rPr>
              <w:t>，属于</w:t>
            </w:r>
            <w:r>
              <w:rPr>
                <w:rFonts w:hint="eastAsia" w:ascii="宋体" w:hAnsi="宋体" w:cs="宋体"/>
                <w:kern w:val="0"/>
                <w:sz w:val="24"/>
                <w:highlight w:val="none"/>
                <w:u w:val="single"/>
              </w:rPr>
              <w:t xml:space="preserve"> 软件和信息技术服务业 </w:t>
            </w:r>
            <w:r>
              <w:rPr>
                <w:rFonts w:hint="eastAsia" w:ascii="宋体" w:hAnsi="宋体" w:cs="宋体"/>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highlight w:val="none"/>
              </w:rPr>
            </w:pPr>
            <w:sdt>
              <w:sdtPr>
                <w:rPr>
                  <w:rFonts w:hint="eastAsia" w:ascii="宋体" w:hAnsi="宋体" w:cs="宋体"/>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pPr>
              <w:spacing w:line="360" w:lineRule="auto"/>
              <w:rPr>
                <w:rFonts w:ascii="宋体" w:hAnsi="宋体" w:cs="宋体"/>
                <w:highlight w:val="none"/>
              </w:rPr>
            </w:pPr>
            <w:sdt>
              <w:sdtPr>
                <w:rPr>
                  <w:rFonts w:hint="eastAsia" w:ascii="宋体" w:hAnsi="宋体" w:cs="宋体"/>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分包</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rPr>
              <w:t>工作分包。</w:t>
            </w:r>
          </w:p>
          <w:p>
            <w:pPr>
              <w:spacing w:line="360" w:lineRule="auto"/>
              <w:rPr>
                <w:rFonts w:ascii="宋体" w:hAnsi="宋体" w:cs="宋体"/>
                <w:sz w:val="24"/>
                <w:highlight w:val="none"/>
              </w:rPr>
            </w:pPr>
            <w:sdt>
              <w:sdtPr>
                <w:rPr>
                  <w:rFonts w:hint="eastAsia" w:ascii="宋体" w:hAnsi="宋体" w:cs="宋体"/>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pPr>
              <w:spacing w:line="360" w:lineRule="auto"/>
              <w:rPr>
                <w:rFonts w:ascii="宋体" w:hAnsi="宋体" w:cs="宋体"/>
                <w:sz w:val="24"/>
                <w:highlight w:val="none"/>
              </w:rPr>
            </w:pPr>
            <w:r>
              <w:rPr>
                <w:rFonts w:hint="eastAsia" w:ascii="宋体" w:hAnsi="宋体" w:cs="宋体"/>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pPr>
              <w:spacing w:line="360" w:lineRule="auto"/>
              <w:rPr>
                <w:rFonts w:ascii="宋体" w:hAnsi="宋体" w:cs="宋体"/>
                <w:sz w:val="24"/>
                <w:szCs w:val="20"/>
                <w:highlight w:val="none"/>
              </w:rPr>
            </w:pPr>
            <w:sdt>
              <w:sdtPr>
                <w:rPr>
                  <w:rFonts w:hint="eastAsia" w:ascii="宋体" w:hAnsi="宋体" w:cs="宋体"/>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不要求提供。</w:t>
            </w:r>
          </w:p>
          <w:p>
            <w:pPr>
              <w:spacing w:line="360" w:lineRule="auto"/>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w:t>
            </w:r>
          </w:p>
          <w:p>
            <w:pPr>
              <w:spacing w:line="360" w:lineRule="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评标办法</w:t>
            </w:r>
            <w:r>
              <w:rPr>
                <w:rFonts w:hint="eastAsia" w:ascii="宋体" w:hAnsi="宋体" w:cs="宋体"/>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pPr>
              <w:spacing w:line="360" w:lineRule="auto"/>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（1）在评标时安排每个投标人进行方案讲解演示。每个投标人时间不超过</w:t>
            </w:r>
            <w:r>
              <w:rPr>
                <w:rFonts w:hint="eastAsia" w:ascii="宋体" w:hAnsi="宋体" w:cs="宋体"/>
                <w:kern w:val="0"/>
                <w:sz w:val="24"/>
                <w:highlight w:val="none"/>
                <w:u w:val="single"/>
              </w:rPr>
              <w:t>20（编制时可根据项目情况进行调整）</w:t>
            </w:r>
            <w:r>
              <w:rPr>
                <w:rFonts w:hint="eastAsia" w:ascii="宋体" w:hAnsi="宋体" w:cs="宋体"/>
                <w:kern w:val="0"/>
                <w:sz w:val="24"/>
                <w:highlight w:val="none"/>
              </w:rPr>
              <w:t>分钟，讲解次序以投标文件解密时间先后次序为准，讲解演示人员不超过</w:t>
            </w:r>
            <w:r>
              <w:rPr>
                <w:rFonts w:hint="eastAsia" w:ascii="宋体" w:hAnsi="宋体" w:cs="宋体"/>
                <w:kern w:val="0"/>
                <w:sz w:val="24"/>
                <w:highlight w:val="none"/>
                <w:u w:val="single"/>
              </w:rPr>
              <w:t>3（编制时可根据项目情况进行调整）</w:t>
            </w:r>
            <w:r>
              <w:rPr>
                <w:rFonts w:hint="eastAsia" w:ascii="宋体" w:hAnsi="宋体" w:cs="宋体"/>
                <w:kern w:val="0"/>
                <w:sz w:val="24"/>
                <w:highlight w:val="none"/>
              </w:rPr>
              <w:t>人。讲解演示结束后按要求解答评标委员会提问。</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方式二：评审现场讲解演示。现场讲解地点为</w:t>
            </w:r>
            <w:r>
              <w:rPr>
                <w:rFonts w:hint="eastAsia" w:ascii="宋体" w:hAnsi="宋体" w:cs="宋体"/>
                <w:kern w:val="0"/>
                <w:sz w:val="24"/>
                <w:highlight w:val="none"/>
                <w:u w:val="single"/>
              </w:rPr>
              <w:t xml:space="preserve">     </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2182"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投标人应当提供的资格、资信证明文件</w:t>
            </w: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182"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p>
        </w:tc>
        <w:tc>
          <w:tcPr>
            <w:tcW w:w="700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Cs/>
                <w:kern w:val="0"/>
                <w:sz w:val="24"/>
                <w:highlight w:val="none"/>
                <w:lang w:val="zh-CN"/>
              </w:rPr>
              <w:t>投标文件</w:t>
            </w:r>
            <w:r>
              <w:rPr>
                <w:rFonts w:hint="eastAsia" w:ascii="宋体" w:hAnsi="宋体" w:cs="宋体"/>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投标报价出现下列情形的，投标无效：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投标文件出现不是唯一的、有选择性投标报价的；</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投标报价超过招标文件中规定的预算金额或者最高限价的;</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投标报价属于招标文件规定的政府采购异常低价情形之一，且投标人不能提供书面说明、证明材料，或者提供的书面说明、证明材料不能证明其报价合理性的；</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投标人对根据修正原则修正后的报价不确认的</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2182"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700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sz w:val="24"/>
                <w:highlight w:val="none"/>
              </w:rPr>
            </w:pPr>
            <w:r>
              <w:rPr>
                <w:rFonts w:hint="eastAsia" w:ascii="宋体" w:hAnsi="宋体" w:cs="宋体"/>
                <w:snapToGrid w:val="0"/>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不接受。</w:t>
            </w:r>
          </w:p>
          <w:p>
            <w:pPr>
              <w:pStyle w:val="33"/>
              <w:spacing w:line="360" w:lineRule="auto"/>
              <w:rPr>
                <w:rFonts w:hAnsi="宋体" w:cs="宋体"/>
                <w:kern w:val="28"/>
                <w:sz w:val="24"/>
                <w:highlight w:val="none"/>
              </w:rPr>
            </w:pPr>
            <w:sdt>
              <w:sdtPr>
                <w:rPr>
                  <w:rFonts w:hint="eastAsia" w:hAnsi="宋体" w:cs="宋体"/>
                  <w:kern w:val="0"/>
                  <w:sz w:val="24"/>
                  <w:highlight w:val="none"/>
                </w:rPr>
                <w:id w:val="1206604863"/>
                <w14:checkbox>
                  <w14:checked w14:val="0"/>
                  <w14:checkedState w14:val="00FE" w14:font="Wingdings"/>
                  <w14:uncheckedState w14:val="2610" w14:font="MS Gothic"/>
                </w14:checkbox>
              </w:sdtPr>
              <w:sdtEndPr>
                <w:rPr>
                  <w:rFonts w:hint="eastAsia"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hAnsi="宋体" w:cs="宋体"/>
                <w:kern w:val="0"/>
                <w:sz w:val="24"/>
                <w:highlight w:val="none"/>
              </w:rPr>
              <w:t>B</w:t>
            </w:r>
            <w:r>
              <w:rPr>
                <w:rFonts w:hint="eastAsia" w:hAnsi="宋体" w:cs="宋体"/>
                <w:sz w:val="24"/>
                <w:highlight w:val="none"/>
              </w:rPr>
              <w:t>接受</w:t>
            </w:r>
            <w:r>
              <w:rPr>
                <w:rFonts w:hint="eastAsia" w:hAnsi="宋体" w:cs="宋体"/>
                <w:kern w:val="0"/>
                <w:sz w:val="24"/>
                <w:highlight w:val="none"/>
              </w:rPr>
              <w:t>：</w:t>
            </w:r>
            <w:r>
              <w:rPr>
                <w:rFonts w:hint="eastAsia" w:hAnsi="宋体" w:cs="宋体"/>
                <w:kern w:val="28"/>
                <w:sz w:val="24"/>
                <w:highlight w:val="none"/>
              </w:rPr>
              <w:t>备份投标文件送达地点：</w:t>
            </w:r>
            <w:r>
              <w:rPr>
                <w:rFonts w:hint="eastAsia" w:hAnsi="宋体" w:cs="宋体"/>
                <w:sz w:val="24"/>
                <w:highlight w:val="none"/>
                <w:u w:val="single"/>
              </w:rPr>
              <w:t xml:space="preserve">         </w:t>
            </w:r>
            <w:r>
              <w:rPr>
                <w:rFonts w:hint="eastAsia" w:hAnsi="宋体" w:cs="宋体"/>
                <w:kern w:val="28"/>
                <w:sz w:val="24"/>
                <w:highlight w:val="none"/>
              </w:rPr>
              <w:t>；备份投标文件签收人员联系电话：</w:t>
            </w:r>
            <w:r>
              <w:rPr>
                <w:rFonts w:hint="eastAsia" w:hAnsi="宋体" w:cs="宋体"/>
                <w:sz w:val="24"/>
                <w:highlight w:val="none"/>
                <w:u w:val="single"/>
              </w:rPr>
              <w:t xml:space="preserve">        </w:t>
            </w:r>
            <w:r>
              <w:rPr>
                <w:rFonts w:hint="eastAsia" w:hAnsi="宋体" w:cs="宋体"/>
                <w:sz w:val="24"/>
                <w:highlight w:val="none"/>
              </w:rPr>
              <w:t>。</w:t>
            </w:r>
            <w:r>
              <w:rPr>
                <w:rFonts w:hint="eastAsia" w:hAnsi="宋体" w:cs="宋体"/>
                <w:b/>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89"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2182"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Wingdings" w:hAnsi="Wingdings" w:eastAsia="MS Gothic" w:cs="Arial"/>
                    <w:kern w:val="0"/>
                    <w:sz w:val="24"/>
                    <w:szCs w:val="24"/>
                    <w:highlight w:val="none"/>
                    <w:lang w:val="en-US" w:eastAsia="zh-CN" w:bidi="ar-SA"/>
                  </w:rPr>
                  <w:t>þ</w:t>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14</w:t>
            </w:r>
          </w:p>
        </w:tc>
        <w:tc>
          <w:tcPr>
            <w:tcW w:w="21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解释权</w:t>
            </w:r>
          </w:p>
        </w:tc>
        <w:tc>
          <w:tcPr>
            <w:tcW w:w="700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本招标文件解释权属采购人及代理机构。</w:t>
            </w:r>
          </w:p>
        </w:tc>
      </w:tr>
    </w:tbl>
    <w:p>
      <w:pPr>
        <w:snapToGrid w:val="0"/>
        <w:spacing w:line="360" w:lineRule="auto"/>
        <w:jc w:val="center"/>
        <w:rPr>
          <w:rFonts w:ascii="宋体" w:hAnsi="宋体" w:cs="宋体"/>
          <w:b/>
          <w:sz w:val="32"/>
          <w:szCs w:val="20"/>
          <w:highlight w:val="none"/>
        </w:rPr>
      </w:pPr>
    </w:p>
    <w:bookmarkEnd w:id="16"/>
    <w:p>
      <w:pPr>
        <w:adjustRightInd/>
        <w:spacing w:line="360" w:lineRule="auto"/>
        <w:ind w:firstLine="3845" w:firstLineChars="1197"/>
        <w:outlineLvl w:val="1"/>
        <w:rPr>
          <w:rFonts w:ascii="宋体" w:hAnsi="宋体" w:cs="宋体"/>
          <w:b/>
          <w:sz w:val="32"/>
          <w:szCs w:val="20"/>
          <w:highlight w:val="none"/>
        </w:rPr>
      </w:pPr>
      <w:bookmarkStart w:id="38" w:name="_Toc164416483"/>
      <w:bookmarkStart w:id="39" w:name="第三部分"/>
      <w:r>
        <w:rPr>
          <w:rFonts w:hint="eastAsia" w:ascii="宋体" w:hAnsi="宋体" w:cs="宋体"/>
          <w:b/>
          <w:sz w:val="32"/>
          <w:szCs w:val="20"/>
          <w:highlight w:val="none"/>
        </w:rPr>
        <w:t>一、总则</w:t>
      </w:r>
    </w:p>
    <w:p>
      <w:pPr>
        <w:snapToGrid w:val="0"/>
        <w:spacing w:line="360" w:lineRule="auto"/>
        <w:ind w:firstLine="361" w:firstLineChars="150"/>
        <w:jc w:val="left"/>
        <w:rPr>
          <w:rFonts w:ascii="宋体" w:hAnsi="宋体" w:cs="宋体"/>
          <w:b/>
          <w:sz w:val="24"/>
          <w:highlight w:val="none"/>
        </w:rPr>
      </w:pPr>
      <w:r>
        <w:rPr>
          <w:rFonts w:hint="eastAsia" w:ascii="宋体" w:hAnsi="宋体" w:cs="宋体"/>
          <w:b/>
          <w:sz w:val="24"/>
          <w:highlight w:val="none"/>
        </w:rPr>
        <w:t>1. 适用范围</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sz w:val="24"/>
          <w:highlight w:val="none"/>
        </w:rPr>
      </w:pPr>
      <w:r>
        <w:rPr>
          <w:rFonts w:hint="eastAsia" w:ascii="宋体" w:hAnsi="宋体" w:cs="宋体"/>
          <w:b/>
          <w:sz w:val="24"/>
          <w:highlight w:val="none"/>
        </w:rPr>
        <w:t xml:space="preserve">   2.定义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 “采购代理机构”系指招标公告中载明的本项目的采购代理机构。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“投标人”系指是指响应招标、参加投标竞争的法人、其他组织或者自然人。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 “▲” 系指实质性要求条款，“</w:t>
      </w:r>
      <w:r>
        <w:rPr>
          <w:rFonts w:hint="eastAsia" w:ascii="宋体" w:hAnsi="宋体" w:cs="宋体"/>
          <w:kern w:val="0"/>
          <w:sz w:val="24"/>
          <w:highlight w:val="none"/>
        </w:rPr>
        <w:sym w:font="Wingdings" w:char="F0FE"/>
      </w:r>
      <w:r>
        <w:rPr>
          <w:rFonts w:ascii="宋体" w:hAnsi="宋体" w:cs="宋体"/>
          <w:kern w:val="0"/>
          <w:sz w:val="24"/>
          <w:highlight w:val="none"/>
        </w:rPr>
        <w:t>”</w:t>
      </w:r>
      <w:r>
        <w:rPr>
          <w:rFonts w:hint="eastAsia" w:ascii="宋体" w:hAnsi="宋体" w:cs="宋体"/>
          <w:sz w:val="24"/>
          <w:highlight w:val="none"/>
        </w:rPr>
        <w:t>系指适用本项目的要求，“</w:t>
      </w:r>
      <w:r>
        <w:rPr>
          <w:rFonts w:hint="eastAsia" w:ascii="宋体" w:hAnsi="宋体" w:cs="宋体"/>
          <w:kern w:val="0"/>
          <w:sz w:val="24"/>
          <w:highlight w:val="none"/>
        </w:rPr>
        <w:t>□</w:t>
      </w:r>
      <w:r>
        <w:rPr>
          <w:rFonts w:ascii="宋体" w:hAnsi="宋体" w:cs="宋体"/>
          <w:kern w:val="0"/>
          <w:sz w:val="24"/>
          <w:highlight w:val="none"/>
        </w:rPr>
        <w:t>”</w:t>
      </w:r>
      <w:r>
        <w:rPr>
          <w:rFonts w:hint="eastAsia" w:ascii="宋体" w:hAnsi="宋体" w:cs="宋体"/>
          <w:sz w:val="24"/>
          <w:highlight w:val="none"/>
        </w:rPr>
        <w:t>系指不适用本项目的要求。</w:t>
      </w:r>
    </w:p>
    <w:p>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bookmarkStart w:id="40" w:name="OLE_LINK4"/>
      <w:bookmarkStart w:id="41" w:name="OLE_LINK3"/>
      <w:r>
        <w:rPr>
          <w:rFonts w:hint="eastAsia" w:ascii="宋体" w:hAnsi="宋体" w:cs="宋体"/>
          <w:sz w:val="24"/>
          <w:highlight w:val="none"/>
        </w:rPr>
        <w:t>3.2 实施本国产品标准及相关政策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3.2.4 供应商应提供的证明文件：供应商拟享受该政策的，应当对其提供的产品出具《关于符合本国产品标准的声明函》（样式见附件8）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9）。</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3.2.6中标供应商提供的《声明函》或有关证明文件应当随成交结果同时公告。其他未尽事宜按照《国务院办公厅关于在政府采购中实施本国产品标准及相关政策的通知》（国办发〔2025〕34号）执行。</w:t>
      </w:r>
    </w:p>
    <w:bookmarkEnd w:id="40"/>
    <w:bookmarkEnd w:id="41"/>
    <w:p>
      <w:pPr>
        <w:spacing w:line="360" w:lineRule="auto"/>
        <w:ind w:firstLine="240" w:firstLineChars="100"/>
        <w:rPr>
          <w:rFonts w:ascii="宋体" w:hAnsi="宋体" w:cs="宋体"/>
          <w:sz w:val="24"/>
          <w:highlight w:val="none"/>
        </w:rPr>
      </w:pPr>
      <w:r>
        <w:rPr>
          <w:rFonts w:hint="eastAsia" w:ascii="宋体" w:hAnsi="宋体" w:cs="宋体"/>
          <w:sz w:val="24"/>
          <w:highlight w:val="none"/>
        </w:rPr>
        <w:t>3.3 支持绿色发展</w:t>
      </w:r>
    </w:p>
    <w:p>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highlight w:val="none"/>
        </w:rPr>
      </w:pPr>
      <w:r>
        <w:rPr>
          <w:rFonts w:hint="eastAsia" w:ascii="宋体" w:hAnsi="宋体" w:cs="宋体"/>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%的扣除，用扣除后的价格参与评审。接受大中型企业与小微企业组成联合体或者允许大中型企业向一家或者多家小微企业分包的政府采购项目，对于</w:t>
      </w:r>
      <w:bookmarkStart w:id="42" w:name="_Hlk101132181"/>
      <w:r>
        <w:rPr>
          <w:rFonts w:hint="eastAsia" w:ascii="宋体" w:hAnsi="宋体" w:cs="宋体"/>
          <w:sz w:val="24"/>
          <w:highlight w:val="none"/>
        </w:rPr>
        <w:t>联合协议或者分包意向协议约定小微企业的合同份额占到合同总金额30%以上的</w:t>
      </w:r>
      <w:bookmarkEnd w:id="42"/>
      <w:r>
        <w:rPr>
          <w:rFonts w:hint="eastAsia" w:ascii="宋体" w:hAnsi="宋体" w:cs="宋体"/>
          <w:sz w:val="24"/>
          <w:highlight w:val="none"/>
        </w:rPr>
        <w:t>，对联合体或者大中型企业的报价给予</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highlight w:val="none"/>
        </w:rPr>
        <w:t>面向中小企业采购的政府采购项目或者采购包不再执行价格扣除政策。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3.5平等对待内外资企业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3"/>
        <w:rPr>
          <w:bCs/>
          <w:highlight w:val="none"/>
        </w:rPr>
      </w:pPr>
      <w:r>
        <w:rPr>
          <w:rFonts w:hint="eastAsia"/>
          <w:highlight w:val="none"/>
        </w:rPr>
        <w:t>3.6平等对待符合条件的破产重整企业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平等对待符合条件的破产重整企业，切实保障企业公平竞争，平等维护企业的合法利益。</w:t>
      </w:r>
    </w:p>
    <w:p>
      <w:pPr>
        <w:spacing w:line="360" w:lineRule="auto"/>
        <w:ind w:firstLine="241" w:firstLineChars="100"/>
        <w:rPr>
          <w:rFonts w:ascii="宋体" w:hAnsi="宋体" w:cs="宋体"/>
          <w:b/>
          <w:sz w:val="24"/>
          <w:highlight w:val="none"/>
        </w:rPr>
      </w:pPr>
      <w:r>
        <w:rPr>
          <w:rFonts w:hint="eastAsia" w:ascii="宋体" w:hAnsi="宋体" w:cs="宋体"/>
          <w:b/>
          <w:sz w:val="24"/>
          <w:highlight w:val="none"/>
        </w:rPr>
        <w:t>4. 询问、质疑、投诉</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4.1在线询问、质疑、投诉。</w:t>
      </w:r>
    </w:p>
    <w:p>
      <w:pPr>
        <w:spacing w:line="360" w:lineRule="auto"/>
        <w:ind w:firstLine="480" w:firstLineChars="200"/>
        <w:rPr>
          <w:rFonts w:hint="eastAsia" w:ascii="宋体" w:hAnsi="宋体" w:eastAsia="宋体" w:cs="宋体"/>
          <w:sz w:val="24"/>
          <w:highlight w:val="none"/>
          <w:lang w:val="zh-CN"/>
        </w:rPr>
      </w:pPr>
      <w:r>
        <w:rPr>
          <w:rFonts w:hint="eastAsia" w:asciiTheme="minorEastAsia" w:hAnsiTheme="minorEastAsia" w:eastAsiaTheme="minorEastAsia"/>
          <w:sz w:val="24"/>
          <w:highlight w:val="none"/>
          <w:lang w:val="zh-CN"/>
        </w:rPr>
        <w:t>根据《北海市财政局  北海市政府采购中心关于启用政府采购在线询问、质疑、投诉功能的通知》（北财采〔2022〕23号）文件要求，鼓励供应商在线提起询问、质疑、投诉，路径为：供应商可通过“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r>
        <w:rPr>
          <w:rFonts w:hint="eastAsia" w:ascii="宋体" w:hAnsi="宋体" w:eastAsia="宋体" w:cs="宋体"/>
          <w:sz w:val="24"/>
          <w:highlight w:val="none"/>
          <w:lang w:val="zh-CN"/>
        </w:rPr>
        <w:t>。</w:t>
      </w:r>
    </w:p>
    <w:p>
      <w:pPr>
        <w:autoSpaceDE w:val="0"/>
        <w:autoSpaceDN w:val="0"/>
        <w:spacing w:line="360" w:lineRule="auto"/>
        <w:ind w:firstLine="480" w:firstLineChars="200"/>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询问联系部门：北海市政府采购中心采购一科   联系电话：0779-3071101  地址：北海市海城区陈文村北路7号市直机关第三办公区</w:t>
      </w:r>
    </w:p>
    <w:p>
      <w:pPr>
        <w:autoSpaceDE w:val="0"/>
        <w:autoSpaceDN w:val="0"/>
        <w:spacing w:line="360" w:lineRule="auto"/>
        <w:ind w:firstLine="480" w:firstLineChars="200"/>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质疑联系部门：北海市政府采购中心监督科   联系电话：0779-3960826    地址：北海市海城区陈文村北路7号市直机关第三办公区</w:t>
      </w:r>
    </w:p>
    <w:p>
      <w:pPr>
        <w:autoSpaceDE w:val="0"/>
        <w:autoSpaceDN w:val="0"/>
        <w:spacing w:line="360" w:lineRule="auto"/>
        <w:ind w:firstLine="480" w:firstLineChars="200"/>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投诉联系部门：</w:t>
      </w:r>
      <w:bookmarkStart w:id="43" w:name="OLE_LINK2"/>
      <w:r>
        <w:rPr>
          <w:rFonts w:hint="eastAsia" w:ascii="宋体" w:hAnsi="宋体" w:eastAsia="宋体" w:cs="宋体"/>
          <w:kern w:val="0"/>
          <w:sz w:val="24"/>
          <w:szCs w:val="20"/>
          <w:highlight w:val="none"/>
        </w:rPr>
        <w:t>来宾市财政局</w:t>
      </w:r>
      <w:bookmarkEnd w:id="43"/>
      <w:r>
        <w:rPr>
          <w:rFonts w:hint="eastAsia" w:ascii="宋体" w:hAnsi="宋体" w:eastAsia="宋体" w:cs="宋体"/>
          <w:kern w:val="0"/>
          <w:sz w:val="24"/>
          <w:szCs w:val="20"/>
          <w:highlight w:val="none"/>
        </w:rPr>
        <w:t xml:space="preserve">        联系电话：</w:t>
      </w:r>
      <w:r>
        <w:rPr>
          <w:rFonts w:hint="eastAsia" w:ascii="宋体" w:hAnsi="宋体" w:eastAsia="宋体" w:cs="宋体"/>
          <w:sz w:val="24"/>
          <w:highlight w:val="none"/>
        </w:rPr>
        <w:t>0772-6015268</w:t>
      </w:r>
      <w:r>
        <w:rPr>
          <w:rFonts w:hint="eastAsia" w:ascii="宋体" w:hAnsi="宋体" w:eastAsia="宋体" w:cs="宋体"/>
          <w:kern w:val="0"/>
          <w:sz w:val="24"/>
          <w:szCs w:val="20"/>
          <w:highlight w:val="none"/>
        </w:rPr>
        <w:t>‌        地址：‌来宾市兴宾区盘古大道西69号‌</w:t>
      </w:r>
    </w:p>
    <w:p>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4.2供应商询问</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pPr>
        <w:pStyle w:val="33"/>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4"/>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pPr>
        <w:pStyle w:val="33"/>
        <w:spacing w:line="360" w:lineRule="auto"/>
        <w:ind w:left="479" w:leftChars="228"/>
        <w:rPr>
          <w:rFonts w:hAnsi="宋体" w:cs="宋体"/>
          <w:sz w:val="24"/>
          <w:highlight w:val="none"/>
        </w:rPr>
      </w:pPr>
      <w:r>
        <w:rPr>
          <w:rFonts w:hint="eastAsia" w:hAnsi="宋体" w:cs="宋体"/>
          <w:sz w:val="24"/>
          <w:highlight w:val="none"/>
        </w:rPr>
        <w:t>4.3.2.2对采购过程提出质疑的，质疑期限为各采购程序环节结束之日起计算。</w:t>
      </w:r>
    </w:p>
    <w:p>
      <w:pPr>
        <w:pStyle w:val="33"/>
        <w:spacing w:line="360" w:lineRule="auto"/>
        <w:ind w:left="479" w:leftChars="228"/>
        <w:rPr>
          <w:rFonts w:hAnsi="宋体" w:cs="宋体"/>
          <w:sz w:val="24"/>
          <w:highlight w:val="none"/>
        </w:rPr>
      </w:pPr>
      <w:r>
        <w:rPr>
          <w:rFonts w:hint="eastAsia" w:hAnsi="宋体" w:cs="宋体"/>
          <w:sz w:val="24"/>
          <w:highlight w:val="none"/>
        </w:rPr>
        <w:t>4.3.2.3对采购结果提出质疑的，质疑期限自采购结果公告期限届满之日起计算。</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4.3.3.1供应商的姓名或者名称、地址、邮编、联系人及联系电话；</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4.3.3.2质疑项目的名称、编号；</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4.3.3.3具体、明确的质疑事项和与质疑事项相关的请求；</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4.3.3.4事实依据；</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4.3.3.5必要的法律依据；</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4.3.3.6提出质疑的日期。</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质疑函范本及制作说明详见附件2。</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highlight w:val="none"/>
        </w:rPr>
      </w:pPr>
      <w:r>
        <w:rPr>
          <w:rFonts w:hint="eastAsia"/>
          <w:highlight w:val="none"/>
          <w:lang w:val="zh-CN"/>
        </w:rPr>
        <w:t>4.3</w:t>
      </w:r>
      <w:r>
        <w:rPr>
          <w:rFonts w:hint="eastAsia"/>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4.3.6根据采购人与采购代理机构签订的采购委托协议，质疑答复责任主体如下：</w:t>
      </w:r>
      <w:r>
        <w:rPr>
          <w:rFonts w:asciiTheme="minorEastAsia" w:hAnsiTheme="minorEastAsia" w:eastAsiaTheme="minorEastAsia"/>
          <w:sz w:val="24"/>
          <w:highlight w:val="none"/>
        </w:rPr>
        <w:t xml:space="preserve"> </w:t>
      </w:r>
    </w:p>
    <w:p>
      <w:pPr>
        <w:widowControl/>
        <w:adjustRightInd/>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bl>
    <w:p>
      <w:pPr>
        <w:pStyle w:val="886"/>
        <w:shd w:val="clear" w:color="auto" w:fill="FFFFFF"/>
        <w:snapToGrid w:val="0"/>
        <w:spacing w:before="0" w:beforeAutospacing="0" w:after="0" w:afterAutospacing="0" w:line="360" w:lineRule="auto"/>
        <w:ind w:firstLine="480" w:firstLineChars="200"/>
        <w:contextualSpacing/>
        <w:rPr>
          <w:highlight w:val="none"/>
          <w:lang w:val="zh-CN"/>
        </w:rPr>
      </w:pPr>
      <w:r>
        <w:rPr>
          <w:rFonts w:hint="eastAsia"/>
          <w:highlight w:val="none"/>
          <w:lang w:val="zh-CN"/>
        </w:rPr>
        <w:t>注：</w:t>
      </w:r>
      <w:r>
        <w:rPr>
          <w:rFonts w:hint="eastAsia" w:asciiTheme="minorEastAsia" w:hAnsiTheme="minorEastAsia" w:eastAsiaTheme="minorEastAsia"/>
          <w:highlight w:val="none"/>
        </w:rPr>
        <w:t>采购人或代理机构或应当协助质疑答复责任主体及时答复</w:t>
      </w:r>
      <w:r>
        <w:rPr>
          <w:rFonts w:hint="eastAsia"/>
          <w:highlight w:val="none"/>
        </w:rPr>
        <w:t>供应商的书面质疑。</w:t>
      </w:r>
    </w:p>
    <w:p>
      <w:pPr>
        <w:pStyle w:val="886"/>
        <w:shd w:val="clear" w:color="auto" w:fill="FFFFFF"/>
        <w:snapToGrid w:val="0"/>
        <w:spacing w:before="0" w:beforeAutospacing="0" w:after="0" w:afterAutospacing="0" w:line="360" w:lineRule="auto"/>
        <w:ind w:firstLine="480" w:firstLineChars="200"/>
        <w:contextualSpacing/>
        <w:rPr>
          <w:highlight w:val="none"/>
        </w:rPr>
      </w:pPr>
      <w:r>
        <w:rPr>
          <w:rFonts w:hint="eastAsia"/>
          <w:highlight w:val="none"/>
          <w:lang w:val="zh-CN"/>
        </w:rPr>
        <w:t>4.3</w:t>
      </w:r>
      <w:r>
        <w:rPr>
          <w:rFonts w:hint="eastAsia"/>
          <w:highlight w:val="none"/>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4.4.4以联合体形式参加政府采购活动的，其投诉应当由组成联合体的所有供应商共同提出。</w:t>
      </w:r>
    </w:p>
    <w:p>
      <w:pPr>
        <w:pStyle w:val="886"/>
        <w:shd w:val="clear" w:color="auto" w:fill="FFFFFF"/>
        <w:snapToGrid w:val="0"/>
        <w:spacing w:after="240" w:afterAutospacing="0" w:line="360" w:lineRule="auto"/>
        <w:ind w:firstLine="400"/>
        <w:contextualSpacing/>
        <w:rPr>
          <w:highlight w:val="none"/>
        </w:rPr>
      </w:pPr>
    </w:p>
    <w:p>
      <w:pPr>
        <w:pStyle w:val="129"/>
        <w:snapToGrid w:val="0"/>
        <w:spacing w:before="0"/>
        <w:ind w:firstLine="360"/>
        <w:rPr>
          <w:rFonts w:ascii="宋体" w:hAnsi="宋体" w:cs="宋体"/>
          <w:sz w:val="18"/>
          <w:szCs w:val="18"/>
          <w:highlight w:val="none"/>
        </w:rPr>
      </w:pPr>
    </w:p>
    <w:p>
      <w:pPr>
        <w:adjustRightInd/>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二、招标文件的构成、澄清、修改</w:t>
      </w:r>
    </w:p>
    <w:p>
      <w:pPr>
        <w:pStyle w:val="33"/>
        <w:spacing w:line="360" w:lineRule="auto"/>
        <w:rPr>
          <w:rFonts w:hAnsi="宋体" w:cs="宋体"/>
          <w:b/>
          <w:sz w:val="24"/>
          <w:szCs w:val="24"/>
          <w:highlight w:val="none"/>
        </w:rPr>
      </w:pPr>
      <w:r>
        <w:rPr>
          <w:rFonts w:hint="eastAsia" w:hAnsi="宋体" w:cs="宋体"/>
          <w:b/>
          <w:sz w:val="24"/>
          <w:szCs w:val="24"/>
          <w:highlight w:val="none"/>
        </w:rPr>
        <w:t>5．招标文件的构成</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5.1.1招标公告；</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5.1.2投标人须知；</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5.1.3采购需求；</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5.1.4评标办法；</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5.1.5拟签订的合同文本；</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pPr>
        <w:pStyle w:val="33"/>
        <w:spacing w:line="360" w:lineRule="auto"/>
        <w:rPr>
          <w:rFonts w:hAnsi="宋体" w:cs="宋体"/>
          <w:b/>
          <w:sz w:val="24"/>
          <w:szCs w:val="24"/>
          <w:highlight w:val="none"/>
        </w:rPr>
      </w:pPr>
      <w:r>
        <w:rPr>
          <w:rFonts w:hint="eastAsia" w:hAnsi="宋体" w:cs="宋体"/>
          <w:b/>
          <w:sz w:val="24"/>
          <w:szCs w:val="24"/>
          <w:highlight w:val="none"/>
        </w:rPr>
        <w:t>6. 招标文件的澄清、修改</w:t>
      </w:r>
    </w:p>
    <w:p>
      <w:pPr>
        <w:pStyle w:val="129"/>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6.1已获取招标文件的潜在投标人，若有问题需要澄清，应于投标截止时间前，以书面形式向采购代理机构提出。</w:t>
      </w:r>
    </w:p>
    <w:p>
      <w:pPr>
        <w:pStyle w:val="129"/>
        <w:snapToGrid w:val="0"/>
        <w:spacing w:before="0"/>
        <w:ind w:firstLine="480"/>
        <w:rPr>
          <w:rFonts w:ascii="宋体" w:hAnsi="宋体" w:cs="宋体"/>
          <w:highlight w:val="none"/>
        </w:rPr>
      </w:pPr>
      <w:r>
        <w:rPr>
          <w:rFonts w:hint="eastAsia" w:ascii="宋体" w:hAnsi="宋体" w:cs="宋体"/>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5"/>
        <w:rPr>
          <w:rFonts w:hAnsi="宋体" w:cs="宋体"/>
          <w:sz w:val="18"/>
          <w:szCs w:val="18"/>
          <w:highlight w:val="none"/>
          <w:lang w:val="en-US"/>
        </w:rPr>
      </w:pPr>
      <w:r>
        <w:rPr>
          <w:rFonts w:hint="eastAsia" w:hAnsi="宋体" w:cs="宋体"/>
          <w:szCs w:val="24"/>
          <w:highlight w:val="none"/>
          <w:lang w:val="en-US"/>
        </w:rPr>
        <w:t xml:space="preserve">    </w:t>
      </w:r>
    </w:p>
    <w:p>
      <w:pPr>
        <w:adjustRightInd/>
        <w:spacing w:line="360" w:lineRule="auto"/>
        <w:jc w:val="center"/>
        <w:outlineLvl w:val="1"/>
        <w:rPr>
          <w:rFonts w:ascii="宋体" w:hAnsi="宋体" w:cs="宋体"/>
          <w:b/>
          <w:sz w:val="30"/>
          <w:szCs w:val="20"/>
          <w:highlight w:val="none"/>
        </w:rPr>
      </w:pPr>
      <w:r>
        <w:rPr>
          <w:rFonts w:hint="eastAsia" w:ascii="宋体" w:hAnsi="宋体" w:cs="宋体"/>
          <w:b/>
          <w:sz w:val="30"/>
          <w:szCs w:val="20"/>
          <w:highlight w:val="none"/>
        </w:rPr>
        <w:t>三、投标</w:t>
      </w:r>
    </w:p>
    <w:p>
      <w:pPr>
        <w:pStyle w:val="33"/>
        <w:spacing w:line="360" w:lineRule="auto"/>
        <w:rPr>
          <w:rFonts w:hAnsi="宋体" w:cs="宋体"/>
          <w:b/>
          <w:sz w:val="24"/>
          <w:szCs w:val="24"/>
          <w:highlight w:val="none"/>
        </w:rPr>
      </w:pPr>
      <w:r>
        <w:rPr>
          <w:rFonts w:hint="eastAsia" w:hAnsi="宋体" w:cs="宋体"/>
          <w:b/>
          <w:sz w:val="24"/>
          <w:szCs w:val="24"/>
          <w:highlight w:val="none"/>
        </w:rPr>
        <w:t>7. 招标文件的获取</w:t>
      </w:r>
    </w:p>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pPr>
        <w:pStyle w:val="33"/>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szCs w:val="24"/>
          <w:highlight w:val="none"/>
        </w:rPr>
      </w:pPr>
      <w:r>
        <w:rPr>
          <w:rFonts w:hint="eastAsia" w:hAnsi="宋体" w:cs="宋体"/>
          <w:b/>
          <w:kern w:val="28"/>
          <w:sz w:val="24"/>
          <w:szCs w:val="24"/>
          <w:highlight w:val="none"/>
        </w:rPr>
        <w:t>9.投标保证金</w:t>
      </w:r>
    </w:p>
    <w:p>
      <w:pPr>
        <w:pStyle w:val="4"/>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pPr>
        <w:pStyle w:val="33"/>
        <w:spacing w:line="360" w:lineRule="auto"/>
        <w:rPr>
          <w:rFonts w:hAnsi="宋体" w:cs="宋体"/>
          <w:b/>
          <w:sz w:val="24"/>
          <w:szCs w:val="24"/>
          <w:highlight w:val="none"/>
        </w:rPr>
      </w:pPr>
      <w:r>
        <w:rPr>
          <w:rFonts w:hint="eastAsia" w:hAnsi="宋体" w:cs="宋体"/>
          <w:b/>
          <w:sz w:val="24"/>
          <w:szCs w:val="24"/>
          <w:highlight w:val="none"/>
        </w:rPr>
        <w:t>10. 投标文件的语言</w:t>
      </w:r>
    </w:p>
    <w:p>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pPr>
        <w:pStyle w:val="33"/>
        <w:spacing w:line="360" w:lineRule="auto"/>
        <w:rPr>
          <w:rFonts w:hAnsi="宋体" w:cs="宋体"/>
          <w:b/>
          <w:sz w:val="24"/>
          <w:szCs w:val="24"/>
          <w:highlight w:val="none"/>
        </w:rPr>
      </w:pPr>
      <w:r>
        <w:rPr>
          <w:rFonts w:hint="eastAsia" w:hAnsi="宋体" w:cs="宋体"/>
          <w:b/>
          <w:sz w:val="24"/>
          <w:szCs w:val="24"/>
          <w:highlight w:val="none"/>
        </w:rPr>
        <w:t>11. 投标文件的组成（标注“▲”为实质性要求，供应商必须提供，否则投标无效，具体标注由采购人根据项目需要确定。相关格式见招标文件第六部分）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11.1.1符合参加政府采购活动应当具备的一般条件的承诺函；</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1.1.2</w:t>
      </w:r>
      <w:r>
        <w:rPr>
          <w:rFonts w:hint="eastAsia" w:ascii="宋体" w:hAnsi="宋体" w:cs="宋体"/>
          <w:snapToGrid w:val="0"/>
          <w:kern w:val="28"/>
          <w:sz w:val="24"/>
          <w:szCs w:val="20"/>
          <w:highlight w:val="none"/>
        </w:rPr>
        <w:t>联合协议（如果有)；</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2" w:firstLineChars="200"/>
        <w:rPr>
          <w:rFonts w:ascii="宋体" w:hAnsi="宋体" w:cs="宋体"/>
          <w:b/>
          <w:sz w:val="24"/>
          <w:highlight w:val="none"/>
          <w:lang w:val="zh-CN"/>
        </w:rPr>
      </w:pPr>
      <w:r>
        <w:rPr>
          <w:rFonts w:hint="eastAsia" w:ascii="宋体" w:hAnsi="宋体" w:cs="宋体"/>
          <w:b/>
          <w:sz w:val="24"/>
          <w:highlight w:val="none"/>
          <w:lang w:val="zh-CN"/>
        </w:rPr>
        <w:t>11.</w:t>
      </w:r>
      <w:r>
        <w:rPr>
          <w:rFonts w:hint="eastAsia" w:ascii="宋体" w:hAnsi="宋体" w:cs="宋体"/>
          <w:b/>
          <w:sz w:val="24"/>
          <w:highlight w:val="none"/>
        </w:rPr>
        <w:t>2</w:t>
      </w:r>
      <w:r>
        <w:rPr>
          <w:rFonts w:hint="eastAsia" w:ascii="宋体" w:hAnsi="宋体" w:cs="宋体"/>
          <w:b/>
          <w:sz w:val="24"/>
          <w:highlight w:val="none"/>
          <w:lang w:val="zh-CN"/>
        </w:rPr>
        <w:t xml:space="preserve">  </w:t>
      </w:r>
      <w:r>
        <w:rPr>
          <w:rFonts w:hint="eastAsia" w:ascii="宋体" w:hAnsi="宋体" w:cs="宋体"/>
          <w:b/>
          <w:sz w:val="24"/>
          <w:highlight w:val="none"/>
        </w:rPr>
        <w:t>商务技术</w:t>
      </w:r>
      <w:r>
        <w:rPr>
          <w:rFonts w:hint="eastAsia" w:ascii="宋体" w:hAnsi="宋体" w:cs="宋体"/>
          <w:b/>
          <w:sz w:val="24"/>
          <w:highlight w:val="none"/>
          <w:lang w:val="zh-CN"/>
        </w:rPr>
        <w:t>文件：</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11.2.1投标函；</w:t>
      </w:r>
      <w:r>
        <w:rPr>
          <w:rFonts w:hint="eastAsia" w:ascii="宋体" w:hAnsi="宋体" w:cs="宋体"/>
          <w:sz w:val="24"/>
          <w:highlight w:val="none"/>
          <w:lang w:val="zh-CN"/>
        </w:rPr>
        <w:t xml:space="preserve"> </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11.2.2授权委托书或法定代表人（单位负责人、自然人本人）身份证明；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11.2.</w:t>
      </w:r>
      <w:r>
        <w:rPr>
          <w:rFonts w:ascii="宋体" w:hAnsi="宋体" w:cs="宋体"/>
          <w:sz w:val="24"/>
          <w:highlight w:val="none"/>
        </w:rPr>
        <w:t>7</w:t>
      </w:r>
      <w:r>
        <w:rPr>
          <w:rFonts w:hint="eastAsia" w:ascii="宋体" w:hAnsi="宋体" w:cs="宋体"/>
          <w:sz w:val="24"/>
          <w:highlight w:val="none"/>
        </w:rPr>
        <w:t>商务技术偏离表；</w:t>
      </w:r>
    </w:p>
    <w:p>
      <w:pPr>
        <w:snapToGrid w:val="0"/>
        <w:spacing w:line="360" w:lineRule="auto"/>
        <w:ind w:firstLine="482" w:firstLineChars="200"/>
        <w:rPr>
          <w:rFonts w:ascii="宋体" w:hAnsi="宋体" w:cs="宋体"/>
          <w:sz w:val="24"/>
          <w:highlight w:val="none"/>
          <w:lang w:val="zh-CN"/>
        </w:rPr>
      </w:pPr>
      <w:r>
        <w:rPr>
          <w:rFonts w:hint="eastAsia" w:hAnsi="宋体" w:cs="宋体"/>
          <w:b/>
          <w:sz w:val="24"/>
          <w:highlight w:val="none"/>
        </w:rPr>
        <w:t>▲</w:t>
      </w: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pPr>
        <w:pStyle w:val="83"/>
        <w:rPr>
          <w:highlight w:val="none"/>
        </w:rPr>
      </w:pPr>
      <w:r>
        <w:rPr>
          <w:rFonts w:hint="eastAsia" w:cs="宋体"/>
          <w:b/>
          <w:szCs w:val="24"/>
          <w:highlight w:val="none"/>
        </w:rPr>
        <w:t>▲</w:t>
      </w:r>
      <w:r>
        <w:rPr>
          <w:rFonts w:hint="eastAsia"/>
          <w:highlight w:val="none"/>
        </w:rPr>
        <w:t>11.2.9承诺函；</w:t>
      </w:r>
    </w:p>
    <w:p>
      <w:pPr>
        <w:pStyle w:val="83"/>
        <w:rPr>
          <w:highlight w:val="none"/>
        </w:rPr>
      </w:pPr>
      <w:r>
        <w:rPr>
          <w:rFonts w:hint="eastAsia"/>
          <w:highlight w:val="none"/>
        </w:rPr>
        <w:t>11.2.10技术解决方案</w:t>
      </w:r>
      <w:r>
        <w:rPr>
          <w:rFonts w:hint="eastAsia" w:cs="宋体"/>
          <w:snapToGrid w:val="0"/>
          <w:kern w:val="28"/>
          <w:highlight w:val="none"/>
        </w:rPr>
        <w:t>（如果有)</w:t>
      </w:r>
      <w:r>
        <w:rPr>
          <w:rFonts w:hint="eastAsia"/>
          <w:highlight w:val="none"/>
        </w:rPr>
        <w:t>。可以是针对本项目的完整技术解决方案和实施方案；详细阐述项目方案的实现思路及关键技术；符合本项目对当前和未来发展的要求；以及对功能设计和实施计划的建议；</w:t>
      </w:r>
    </w:p>
    <w:p>
      <w:pPr>
        <w:pStyle w:val="83"/>
        <w:rPr>
          <w:highlight w:val="none"/>
        </w:rPr>
      </w:pPr>
      <w:r>
        <w:rPr>
          <w:rFonts w:hint="eastAsia"/>
          <w:highlight w:val="none"/>
        </w:rPr>
        <w:t>11.2.11组织实施方案</w:t>
      </w:r>
      <w:r>
        <w:rPr>
          <w:rFonts w:hint="eastAsia" w:cs="宋体"/>
          <w:snapToGrid w:val="0"/>
          <w:kern w:val="28"/>
          <w:highlight w:val="none"/>
        </w:rPr>
        <w:t>（如果有)</w:t>
      </w:r>
      <w:r>
        <w:rPr>
          <w:rFonts w:hint="eastAsia"/>
          <w:highlight w:val="none"/>
        </w:rPr>
        <w:t>。可以是本项目详细工作实施组织方案，包括(但不限于)以下内容：组织机构、工作时间进度表、工作程序和步骤、管理和协调方法、关键步骤的思路和要点；</w:t>
      </w:r>
    </w:p>
    <w:p>
      <w:pPr>
        <w:pStyle w:val="83"/>
        <w:rPr>
          <w:highlight w:val="none"/>
        </w:rPr>
      </w:pPr>
      <w:r>
        <w:rPr>
          <w:rFonts w:hint="eastAsia"/>
          <w:highlight w:val="none"/>
        </w:rPr>
        <w:t>11.2.12运维服务方案</w:t>
      </w:r>
      <w:r>
        <w:rPr>
          <w:rFonts w:hint="eastAsia" w:cs="宋体"/>
          <w:snapToGrid w:val="0"/>
          <w:kern w:val="28"/>
          <w:highlight w:val="none"/>
        </w:rPr>
        <w:t>（如果有)</w:t>
      </w:r>
      <w:r>
        <w:rPr>
          <w:rFonts w:hint="eastAsia"/>
          <w:highlight w:val="none"/>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b/>
          <w:sz w:val="24"/>
          <w:highlight w:val="none"/>
          <w:u w:val="single"/>
          <w:lang w:val="zh-CN"/>
        </w:rPr>
      </w:pPr>
      <w:r>
        <w:rPr>
          <w:rFonts w:hint="eastAsia" w:ascii="宋体" w:hAnsi="宋体" w:cs="宋体"/>
          <w:b/>
          <w:kern w:val="0"/>
          <w:sz w:val="24"/>
          <w:highlight w:val="none"/>
          <w:lang w:val="zh-CN"/>
        </w:rPr>
        <w:t>11.</w:t>
      </w:r>
      <w:r>
        <w:rPr>
          <w:rFonts w:hint="eastAsia" w:ascii="宋体" w:hAnsi="宋体" w:cs="宋体"/>
          <w:b/>
          <w:kern w:val="0"/>
          <w:sz w:val="24"/>
          <w:highlight w:val="none"/>
        </w:rPr>
        <w:t>3</w:t>
      </w:r>
      <w:r>
        <w:rPr>
          <w:rFonts w:hint="eastAsia" w:ascii="宋体" w:hAnsi="宋体" w:cs="宋体"/>
          <w:b/>
          <w:sz w:val="24"/>
          <w:highlight w:val="none"/>
        </w:rPr>
        <w:t xml:space="preserve">报价文件： </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11.3.1开标一览表（报价表）；</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11.3.2中小企业声明函。</w:t>
      </w:r>
    </w:p>
    <w:p>
      <w:pPr>
        <w:snapToGrid w:val="0"/>
        <w:spacing w:line="360" w:lineRule="auto"/>
        <w:ind w:firstLine="480" w:firstLineChars="200"/>
        <w:rPr>
          <w:rFonts w:ascii="宋体" w:hAnsi="宋体" w:cs="宋体"/>
          <w:sz w:val="24"/>
          <w:highlight w:val="none"/>
        </w:rPr>
      </w:pPr>
      <w:bookmarkStart w:id="44" w:name="OLE_LINK6"/>
      <w:r>
        <w:rPr>
          <w:rFonts w:hint="eastAsia" w:ascii="宋体" w:hAnsi="宋体" w:cs="宋体"/>
          <w:sz w:val="24"/>
          <w:highlight w:val="none"/>
        </w:rPr>
        <w:t>11.3.3关于符合本国产品标准的声明函</w:t>
      </w:r>
      <w:r>
        <w:rPr>
          <w:rFonts w:hint="eastAsia" w:ascii="宋体" w:hAnsi="宋体" w:cs="宋体"/>
          <w:snapToGrid w:val="0"/>
          <w:kern w:val="28"/>
          <w:sz w:val="24"/>
          <w:szCs w:val="20"/>
          <w:highlight w:val="none"/>
        </w:rPr>
        <w:t>（如果有)</w:t>
      </w:r>
      <w:r>
        <w:rPr>
          <w:rFonts w:hint="eastAsia" w:ascii="宋体" w:hAnsi="宋体" w:cs="宋体"/>
          <w:sz w:val="24"/>
          <w:highlight w:val="none"/>
        </w:rPr>
        <w:t xml:space="preserve"> ；</w:t>
      </w:r>
    </w:p>
    <w:p>
      <w:pPr>
        <w:snapToGrid w:val="0"/>
        <w:spacing w:line="360" w:lineRule="auto"/>
        <w:ind w:firstLine="480" w:firstLineChars="200"/>
        <w:rPr>
          <w:highlight w:val="none"/>
        </w:rPr>
      </w:pPr>
      <w:r>
        <w:rPr>
          <w:rFonts w:hint="eastAsia" w:ascii="宋体" w:hAnsi="宋体" w:cs="宋体"/>
          <w:sz w:val="24"/>
          <w:highlight w:val="none"/>
        </w:rPr>
        <w:t>11.3.4关于符合本国产品标准的产品成本之和占所提供的全部产品成本之和的比例达到80%以上的声明函</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bookmarkEnd w:id="44"/>
    <w:p>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pPr>
        <w:spacing w:line="360" w:lineRule="auto"/>
        <w:ind w:firstLine="482" w:firstLineChars="200"/>
        <w:rPr>
          <w:rFonts w:ascii="宋体" w:hAnsi="宋体" w:cs="宋体"/>
          <w:b/>
          <w:sz w:val="24"/>
          <w:szCs w:val="21"/>
          <w:highlight w:val="none"/>
        </w:rPr>
      </w:pPr>
      <w:r>
        <w:rPr>
          <w:rFonts w:hint="eastAsia" w:ascii="宋体" w:hAnsi="宋体" w:cs="宋体"/>
          <w:b/>
          <w:sz w:val="24"/>
          <w:highlight w:val="none"/>
        </w:rPr>
        <w:t>投标人提供虚假材料投标的，投标无效。</w:t>
      </w:r>
    </w:p>
    <w:p>
      <w:pPr>
        <w:pStyle w:val="129"/>
        <w:snapToGrid w:val="0"/>
        <w:spacing w:before="0"/>
        <w:ind w:firstLine="0" w:firstLineChars="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12.3使用“广西政府采购云平台电子交易客户端”需要提前申领CA数字证书，申领流程请自行前往“</w:t>
      </w:r>
      <w:r>
        <w:rPr>
          <w:rFonts w:hint="eastAsia" w:ascii="宋体" w:hAnsi="宋体" w:cs="宋体"/>
          <w:sz w:val="24"/>
          <w:highlight w:val="none"/>
        </w:rPr>
        <w:t>广西政府采购网（http://zfcg.gxzf.gov.cn/）—办事服务—下载专区</w:t>
      </w:r>
      <w:r>
        <w:rPr>
          <w:rFonts w:hint="eastAsia" w:ascii="宋体" w:hAnsi="宋体" w:cs="宋体"/>
          <w:kern w:val="0"/>
          <w:sz w:val="24"/>
          <w:highlight w:val="none"/>
          <w:lang w:val="zh-CN"/>
        </w:rPr>
        <w:t>”进行查阅。</w:t>
      </w:r>
    </w:p>
    <w:p>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pPr>
        <w:pStyle w:val="129"/>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pPr>
        <w:pStyle w:val="129"/>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29"/>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13.3招标文件对投标文件签署、盖章的要求适用于电子签名、CA签章以及招标文件明确允许的其他方式。</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pPr>
        <w:pStyle w:val="129"/>
        <w:spacing w:before="0"/>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9"/>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9"/>
        <w:spacing w:before="0"/>
        <w:ind w:firstLine="480"/>
        <w:rPr>
          <w:rFonts w:ascii="宋体" w:hAnsi="宋体" w:cs="宋体"/>
          <w:szCs w:val="24"/>
          <w:highlight w:val="none"/>
        </w:rPr>
      </w:pPr>
      <w:r>
        <w:rPr>
          <w:rFonts w:hint="eastAsia" w:ascii="宋体" w:hAnsi="宋体" w:cs="宋体"/>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sz w:val="24"/>
          <w:szCs w:val="24"/>
          <w:highlight w:val="none"/>
        </w:rPr>
      </w:pPr>
      <w:r>
        <w:rPr>
          <w:rFonts w:hint="eastAsia" w:hAnsi="宋体" w:cs="宋体"/>
          <w:b/>
          <w:sz w:val="24"/>
          <w:szCs w:val="24"/>
          <w:highlight w:val="none"/>
        </w:rPr>
        <w:t>15.备份投标文件</w:t>
      </w:r>
    </w:p>
    <w:p>
      <w:pPr>
        <w:pStyle w:val="33"/>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但采购人、采购代理机构不强制或变相强制投标人提交备份投标文件。</w:t>
      </w:r>
    </w:p>
    <w:p>
      <w:pPr>
        <w:pStyle w:val="33"/>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w:t>
      </w:r>
      <w:r>
        <w:rPr>
          <w:rFonts w:hint="eastAsia" w:hAnsi="宋体" w:cs="宋体"/>
          <w:sz w:val="24"/>
          <w:highlight w:val="none"/>
        </w:rPr>
        <w:t>广西政府采购云平台</w:t>
      </w:r>
      <w:r>
        <w:rPr>
          <w:rFonts w:hint="eastAsia" w:hAnsi="宋体" w:cs="宋体"/>
          <w:sz w:val="24"/>
          <w:szCs w:val="24"/>
          <w:highlight w:val="none"/>
        </w:rPr>
        <w:t>投标客户端”制作生成，并储存在</w:t>
      </w:r>
      <w:r>
        <w:rPr>
          <w:rFonts w:hint="eastAsia" w:hAnsi="宋体" w:cs="宋体"/>
          <w:sz w:val="24"/>
          <w:highlight w:val="none"/>
        </w:rPr>
        <w:t>DVD光盘等存储介质</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pPr>
        <w:pStyle w:val="3"/>
        <w:spacing w:line="360" w:lineRule="auto"/>
        <w:ind w:firstLine="360" w:firstLineChars="150"/>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17.1投标有效期为从提交投标文件的截止之日起60天。▲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pPr>
        <w:pStyle w:val="129"/>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pPr>
        <w:pStyle w:val="129"/>
        <w:spacing w:before="0"/>
        <w:ind w:firstLine="480"/>
        <w:rPr>
          <w:rFonts w:ascii="宋体" w:hAnsi="宋体" w:cs="宋体"/>
          <w:highlight w:val="none"/>
        </w:rPr>
      </w:pPr>
      <w:r>
        <w:rPr>
          <w:rFonts w:hint="eastAsia" w:ascii="宋体" w:hAnsi="宋体" w:cs="宋体"/>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9"/>
        <w:spacing w:before="0"/>
        <w:ind w:firstLine="643"/>
        <w:rPr>
          <w:rFonts w:ascii="宋体" w:hAnsi="宋体" w:cs="宋体"/>
          <w:b/>
          <w:sz w:val="32"/>
          <w:highlight w:val="none"/>
        </w:rPr>
      </w:pPr>
    </w:p>
    <w:p>
      <w:pPr>
        <w:pStyle w:val="129"/>
        <w:spacing w:before="0"/>
        <w:ind w:firstLine="0" w:firstLineChars="0"/>
        <w:jc w:val="center"/>
        <w:outlineLvl w:val="1"/>
        <w:rPr>
          <w:rFonts w:ascii="宋体" w:hAnsi="宋体" w:cs="宋体"/>
          <w:b/>
          <w:sz w:val="32"/>
          <w:highlight w:val="none"/>
        </w:rPr>
      </w:pPr>
      <w:r>
        <w:rPr>
          <w:rFonts w:hint="eastAsia" w:ascii="宋体" w:hAnsi="宋体" w:cs="宋体"/>
          <w:b/>
          <w:sz w:val="32"/>
          <w:highlight w:val="none"/>
        </w:rPr>
        <w:t>四、开标、资格审查与信用信息查询</w:t>
      </w:r>
    </w:p>
    <w:p>
      <w:pPr>
        <w:pStyle w:val="554"/>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w:t>
      </w:r>
      <w:bookmarkStart w:id="45" w:name="OLE_LINK5"/>
      <w:r>
        <w:rPr>
          <w:rFonts w:hint="eastAsia" w:ascii="宋体" w:hAnsi="宋体" w:cs="宋体"/>
          <w:b/>
          <w:sz w:val="24"/>
          <w:szCs w:val="24"/>
          <w:highlight w:val="none"/>
        </w:rPr>
        <w:t>.</w:t>
      </w:r>
      <w:bookmarkEnd w:id="45"/>
      <w:r>
        <w:rPr>
          <w:rFonts w:hint="eastAsia" w:ascii="宋体" w:hAnsi="宋体" w:cs="宋体"/>
          <w:b/>
          <w:sz w:val="24"/>
          <w:szCs w:val="24"/>
          <w:highlight w:val="none"/>
        </w:rPr>
        <w:t>开标</w:t>
      </w:r>
      <w:r>
        <w:rPr>
          <w:rFonts w:hint="eastAsia" w:ascii="宋体" w:hAnsi="宋体" w:cs="宋体"/>
          <w:sz w:val="24"/>
          <w:highlight w:val="none"/>
        </w:rPr>
        <w:t xml:space="preserve"> </w:t>
      </w:r>
    </w:p>
    <w:p>
      <w:pPr>
        <w:pStyle w:val="554"/>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sz w:val="24"/>
          <w:szCs w:val="20"/>
          <w:highlight w:val="none"/>
        </w:rPr>
      </w:pPr>
      <w:r>
        <w:rPr>
          <w:rFonts w:hint="eastAsia" w:ascii="宋体" w:hAnsi="宋体" w:cs="宋体"/>
          <w:b/>
          <w:sz w:val="24"/>
          <w:szCs w:val="20"/>
          <w:highlight w:val="none"/>
        </w:rPr>
        <w:t>　19</w:t>
      </w:r>
      <w:r>
        <w:rPr>
          <w:rFonts w:hint="eastAsia" w:ascii="宋体" w:hAnsi="宋体" w:cs="宋体"/>
          <w:b/>
          <w:sz w:val="24"/>
          <w:highlight w:val="none"/>
        </w:rPr>
        <w:t>.</w:t>
      </w:r>
      <w:r>
        <w:rPr>
          <w:rFonts w:hint="eastAsia" w:ascii="宋体" w:hAnsi="宋体" w:cs="宋体"/>
          <w:b/>
          <w:sz w:val="24"/>
          <w:szCs w:val="20"/>
          <w:highlight w:val="none"/>
        </w:rPr>
        <w:t>资格审查</w:t>
      </w:r>
    </w:p>
    <w:p>
      <w:pPr>
        <w:snapToGrid w:val="0"/>
        <w:spacing w:line="360" w:lineRule="auto"/>
        <w:ind w:firstLine="480" w:firstLineChars="200"/>
        <w:rPr>
          <w:rFonts w:ascii="宋体" w:hAnsi="宋体" w:cs="宋体"/>
          <w:sz w:val="24"/>
          <w:highlight w:val="none"/>
        </w:rPr>
      </w:pPr>
      <w:r>
        <w:rPr>
          <w:rFonts w:hint="eastAsia" w:ascii="宋体" w:hAnsi="宋体" w:cs="宋体"/>
          <w:kern w:val="0"/>
          <w:sz w:val="24"/>
          <w:highlight w:val="none"/>
        </w:rPr>
        <w:t>19.1</w:t>
      </w:r>
      <w:r>
        <w:rPr>
          <w:rFonts w:hint="eastAsia" w:ascii="宋体" w:hAnsi="宋体" w:cs="宋体"/>
          <w:sz w:val="24"/>
          <w:highlight w:val="none"/>
        </w:rPr>
        <w:t>采购人或采购代理机构依据法律法规和招标文件的规定，对投标人的资格进行审查。</w:t>
      </w:r>
    </w:p>
    <w:p>
      <w:pPr>
        <w:pStyle w:val="129"/>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pPr>
        <w:pStyle w:val="129"/>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3对未通过资格审查的投标人，采购人或采购代理机构告知其未通过的原因。</w:t>
      </w:r>
    </w:p>
    <w:p>
      <w:pPr>
        <w:pStyle w:val="129"/>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20.信用信息查询</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pPr>
        <w:pStyle w:val="129"/>
        <w:spacing w:before="0"/>
        <w:ind w:firstLine="0" w:firstLineChars="0"/>
        <w:rPr>
          <w:rFonts w:ascii="宋体" w:hAnsi="宋体" w:cs="宋体"/>
          <w:kern w:val="0"/>
          <w:szCs w:val="24"/>
          <w:highlight w:val="none"/>
        </w:rPr>
      </w:pPr>
    </w:p>
    <w:p>
      <w:pPr>
        <w:snapToGrid w:val="0"/>
        <w:spacing w:line="360" w:lineRule="auto"/>
        <w:jc w:val="center"/>
        <w:outlineLvl w:val="1"/>
        <w:rPr>
          <w:rFonts w:ascii="宋体" w:hAnsi="宋体" w:cs="宋体"/>
          <w:b/>
          <w:sz w:val="36"/>
          <w:szCs w:val="36"/>
          <w:highlight w:val="none"/>
        </w:rPr>
      </w:pPr>
      <w:r>
        <w:rPr>
          <w:rFonts w:hint="eastAsia" w:ascii="宋体" w:hAnsi="宋体" w:cs="宋体"/>
          <w:b/>
          <w:sz w:val="36"/>
          <w:szCs w:val="36"/>
          <w:highlight w:val="none"/>
        </w:rPr>
        <w:t>五、评标</w:t>
      </w:r>
    </w:p>
    <w:p>
      <w:pPr>
        <w:spacing w:line="360" w:lineRule="auto"/>
        <w:rPr>
          <w:rFonts w:ascii="宋体" w:hAnsi="宋体" w:cs="宋体"/>
          <w:b/>
          <w:sz w:val="24"/>
          <w:highlight w:val="none"/>
        </w:rPr>
      </w:pPr>
      <w:bookmarkStart w:id="46" w:name="_Toc91899903"/>
      <w:r>
        <w:rPr>
          <w:rFonts w:hint="eastAsia" w:ascii="宋体" w:hAnsi="宋体" w:cs="宋体"/>
          <w:b/>
          <w:sz w:val="24"/>
          <w:highlight w:val="none"/>
        </w:rPr>
        <w:t>21.评标</w:t>
      </w:r>
    </w:p>
    <w:p>
      <w:pPr>
        <w:pStyle w:val="83"/>
        <w:rPr>
          <w:highlight w:val="none"/>
        </w:rPr>
      </w:pPr>
      <w:r>
        <w:rPr>
          <w:rFonts w:hint="eastAsia"/>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spacing w:line="360" w:lineRule="auto"/>
        <w:ind w:firstLine="480" w:firstLineChars="200"/>
        <w:rPr>
          <w:rFonts w:cs="宋体" w:asciiTheme="minorEastAsia" w:hAnsiTheme="minorEastAsia" w:eastAsiaTheme="minorEastAsia"/>
          <w:b/>
          <w:sz w:val="24"/>
          <w:highlight w:val="none"/>
        </w:rPr>
      </w:pPr>
      <w:r>
        <w:rPr>
          <w:rFonts w:hint="eastAsia" w:ascii="宋体" w:hAnsi="宋体" w:cs="宋体"/>
          <w:bCs/>
          <w:sz w:val="24"/>
          <w:highlight w:val="none"/>
        </w:rPr>
        <w:t>21.2</w:t>
      </w:r>
      <w:r>
        <w:rPr>
          <w:rFonts w:hint="eastAsia" w:cs="宋体" w:asciiTheme="minorEastAsia" w:hAnsiTheme="minorEastAsia" w:eastAsiaTheme="minorEastAsia"/>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highlight w:val="none"/>
        </w:rPr>
        <w:t>详见招标文件第四部分评标办法。</w:t>
      </w:r>
    </w:p>
    <w:p>
      <w:pPr>
        <w:spacing w:line="360" w:lineRule="auto"/>
        <w:rPr>
          <w:rFonts w:ascii="宋体" w:hAnsi="宋体" w:cs="宋体"/>
          <w:b/>
          <w:sz w:val="24"/>
          <w:highlight w:val="none"/>
        </w:rPr>
      </w:pPr>
    </w:p>
    <w:p>
      <w:pPr>
        <w:snapToGrid w:val="0"/>
        <w:spacing w:line="360" w:lineRule="auto"/>
        <w:jc w:val="center"/>
        <w:outlineLvl w:val="1"/>
        <w:rPr>
          <w:rFonts w:ascii="宋体" w:hAnsi="宋体" w:cs="宋体"/>
          <w:b/>
          <w:sz w:val="36"/>
          <w:szCs w:val="36"/>
          <w:highlight w:val="none"/>
        </w:rPr>
      </w:pPr>
      <w:r>
        <w:rPr>
          <w:rFonts w:hint="eastAsia" w:ascii="宋体" w:hAnsi="宋体" w:cs="宋体"/>
          <w:b/>
          <w:sz w:val="36"/>
          <w:szCs w:val="36"/>
          <w:highlight w:val="none"/>
        </w:rPr>
        <w:t>六、定 标</w:t>
      </w:r>
    </w:p>
    <w:p>
      <w:pPr>
        <w:pStyle w:val="3"/>
        <w:spacing w:line="360" w:lineRule="auto"/>
        <w:ind w:left="479" w:hanging="479" w:hangingChars="199"/>
        <w:rPr>
          <w:rFonts w:cs="宋体"/>
          <w:b/>
          <w:highlight w:val="none"/>
        </w:rPr>
      </w:pPr>
      <w:r>
        <w:rPr>
          <w:rFonts w:hint="eastAsia" w:cs="宋体"/>
          <w:b/>
          <w:highlight w:val="none"/>
        </w:rPr>
        <w:t>22.确定中标供应商</w:t>
      </w:r>
    </w:p>
    <w:p>
      <w:pPr>
        <w:pStyle w:val="129"/>
        <w:snapToGrid w:val="0"/>
        <w:spacing w:before="0"/>
        <w:ind w:firstLine="480"/>
        <w:rPr>
          <w:rFonts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9"/>
        <w:snapToGrid w:val="0"/>
        <w:spacing w:before="0"/>
        <w:ind w:firstLine="0" w:firstLineChars="0"/>
        <w:rPr>
          <w:rFonts w:ascii="宋体" w:hAnsi="宋体" w:cs="宋体"/>
          <w:b/>
          <w:szCs w:val="24"/>
          <w:highlight w:val="none"/>
        </w:rPr>
      </w:pPr>
      <w:r>
        <w:rPr>
          <w:rFonts w:hint="eastAsia" w:ascii="宋体" w:hAnsi="宋体" w:cs="宋体"/>
          <w:b/>
          <w:szCs w:val="24"/>
          <w:highlight w:val="none"/>
        </w:rPr>
        <w:t>23.中标通知与中标结果公告</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23.3公告期限为1个工作日。</w:t>
      </w:r>
    </w:p>
    <w:p>
      <w:pPr>
        <w:snapToGrid w:val="0"/>
        <w:spacing w:line="360" w:lineRule="auto"/>
        <w:ind w:left="120" w:leftChars="57" w:firstLine="482" w:firstLineChars="150"/>
        <w:jc w:val="center"/>
        <w:rPr>
          <w:rFonts w:ascii="宋体" w:hAnsi="宋体" w:cs="宋体"/>
          <w:b/>
          <w:sz w:val="32"/>
          <w:highlight w:val="none"/>
        </w:rPr>
      </w:pPr>
    </w:p>
    <w:p>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七、合同授予</w:t>
      </w:r>
    </w:p>
    <w:p>
      <w:pPr>
        <w:pStyle w:val="3"/>
        <w:spacing w:line="360" w:lineRule="auto"/>
        <w:ind w:left="479" w:hanging="479" w:hangingChars="199"/>
        <w:rPr>
          <w:rFonts w:cs="宋体"/>
          <w:b/>
          <w:highlight w:val="none"/>
        </w:rPr>
      </w:pPr>
      <w:r>
        <w:rPr>
          <w:rFonts w:hint="eastAsia" w:cs="宋体"/>
          <w:b/>
          <w:highlight w:val="none"/>
        </w:rPr>
        <w:t>24.</w:t>
      </w:r>
      <w:r>
        <w:rPr>
          <w:rFonts w:hint="eastAsia" w:cs="宋体"/>
          <w:highlight w:val="none"/>
        </w:rPr>
        <w:t>合同主要条款详见第五部分拟签订的合同文本。</w:t>
      </w:r>
    </w:p>
    <w:p>
      <w:pPr>
        <w:pStyle w:val="3"/>
        <w:spacing w:line="360" w:lineRule="auto"/>
        <w:ind w:left="479" w:hanging="479" w:hangingChars="199"/>
        <w:rPr>
          <w:rFonts w:cs="宋体"/>
          <w:b/>
          <w:highlight w:val="none"/>
        </w:rPr>
      </w:pPr>
      <w:r>
        <w:rPr>
          <w:rFonts w:hint="eastAsia" w:cs="宋体"/>
          <w:b/>
          <w:highlight w:val="none"/>
        </w:rPr>
        <w:t>25.合同的签订</w:t>
      </w:r>
    </w:p>
    <w:p>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9"/>
        <w:snapToGrid w:val="0"/>
        <w:spacing w:before="0"/>
        <w:ind w:firstLine="480"/>
        <w:rPr>
          <w:rFonts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highlight w:val="none"/>
        </w:rPr>
      </w:pPr>
      <w:r>
        <w:rPr>
          <w:rFonts w:hint="eastAsia" w:ascii="宋体" w:hAnsi="宋体" w:cs="宋体"/>
          <w:highlight w:val="none"/>
        </w:rPr>
        <w:t>25.4中标供应商拒绝与采购人签订合同的，采购人可以按照评审报告推荐的中标候选人名单排序，确定下一候选人为中标供应商，也可以重新开展政府采购活动。</w:t>
      </w:r>
    </w:p>
    <w:p>
      <w:pPr>
        <w:pStyle w:val="129"/>
        <w:snapToGrid w:val="0"/>
        <w:spacing w:before="0" w:after="120"/>
        <w:ind w:firstLine="480"/>
        <w:rPr>
          <w:rFonts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pPr>
        <w:pStyle w:val="129"/>
        <w:snapToGrid w:val="0"/>
        <w:spacing w:before="0"/>
        <w:ind w:firstLine="480"/>
        <w:rPr>
          <w:rFonts w:ascii="宋体" w:hAnsi="宋体" w:cs="宋体"/>
          <w:highlight w:val="none"/>
        </w:rPr>
      </w:pPr>
      <w:r>
        <w:rPr>
          <w:rFonts w:hint="eastAsia" w:ascii="宋体" w:hAnsi="宋体" w:cs="宋体"/>
          <w:highlight w:val="none"/>
        </w:rPr>
        <w:t>25.6政采贷</w:t>
      </w:r>
    </w:p>
    <w:p>
      <w:pPr>
        <w:pStyle w:val="129"/>
        <w:snapToGrid w:val="0"/>
        <w:spacing w:before="0"/>
        <w:ind w:firstLine="480"/>
        <w:rPr>
          <w:rFonts w:ascii="宋体" w:hAnsi="宋体" w:cs="宋体"/>
          <w:highlight w:val="none"/>
        </w:rPr>
      </w:pPr>
      <w:r>
        <w:rPr>
          <w:rFonts w:hint="eastAsia" w:ascii="宋体" w:hAnsi="宋体" w:cs="宋体"/>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9"/>
        <w:snapToGrid w:val="0"/>
        <w:spacing w:before="0"/>
        <w:ind w:firstLine="480"/>
        <w:rPr>
          <w:rFonts w:ascii="宋体" w:hAnsi="宋体" w:cs="宋体"/>
          <w:highlight w:val="none"/>
        </w:rPr>
      </w:pPr>
      <w:r>
        <w:rPr>
          <w:rFonts w:hint="eastAsia" w:ascii="宋体" w:hAnsi="宋体" w:cs="宋体"/>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9"/>
        <w:snapToGrid w:val="0"/>
        <w:spacing w:before="0"/>
        <w:ind w:firstLine="480"/>
        <w:rPr>
          <w:rFonts w:ascii="宋体" w:hAnsi="宋体" w:cs="宋体"/>
          <w:highlight w:val="none"/>
        </w:rPr>
      </w:pPr>
      <w:r>
        <w:rPr>
          <w:rFonts w:hint="eastAsia" w:ascii="宋体" w:hAnsi="宋体" w:cs="宋体"/>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9"/>
        <w:snapToGrid w:val="0"/>
        <w:spacing w:before="0"/>
        <w:ind w:firstLine="480"/>
        <w:rPr>
          <w:rFonts w:ascii="宋体" w:hAnsi="宋体" w:cs="宋体"/>
          <w:highlight w:val="none"/>
        </w:rPr>
      </w:pPr>
      <w:r>
        <w:rPr>
          <w:rFonts w:hint="eastAsia" w:ascii="宋体" w:hAnsi="宋体" w:cs="宋体"/>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9"/>
        <w:snapToGrid w:val="0"/>
        <w:spacing w:before="0"/>
        <w:ind w:firstLine="480"/>
        <w:rPr>
          <w:rFonts w:ascii="宋体" w:hAnsi="宋体" w:cs="宋体"/>
          <w:highlight w:val="none"/>
        </w:rPr>
      </w:pPr>
      <w:r>
        <w:rPr>
          <w:rFonts w:hint="eastAsia" w:ascii="宋体" w:hAnsi="宋体" w:cs="宋体"/>
          <w:highlight w:val="none"/>
        </w:rPr>
        <w:t>（四）贷款发放。贷款金融机构根据贷款协议向供应商发放贷款。</w:t>
      </w:r>
    </w:p>
    <w:p>
      <w:pPr>
        <w:pStyle w:val="129"/>
        <w:snapToGrid w:val="0"/>
        <w:spacing w:before="0"/>
        <w:ind w:firstLine="480"/>
        <w:rPr>
          <w:rFonts w:ascii="宋体" w:hAnsi="宋体" w:cs="宋体"/>
          <w:highlight w:val="none"/>
        </w:rPr>
      </w:pPr>
      <w:r>
        <w:rPr>
          <w:rFonts w:hint="eastAsia" w:ascii="宋体" w:hAnsi="宋体" w:cs="宋体"/>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29"/>
        <w:snapToGrid w:val="0"/>
        <w:spacing w:before="0"/>
        <w:ind w:firstLine="480"/>
        <w:rPr>
          <w:rFonts w:ascii="宋体" w:hAnsi="宋体" w:cs="宋体"/>
          <w:highlight w:val="none"/>
        </w:rPr>
      </w:pPr>
      <w:r>
        <w:rPr>
          <w:rFonts w:hint="eastAsia" w:ascii="宋体" w:hAnsi="宋体" w:cs="宋体"/>
          <w:highlight w:val="none"/>
        </w:rPr>
        <w:t>（六）业务终止。贷款偿清后，贷款金融机构或北海市小微企业融资担保有限公司及时办理应收账款质押注销登记，业务终止。</w:t>
      </w:r>
    </w:p>
    <w:p>
      <w:pPr>
        <w:pStyle w:val="129"/>
        <w:snapToGrid w:val="0"/>
        <w:spacing w:before="0"/>
        <w:ind w:firstLine="480"/>
        <w:rPr>
          <w:rFonts w:ascii="宋体" w:hAnsi="宋体" w:cs="宋体"/>
          <w:highlight w:val="none"/>
        </w:rPr>
      </w:pPr>
      <w:r>
        <w:rPr>
          <w:rFonts w:hint="eastAsia" w:ascii="宋体" w:hAnsi="宋体" w:cs="宋体"/>
          <w:highlight w:val="none"/>
        </w:rPr>
        <w:t>注：相关合作银行的具体操作流程详见北海市政府采购中心首页“政采贷”板块。</w:t>
      </w:r>
    </w:p>
    <w:p>
      <w:pPr>
        <w:pStyle w:val="129"/>
        <w:snapToGrid w:val="0"/>
        <w:spacing w:before="0"/>
        <w:ind w:firstLine="480"/>
        <w:rPr>
          <w:rFonts w:ascii="宋体" w:hAnsi="宋体" w:cs="宋体"/>
          <w:highlight w:val="none"/>
        </w:rPr>
      </w:pPr>
      <w:r>
        <w:rPr>
          <w:rFonts w:hint="eastAsia" w:ascii="宋体" w:hAnsi="宋体" w:cs="宋体"/>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highlight w:val="none"/>
        </w:rPr>
      </w:pPr>
      <w:r>
        <w:rPr>
          <w:rFonts w:hint="eastAsia" w:ascii="宋体" w:hAnsi="宋体" w:cs="宋体"/>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3"/>
        <w:rPr>
          <w:highlight w:val="none"/>
        </w:rPr>
      </w:pPr>
      <w:r>
        <w:rPr>
          <w:rFonts w:hint="eastAsia"/>
          <w:highlight w:val="none"/>
        </w:rPr>
        <w:t>1.有贷款需求的供应商可以访问“广西政府采购云平台-金融服务-融资服务”栏目办理有关业务（链接：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Style w:val="76"/>
          <w:rFonts w:ascii="宋体" w:hAnsi="宋体" w:eastAsia="宋体" w:cs="Times New Roman"/>
          <w:color w:val="auto"/>
          <w:sz w:val="24"/>
          <w:szCs w:val="20"/>
          <w:highlight w:val="none"/>
        </w:rPr>
        <w:t>https://jinrong.gcy.zfcg.gxzf.gov.cn/finance/loan/gx</w:t>
      </w:r>
      <w:r>
        <w:rPr>
          <w:rStyle w:val="76"/>
          <w:rFonts w:ascii="宋体" w:hAnsi="宋体" w:eastAsia="宋体" w:cs="Times New Roman"/>
          <w:color w:val="auto"/>
          <w:sz w:val="24"/>
          <w:szCs w:val="20"/>
          <w:highlight w:val="none"/>
        </w:rPr>
        <w:fldChar w:fldCharType="end"/>
      </w:r>
      <w:r>
        <w:rPr>
          <w:rFonts w:hint="eastAsia"/>
          <w:highlight w:val="none"/>
        </w:rPr>
        <w:t>）</w:t>
      </w:r>
    </w:p>
    <w:p>
      <w:pPr>
        <w:pStyle w:val="83"/>
        <w:rPr>
          <w:highlight w:val="none"/>
        </w:rPr>
      </w:pPr>
      <w:r>
        <w:rPr>
          <w:rFonts w:hint="eastAsia"/>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银行名称</w:t>
            </w:r>
          </w:p>
        </w:tc>
        <w:tc>
          <w:tcPr>
            <w:tcW w:w="1134" w:type="dxa"/>
            <w:vAlign w:val="center"/>
          </w:tcPr>
          <w:p>
            <w:pPr>
              <w:pStyle w:val="83"/>
              <w:ind w:firstLine="0"/>
              <w:jc w:val="center"/>
              <w:rPr>
                <w:highlight w:val="none"/>
              </w:rPr>
            </w:pPr>
            <w:r>
              <w:rPr>
                <w:rFonts w:hint="eastAsia"/>
                <w:highlight w:val="none"/>
              </w:rPr>
              <w:t>联系电话</w:t>
            </w:r>
          </w:p>
        </w:tc>
        <w:tc>
          <w:tcPr>
            <w:tcW w:w="1701" w:type="dxa"/>
            <w:vAlign w:val="center"/>
          </w:tcPr>
          <w:p>
            <w:pPr>
              <w:pStyle w:val="83"/>
              <w:ind w:firstLine="0"/>
              <w:jc w:val="center"/>
              <w:rPr>
                <w:highlight w:val="none"/>
              </w:rPr>
            </w:pPr>
            <w:r>
              <w:rPr>
                <w:rFonts w:hint="eastAsia"/>
                <w:highlight w:val="none"/>
              </w:rPr>
              <w:t>最高授信金额</w:t>
            </w:r>
          </w:p>
        </w:tc>
        <w:tc>
          <w:tcPr>
            <w:tcW w:w="993" w:type="dxa"/>
            <w:vAlign w:val="center"/>
          </w:tcPr>
          <w:p>
            <w:pPr>
              <w:pStyle w:val="83"/>
              <w:ind w:firstLine="0"/>
              <w:jc w:val="center"/>
              <w:rPr>
                <w:highlight w:val="none"/>
              </w:rPr>
            </w:pPr>
            <w:r>
              <w:rPr>
                <w:rFonts w:hint="eastAsia"/>
                <w:highlight w:val="none"/>
              </w:rPr>
              <w:t>最长授信期限</w:t>
            </w:r>
          </w:p>
        </w:tc>
        <w:tc>
          <w:tcPr>
            <w:tcW w:w="850" w:type="dxa"/>
            <w:vAlign w:val="center"/>
          </w:tcPr>
          <w:p>
            <w:pPr>
              <w:pStyle w:val="83"/>
              <w:ind w:firstLine="0"/>
              <w:jc w:val="center"/>
              <w:rPr>
                <w:highlight w:val="none"/>
              </w:rPr>
            </w:pPr>
            <w:r>
              <w:rPr>
                <w:rFonts w:hint="eastAsia"/>
                <w:highlight w:val="none"/>
              </w:rPr>
              <w:t>最低利率</w:t>
            </w:r>
          </w:p>
        </w:tc>
        <w:tc>
          <w:tcPr>
            <w:tcW w:w="3366" w:type="dxa"/>
            <w:vAlign w:val="center"/>
          </w:tcPr>
          <w:p>
            <w:pPr>
              <w:pStyle w:val="83"/>
              <w:ind w:firstLine="0"/>
              <w:jc w:val="center"/>
              <w:rPr>
                <w:highlight w:val="none"/>
              </w:rPr>
            </w:pPr>
            <w:r>
              <w:rPr>
                <w:rFonts w:hint="eastAsia"/>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建设银行</w:t>
            </w:r>
          </w:p>
        </w:tc>
        <w:tc>
          <w:tcPr>
            <w:tcW w:w="1134" w:type="dxa"/>
            <w:vAlign w:val="center"/>
          </w:tcPr>
          <w:p>
            <w:pPr>
              <w:pStyle w:val="83"/>
              <w:ind w:firstLine="0"/>
              <w:jc w:val="center"/>
              <w:rPr>
                <w:highlight w:val="none"/>
              </w:rPr>
            </w:pPr>
            <w:r>
              <w:rPr>
                <w:rFonts w:hint="eastAsia"/>
                <w:highlight w:val="none"/>
              </w:rPr>
              <w:t>13077729988</w:t>
            </w:r>
          </w:p>
        </w:tc>
        <w:tc>
          <w:tcPr>
            <w:tcW w:w="1701" w:type="dxa"/>
            <w:vAlign w:val="center"/>
          </w:tcPr>
          <w:p>
            <w:pPr>
              <w:pStyle w:val="83"/>
              <w:ind w:firstLine="0"/>
              <w:rPr>
                <w:highlight w:val="none"/>
              </w:rPr>
            </w:pPr>
            <w:r>
              <w:rPr>
                <w:rFonts w:hint="eastAsia"/>
                <w:highlight w:val="none"/>
              </w:rPr>
              <w:t>最高3千万</w:t>
            </w:r>
          </w:p>
        </w:tc>
        <w:tc>
          <w:tcPr>
            <w:tcW w:w="993" w:type="dxa"/>
            <w:vAlign w:val="center"/>
          </w:tcPr>
          <w:p>
            <w:pPr>
              <w:pStyle w:val="83"/>
              <w:ind w:firstLine="0"/>
              <w:jc w:val="center"/>
              <w:rPr>
                <w:highlight w:val="none"/>
              </w:rPr>
            </w:pPr>
            <w:r>
              <w:rPr>
                <w:rFonts w:hint="eastAsia"/>
                <w:highlight w:val="none"/>
              </w:rPr>
              <w:t>1年</w:t>
            </w:r>
          </w:p>
        </w:tc>
        <w:tc>
          <w:tcPr>
            <w:tcW w:w="850" w:type="dxa"/>
            <w:vAlign w:val="center"/>
          </w:tcPr>
          <w:p>
            <w:pPr>
              <w:pStyle w:val="83"/>
              <w:ind w:firstLine="0"/>
              <w:jc w:val="center"/>
              <w:rPr>
                <w:highlight w:val="none"/>
              </w:rPr>
            </w:pPr>
            <w:r>
              <w:rPr>
                <w:rFonts w:hint="eastAsia"/>
                <w:highlight w:val="none"/>
              </w:rPr>
              <w:t>4%</w:t>
            </w:r>
          </w:p>
        </w:tc>
        <w:tc>
          <w:tcPr>
            <w:tcW w:w="3366" w:type="dxa"/>
            <w:vAlign w:val="center"/>
          </w:tcPr>
          <w:p>
            <w:pPr>
              <w:pStyle w:val="83"/>
              <w:ind w:firstLine="0"/>
              <w:rPr>
                <w:highlight w:val="none"/>
              </w:rPr>
            </w:pPr>
            <w:r>
              <w:rPr>
                <w:rFonts w:hint="eastAsia"/>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中国银行</w:t>
            </w:r>
          </w:p>
        </w:tc>
        <w:tc>
          <w:tcPr>
            <w:tcW w:w="1134" w:type="dxa"/>
            <w:vAlign w:val="center"/>
          </w:tcPr>
          <w:p>
            <w:pPr>
              <w:pStyle w:val="83"/>
              <w:ind w:firstLine="0"/>
              <w:jc w:val="center"/>
              <w:rPr>
                <w:highlight w:val="none"/>
              </w:rPr>
            </w:pPr>
            <w:r>
              <w:rPr>
                <w:rFonts w:hint="eastAsia"/>
                <w:highlight w:val="none"/>
              </w:rPr>
              <w:t>0779-3997084</w:t>
            </w:r>
          </w:p>
        </w:tc>
        <w:tc>
          <w:tcPr>
            <w:tcW w:w="1701" w:type="dxa"/>
            <w:vAlign w:val="center"/>
          </w:tcPr>
          <w:p>
            <w:pPr>
              <w:pStyle w:val="83"/>
              <w:ind w:firstLine="0"/>
              <w:rPr>
                <w:highlight w:val="none"/>
              </w:rPr>
            </w:pPr>
            <w:r>
              <w:rPr>
                <w:rFonts w:hint="eastAsia"/>
                <w:highlight w:val="none"/>
              </w:rPr>
              <w:t>最高1千万</w:t>
            </w:r>
          </w:p>
        </w:tc>
        <w:tc>
          <w:tcPr>
            <w:tcW w:w="993" w:type="dxa"/>
            <w:vAlign w:val="center"/>
          </w:tcPr>
          <w:p>
            <w:pPr>
              <w:pStyle w:val="83"/>
              <w:ind w:firstLine="0"/>
              <w:jc w:val="center"/>
              <w:rPr>
                <w:highlight w:val="none"/>
              </w:rPr>
            </w:pPr>
            <w:r>
              <w:rPr>
                <w:rFonts w:hint="eastAsia"/>
                <w:highlight w:val="none"/>
              </w:rPr>
              <w:t>3年</w:t>
            </w:r>
          </w:p>
        </w:tc>
        <w:tc>
          <w:tcPr>
            <w:tcW w:w="850" w:type="dxa"/>
            <w:vAlign w:val="center"/>
          </w:tcPr>
          <w:p>
            <w:pPr>
              <w:pStyle w:val="83"/>
              <w:ind w:firstLine="0"/>
              <w:jc w:val="center"/>
              <w:rPr>
                <w:highlight w:val="none"/>
              </w:rPr>
            </w:pPr>
            <w:r>
              <w:rPr>
                <w:rFonts w:hint="eastAsia"/>
                <w:highlight w:val="none"/>
              </w:rPr>
              <w:t>1.93%</w:t>
            </w:r>
          </w:p>
        </w:tc>
        <w:tc>
          <w:tcPr>
            <w:tcW w:w="3366" w:type="dxa"/>
            <w:vAlign w:val="center"/>
          </w:tcPr>
          <w:p>
            <w:pPr>
              <w:pStyle w:val="83"/>
              <w:ind w:firstLine="0"/>
              <w:rPr>
                <w:highlight w:val="none"/>
              </w:rPr>
            </w:pPr>
            <w:r>
              <w:rPr>
                <w:rFonts w:hint="eastAsia"/>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兴业银行</w:t>
            </w:r>
          </w:p>
        </w:tc>
        <w:tc>
          <w:tcPr>
            <w:tcW w:w="1134" w:type="dxa"/>
            <w:vAlign w:val="center"/>
          </w:tcPr>
          <w:p>
            <w:pPr>
              <w:pStyle w:val="83"/>
              <w:ind w:firstLine="0"/>
              <w:jc w:val="center"/>
              <w:rPr>
                <w:highlight w:val="none"/>
              </w:rPr>
            </w:pPr>
            <w:r>
              <w:rPr>
                <w:rFonts w:hint="eastAsia"/>
                <w:highlight w:val="none"/>
              </w:rPr>
              <w:t>0779-3158330</w:t>
            </w:r>
          </w:p>
        </w:tc>
        <w:tc>
          <w:tcPr>
            <w:tcW w:w="1701" w:type="dxa"/>
            <w:vAlign w:val="center"/>
          </w:tcPr>
          <w:p>
            <w:pPr>
              <w:pStyle w:val="83"/>
              <w:ind w:firstLine="0"/>
              <w:rPr>
                <w:highlight w:val="none"/>
              </w:rPr>
            </w:pPr>
            <w:r>
              <w:rPr>
                <w:rFonts w:hint="eastAsia"/>
                <w:highlight w:val="none"/>
              </w:rPr>
              <w:t>最高1千万（单笔提款金额达合同金额70%）</w:t>
            </w:r>
          </w:p>
        </w:tc>
        <w:tc>
          <w:tcPr>
            <w:tcW w:w="993" w:type="dxa"/>
            <w:vAlign w:val="center"/>
          </w:tcPr>
          <w:p>
            <w:pPr>
              <w:pStyle w:val="83"/>
              <w:ind w:firstLine="0"/>
              <w:jc w:val="center"/>
              <w:rPr>
                <w:highlight w:val="none"/>
              </w:rPr>
            </w:pPr>
            <w:r>
              <w:rPr>
                <w:rFonts w:hint="eastAsia"/>
                <w:highlight w:val="none"/>
              </w:rPr>
              <w:t>1年</w:t>
            </w:r>
          </w:p>
        </w:tc>
        <w:tc>
          <w:tcPr>
            <w:tcW w:w="850" w:type="dxa"/>
            <w:vAlign w:val="center"/>
          </w:tcPr>
          <w:p>
            <w:pPr>
              <w:pStyle w:val="83"/>
              <w:ind w:firstLine="0"/>
              <w:jc w:val="center"/>
              <w:rPr>
                <w:highlight w:val="none"/>
              </w:rPr>
            </w:pPr>
            <w:r>
              <w:rPr>
                <w:rFonts w:hint="eastAsia"/>
                <w:highlight w:val="none"/>
              </w:rPr>
              <w:t>3.70%</w:t>
            </w:r>
          </w:p>
        </w:tc>
        <w:tc>
          <w:tcPr>
            <w:tcW w:w="3366" w:type="dxa"/>
            <w:vAlign w:val="center"/>
          </w:tcPr>
          <w:p>
            <w:pPr>
              <w:pStyle w:val="83"/>
              <w:ind w:firstLine="0"/>
              <w:rPr>
                <w:highlight w:val="none"/>
              </w:rPr>
            </w:pPr>
            <w:r>
              <w:rPr>
                <w:rFonts w:hint="eastAsia"/>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工商银行</w:t>
            </w:r>
          </w:p>
        </w:tc>
        <w:tc>
          <w:tcPr>
            <w:tcW w:w="1134" w:type="dxa"/>
            <w:vAlign w:val="center"/>
          </w:tcPr>
          <w:p>
            <w:pPr>
              <w:pStyle w:val="83"/>
              <w:ind w:firstLine="0"/>
              <w:jc w:val="center"/>
              <w:rPr>
                <w:highlight w:val="none"/>
              </w:rPr>
            </w:pPr>
            <w:r>
              <w:rPr>
                <w:rFonts w:hint="eastAsia"/>
                <w:highlight w:val="none"/>
              </w:rPr>
              <w:t>0779-3050645</w:t>
            </w:r>
          </w:p>
        </w:tc>
        <w:tc>
          <w:tcPr>
            <w:tcW w:w="1701" w:type="dxa"/>
            <w:vAlign w:val="center"/>
          </w:tcPr>
          <w:p>
            <w:pPr>
              <w:pStyle w:val="83"/>
              <w:ind w:firstLine="0"/>
              <w:rPr>
                <w:highlight w:val="none"/>
              </w:rPr>
            </w:pPr>
            <w:r>
              <w:rPr>
                <w:rFonts w:hint="eastAsia"/>
                <w:highlight w:val="none"/>
              </w:rPr>
              <w:t>最高1千万且不超过合同金额70%</w:t>
            </w:r>
          </w:p>
        </w:tc>
        <w:tc>
          <w:tcPr>
            <w:tcW w:w="993" w:type="dxa"/>
            <w:vAlign w:val="center"/>
          </w:tcPr>
          <w:p>
            <w:pPr>
              <w:pStyle w:val="83"/>
              <w:ind w:firstLine="0"/>
              <w:jc w:val="center"/>
              <w:rPr>
                <w:highlight w:val="none"/>
              </w:rPr>
            </w:pPr>
            <w:r>
              <w:rPr>
                <w:rFonts w:hint="eastAsia"/>
                <w:highlight w:val="none"/>
              </w:rPr>
              <w:t>货物类1年</w:t>
            </w:r>
          </w:p>
          <w:p>
            <w:pPr>
              <w:pStyle w:val="83"/>
              <w:ind w:firstLine="0"/>
              <w:jc w:val="center"/>
              <w:rPr>
                <w:highlight w:val="none"/>
              </w:rPr>
            </w:pPr>
            <w:r>
              <w:rPr>
                <w:rFonts w:hint="eastAsia"/>
                <w:highlight w:val="none"/>
              </w:rPr>
              <w:t>服务类3年</w:t>
            </w:r>
          </w:p>
          <w:p>
            <w:pPr>
              <w:pStyle w:val="83"/>
              <w:ind w:firstLine="0"/>
              <w:jc w:val="center"/>
              <w:rPr>
                <w:highlight w:val="none"/>
              </w:rPr>
            </w:pPr>
            <w:r>
              <w:rPr>
                <w:rFonts w:hint="eastAsia"/>
                <w:highlight w:val="none"/>
              </w:rPr>
              <w:t>工程类5年</w:t>
            </w:r>
          </w:p>
        </w:tc>
        <w:tc>
          <w:tcPr>
            <w:tcW w:w="850" w:type="dxa"/>
            <w:vAlign w:val="center"/>
          </w:tcPr>
          <w:p>
            <w:pPr>
              <w:pStyle w:val="83"/>
              <w:ind w:firstLine="0"/>
              <w:jc w:val="center"/>
              <w:rPr>
                <w:highlight w:val="none"/>
              </w:rPr>
            </w:pPr>
            <w:r>
              <w:rPr>
                <w:rFonts w:hint="eastAsia"/>
                <w:highlight w:val="none"/>
              </w:rPr>
              <w:t>3.45%</w:t>
            </w:r>
          </w:p>
        </w:tc>
        <w:tc>
          <w:tcPr>
            <w:tcW w:w="3366" w:type="dxa"/>
            <w:vAlign w:val="center"/>
          </w:tcPr>
          <w:p>
            <w:pPr>
              <w:pStyle w:val="83"/>
              <w:ind w:firstLine="0"/>
              <w:rPr>
                <w:highlight w:val="none"/>
              </w:rPr>
            </w:pPr>
            <w:r>
              <w:rPr>
                <w:rFonts w:hint="eastAsia"/>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国民村镇银行</w:t>
            </w:r>
          </w:p>
        </w:tc>
        <w:tc>
          <w:tcPr>
            <w:tcW w:w="1134" w:type="dxa"/>
            <w:vAlign w:val="center"/>
          </w:tcPr>
          <w:p>
            <w:pPr>
              <w:pStyle w:val="83"/>
              <w:ind w:firstLine="0"/>
              <w:jc w:val="center"/>
              <w:rPr>
                <w:highlight w:val="none"/>
              </w:rPr>
            </w:pPr>
            <w:r>
              <w:rPr>
                <w:rFonts w:hint="eastAsia"/>
                <w:highlight w:val="none"/>
              </w:rPr>
              <w:t>0779-2668801</w:t>
            </w:r>
          </w:p>
        </w:tc>
        <w:tc>
          <w:tcPr>
            <w:tcW w:w="1701" w:type="dxa"/>
            <w:vAlign w:val="center"/>
          </w:tcPr>
          <w:p>
            <w:pPr>
              <w:pStyle w:val="83"/>
              <w:ind w:firstLine="0"/>
              <w:rPr>
                <w:highlight w:val="none"/>
              </w:rPr>
            </w:pPr>
            <w:r>
              <w:rPr>
                <w:rFonts w:hint="eastAsia"/>
                <w:highlight w:val="none"/>
              </w:rPr>
              <w:t>最高500万</w:t>
            </w:r>
          </w:p>
        </w:tc>
        <w:tc>
          <w:tcPr>
            <w:tcW w:w="993" w:type="dxa"/>
            <w:vAlign w:val="center"/>
          </w:tcPr>
          <w:p>
            <w:pPr>
              <w:pStyle w:val="83"/>
              <w:ind w:firstLine="0"/>
              <w:jc w:val="center"/>
              <w:rPr>
                <w:highlight w:val="none"/>
              </w:rPr>
            </w:pPr>
            <w:r>
              <w:rPr>
                <w:rFonts w:hint="eastAsia"/>
                <w:highlight w:val="none"/>
              </w:rPr>
              <w:t>5年</w:t>
            </w:r>
          </w:p>
        </w:tc>
        <w:tc>
          <w:tcPr>
            <w:tcW w:w="850" w:type="dxa"/>
            <w:vAlign w:val="center"/>
          </w:tcPr>
          <w:p>
            <w:pPr>
              <w:pStyle w:val="83"/>
              <w:ind w:firstLine="0"/>
              <w:jc w:val="center"/>
              <w:rPr>
                <w:highlight w:val="none"/>
              </w:rPr>
            </w:pPr>
            <w:r>
              <w:rPr>
                <w:rFonts w:hint="eastAsia"/>
                <w:highlight w:val="none"/>
              </w:rPr>
              <w:t>2.80%</w:t>
            </w:r>
          </w:p>
        </w:tc>
        <w:tc>
          <w:tcPr>
            <w:tcW w:w="3366" w:type="dxa"/>
            <w:vAlign w:val="center"/>
          </w:tcPr>
          <w:p>
            <w:pPr>
              <w:pStyle w:val="83"/>
              <w:ind w:firstLine="0"/>
              <w:rPr>
                <w:highlight w:val="none"/>
              </w:rPr>
            </w:pPr>
            <w:r>
              <w:rPr>
                <w:rFonts w:hint="eastAsia"/>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桂林银行</w:t>
            </w:r>
          </w:p>
        </w:tc>
        <w:tc>
          <w:tcPr>
            <w:tcW w:w="1134" w:type="dxa"/>
            <w:vAlign w:val="center"/>
          </w:tcPr>
          <w:p>
            <w:pPr>
              <w:pStyle w:val="83"/>
              <w:ind w:firstLine="0"/>
              <w:jc w:val="center"/>
              <w:rPr>
                <w:highlight w:val="none"/>
              </w:rPr>
            </w:pPr>
            <w:r>
              <w:rPr>
                <w:rFonts w:hint="eastAsia"/>
                <w:highlight w:val="none"/>
              </w:rPr>
              <w:t>18577993959</w:t>
            </w:r>
          </w:p>
        </w:tc>
        <w:tc>
          <w:tcPr>
            <w:tcW w:w="1701" w:type="dxa"/>
            <w:vAlign w:val="center"/>
          </w:tcPr>
          <w:p>
            <w:pPr>
              <w:pStyle w:val="83"/>
              <w:ind w:firstLine="0"/>
              <w:rPr>
                <w:highlight w:val="none"/>
              </w:rPr>
            </w:pPr>
            <w:r>
              <w:rPr>
                <w:rFonts w:hint="eastAsia"/>
                <w:highlight w:val="none"/>
              </w:rPr>
              <w:t>最高1千万</w:t>
            </w:r>
          </w:p>
        </w:tc>
        <w:tc>
          <w:tcPr>
            <w:tcW w:w="993" w:type="dxa"/>
            <w:vAlign w:val="center"/>
          </w:tcPr>
          <w:p>
            <w:pPr>
              <w:pStyle w:val="83"/>
              <w:ind w:firstLine="0"/>
              <w:jc w:val="center"/>
              <w:rPr>
                <w:highlight w:val="none"/>
              </w:rPr>
            </w:pPr>
            <w:r>
              <w:rPr>
                <w:rFonts w:hint="eastAsia"/>
                <w:highlight w:val="none"/>
              </w:rPr>
              <w:t>1年</w:t>
            </w:r>
          </w:p>
        </w:tc>
        <w:tc>
          <w:tcPr>
            <w:tcW w:w="850" w:type="dxa"/>
            <w:vAlign w:val="center"/>
          </w:tcPr>
          <w:p>
            <w:pPr>
              <w:pStyle w:val="83"/>
              <w:ind w:firstLine="0"/>
              <w:jc w:val="center"/>
              <w:rPr>
                <w:highlight w:val="none"/>
              </w:rPr>
            </w:pPr>
            <w:r>
              <w:rPr>
                <w:rFonts w:hint="eastAsia"/>
                <w:highlight w:val="none"/>
              </w:rPr>
              <w:t>3.45%</w:t>
            </w:r>
          </w:p>
        </w:tc>
        <w:tc>
          <w:tcPr>
            <w:tcW w:w="3366" w:type="dxa"/>
            <w:vAlign w:val="center"/>
          </w:tcPr>
          <w:p>
            <w:pPr>
              <w:pStyle w:val="83"/>
              <w:ind w:firstLine="0"/>
              <w:rPr>
                <w:highlight w:val="none"/>
              </w:rPr>
            </w:pPr>
            <w:r>
              <w:rPr>
                <w:rFonts w:hint="eastAsia"/>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中小微商务服务公司</w:t>
            </w:r>
          </w:p>
        </w:tc>
        <w:tc>
          <w:tcPr>
            <w:tcW w:w="1134" w:type="dxa"/>
            <w:vAlign w:val="center"/>
          </w:tcPr>
          <w:p>
            <w:pPr>
              <w:pStyle w:val="83"/>
              <w:ind w:firstLine="0"/>
              <w:jc w:val="center"/>
              <w:rPr>
                <w:highlight w:val="none"/>
              </w:rPr>
            </w:pPr>
            <w:r>
              <w:rPr>
                <w:rFonts w:hint="eastAsia"/>
                <w:highlight w:val="none"/>
              </w:rPr>
              <w:t>19907799988</w:t>
            </w:r>
          </w:p>
        </w:tc>
        <w:tc>
          <w:tcPr>
            <w:tcW w:w="1701" w:type="dxa"/>
            <w:vAlign w:val="center"/>
          </w:tcPr>
          <w:p>
            <w:pPr>
              <w:pStyle w:val="83"/>
              <w:ind w:firstLine="0"/>
              <w:rPr>
                <w:highlight w:val="none"/>
              </w:rPr>
            </w:pPr>
          </w:p>
        </w:tc>
        <w:tc>
          <w:tcPr>
            <w:tcW w:w="993" w:type="dxa"/>
            <w:vAlign w:val="center"/>
          </w:tcPr>
          <w:p>
            <w:pPr>
              <w:pStyle w:val="83"/>
              <w:ind w:firstLine="0"/>
              <w:jc w:val="center"/>
              <w:rPr>
                <w:highlight w:val="none"/>
              </w:rPr>
            </w:pPr>
          </w:p>
        </w:tc>
        <w:tc>
          <w:tcPr>
            <w:tcW w:w="850" w:type="dxa"/>
            <w:vAlign w:val="center"/>
          </w:tcPr>
          <w:p>
            <w:pPr>
              <w:pStyle w:val="83"/>
              <w:ind w:firstLine="0"/>
              <w:jc w:val="center"/>
              <w:rPr>
                <w:highlight w:val="none"/>
              </w:rPr>
            </w:pPr>
          </w:p>
        </w:tc>
        <w:tc>
          <w:tcPr>
            <w:tcW w:w="3366" w:type="dxa"/>
            <w:vAlign w:val="center"/>
          </w:tcPr>
          <w:p>
            <w:pPr>
              <w:pStyle w:val="83"/>
              <w:ind w:firstLine="0"/>
              <w:rPr>
                <w:highlight w:val="none"/>
              </w:rPr>
            </w:pPr>
            <w:r>
              <w:rPr>
                <w:rFonts w:hint="eastAsia"/>
                <w:highlight w:val="none"/>
              </w:rPr>
              <w:t>具体业务可电话咨询。</w:t>
            </w:r>
          </w:p>
        </w:tc>
      </w:tr>
    </w:tbl>
    <w:p>
      <w:pPr>
        <w:pStyle w:val="83"/>
        <w:rPr>
          <w:highlight w:val="none"/>
        </w:rPr>
      </w:pPr>
      <w:r>
        <w:rPr>
          <w:rFonts w:hint="eastAsia"/>
          <w:highlight w:val="none"/>
        </w:rPr>
        <w:t>注：表中联系电话、授信金额、授信期限、最低利率等信息可能动态更新，仅供参考，具体以办理时相关银行公布的为准。</w:t>
      </w:r>
    </w:p>
    <w:p>
      <w:pPr>
        <w:pStyle w:val="129"/>
        <w:snapToGrid w:val="0"/>
        <w:spacing w:before="0"/>
        <w:ind w:firstLine="480"/>
        <w:rPr>
          <w:rFonts w:ascii="宋体" w:hAnsi="宋体" w:cs="宋体"/>
          <w:highlight w:val="none"/>
        </w:rPr>
      </w:pPr>
    </w:p>
    <w:p>
      <w:pPr>
        <w:pStyle w:val="3"/>
        <w:spacing w:line="360" w:lineRule="auto"/>
        <w:ind w:left="479" w:hanging="479" w:hangingChars="199"/>
        <w:rPr>
          <w:rFonts w:cs="宋体"/>
          <w:b/>
          <w:highlight w:val="none"/>
        </w:rPr>
      </w:pPr>
      <w:r>
        <w:rPr>
          <w:rFonts w:hint="eastAsia" w:cs="宋体"/>
          <w:b/>
          <w:highlight w:val="none"/>
        </w:rPr>
        <w:t>26.履约保证金</w:t>
      </w:r>
    </w:p>
    <w:p>
      <w:pPr>
        <w:pStyle w:val="83"/>
        <w:rPr>
          <w:highlight w:val="none"/>
        </w:rPr>
      </w:pPr>
      <w:r>
        <w:rPr>
          <w:rFonts w:hint="eastAsia" w:cs="宋体"/>
          <w:highlight w:val="none"/>
        </w:rPr>
        <w:t>本项目不收取履约保证金。</w:t>
      </w:r>
    </w:p>
    <w:p>
      <w:pPr>
        <w:pStyle w:val="83"/>
        <w:ind w:firstLine="0"/>
        <w:rPr>
          <w:b/>
          <w:bCs/>
          <w:highlight w:val="none"/>
        </w:rPr>
      </w:pPr>
      <w:r>
        <w:rPr>
          <w:b/>
          <w:bCs/>
          <w:highlight w:val="none"/>
        </w:rPr>
        <w:t>27</w:t>
      </w:r>
      <w:r>
        <w:rPr>
          <w:rFonts w:hint="eastAsia" w:cs="宋体"/>
          <w:b/>
          <w:highlight w:val="none"/>
        </w:rPr>
        <w:t>.</w:t>
      </w:r>
      <w:r>
        <w:rPr>
          <w:b/>
          <w:bCs/>
          <w:highlight w:val="none"/>
        </w:rPr>
        <w:t>预付款</w:t>
      </w:r>
    </w:p>
    <w:p>
      <w:pPr>
        <w:adjustRightInd/>
        <w:spacing w:line="360" w:lineRule="auto"/>
        <w:ind w:firstLine="480" w:firstLineChars="200"/>
        <w:rPr>
          <w:highlight w:val="none"/>
        </w:rPr>
      </w:pPr>
      <w:r>
        <w:rPr>
          <w:rFonts w:hint="eastAsia" w:ascii="宋体" w:hAnsi="宋体"/>
          <w:sz w:val="24"/>
          <w:highlight w:val="none"/>
        </w:rPr>
        <w:t>本项目无预付款。</w:t>
      </w:r>
    </w:p>
    <w:p>
      <w:pPr>
        <w:rPr>
          <w:highlight w:val="none"/>
        </w:rPr>
      </w:pPr>
    </w:p>
    <w:p>
      <w:pPr>
        <w:snapToGrid w:val="0"/>
        <w:spacing w:line="360" w:lineRule="auto"/>
        <w:ind w:firstLine="3357" w:firstLineChars="1045"/>
        <w:rPr>
          <w:rFonts w:ascii="宋体" w:hAnsi="宋体" w:cs="宋体"/>
          <w:b/>
          <w:sz w:val="32"/>
          <w:highlight w:val="none"/>
        </w:rPr>
      </w:pPr>
    </w:p>
    <w:p>
      <w:pPr>
        <w:snapToGrid w:val="0"/>
        <w:spacing w:line="360" w:lineRule="auto"/>
        <w:ind w:firstLine="3357" w:firstLineChars="1045"/>
        <w:outlineLvl w:val="1"/>
        <w:rPr>
          <w:rFonts w:ascii="宋体" w:hAnsi="宋体" w:cs="宋体"/>
          <w:b/>
          <w:sz w:val="24"/>
          <w:highlight w:val="none"/>
        </w:rPr>
      </w:pPr>
      <w:r>
        <w:rPr>
          <w:rFonts w:hint="eastAsia" w:ascii="宋体" w:hAnsi="宋体" w:cs="宋体"/>
          <w:b/>
          <w:sz w:val="32"/>
          <w:highlight w:val="none"/>
        </w:rPr>
        <w:t>八、电子交易活动的中止</w:t>
      </w:r>
    </w:p>
    <w:p>
      <w:pPr>
        <w:pStyle w:val="129"/>
        <w:snapToGrid w:val="0"/>
        <w:spacing w:before="0"/>
        <w:ind w:firstLine="0" w:firstLineChars="0"/>
        <w:rPr>
          <w:rFonts w:ascii="宋体" w:hAnsi="宋体" w:cs="宋体"/>
          <w:highlight w:val="none"/>
        </w:rPr>
      </w:pPr>
      <w:r>
        <w:rPr>
          <w:rFonts w:ascii="宋体" w:hAnsi="宋体" w:cs="宋体"/>
          <w:b/>
          <w:bCs/>
          <w:highlight w:val="none"/>
        </w:rPr>
        <w:t>2</w:t>
      </w:r>
      <w:r>
        <w:rPr>
          <w:rFonts w:ascii="宋体" w:hAnsi="宋体" w:cs="宋体"/>
          <w:b/>
          <w:bCs/>
          <w:szCs w:val="24"/>
          <w:highlight w:val="none"/>
        </w:rPr>
        <w:t>8</w:t>
      </w:r>
      <w:r>
        <w:rPr>
          <w:rFonts w:hint="eastAsia" w:ascii="宋体" w:hAnsi="宋体" w:cs="宋体"/>
          <w:b/>
          <w:szCs w:val="24"/>
          <w:highlight w:val="none"/>
        </w:rPr>
        <w:t>.电子交易活动的中止。</w:t>
      </w:r>
      <w:r>
        <w:rPr>
          <w:rFonts w:hint="eastAsia" w:ascii="宋体" w:hAnsi="宋体" w:cs="宋体"/>
          <w:highlight w:val="none"/>
        </w:rPr>
        <w:t>采购过程中出现以下情形，导致电子交易平台无法正常运行，或者无法保证电子交易的公平、公正和安全时，采购代理机构可中止电子交易活动：</w:t>
      </w:r>
    </w:p>
    <w:p>
      <w:pPr>
        <w:pStyle w:val="129"/>
        <w:snapToGrid w:val="0"/>
        <w:spacing w:before="0"/>
        <w:ind w:firstLine="480"/>
        <w:rPr>
          <w:rFonts w:ascii="宋体" w:hAnsi="宋体" w:cs="宋体"/>
          <w:highlight w:val="none"/>
        </w:rPr>
      </w:pPr>
      <w:r>
        <w:rPr>
          <w:rFonts w:hint="eastAsia" w:ascii="宋体" w:hAnsi="宋体" w:cs="宋体"/>
          <w:highlight w:val="none"/>
        </w:rPr>
        <w:t xml:space="preserve">28.1电子交易平台发生故障而无法登录访问的； </w:t>
      </w:r>
    </w:p>
    <w:p>
      <w:pPr>
        <w:pStyle w:val="129"/>
        <w:snapToGrid w:val="0"/>
        <w:spacing w:before="0"/>
        <w:ind w:firstLine="480"/>
        <w:rPr>
          <w:rFonts w:ascii="宋体" w:hAnsi="宋体" w:cs="宋体"/>
          <w:highlight w:val="none"/>
        </w:rPr>
      </w:pPr>
      <w:r>
        <w:rPr>
          <w:rFonts w:hint="eastAsia" w:ascii="宋体" w:hAnsi="宋体" w:cs="宋体"/>
          <w:highlight w:val="none"/>
        </w:rPr>
        <w:t>28.2电子交易平台应用或数据库出现错误，不能进行正常操作的；</w:t>
      </w:r>
    </w:p>
    <w:p>
      <w:pPr>
        <w:pStyle w:val="129"/>
        <w:snapToGrid w:val="0"/>
        <w:spacing w:before="0"/>
        <w:ind w:firstLine="480"/>
        <w:rPr>
          <w:rFonts w:ascii="宋体" w:hAnsi="宋体" w:cs="宋体"/>
          <w:highlight w:val="none"/>
        </w:rPr>
      </w:pPr>
      <w:r>
        <w:rPr>
          <w:rFonts w:hint="eastAsia" w:ascii="宋体" w:hAnsi="宋体" w:cs="宋体"/>
          <w:highlight w:val="none"/>
        </w:rPr>
        <w:t>28.3电子交易平台发现严重安全漏洞，有潜在泄密危险的；</w:t>
      </w:r>
    </w:p>
    <w:p>
      <w:pPr>
        <w:pStyle w:val="129"/>
        <w:snapToGrid w:val="0"/>
        <w:spacing w:before="0"/>
        <w:ind w:firstLine="480"/>
        <w:rPr>
          <w:rFonts w:ascii="宋体" w:hAnsi="宋体" w:cs="宋体"/>
          <w:highlight w:val="none"/>
        </w:rPr>
      </w:pPr>
      <w:r>
        <w:rPr>
          <w:rFonts w:hint="eastAsia" w:ascii="宋体" w:hAnsi="宋体" w:cs="宋体"/>
          <w:highlight w:val="none"/>
        </w:rPr>
        <w:t xml:space="preserve">28.4病毒发作导致不能进行正常操作的； </w:t>
      </w:r>
    </w:p>
    <w:p>
      <w:pPr>
        <w:pStyle w:val="129"/>
        <w:snapToGrid w:val="0"/>
        <w:spacing w:before="0"/>
        <w:ind w:firstLine="480"/>
        <w:rPr>
          <w:rFonts w:ascii="宋体" w:hAnsi="宋体" w:cs="宋体"/>
          <w:highlight w:val="none"/>
        </w:rPr>
      </w:pPr>
      <w:r>
        <w:rPr>
          <w:rFonts w:hint="eastAsia" w:ascii="宋体" w:hAnsi="宋体" w:cs="宋体"/>
          <w:highlight w:val="none"/>
        </w:rPr>
        <w:t>28.5其他无法保证电子交易的公平、公正和安全的情况。</w:t>
      </w:r>
    </w:p>
    <w:p>
      <w:pPr>
        <w:pStyle w:val="129"/>
        <w:snapToGrid w:val="0"/>
        <w:spacing w:before="0"/>
        <w:ind w:firstLine="0" w:firstLineChars="0"/>
        <w:rPr>
          <w:rFonts w:ascii="宋体" w:hAnsi="宋体" w:cs="宋体"/>
          <w:highlight w:val="none"/>
        </w:rPr>
      </w:pPr>
      <w:r>
        <w:rPr>
          <w:rFonts w:hint="eastAsia" w:ascii="宋体" w:hAnsi="宋体" w:cs="宋体"/>
          <w:highlight w:val="none"/>
        </w:rPr>
        <w:t>29</w:t>
      </w:r>
      <w:r>
        <w:rPr>
          <w:rFonts w:hint="eastAsia" w:cs="宋体"/>
          <w:highlight w:val="none"/>
        </w:rPr>
        <w:t xml:space="preserve">. </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highlight w:val="none"/>
        </w:rPr>
      </w:pPr>
    </w:p>
    <w:p>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九、验收</w:t>
      </w:r>
    </w:p>
    <w:p>
      <w:pPr>
        <w:pStyle w:val="3"/>
        <w:spacing w:line="360" w:lineRule="auto"/>
        <w:ind w:firstLine="0" w:firstLineChars="0"/>
        <w:rPr>
          <w:rFonts w:cs="宋体"/>
          <w:b/>
          <w:highlight w:val="none"/>
        </w:rPr>
      </w:pPr>
      <w:r>
        <w:rPr>
          <w:rFonts w:hint="eastAsia" w:cs="宋体"/>
          <w:b/>
          <w:highlight w:val="none"/>
        </w:rPr>
        <w:t>30.验收</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kern w:val="0"/>
          <w:sz w:val="24"/>
          <w:highlight w:val="none"/>
        </w:rPr>
      </w:pPr>
    </w:p>
    <w:p>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十、代理费用的收取标准和方式</w:t>
      </w:r>
    </w:p>
    <w:p>
      <w:pPr>
        <w:pStyle w:val="3"/>
        <w:spacing w:line="360" w:lineRule="auto"/>
        <w:ind w:firstLine="0" w:firstLineChars="0"/>
        <w:rPr>
          <w:rFonts w:cs="宋体"/>
          <w:b/>
          <w:highlight w:val="none"/>
        </w:rPr>
      </w:pPr>
      <w:r>
        <w:rPr>
          <w:rFonts w:hint="eastAsia" w:cs="宋体"/>
          <w:b/>
          <w:highlight w:val="none"/>
        </w:rPr>
        <w:t>31.代理费用的收取标准和方式（适用于有权收取代理费用的采购代理机构）</w:t>
      </w:r>
    </w:p>
    <w:bookmarkEnd w:id="38"/>
    <w:bookmarkEnd w:id="39"/>
    <w:bookmarkEnd w:id="46"/>
    <w:p>
      <w:pPr>
        <w:snapToGrid w:val="0"/>
        <w:spacing w:line="360" w:lineRule="auto"/>
        <w:ind w:firstLine="420" w:firstLineChars="200"/>
        <w:rPr>
          <w:rFonts w:ascii="宋体" w:hAnsi="宋体" w:cs="宋体"/>
          <w:b/>
          <w:sz w:val="36"/>
          <w:szCs w:val="36"/>
          <w:highlight w:val="none"/>
        </w:rPr>
      </w:pPr>
      <w:bookmarkStart w:id="47" w:name="_Toc176368904"/>
      <w:bookmarkStart w:id="48" w:name="第四部分"/>
      <w:r>
        <w:rPr>
          <w:rFonts w:hint="eastAsia" w:cs="宋体"/>
          <w:highlight w:val="none"/>
        </w:rPr>
        <w:t>本项目不收取代理服务费。</w:t>
      </w:r>
      <w:r>
        <w:rPr>
          <w:rFonts w:ascii="宋体" w:hAnsi="宋体" w:cs="宋体"/>
          <w:b/>
          <w:sz w:val="36"/>
          <w:szCs w:val="36"/>
          <w:highlight w:val="none"/>
        </w:rPr>
        <w:br w:type="page"/>
      </w:r>
    </w:p>
    <w:p>
      <w:pPr>
        <w:spacing w:line="360" w:lineRule="auto"/>
        <w:jc w:val="center"/>
        <w:outlineLvl w:val="0"/>
        <w:rPr>
          <w:rFonts w:ascii="宋体" w:hAnsi="宋体" w:cs="宋体"/>
          <w:b/>
          <w:sz w:val="36"/>
          <w:szCs w:val="36"/>
          <w:highlight w:val="none"/>
        </w:rPr>
      </w:pPr>
      <w:bookmarkStart w:id="49" w:name="_Toc29010"/>
      <w:r>
        <w:rPr>
          <w:rFonts w:hint="eastAsia" w:ascii="宋体" w:hAnsi="宋体" w:cs="宋体"/>
          <w:b/>
          <w:sz w:val="36"/>
          <w:szCs w:val="36"/>
          <w:highlight w:val="none"/>
        </w:rPr>
        <w:t>第三部分 采购需求</w:t>
      </w:r>
      <w:bookmarkEnd w:id="47"/>
      <w:bookmarkEnd w:id="49"/>
    </w:p>
    <w:p>
      <w:pPr>
        <w:spacing w:line="360" w:lineRule="auto"/>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标项1采购需求</w:t>
      </w:r>
    </w:p>
    <w:p>
      <w:pPr>
        <w:spacing w:line="360" w:lineRule="auto"/>
        <w:ind w:firstLine="482" w:firstLineChars="200"/>
        <w:jc w:val="left"/>
        <w:rPr>
          <w:rFonts w:cs="宋体" w:asciiTheme="minorEastAsia" w:hAnsiTheme="minorEastAsia" w:eastAsiaTheme="minorEastAsia"/>
          <w:szCs w:val="21"/>
          <w:highlight w:val="none"/>
        </w:rPr>
      </w:pPr>
      <w:r>
        <w:rPr>
          <w:rFonts w:hint="eastAsia" w:asciiTheme="minorEastAsia" w:hAnsiTheme="minorEastAsia" w:eastAsiaTheme="minorEastAsia"/>
          <w:b/>
          <w:bCs/>
          <w:sz w:val="24"/>
          <w:highlight w:val="none"/>
          <w:u w:val="single"/>
        </w:rPr>
        <w:t>注：“▲” 系指实质性要求条款。标注“★”的技术参数为重要指标参数</w:t>
      </w:r>
    </w:p>
    <w:p>
      <w:pPr>
        <w:spacing w:line="380" w:lineRule="exact"/>
        <w:ind w:firstLine="420" w:firstLineChars="200"/>
        <w:jc w:val="left"/>
        <w:rPr>
          <w:rFonts w:cs="宋体" w:asciiTheme="minorEastAsia" w:hAnsiTheme="minorEastAsia" w:eastAsiaTheme="minorEastAsia"/>
          <w:szCs w:val="21"/>
          <w:highlight w:val="none"/>
        </w:rPr>
      </w:pPr>
    </w:p>
    <w:tbl>
      <w:tblPr>
        <w:tblStyle w:val="62"/>
        <w:tblW w:w="5089" w:type="pct"/>
        <w:tblInd w:w="0" w:type="dxa"/>
        <w:tblLayout w:type="fixed"/>
        <w:tblCellMar>
          <w:top w:w="0" w:type="dxa"/>
          <w:left w:w="108" w:type="dxa"/>
          <w:bottom w:w="0" w:type="dxa"/>
          <w:right w:w="108" w:type="dxa"/>
        </w:tblCellMar>
      </w:tblPr>
      <w:tblGrid>
        <w:gridCol w:w="849"/>
        <w:gridCol w:w="1896"/>
        <w:gridCol w:w="5766"/>
        <w:gridCol w:w="798"/>
        <w:gridCol w:w="720"/>
      </w:tblGrid>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服务名称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主要性能指标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单位</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（一）</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网络服务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采购网络服务，要求提供至少以下配置设备，保障电子政务外网的稳定运行。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核心路由器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宋体"/>
                <w:kern w:val="0"/>
                <w:szCs w:val="21"/>
                <w:highlight w:val="none"/>
                <w:lang w:bidi="ar"/>
              </w:rPr>
            </w:pPr>
            <w:r>
              <w:rPr>
                <w:rFonts w:hint="eastAsia" w:ascii="宋体" w:hAnsi="宋体" w:cs="宋体"/>
                <w:kern w:val="0"/>
                <w:szCs w:val="21"/>
                <w:highlight w:val="none"/>
                <w:lang w:bidi="ar"/>
              </w:rPr>
              <w:t>服务要求提供至少2台核心路由器，提供三年服务。核心路由器至少满足如下配置：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▲1、设备安全可靠，要求设备具有国产自主知识产权（提供证明材料）；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2、采用控制、交换、转发物理分离设计，具备独立主控、交换矩阵、业务转发板卡；主控卡插槽≥2个, 交换槽位≥2个, 整机子卡槽位≥16个，电源模块插槽≥2个；设备主控板卡、业务转发板卡、业务子卡、风扇、电源等全部支持热插拔。</w:t>
            </w:r>
          </w:p>
          <w:p>
            <w:pPr>
              <w:widowControl/>
              <w:spacing w:line="360" w:lineRule="auto"/>
              <w:jc w:val="left"/>
              <w:rPr>
                <w:rFonts w:ascii="宋体" w:hAnsi="宋体" w:cs="宋体"/>
                <w:szCs w:val="21"/>
                <w:highlight w:val="none"/>
              </w:rPr>
            </w:pPr>
            <w:r>
              <w:rPr>
                <w:rFonts w:hint="eastAsia" w:ascii="宋体" w:hAnsi="宋体" w:cs="宋体"/>
                <w:kern w:val="0"/>
                <w:szCs w:val="21"/>
                <w:highlight w:val="none"/>
                <w:lang w:bidi="ar"/>
              </w:rPr>
              <w:t>3、设备配置主控卡2个，交换卡2个，业务母板卡2个，模块化电源4个，风扇2个；提供万兆光口（含模块）≥8个， 千兆光口（含模块）≥20个；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★4、交换容量≥240Tbps，包转发率≥86400Mpps；（</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5、具备静态路由、RIP/RIPng、OSPFv2/v3、ISISv4/v6、BGP4/4+、兼容EIGRP；</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6、IPsec支持国家密码管理局商密SM1、SM2、SM3、SM4加密算法；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7、具备100G、50G、40G、25G、10G、GE、155M/622M/2.5G POS、E1/CE1、155M CPOS等广域网接口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8、具备OSPF、BGP4、IS-IS路由协议SM3认证；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9、具备对配置文件、日志、操作记录文件进行 SM4 国密加密功能；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10、具备FlexE 网络切片，支持信道化子接口的网络切片，具备IFIT随流检测， 支持基于时延、带宽、安全性和可靠性等网络切片服务；；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 FIFO、PQ、FQ、WFQ、CBWFQ、LLQ、RSVP、CAR、HQoS、流量整形，HQoS层数≥5；</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 OSPFv2、OSPFv3、RIPv2、RIPng、ISISv4、ISISv6、BGP、BGP4+协议国密（SM3）安全认证功能；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13、要求设备具备GRE、IPSEC、NAT、L2TP等多业务功能，如果需要配置相应的LICENSE和硬件板卡才支持则必须配置；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★14、具备ISIS for SRv6、OSPFv3 for SRv6、BGP for SRv6 具备SRv6 BE、SRv6 TE Policy，支持SRv6业务链，具备SRv6 Flex-algo功能（</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实际配置支持IPv6静态路由、RIPng、OSPFv3、IS-ISv6、BGP4+；支持IPv4和IPv6双协议栈，具备静态路由、RIPng、OSPFv3、ISISv6、BGP4+等路由协议，具备DHCPV6，支持IPv4向IPv6的过渡技术，包括IPv6手工隧道、6to4隧道、GRE隧道等；（</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具备SDWAN控制器管理，提供网络SDN控制功能、网络管理功能、网络分析功能。配合制器提供配置管理、网络设备状态/路由状态/宗流量状态采集、流量调度、路径调优、策略订制、网络切片、分片管理、业务保障、智能分析、故障定位等集中管控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17、采用双 WAN 口及以上设计，具备链路聚合与智能选路功能；具备双 WAN 双活/主备模式，并可实现策略路由；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18、要求在5部委（安全认证和安全检测结果）目录内以及提供《网络关键设备证书》。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汇聚路由器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服务要求提供至少5台汇聚路由器，提供三年服务，满足汇聚需求。汇聚路由器至少满足如下配置：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▲1、设备核心元器件CPU，内存安全可靠，要求设备具有国产自主知识产权（提供证明材料）；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★2、具备主控板卡和业务转发板卡；主控卡插槽≥2个,业务处理卡插槽≥1个, 线卡插槽≥8个, 电源模块插槽≥2个；配置主控卡2个，业务转发卡1个，100G接口≥1个，万兆光口（含模块）≥4个，千兆光口（含模块）≥20个，千兆电口≥8个，冗余双电源；(提供官网截图或产品彩页等证明材料)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★3、交换容量≥160Gbps ，包转发率≥120Mpps；（</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4、具备10G、GE、155M/622M/2.5G POS、E1/CE1、155M CPOS等广域网接口；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5、具备静态路由、静态路由、RIP、OSPF、BGP4、IS-IS、兼容EIGRP；</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6、具备IPSEC国密SM1、SM2、SM3、SM4加密算法；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7、具备OSPF、BGP4、IS-IS路由协议SM3认证；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8、安全功能具备CPU保护、配置文件加密、日志加密功能；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9、QOS具备 FIFO、PQ、FQ、WFQ、CBWFQ、LLQ、RSVP、CAR、HQoS、流量整形，HQoS层数≥5。</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10、具备PIM-SM/DM、PIM-SSM/SDM、MSDP、MVPN组播路由协议；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11、设备具备GRE、IPSEC、NAT、L2TP等多业务功能，如果需要配置相应的LICENSE和硬件板卡才支持，则必须配置；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12、可靠性具备IP FRR、MPLS FRR；</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13、具备ISIS for SRv6、OSPFv3 for SRv6、BGP for SRv6 具备SRv6 BE、SRv6 TE Policy，具备SRv6业务链，具备SRv6 Flex-algo功能，具备IFIT随流检测，具备FlexE网络切片、信道化子接口 支持基于时延、带宽、安全性和可靠性等网络切片服务；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实际配置支持IPv6静态路由、RIPng、OSPFv3、IS-ISv6、BGP4+；具备IPv4和IPv6双协议栈，具备静态路由、RIPng、OSPFv3、ISISv6、BGP4+等路由协议，具备DHCPV6，支持IPv4向IPv6的过渡技术，包括IPv6手工隧道、6to4隧道、GRE隧道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15、采用双 WAN 口及以上设计，具备链路聚合与智能选路功能；具备双 WAN 双活/主备模式，并可实现策略路由；</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16、在5部委（安全认证和安全检测结果）目录内以及提供《网络关键设备证书》。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接入路由器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提供满足350家委办局接入和55家重点单位备用线路需求，提供三年服务。提供服务的设备配置至少满足如下要求：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▲1、路由器主机CPU、内存等设备核心元器件安全可靠，要求设备具有国产自主知识产权（提供证明材料）；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▲2、路由器主机提供个万兆SFP+光口≥2个，千兆电口≥4个，千兆光口≥2个，LAN千兆电口≥24个，业务板槽位数≥4个，1个console接口，交流电源。(提供官网截图或产品彩页等证明材料)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★3、交换容量:100Gbps,包转发率≥40Mpps；（</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p>
          <w:p>
            <w:pPr>
              <w:widowControl/>
              <w:numPr>
                <w:ilvl w:val="0"/>
                <w:numId w:val="2"/>
              </w:numPr>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具备千兆光、千兆电、E1/CE1、高速串口，155M POS等接口，设备所有业务板卡支持热插拔；</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5、具备配置文件加密功能，支持history文件加密功能；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6、具备静态路由、RIP、OSPF、BGP4、IS-IS、RIPng、OSPFv3、BGP4+、兼容EIGRP；</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7、具备并实配Ripv2和OSPFv2国密（SM3）认证功能；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8、具备ACL安全过滤、NAT、PPP加密、L2TP、GRE、策略路由、AAA、SSH、IPSec VPN；</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9、QOS具备FIFO、PQ、FQ、WFQ、CBWFQ、LLQ、RSVP、CAR、流量整形，HQoS层数≥4；</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10、设备具备双Boot、双IOS备份功能；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11、设备主机系统不存在高、中风险级别安全漏洞；</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12、具备IPv4和IPv6双协议栈，具备IPv4向IPv6的过渡技术，包括：IPv6手工隧道、自动隧道、6to4隧道、GRE隧道、ISATAP等；具备IPv6 ND，IPv6 PMTU，IPv6 FIB，IPv6 ACL，SRv6，SRv6 Policy，ICMPv6，DNSv6，DHCPv6等；</w:t>
            </w:r>
          </w:p>
          <w:p>
            <w:pPr>
              <w:widowControl/>
              <w:numPr>
                <w:ilvl w:val="255"/>
                <w:numId w:val="0"/>
              </w:numPr>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13、实际配置具备IPv6静态路由、RIPng、OSPFv3、IS-ISv6、BGP4+；具备IPv4和IPv6双协议栈，具备静态路由、RIPng、OSPFv3、ISISv6、BGP4+等路由协议，具备DHCPV6，具备IPv4向IPv6的过渡技术，包括IPv6手工隧道、6to4隧道、GRE隧道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14、采用双 WAN 口及以上设计，具备链路聚合与智能选路功能；具备双 WAN 双活/主备模式，并可实现策略路由。</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网络控制器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服务要求提供至少1套网络控制器，提供三年服务。网络控制器至少满足如下配置：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1、平台架构：产品支持物理机及虚拟机部署，支持单节点、集群部署，支持集群任一节点出现故障后，业务不中断，本次实际采用单节点物理机部署，提供配套国产芯片硬件服务器1台；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2、产品应具备一套软件，最大管理规模不小于20W网元设备，及70W在线终端。具备单集群平滑扩容到多集群；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3、具备意图开局，产品具备场景化模板建网，具备通过图形化，拖拽式定义配置模板，灵活定义变量，并应用于网络业务的批量创建；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4、基于VxLAN的虚拟网络自动化部署能力，具备基于GUI的Fabric规划、配置和发放功能，端到端VxLAN网络自动化部署，实现业务隔离、一网多用；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5、具备多种身份源组合的多因子认证，如账号+RADIUS token，密码+短信，TACACS+RADIUS Token，以及SSL VPN方式的双因子认证；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6、具备多链路智能选优。可实现基于链路、应用的丢包、时延作为链路切换指标；具备基于链路负载作为链路切换指标。可设置主备链路规则和策略优先级等方式，对多链路进行智能选路；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7、具备基于应用的多路包复制技术，具备自适应前向纠错A-FEC功能；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8、具备通过空口调度策略，定义VIP用户优先接入网络，并享有专用带宽，无VIP用户流量时非VIP用户也能使用全部带宽；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9、网络全息可视，在一张数字地图上清晰呈现网络、用户、终端和应用等四个维度的信息；</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网络分析器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服务要求提供至少1套网络分析器，提供三年服务。网络分析器至少满足如下配置：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1、平台架构：产品具备物理机及虚拟机部署，具备单节点、集群部署，具备集群任一节点出现故障后，业务不中断，本次实际采用单节点物理机部署，提供配套国产芯片硬件服务器1台；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2、数据采集：具备通过Telemetry采集数据，具备GRPC协议，支持NetStream；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3、具备基于分级区域查看多维度数据统计视图，系统具备设备环境、设备容量、网络性能、网络状态和网络协议五大有线类问题的智能识别，提供问题列表，以及根因分析；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4、接入回放：具备基于所有用户接入的关联、认证、DHCP三个阶段，进行协议级别的过程呈现，提供用户接入过程问题的精细化分析，并提供用户接入失败的根因与排障建议；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网络问题自动识别，主动预测，具备基于大数据分析和机器学习算法，自动识别常见网络问题：连接类、空口性能类、漫游类，以及设备环境、设备容量、网络性能和网络状态问题，包括认证失败、弱信号覆盖、非5G优先、网络拥塞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6、具备基于应用/流配置iPCA2.0/iFIT实现对网络中丢包和时延进行实时监控；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主流应用分析：系统具备精准识别1K+主流应用，具备基于多种维度的应用流量统计，具备感知主流应用质量，识别质差应用，并对质差应用流进行故障定界。应用可视和质量感知具备边缘设备检测，可识别和感知东西、南北向应用及其质量，应用故障定界通过IPCA技术，进行应用路径呈现和应用故障定界定位。具备对接Zoom、Teams视频会议服务器，可对会议状态及与会人终端侧情况进行质量监控和分析。</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管理交换机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服务要求提供至少2台管理交换机，提供三年服务。管理交换机至少满足如下配置：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1、全千兆三层交换机，千兆光口≥24个，万兆SFP+光口≥4个，业务扩展槽(可扩展10G、40G接口)≥1个，模块化电源插槽≥2个，Console接口1个，2个电源模块；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2、交换容量≥880Gbps；包转发率≥330Mpps；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3、CPU使用国产自主安全CPU,交换芯片使用国产自主安全交换芯片；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4、具备端口的负载均衡、具备LACP，每个链路聚合组最少具备32个成员端口；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5、MAC地址容量≥256K，FIB表容量≥80K；</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6、具备静态路由、RIP、OSPF/OSPFv3、ISIS/IS-ISv6、BGP/BGP4+等动态路由协议；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7、具备MPLS L3 VPN，MCE；</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8、QOS支持SP, WRR, WDRR, RR，SP+WRR, SP+WDRR调度方式，支持流量整形；</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9、具备并实配横向、纵向虚拟化功能，具备分布式设备管理、分布式链路聚合，统一路由管理；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10、具备并VXLAN功能，具备二层,三层VXLAN网关，具备集中式分布式网关，支持BGP-EVPN协议；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11、具备CPU 保护功能，如ICMP Flood拦截、SYN Flood攻击拦截等，具备CPU根据不同协议进行限速保护。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12、安全可靠支持配置文件加密，保护设备配置信息泄露；</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13、具备并实配RIP、OSPF路由协议的国密认证功能；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14、具备IPFIX或sflow或Netstream；具备通过Netconf配置；支持ZTP，零配置自动下发；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15、具备IPv4/IPv6双协议栈、具备IPV4-in-IPV6、IPV6-in-IPV4、IPV6-in-IPV6，具备IPv6 over IPv4隧道（手工隧道/6to4隧道/ISATAP/GRE隧道）。</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网络安全等级保护测评</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根据桂财建〔2023〕102号，提供系统等保第三级每年测评报告，本次需提供3年服务。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运维管理服务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提供运维管理服务，需部署一套符合《广西电子政务外网技术规范（2022年修订版）》要求的运维管理平台，提供三年维保服务；提供1名驻场服务人员，保障电子政务外网相关设备的正常运行。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运维管理平台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服务要求提供1套运维管理平台，提供三年服务。运维管理平台至少满足如下要求：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含2台国产化服务器，服务器的要求：单台配置≥2.4GHZ/16C 32线程，32G内存，硬盘A≥500G，硬盘B ≥1T，网口≥1000M；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运维管理平台需包括但不限于功能如下：提供资源管理、统一网络管理、服务器、数据库管理、虚拟化平台管理、存储管理、拓扑管理功能，告警管理、数据仓库、发现管理、策略管理、模型管理、采控管理、通知管理、权限认证管理报表管理等，提供三年维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2、配置资源授权需包含但不限于：资源授权（PC、云/虚拟化主机、存储、操作系统、中间件、数据库、web服务、IPMI服务器硬件的授权）≥50个。网络设备授权≥200个。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根据《广西电子政务外网技术规范（2022年修订版）》中对广西电子政务外网运维管理系统要求，所提供运维管理系统需按照自治区相关文件以及《广西电子政务外网一体化运维管理平台对接技术方案》要求进行无缝对接，确保数据传输安全、稳定。</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一、系统架构</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 为保证系统平台的统一性，要求软件/模块必须使用同一品牌，所有软件/模块必须拥有完全自主知识产权，能独立研发、自主可控，全中文界面，提供友好、直观、易懂的图形呈现。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 部署安装符合国家安全可靠测评的操作系统产品及型号，确保系统安全性；应当具备主流浏览器及对应的版本，兼容国产核心浏览器产品、Firefox94等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 部署的服务器芯片支持国产和非国产主流产品。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二、健康检查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为了减轻系统运维人员的重复工作，系统应提供设备自动巡检功能。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1、巡检内容包括服务器、网络设备、应用、无线、虚拟化、存储、机房环境等所有管理对象。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2、巡检的计算方式应包括：符合条件的次数达到设定的阈值、连续的值符合设置的阈值、最后一次值符合设定的阈值、最后一次值与上一次值是否相同</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3、巡检应支持自定义多个巡检任务面向不同的管理对象，设定巡检时间。巡检结束后应生成巡检报告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三、IP地址管理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为了支撑网络运维进行有序、合理的IP地址规划、IP地址分配与回收，需支持以下需求：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1、具备通过自动发现的方式，自动汇聚网段，支撑IP地址的规划管理。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2、具备通过手动方式进行IP地址网段的录入，以实现规划管理。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3、IP地址的属性需要支持自由扩展，以便于应对日后的业务变化。</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四、报表中心</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为了满足常见的数据分析和汇报场景，应具备系统全数据统计分析能力，具体需求如下：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1、应能内置数据分析模板和组件，模板和组件的统计对象必须包括但不限于资源、告警、流量、链路等。具备基于模板或组件一键生成报表。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2、应能对系统可监控的资源、组件进行全类型、全属性、全指标的统计分析。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3、指标需要支持按平均值、最大值、最小值等不同方式计算和统计。|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4、能够在同一组件完成多个资源的指标趋势比对分析，也能够在同一组件下分析同一资源的多个相关指标趋势。</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五、关键链路监控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为了帮助运维人员快速排查关键链路故障，系统需具备以下能力：</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1、当关键链路中断时，系统应能在30秒内产生告警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2、当关键链路产生中断告警后，如果链路两端接口同样中断，可以将告警关联呈现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3、支持在关键链路告警详情中对可能引起故障的指标进行关联分析，如端到端ping时延、端到端ping丢包率、端到端ping状态、端到端ping抖动、两端接口的丢包数、错包数等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4、支持在关键链路告警详情中自定义关联分析的指标，如选择其他链路的指标进行趋势分析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六、分级管理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为了满足多级组织的管理需求，满足上级对下级的管理，提供以下能力：</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1、可以提供查看所有下级上报单位的重要设备告警信息。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2、对于重点关注告警，可以提供列表进行单独呈现。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驻场服务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提供1名驻场人员，提供3年驻场服务，保障网络设备、安全设备、密码设备等的正常运行。服务内容包括但不限于负责对电子政务外网、互联网等各类型网络的运维保障；负责网络设备、安全设备、密码设备等设备的运行安全监测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安全服务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采购安全服务，要求提供至少以下配置的设备，保障电子政务外网的稳定运行。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态势感知分析平台（安全监测平台）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服务要求提供1套态势感知分析平台（安全监测平台），提供三年服务。平台至少满足如下要求：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硬件服务器以及操作系统，配置：国产化CPU: 2颗（≥16核心32线程,≥主频2.5GHz ）；内存： ≥256G（总容量）DDR4；硬盘1：2块960G SSD固态硬盘组成Raid 1；硬盘2：≥12*4TB企业级SATA 3.5寸硬盘，总容量48T；服务器操作系统；</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系统软件基础功能，包含威胁检测、分析中心、响应中心、资产中心、统计报表、仪表板、系统管理、态势感知（综合安全态势、安全运营态势、外部威胁态势、内网威胁态势、威胁预警态势、攻击者态势、资产态势、资产风险态势、脆弱性态势）等功能，包含3年受权及软件基础维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按照《广西电子政务外网安全监测技术及级联接口规范要求》要求，实现与自治区安全监测平台进行对接，提供政务监测数据对接的自治区安全监测平台定制功能，通过级联管理类接口、监测数据上报接口、信息共享与通报接口3类接口与下级平台实现级联互通，数据共享，同时对所有下级平台上报的数据进行管理。（提供详细技术对接方案）</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3、提供3年件威胁情报失陷情报库更新服务，3年漏洞知识库更新服务。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3.具备基于威胁情报的威胁检测，检测类型包含APT事件、僵尸网络、勒索软件、流氓推广、窃密木马、网络蠕虫、远控木马、其他恶意软件，并可自定义威胁情报；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4.具备与云端威胁情报中心联动，可对攻击IP、C&amp;C域名和恶意样本MD5进行一键搜索，查看基本信息、相关样本、关联URL、可视化分析、域名解析、注册信息、关联域名、数字证书等；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5.威胁具备按照威胁事件视图、受害主机视图、受害服务器视图、受害用户视图、威胁视图进行分类展示；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6.威胁告警类别需要包括webshell上传、网页漏洞利用、网络攻击、APT事件、远控木马、窃密木马、僵尸网络、勒索软件、黑市工具、网络蠕虫、恶意样本执行、恶意样本投递；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7.提供一键查询威胁事件详情，威胁事件详情需要包括告警来源、威胁类型、威胁名称、威胁情报IOC、已经相关的会话记录；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8.支持与本项目的防火墙进行联动，发现威胁事件后支持对攻击IP、恶意域名和受害资产的流量进行阻断，将策略下发给防火墙，由防火墙执行阻断；</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9.支持与杀毒软件或终端安全管理系统进行联动，实现恶意文件的查杀、被感染主机的网络隔离；</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威胁事件的追踪溯源分析能力，可基于事件告警进行调查分析，对攻击过程进行可视化展现，可展示命中威胁情报的内部主机之间的连接行为，能输出完整的基于时间序列和攻击链的事件报告，事件报告支持word格式导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态势感知流量探针</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服务要求提供4台国产化态势感知流量探针，提供三年服务。态势感知流量探针至少满足如下配置要求：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标准2U机架式设备，配置≥6个千兆电口，2个万兆光口，不少于2个接口扩展插槽，硬盘存储≥4TB，≥2个USB3.0接口，交流电源，含威胁检测系统软件；提供现场安装和培训服务，提供三年的硬件维保服务、三年软件及检测规则升级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2.系统应用层吞吐量≥3Gbps，并发会话数≥300万/s，新建会话数≥3万/s；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3.能够支持对常见扫描以及远控木马的检测；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4.能够通过双向流量检测的方式发现可被利用的SQL注入、跨站、命令执行等web漏洞，并记录已经发生过的攻击事件和相关报文；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5.支持通过沙箱技术精确检测多种针对PHP语言环境的WEBSHELL攻击；</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★6.具备对web漏洞利用检测规则、入侵检测规则等多种规则的配置，选择，可以有针对性的选择部分规则开启；（</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★7.能够对网络通信行为进行还原和记录，以供安全人员进行取证分析，还原内容包括：TCP会话记录、Web访问记录、SQL访问记录、DNS解析记录、文件传输行为、LDAP登录行为；（</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8.具备对流量中出现文件传输行为进行发现和还原，将文件MD5发送至分析平台；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9.具备对HTTP、SMTP、POP3、IMAP、FTP、MSSQL、MYSQL、ORACLE、POSTGRESQL、LDAP、DNS、SSL、TDS、TFTP等协议的分析和还原；</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10.具备对文件传输协议进行还原和分析，可分析的协议至少包含如下：邮件（SMTP、POP3、IMAP、webmail）、Web（HTTP）、FTP、SMB；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11.具备对常见可执行文件的还原：EXE、DLL、OCX、SYS、COM、apk等；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12.具备对常见压缩格式的还原：RAR、ZIP、GZ、7Z等；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抗拒绝服务系统</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服务要求提供2台抗拒绝服务系统，提供三年服务。抗拒绝服务系统至少满足如下配置要求：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国产化抗拒绝服务系统，流量清洗能力为≥4Gbps，64字节小包处理能力为≥568万，主机防护数量为≥20万，新建连接数为≥39万，并发连接数≥1100万，标准2U机箱，64G SSD硬盘，单电源，2个独立MGT管理口，配置4 个10/100/1000M 自适应电口、2 个万兆光口，8 个SFP 插槽，1个扩展卡插槽，1个console口，2个USB口，包含3年软件质保服务，3年硬件质保服务。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政务外网防火墙</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服务要求提供2台政务外网防火墙，提供三年服务。政务外网防火墙至少满足如下配置要求：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标准2U设备，配置1个管理网口，1个HA接口，4个千兆电口、4个万兆光口，另有2个扩展板卡插槽，冗余电源；采用国产化CPU和国产化操作系统；配置三年硬件维保及三年应用识别库、URL分类特征库、病毒防护特征库、入侵防御特征库升级服务及威胁情报订阅服务；（</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★2.网络层吞吐量：最大吞吐量≥60Gbps，并发连接数≥3000万，每秒新建连接数≥70万/秒，配置IPSec VPN及SSL VPN≥60个；（</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3.产品支持路由、透明、交换以及混合模式接入，满足复杂应用环境的接入需求；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4.具备静态路由、动态路由、策略路由，动态路由包括RIP v1/v2/ng、OSPF、BGP等；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5.具备防御IP地址欺骗，可将IP与安全域关联，即指定IP或网段从特定安全域流量流入，否则视为IP地址欺骗；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6.具备在IPv6环境下配置安全策略、SSL解密策略等规则，实现漏洞防护、间谍软件防护、URL过滤、反病毒、内容过滤、文件过滤、邮件过滤、行为管控及带宽管理；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7.产品具备基于不同安全区域防御SYN Flood、UDP  Flood、ICMP  Flood、IP  Flood、DNS Flood、HTTP Flood攻击，并具备警告、丢弃、普通防护（首包丢弃）、增强防护（TC反弹技术）等多种防护措施；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8.具备上传、下载、双向的文件内容过滤；内容过滤至少支持html、doc、docx、xls、xlsx、ppt、pptx、chm、7z等多种常见文件类型；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9.产品具备灵活的服务链编排功能，支持串接链和旁路链，支持网元组的方向和位置设置；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10.具备冗余策略分析功能，系统可自动检测别列出与某一策略存在冗余关系的其他策略；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11.具备全面的NAT转换能力，支持对源目的地址、端口的转换；包括一对一，一对多，多对一，多对多地址转换方式；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12.具备虚拟防火墙功能，支持在虚系统内进行病毒防护、漏洞利用防护、间谍软件防护、URL过滤、文件过滤、内容过滤、邮件过滤、行为管控等安全功能，并可支持对本虚系统内产生的日志进行独立审计；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13.具备与云端联动，实现病毒云查杀、URL云识别、应用云识别、云沙箱等功能，以通过安全云系统提升识别库数量级，补充本地识别库；</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互联网出口防火墙</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服务要求提供2台互联网出口防火墙，提供三年服务。互联网出口防火墙至少满足如下配置要求：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标准2U设备，配置1个管理网口，1个HA接口，4个千兆电口、4个万兆光口，另有2个扩展板卡插槽，冗余电源；采用国产化CPU和国产化操作系统；配置三年硬件维保及三年应用识别库、URL分类特征库、病毒防护特征库、入侵防御特征库升级服务及威胁情报订阅服务；（</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★2.网络层吞吐量：最大吞吐量≥60Gbps，并发连接数≥3000万，每秒新建连接数≥70万/秒，配置IPSec VPN及SSL VPN≥60个；（</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3.产品支持路由、透明、交换以及混合模式接入，满足复杂应用环境的接入需求；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4.具备静态路由、动态路由、策略路由，动态路由包括RIP v1/v2/ng、OSPF、BGP等；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5.具备防御IP地址欺骗，可将IP与安全域关联，即指定IP或网段从特定安全域流量流入，否则视为IP地址欺骗；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6.具备在IPv6环境下配置安全策略、SSL解密策略等规则，实现漏洞防护、间谍软件防护、URL过滤、反病毒、内容过滤、文件过滤、邮件过滤、行为管控及带宽管理；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7.产品支持基于不同安全区域防御SYN Flood、UDP  Flood、ICMP  Flood、IP  Flood、DNS Flood、HTTP Flood攻击，并具备警告、丢弃、普通防护（首包丢弃）、增强防护（TC反弹技术）等多种防护措施；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8.具备上传、下载、双向的文件内容过滤；内容过滤至少支持html、doc、docx、xls、xlsx、ppt、pptx、chm、7z等多种常见文件类型；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9.产品具备灵活的服务链编排功能，支持串接链和旁路链，支持网元组的方向和位置设置；</w:t>
            </w:r>
          </w:p>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10.具备冗余策略分析功能，系统可自动检测别列出与某一策略存在冗余关系的其他策略；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11.具备全面的NAT转换能力，支持对源目的地址、端口的转换；包括一对一，一对多，多对一，多对多地址转换方式；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12.具备虚拟防火墙功能，支持在虚系统内进行病毒防护、漏洞利用防护、间谍软件防护、URL过滤、文件过滤、内容过滤、邮件过滤、行为管控等安全功能，并可支持对本虚系统内产生的日志进行独立审计；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13.具备与云端联动，实现病毒云查杀、URL云识别、应用云识别、云沙箱等功能，以通过安全云系统提升识别库数量级，补充本地识别库；</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互联网出口上网行为管理</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服务要求提供2台互联网出口上网行为管理，提供三年服务。互联网出口上网行为管理至少满足如下配置要求：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U硬件设备，标配≥6个千兆电接口（其中含1个管理接口和1个HA接口），≥4个千兆光接口，≥4个万兆光接口，提供1个扩展插槽，2T机械硬盘，冗余交流电源，配置国产化CPU，国产化操作系统；提供三年硬件质保及三年URL库、应用协议库软件升级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2.适合2G带宽/25000人以下网络环境使用；最大并发连接数为≥300万，最大新建连接数为≥90000/秒；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3.应用协议库包含的应用数量不低于7100种，应用规则总数不低于30000种，URL数据不低于1.5亿条，移动应用不少于1000种；</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4.可识别用户上网设备类型并作为策略条件，可将IP、IP段、VLAN作为策略条件；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★5.具备基于用户、时间、应用、源IP、目的IP和服务创建流量控制策略；（</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6.可以基于IP、MAC、终端类型等多因素进行用户认证、识别；</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7.可以为用户添加多属性，并根据用户的属性（如职位、部门、电话、邮件等）自动进行用户分类，根据分类的结果做审计、控制策略；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8.具备对QQ账号制定策略，对聊天、登录及文件传输的行为进行记录与控制；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9.提供对微信PC版进行行为和内容审计、记录发送/接受信息的微信账号；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10.当用户的网页访问被网页浏览策略封堵时，用户如果发现分类错误能够在页面中向管理员进行反馈；不同网页被阻塞后会跳转不同的阻塞页面，支持用户完全自定义；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11.支持与终端杀毒软件联动，为终端杀毒软件配置推送部署策略，并能够通过终端杀毒软件获取到PC系统信息、漏洞情况，并具备对这些信息进行准入策略设置；</w:t>
            </w:r>
          </w:p>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12.具备利用微信公众号进行网络接入的身份准入认证；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13.Webmail基于发件人、收件人、主题、内容、附件名、附件大小维度进行记录、告警；支持根据邮件主题、正文关键字进行阻塞并进行告警；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★14.可审计Oracle，MySql，SqlServer，PostgreSQL等数据库的访问与操作，包括添加、删除、修改、查询等；（</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日志收集与分析系统</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服务要求提供1台日志收集与分析系统，提供三年服务。日志收集与分析系统至少满足如下配置要求：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1、硬件规格：国产 CPU，国产操作系统，标准2U机箱，提供≥6 * 千兆自适应电口，≥4 * 千兆光口，≥2个扩展插槽，≥1个Console接口。包含至少300个日志源授权，内置256GB mSATA卡，提供可插拔4TB SATA硬盘存储海量日志。3年硬件维保服务和3年软件升级维护服务。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2、性能：综合日志处理性能3000EPS，日志采集处理均值6000EPS；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3、配置国密卡，支持SM1、SM2、SM3、SM4等国密算法；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★4、具备对各类网络设备、安全设备、工作站、存储设备、机房设备、其他设备、中间件、数据库、防病毒系统、服务器系统的日志、事件、告警等安全信息进行全面的审计；（</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★5.具备通过Syslog、SNMP Trap、Netflow V5、JDBC、WMI、文件\文件夹读取、Kafka等多种方式完成各种日志的收集功能；（</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6.具备对资产日志进行过滤，设置允许接收和拒绝接收日志，并可以对资产设置一定时间范围内未收到事件后进行主动告警；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7.具备对资产IP地址（含内网IP）的地理信息进行管理，设置单IP及IP段行政区及经纬度，支持地图显示；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8.具备对日志进行归一化处理并保留原始日志，方便用户对关键日志快速定位和事后取证；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9.具备日志范化策略，针对匹配的多条范化策略，系统支持用户手工设置策略匹配优先级，保证最佳范化策略匹配；</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10.具备对日志中的源和目的IP地址进行自动补全，补全IP地址的资产、国家、区域和城市等信息；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国密综合安全网关</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服务要求提供1台综合安全网关，提供三年服务。网关至少满足如下配置要求：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机箱规格：标准2U机架式；网络接口：默认6个千兆电口，3个前置扩展插槽；（每个扩展槽可扩展2/4个千兆电口,2/4个千兆光口，2/4个万兆光口）其他接口：≥2个USB接口；电源：220V，550W冗余电源,支持热插；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SSL最大并发数：≥10,000；SSL每秒新建数：≥2,000；SSL吞吐率：≥600Mbps。IPSec隧道数：≥5,000；IPSec每秒新建隧道：≥2,000；IPSec吞吐率：≥1Gbps；明文最大并发连接数：50万；明文每秒新建连接数：50,000。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功能指标：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1、具备IPSec VPN功能，支持国际RSA和国密SM2算法的隧道建立；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2、具备NAT穿透功能；支持IKEv1.0、IKEv1.1、IKEv2.0标准协议；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3、具备SSL VPN功能，支持TUN模式和TAP模式；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4、具备配置服务端路由表，以同步到客户端设备，支持配置lzo压缩模式；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5、具备单向及双向SSL卸载功能，且单个SSL服务可同时兼容国际算法及国密算法套件，并可通过管理界面进行切换或自适应切换；</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6、采用多芯片嵌入式密码模块装置，内置至少16个国密局认证安全芯片，芯片采用集群调度，单个芯片故障不影响整机运行；</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7、提供设备可视化监控功能，包括密钥数据、CPU/内存/硬盘占用率、服务状态、设备密码运算状态等资源的实时监控；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8、提供设备自检功能，至少包括随机数、算法正确性、密钥数据完整性、软固件完整性自检成功、设备产品自检，并支持设置设备定时自检；</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9、具备IPv6网络协议；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10、提供SSL卸载网关SDK支持客户端SDK，集成到客户的C/S和B/S架构应用代码，实现发起国密SSL请求；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11、具备并提供商用密码检测认证中心颁发的《商用密码产品认证证书》。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（四）</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密码服务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采购密码服务，要求提供的设备能为电子政务外网的网络层面提供基础密码保障。</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加解密服务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（服务器密码机）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服务要求提供1台密码机，提供三年服务。密码机至少满足如下配置要求：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1）具备SM1/2/3/4等国密算法；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2）提供非对称密钥的签名/验签、数字信封/解信封、摘要功能，提供对称算法的ECB/CBC/CFB/OFB模式的加解密功能，提供CMAC和HMAC功能；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3）提供多种调用接口，支持GM/T0018、GM/T0019、JCE、PKCS11接口，支持http服务接口调用；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4）具备非对称密钥和对称密钥的安全生成、存储、销毁；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5）管理员、审计员等数字证书支持多CA信任链和多级CA信任链管理；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6）具备javaKeystore的创建配置、证书请求、证书导入/导出、信任证书导入，keystore容器类型支持TrustedCertEntry和PrivateKeyEntry；</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7）设备具备密钥数据备份恢复，恢复时要求采用门限严格控制操作权限；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8）设备采用管理密钥-用户密钥-会话密钥的三层密钥保护结构，实现密钥安全防护；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9）可生成真随机数，随机数质量符合国家密码标准要求；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集群管理：支持HA高可用集群配置，支持节点的单机与HA模式切换、主从切换；支持在集群主节点和从节点查看集群列表信息（集群名、节点ip、节点模式、状态信息、数据迭代版本、创建时间、更新时间等）；（</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11）具备并提供商用密码检测认证中心颁发的《商用密码产品认证证书》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12）产品需适配国产CPU、国产服务器操作系统、国产数据库、国产应用服务器软件。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★13）Keystore管理：设备支持keystore的配置管理功能（</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14）设备具备通过SNMP协议监控设备状态，支持syslog配置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★15）设备具备密钥备份恢复功能（提供设备厂家产品说明书等证明材料或国家认可的第三方测评报告）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性能指标：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1）SM2：密钥生成：120000对/秒、签名/验签：120000/65000次/秒、加密/解密：35000/50000次/秒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2）SM4：≥870Mbps、SM3：≥860Mbps、SM1≥870Mbps</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国密浏览器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服务要求提供150套国密浏览器，提供三年服务。国密浏览器至少满足如下配置要求：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1)产品具有《商用密码产品认证证书》；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2）浏览器使用SM2/SM3/SM4国密算法；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3）可实现SSL单双向安全协议，与Web服务器之间建立安全通道，保证Web网页访问的安全性；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4)具备第三方电子认证中心签发的数字证书；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USBKey</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服务要求提供150套USBKey，提供三年服务。USBKey至少满足如下配置要求：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1、全面支持PKI应用，支持SM1/SM2/SM3/SM4系列算法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2、提供标准安全中间件接口CSP及国密接口；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3、适配X.509 v3标准证书格式，并实现多个密钥的存储；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4、适用于Windows、Linux、Mac OS以及国产化操作系统平台；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5、支持USB2.0、3.0、Android OTG接口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6、具备并提供国家密码管理局颁发的《商用密码产品认证证书》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个人证书</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服务要求提供150套个人证书，提供三年服务。个人证书至少满足如下配置要求：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1、通过数字证书确认网络中传递信息的个人身份，确保个人线上身份同线下身份一致；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2、利用数字证书进行数字签名，其作用与手写的签名具有同等法律效力；</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3、数字证书可以帮助发送方使用接收方的公钥对数据加密，而接收方则使用自己的私钥解密，实现信息安全传输。</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设备证书</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服务要求提供1套设备证书，提供三年服务。设备证书至少满足如下配置要求：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第三方CA机构签发的设备数字证书，使用国产密码算法，数字证书符合X.509 V3格式。CA机构须具备电子认证服务资质和电子政务电子认证服务资质证明。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商用密码应用评估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根据桂财建〔2023〕102号，提供第三级信息系统密评报告需每年测评，本次需提供3年服务。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（五）</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线路机柜租用服务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cs="宋体"/>
                <w:szCs w:val="21"/>
                <w:highlight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电子政务外网专线接入服务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1.350个委办局节点网络服务；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2.优化电子政务外网接入，根据实际接入单位终端的使用数量合理分配带宽，保证后期满足350家单位接入。1-50台的带宽不少于100M，51-100台的带宽不少于200M，100台以上的带宽不少于1000M；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3.接入线路应采用符合《广西电子政务外网市县节点技术规范》的线路技术；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4.提供3年租用服务。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互联网出口专线（主）</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1.3000Mbps带宽，3000M裸机互联网带宽裸机测试，上下行速率稳定在3000Mbit/s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2.公网ip地址56个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3.3年租用服务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条</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机柜租用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1.提供电子政务外网合规机房，物理安全满足网络安全等级保护第三级要求和密码应用三级要求，托管设备机房应有独立区域、独立门禁，监控保留不低于6个月；</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2.提供4个42U机柜，免费提供单个机柜满配时不低于4千瓦·时的电力供应，以满足安装于租用机柜内的电子政务外网设备（含标段2的准入系统的设备）的动力需求；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3.包含机房日常巡检、空调、UPS等基础物理设施；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4.提供3年机柜租用服务。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驻场服务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服务要求提供1名驻场人员，提供3年驻场服务，保障机房的正常运行，服务要求但不限于对精密空调系统、UPS系统、新风系统、供配电系统、动环监控系统等进行日常巡检、故障检测等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10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kern w:val="0"/>
                <w:szCs w:val="21"/>
                <w:highlight w:val="none"/>
                <w:lang w:bidi="ar"/>
              </w:rPr>
            </w:pPr>
            <w:r>
              <w:rPr>
                <w:rFonts w:hint="eastAsia" w:ascii="宋体" w:hAnsi="宋体" w:cs="宋体"/>
                <w:b/>
                <w:bCs/>
                <w:kern w:val="0"/>
                <w:szCs w:val="21"/>
                <w:highlight w:val="none"/>
                <w:lang w:bidi="ar"/>
              </w:rPr>
              <w:t>注：需接入350个单位，先行接入275个，后续根据需求增加。</w:t>
            </w:r>
          </w:p>
        </w:tc>
      </w:tr>
    </w:tbl>
    <w:p>
      <w:pPr>
        <w:spacing w:line="360" w:lineRule="auto"/>
        <w:ind w:firstLine="640" w:firstLineChars="200"/>
        <w:jc w:val="center"/>
        <w:rPr>
          <w:sz w:val="32"/>
          <w:szCs w:val="32"/>
          <w:highlight w:val="none"/>
        </w:rPr>
      </w:pPr>
      <w:bookmarkStart w:id="50" w:name="_Toc11298"/>
      <w:bookmarkStart w:id="51" w:name="_Toc176368905"/>
      <w:r>
        <w:rPr>
          <w:rFonts w:hint="eastAsia"/>
          <w:sz w:val="32"/>
          <w:szCs w:val="32"/>
          <w:highlight w:val="none"/>
        </w:rPr>
        <w:t>▲商务要求</w:t>
      </w:r>
    </w:p>
    <w:p>
      <w:pPr>
        <w:spacing w:line="360" w:lineRule="auto"/>
        <w:ind w:firstLine="420" w:firstLineChars="200"/>
        <w:jc w:val="left"/>
        <w:rPr>
          <w:szCs w:val="21"/>
          <w:highlight w:val="none"/>
        </w:rPr>
      </w:pPr>
      <w:r>
        <w:rPr>
          <w:rFonts w:hint="eastAsia"/>
          <w:szCs w:val="21"/>
          <w:highlight w:val="none"/>
        </w:rPr>
        <w:t>1、交付的时间及服务期限：自签订合同之日起60天内完成安装调试并通过验收交付使用，服务期限为3年。</w:t>
      </w:r>
    </w:p>
    <w:p>
      <w:pPr>
        <w:spacing w:line="360" w:lineRule="auto"/>
        <w:ind w:firstLine="420" w:firstLineChars="200"/>
        <w:jc w:val="left"/>
        <w:rPr>
          <w:szCs w:val="21"/>
          <w:highlight w:val="none"/>
        </w:rPr>
      </w:pPr>
      <w:r>
        <w:rPr>
          <w:rFonts w:hint="eastAsia"/>
          <w:szCs w:val="21"/>
          <w:highlight w:val="none"/>
        </w:rPr>
        <w:t>2、交付的地点：来宾市各部门。</w:t>
      </w:r>
    </w:p>
    <w:p>
      <w:pPr>
        <w:spacing w:line="360" w:lineRule="auto"/>
        <w:ind w:firstLine="420" w:firstLineChars="200"/>
        <w:jc w:val="left"/>
        <w:rPr>
          <w:szCs w:val="21"/>
          <w:highlight w:val="none"/>
        </w:rPr>
      </w:pPr>
      <w:r>
        <w:rPr>
          <w:rFonts w:hint="eastAsia"/>
          <w:szCs w:val="21"/>
          <w:highlight w:val="none"/>
        </w:rPr>
        <w:t>3、合同签订时间：自中标通知书发出之日起10日内。</w:t>
      </w:r>
    </w:p>
    <w:p>
      <w:pPr>
        <w:spacing w:line="360" w:lineRule="auto"/>
        <w:ind w:firstLine="420" w:firstLineChars="200"/>
        <w:jc w:val="left"/>
        <w:rPr>
          <w:szCs w:val="21"/>
          <w:highlight w:val="none"/>
        </w:rPr>
      </w:pPr>
      <w:r>
        <w:rPr>
          <w:rFonts w:hint="eastAsia"/>
          <w:szCs w:val="21"/>
          <w:highlight w:val="none"/>
        </w:rPr>
        <w:t>4、付款条件：本项目分两个标段实施，服务期限共计3年。项目费用按季度分期支付，每季度服务期满后，经考核评定后，由中标人向采购人书面申请支付年度费用，支付前中标人开具合法发票给采购人，采购人向财政部门申请费用及时付款。如遇财政资金使用困难，服务费不能及时支付，中标人不能以此为由停止采购内容的服务工作。</w:t>
      </w:r>
    </w:p>
    <w:p>
      <w:pPr>
        <w:spacing w:line="360" w:lineRule="auto"/>
        <w:ind w:firstLine="420" w:firstLineChars="200"/>
        <w:jc w:val="left"/>
        <w:rPr>
          <w:szCs w:val="21"/>
          <w:highlight w:val="none"/>
        </w:rPr>
      </w:pPr>
      <w:r>
        <w:rPr>
          <w:rFonts w:hint="eastAsia"/>
          <w:szCs w:val="21"/>
          <w:highlight w:val="none"/>
        </w:rPr>
        <w:t>甲方在应支付给乙方每期应支付费中拿出10%作为考核乙方服务质量费，根据《电子政务外网运维考核方案》考核得分情况对应支付费用。考核得分90分（含）—100分的，支付给乙方服务质量费的100%；80分（含）—89分的，支付给乙方服务质量费的90%；70分（含）—79分的，支付给乙方服务质量费的80%；60分（含）—69分的，支付给乙方服务质量费的70%；60分以下的本年度不支付服务质量费。若乙方连续两年考核每年考核分都在60分以下的，第三年甲方将不再进行考核，直接扣除当年的服务质量费。</w:t>
      </w:r>
    </w:p>
    <w:p>
      <w:pPr>
        <w:pStyle w:val="798"/>
        <w:spacing w:line="360" w:lineRule="exact"/>
        <w:ind w:firstLine="0" w:firstLineChars="0"/>
        <w:rPr>
          <w:bCs/>
          <w:sz w:val="21"/>
          <w:szCs w:val="21"/>
          <w:highlight w:val="none"/>
        </w:rPr>
      </w:pPr>
      <w:r>
        <w:rPr>
          <w:rFonts w:hint="eastAsia" w:hAnsi="宋体" w:cs="宋体"/>
          <w:bCs/>
          <w:kern w:val="0"/>
          <w:sz w:val="21"/>
          <w:szCs w:val="21"/>
          <w:highlight w:val="none"/>
        </w:rPr>
        <w:t>电子政务外网运维考核方案：</w:t>
      </w:r>
    </w:p>
    <w:tbl>
      <w:tblPr>
        <w:tblStyle w:val="62"/>
        <w:tblpPr w:leftFromText="180" w:rightFromText="180" w:vertAnchor="text" w:horzAnchor="page" w:tblpX="124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399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考核项目</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 xml:space="preserve"> 考核内容</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 扣分标准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巡检</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每周及重大节会前夕，对机房内IT硬件设备和运行环境设施进行一次全面巡检，对机房维护范围内公共，对机房维护范围内公共支撑软件和业务系统进行全面巡检和备份，并做好巡查记录。</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未按要求进行巡检， 备份等工作，每次扣 0.5 分。 </w:t>
            </w:r>
          </w:p>
          <w:p>
            <w:pPr>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预防性维护</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每月对维护范围内的软、硬件设备进行一次预防性维护服务，包括元器件检查、易耗品更换、软件升级等，并做好维护记录。</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未按要求进行预防性维护的，每次扣1分。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备品备件</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对维护范围内关键设备建立备品、备件。</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 设备损坏后未能按要求及时提供备品、备件的，一次扣1分。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工单处置</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按甲方要求完成工单任务处置，并提供相应证明材料</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无正当理由未按甲方要求完成的，一次扣1分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常驻人员</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常驻人员应遵守甲方相关规定，不得工作时间擅离岗位，不得做与服务无关的事情，服务热情周到。</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因服务质量被投诉的，经查实后一次扣 1 分；因违反法律法规、 工作纪律被有关部门通报或给甲方造成不良影响的，一次扣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运维报告</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 xml:space="preserve">根据甲方要求按期提交相关运维服务报告。 </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未按期提交相关报告的每五次扣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 xml:space="preserve">一级故障:全网瘫痪(网络或业务应用系统） </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汇聚层以上故障造成的大面积网络不通，或多个业务应用系统无法访问(50%以上)，及其他相当于此级别的故障。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实时响应并在 4小时内解决，超过4小时 ，故障每持续1小时扣除2分, 不足1小时按 照1小时计算.(不可抗力除外)。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 xml:space="preserve">二级故障:局部网络瘫痪 (网络或业务  应用系统)  </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局部网络不通造成部分人员不能正常上网；或30%以上业务应用系统无法访问，及其他相当于此级别的故障。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在 4小内解决，超4 小时，故障每持续1小时扣除 1.5分,不足 1 小时按照1小时计算。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三级故障:全网性能降低(网络或业务应用系统速度明显降低)</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大面积网络性能下降，速度慢，多个业务应用系统运行速度慢(50%以上)，及其他相当于此级别的故障。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在4 小内解决，超过4小时，故障每持续1小时扣1分，不足1 小时按照 1小时计算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 xml:space="preserve">四级故障: 局部网络性能降低(网络或业务应用系统速度明显降低) </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局部网络速度慢，或10%以上业务应用系统速度慢，一般告警1天内没有解决(特殊情况申请后可以延期，最长不超过5个工作日)及其他相 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在4小内解决，超过4 小时，故障每持续1小时扣 0.5 分，不足1 小时按照1小时计算 。</w:t>
            </w:r>
          </w:p>
          <w:p>
            <w:pPr>
              <w:spacing w:line="360" w:lineRule="exact"/>
              <w:rPr>
                <w:rFonts w:ascii="宋体" w:hAnsi="宋体" w:cs="宋体"/>
                <w:szCs w:val="21"/>
                <w:highlight w:val="none"/>
              </w:rPr>
            </w:pPr>
            <w:r>
              <w:rPr>
                <w:rFonts w:hint="eastAsia" w:ascii="宋体" w:hAnsi="宋体" w:cs="宋体"/>
                <w:szCs w:val="21"/>
                <w:highlight w:val="none"/>
              </w:rPr>
              <w:t xml:space="preserve"> </w:t>
            </w:r>
          </w:p>
        </w:tc>
      </w:tr>
    </w:tbl>
    <w:p>
      <w:pPr>
        <w:pStyle w:val="798"/>
        <w:spacing w:line="360" w:lineRule="exact"/>
        <w:ind w:firstLine="420"/>
        <w:rPr>
          <w:sz w:val="21"/>
          <w:szCs w:val="21"/>
          <w:highlight w:val="none"/>
        </w:rPr>
      </w:pPr>
    </w:p>
    <w:p>
      <w:pPr>
        <w:spacing w:line="360" w:lineRule="auto"/>
        <w:ind w:firstLine="420" w:firstLineChars="200"/>
        <w:rPr>
          <w:rFonts w:asciiTheme="minorEastAsia" w:hAnsiTheme="minorEastAsia" w:eastAsiaTheme="minorEastAsia"/>
          <w:b/>
          <w:bCs/>
          <w:szCs w:val="21"/>
          <w:highlight w:val="none"/>
        </w:rPr>
      </w:pPr>
      <w:r>
        <w:rPr>
          <w:rFonts w:hint="eastAsia" w:ascii="宋体" w:hAnsi="宋体" w:cs="宋体"/>
          <w:szCs w:val="21"/>
          <w:highlight w:val="none"/>
        </w:rPr>
        <w:t>若乙方连续两年考核每年考核分都在60分以下的，第三年甲方将不再进行考核，直接扣除当年的服务质量费。</w:t>
      </w:r>
    </w:p>
    <w:p>
      <w:pP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br w:type="page"/>
      </w:r>
    </w:p>
    <w:p>
      <w:pPr>
        <w:spacing w:line="360" w:lineRule="auto"/>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标项2采购需求</w:t>
      </w:r>
    </w:p>
    <w:p>
      <w:pPr>
        <w:spacing w:line="360" w:lineRule="auto"/>
        <w:ind w:firstLine="482" w:firstLineChars="200"/>
        <w:jc w:val="left"/>
        <w:rPr>
          <w:rFonts w:cs="宋体" w:asciiTheme="minorEastAsia" w:hAnsiTheme="minorEastAsia" w:eastAsiaTheme="minorEastAsia"/>
          <w:szCs w:val="21"/>
          <w:highlight w:val="none"/>
        </w:rPr>
      </w:pPr>
      <w:r>
        <w:rPr>
          <w:rFonts w:hint="eastAsia" w:asciiTheme="minorEastAsia" w:hAnsiTheme="minorEastAsia" w:eastAsiaTheme="minorEastAsia"/>
          <w:b/>
          <w:bCs/>
          <w:sz w:val="24"/>
          <w:highlight w:val="none"/>
          <w:u w:val="single"/>
        </w:rPr>
        <w:t>注：“▲” 系指实质性要求条款。标注“★”的技术参数为重要指标参数。</w:t>
      </w:r>
    </w:p>
    <w:p>
      <w:pPr>
        <w:spacing w:line="380" w:lineRule="exact"/>
        <w:ind w:firstLine="420" w:firstLineChars="200"/>
        <w:jc w:val="left"/>
        <w:rPr>
          <w:rFonts w:cs="宋体" w:asciiTheme="minorEastAsia" w:hAnsiTheme="minorEastAsia" w:eastAsiaTheme="minorEastAsia"/>
          <w:szCs w:val="21"/>
          <w:highlight w:val="none"/>
        </w:rPr>
      </w:pPr>
    </w:p>
    <w:tbl>
      <w:tblPr>
        <w:tblStyle w:val="62"/>
        <w:tblW w:w="4997" w:type="pct"/>
        <w:tblInd w:w="0" w:type="dxa"/>
        <w:tblLayout w:type="fixed"/>
        <w:tblCellMar>
          <w:top w:w="0" w:type="dxa"/>
          <w:left w:w="108" w:type="dxa"/>
          <w:bottom w:w="0" w:type="dxa"/>
          <w:right w:w="108" w:type="dxa"/>
        </w:tblCellMar>
      </w:tblPr>
      <w:tblGrid>
        <w:gridCol w:w="965"/>
        <w:gridCol w:w="1257"/>
        <w:gridCol w:w="5580"/>
        <w:gridCol w:w="1023"/>
        <w:gridCol w:w="1023"/>
      </w:tblGrid>
      <w:tr>
        <w:tblPrEx>
          <w:tblCellMar>
            <w:top w:w="0" w:type="dxa"/>
            <w:left w:w="108" w:type="dxa"/>
            <w:bottom w:w="0" w:type="dxa"/>
            <w:right w:w="108" w:type="dxa"/>
          </w:tblCellMar>
        </w:tblPrEx>
        <w:trPr>
          <w:trHeight w:val="28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序号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服务名称</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主要性能指标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单位</w:t>
            </w:r>
          </w:p>
        </w:tc>
      </w:tr>
      <w:tr>
        <w:tblPrEx>
          <w:tblCellMar>
            <w:top w:w="0" w:type="dxa"/>
            <w:left w:w="108" w:type="dxa"/>
            <w:bottom w:w="0" w:type="dxa"/>
            <w:right w:w="108" w:type="dxa"/>
          </w:tblCellMar>
        </w:tblPrEx>
        <w:trPr>
          <w:trHeight w:val="28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（一）</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安全服务</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采购安全服务，要求提供至少以下配置的设备，保障电子政务外网的稳定运行。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004"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安全准入系统</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服务要求提供1套安全准入系统，安全准入系统应满足如下配置要求：</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准入认证系统包含2台控制中心和2台网关设备，采用国产化处理器和国产化操作系统，设备内置符合中国商用密码标准的加密卡，采用国家密码管理局颁布的SM1、SM2、SM3、SM4密码算法及其协议，支持多种身份认证方式、细粒度访问权限控制等主要功能，另外可选配扩展支持UEM功能，保证远程系统接入的用户身份安全、终端/数据安全、传输安全、应用权限安全和审计安全，符合国家商用密码标准。需提供不少于12000个的用户接入授权，满足参数如下。</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一、控制中心设备性能参数</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1、单台性能参数：最大并发用户数（个）≥6000。</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2、单台硬件参数：规格：2U，内存大小≥16G，硬盘容量≥480G SSD，冗余电源，接口≥6千兆电口+4千兆光口SFP+2万兆光口SFP+。</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二、网关设备性能参数</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★1、单台性能参数：最大SSL理论加密流量（Mbps）≥600，理论并发隧道数（Tunnel）≥3500。（提供设备厂家产品说明书等证明材料或国家认可的第三方测评报告）</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2、单台硬件参数：规格：2U，内存大小≥16G，硬盘容量≥480G SSD，冗余电源，接口≥6千兆电口+4千兆光口SFP+2万兆光口SFP+。</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三、功能参数</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为了提高系统可靠性，保障单台设备故障时系统仍可正常运行，代理网关应支持本地集群部署，且最少2台设备即可组建集群，单集群的最大节点数量最少4台；本地集群组建时，集群中的节点可承载工作负载功能，不需要依赖其它外置设备；</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2、为充分利用设备的网络性能，控制中心设备部署时支持配置聚合网口，并支持将聚合网口作为控制中心的网络部署IP，聚合网口支持通过哈希或802.3ad等标准对闲置网口进行网口绑定，支持通过ARP探测机制对聚合网口进行健康检查；</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★3、为了使系统资源利用最大化，本地集群与分布式集群下各节点的零信任授权数均可共享使用，集群的总接入授权数是各节点授权数的总和；（提供产品功能截图作为证明材料）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4、集群故障切换时间优化，被动故障不超过60S，主动故障不超过100S恢复；</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5、通过隧道模式，可以支持基于TCP、UDP、ICMP等协议代理访问业务资源，支持发布IP、IP范围、IP段、具体域名及通配符域名等形式的服务器地址，满足常见办公业务的代理，收缩业务暴露面；</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6、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★7、当客户端通过CDN加速等代理方式接入访问业务系统时，支持获取CDN加速前的访问IP，并在日志中记录此IP为客户端IP；（提供产品功能截图作为证明材料）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8、为满足单位多样化安全便捷认证需求，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9、支持管理员自行配置单位的弱密码库，可配置不少于10万行的弱密码；</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10、为方便管理员统筹查看管理零信任系统的整体运行状态，支持对设备自身的安全状态和策略配置进行巡检，对设备的整体状态进行打分，统计所有检查的正常项、异常项和告警项，并输出巡检报告；（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★11、可扩展支持文件加密功能，支持“一文一密”即每个文件独立密钥，以确保沙箱组件被卸载、模块驱动被摘除的情况下，终端用户仍无法明文取出文件；（提供产品功能截图作为证明材料）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12、监控中心扩展支持管理员直接在控制台查看接入系统的安全概览，包括但不限于TOP5 的风险IP、风险账号、风险终端等风险实体，以及设备、账号、终端相关的风险事件分布、风险事件趋势、TOP5风险事件类型等展示；</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13、支持对客户端的工作台标签、欢迎语标题、接入按钮、办公提示语等信息进行自定义配置；</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14、可扩展支持行为洞察分析能力，系统支持通过还原用户接入系统后的会话信息，对用户访问行为进行自动分析并智能生成分析报告，支持展示整个访问过程（包含涉及的用户、终端、IP等实体，登录过程，访问过程等），支持对关联的终端进行整体分析；</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15、支持对政务用户PC终端的出站、入站网络规则划分虚拟网络域进行管控，以实现用户登录认证后,在特定的网络域下只能主动访问政务网络对应的IPv4/IPv6地址/范围，不能访问互联网；</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16、为保障设备兼容性与使用效果，要求控制中心产品与代理网关为同一品牌；</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17、提供三年服务。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480" w:hRule="atLeast"/>
        </w:trPr>
        <w:tc>
          <w:tcPr>
            <w:tcW w:w="96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（二）</w:t>
            </w:r>
          </w:p>
        </w:tc>
        <w:tc>
          <w:tcPr>
            <w:tcW w:w="125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线路租用服务</w:t>
            </w:r>
          </w:p>
        </w:tc>
        <w:tc>
          <w:tcPr>
            <w:tcW w:w="558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宋体" w:hAnsi="宋体" w:cs="宋体"/>
                <w:szCs w:val="21"/>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765"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电子政务外网专线接入服务</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1.55家重点单位做备用线路服务；</w:t>
            </w:r>
          </w:p>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2.优化电子政务外网接入，根据接入单位终端的使用数量合理分配带宽，1-50台的带宽不少于100M，51-100台的带宽不少于200M，100台以上的带宽不少于1000M；</w:t>
            </w:r>
          </w:p>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3.接入线路应采用符合《广西电子政务外网市县节点技术规范》的线路技术；</w:t>
            </w:r>
          </w:p>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4.提供3年租用服务。</w:t>
            </w:r>
          </w:p>
        </w:tc>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项</w:t>
            </w:r>
          </w:p>
        </w:tc>
      </w:tr>
      <w:tr>
        <w:tblPrEx>
          <w:tblCellMar>
            <w:top w:w="0" w:type="dxa"/>
            <w:left w:w="108" w:type="dxa"/>
            <w:bottom w:w="0" w:type="dxa"/>
            <w:right w:w="108" w:type="dxa"/>
          </w:tblCellMar>
        </w:tblPrEx>
        <w:trPr>
          <w:trHeight w:val="720" w:hRule="atLeast"/>
        </w:trPr>
        <w:tc>
          <w:tcPr>
            <w:tcW w:w="9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25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互联网出口专线（备）</w:t>
            </w:r>
          </w:p>
        </w:tc>
        <w:tc>
          <w:tcPr>
            <w:tcW w:w="55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1.2000Mbps带宽，2000M裸机互联网带宽裸机测试，上下行速率稳定在2000Mbit/s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2.公网ip地址56个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3.3年租用服务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条</w:t>
            </w:r>
          </w:p>
        </w:tc>
      </w:tr>
    </w:tbl>
    <w:p>
      <w:pPr>
        <w:spacing w:line="360" w:lineRule="auto"/>
        <w:ind w:firstLine="640" w:firstLineChars="200"/>
        <w:jc w:val="center"/>
        <w:rPr>
          <w:sz w:val="32"/>
          <w:szCs w:val="32"/>
          <w:highlight w:val="none"/>
        </w:rPr>
      </w:pPr>
      <w:r>
        <w:rPr>
          <w:rFonts w:hint="eastAsia"/>
          <w:sz w:val="32"/>
          <w:szCs w:val="32"/>
          <w:highlight w:val="none"/>
        </w:rPr>
        <w:t>▲商务要求</w:t>
      </w:r>
    </w:p>
    <w:p>
      <w:pPr>
        <w:spacing w:line="360" w:lineRule="auto"/>
        <w:ind w:firstLine="420" w:firstLineChars="200"/>
        <w:jc w:val="left"/>
        <w:rPr>
          <w:szCs w:val="21"/>
          <w:highlight w:val="none"/>
        </w:rPr>
      </w:pPr>
      <w:r>
        <w:rPr>
          <w:rFonts w:hint="eastAsia"/>
          <w:szCs w:val="21"/>
          <w:highlight w:val="none"/>
        </w:rPr>
        <w:t>1、交付的时间及服务期限：自签订合同之日起60天内完成安装调试并通过验收交付使用，服务期限为3年。</w:t>
      </w:r>
    </w:p>
    <w:p>
      <w:pPr>
        <w:spacing w:line="360" w:lineRule="auto"/>
        <w:ind w:firstLine="420" w:firstLineChars="200"/>
        <w:jc w:val="left"/>
        <w:rPr>
          <w:szCs w:val="21"/>
          <w:highlight w:val="none"/>
        </w:rPr>
      </w:pPr>
      <w:r>
        <w:rPr>
          <w:rFonts w:hint="eastAsia"/>
          <w:szCs w:val="21"/>
          <w:highlight w:val="none"/>
        </w:rPr>
        <w:t>2、交付的地点：来宾市各部门。</w:t>
      </w:r>
    </w:p>
    <w:p>
      <w:pPr>
        <w:spacing w:line="360" w:lineRule="auto"/>
        <w:ind w:firstLine="420" w:firstLineChars="200"/>
        <w:jc w:val="left"/>
        <w:rPr>
          <w:szCs w:val="21"/>
          <w:highlight w:val="none"/>
        </w:rPr>
      </w:pPr>
      <w:r>
        <w:rPr>
          <w:rFonts w:hint="eastAsia"/>
          <w:szCs w:val="21"/>
          <w:highlight w:val="none"/>
        </w:rPr>
        <w:t>3、合同签订时间：自中标通知书发出之日起10日内。</w:t>
      </w:r>
    </w:p>
    <w:p>
      <w:pPr>
        <w:spacing w:line="360" w:lineRule="auto"/>
        <w:ind w:firstLine="420" w:firstLineChars="200"/>
        <w:jc w:val="left"/>
        <w:rPr>
          <w:szCs w:val="21"/>
          <w:highlight w:val="none"/>
        </w:rPr>
      </w:pPr>
      <w:r>
        <w:rPr>
          <w:rFonts w:hint="eastAsia"/>
          <w:szCs w:val="21"/>
          <w:highlight w:val="none"/>
        </w:rPr>
        <w:t>4、付款条件：本项目分两个标段实施，服务期限共计3年。项目费用按季度分期支付，每季度服务期满后，经考核评定后，由中标人向采购人书面申请支付年度费用，支付前中标人开具合法发票给采购人，采购人向财政部门申请费用及时付款。如遇财政资金使用困难，服务费不能及时支付，中标人不能以此为由停止采购内容的服务工作。</w:t>
      </w:r>
    </w:p>
    <w:p>
      <w:pPr>
        <w:spacing w:line="360" w:lineRule="auto"/>
        <w:ind w:firstLine="420" w:firstLineChars="200"/>
        <w:jc w:val="left"/>
        <w:rPr>
          <w:szCs w:val="21"/>
          <w:highlight w:val="none"/>
        </w:rPr>
      </w:pPr>
      <w:r>
        <w:rPr>
          <w:rFonts w:hint="eastAsia"/>
          <w:szCs w:val="21"/>
          <w:highlight w:val="none"/>
        </w:rPr>
        <w:t>甲方在应支付给乙方每期应支付费中拿出10%作为考核乙方服务质量费，根据《电子政务外网运维考核方案》考核得分情况对应支付费用。考核得分90分（含）—100分的，支付给乙方服务质量费的100%；80分（含）—89分的，支付给乙方服务质量费的90%；70分（含）—79分的，支付给乙方服务质量费的80%；60分（含）—69分的，支付给乙方服务质量费的70%；60分以下的本年度不支付服务质量费。若乙方连续两年考核每年考核分都在60分以下的，第三年甲方将不再进行考核，直接扣除当年的服务质量费。</w:t>
      </w:r>
    </w:p>
    <w:p>
      <w:pPr>
        <w:pStyle w:val="798"/>
        <w:spacing w:line="360" w:lineRule="exact"/>
        <w:ind w:firstLine="0" w:firstLineChars="0"/>
        <w:rPr>
          <w:bCs/>
          <w:sz w:val="21"/>
          <w:szCs w:val="21"/>
          <w:highlight w:val="none"/>
        </w:rPr>
      </w:pPr>
      <w:r>
        <w:rPr>
          <w:rFonts w:hint="eastAsia" w:hAnsi="宋体" w:cs="宋体"/>
          <w:bCs/>
          <w:kern w:val="0"/>
          <w:sz w:val="21"/>
          <w:szCs w:val="21"/>
          <w:highlight w:val="none"/>
        </w:rPr>
        <w:t>电子政务外网运维考核方案：</w:t>
      </w:r>
    </w:p>
    <w:tbl>
      <w:tblPr>
        <w:tblStyle w:val="62"/>
        <w:tblpPr w:leftFromText="180" w:rightFromText="180" w:vertAnchor="text" w:horzAnchor="page" w:tblpX="124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4170"/>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考核项目</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 xml:space="preserve"> 考核内容</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 扣分标准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巡检</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每周及重大节会前夕，对机房内IT硬件设备和运行环境设施进行一次全面巡检，对机房维护范围内公共，对机房维护范围内公共支撑软件和业务系统进行全面巡检和备份，并做好巡查记录。</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未按要求进行巡检， 备份等工作，每次扣 0.5 分。 </w:t>
            </w:r>
          </w:p>
          <w:p>
            <w:pPr>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预防性维护</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每月对维护范围内的软、硬件设备进行一次预防性维护服务，包括元器件检查、易耗品更换、软件升级等，并做好维护记录。</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未按要求进行预防性维护的，每次扣1分。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备品备件</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对维护范围内关键设备建立备品、备件。</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 设备损坏后未能按要求及时提供备品、备件的，一次扣1分。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工单处置</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按甲方要求完成工单任务处置，并提供相应证明材料</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无正当理由未按甲方要求完成的，一次扣1分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常驻人员</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常驻人员应遵守甲方相关规定，不得工作时间擅离岗位，不得做与服务无关的事情，服务热情周到。</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因服务质量被投诉的，经查实后一次扣 1 分；因违反法律法规、 工作纪律被有关部门通报或给甲方造成不良影响的，一次扣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运维报告</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 xml:space="preserve">根据甲方要求按期提交相关运维服务报告。 </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未按期提交相关报告的每五次扣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 xml:space="preserve">一级故障:全网瘫痪(网络或业务应用系统） </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汇聚层以上故障造成的大面积网络不通，或多个业务应用系统无法访问(50%以上)，及其他相当于此级别的故障。</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实时响应并在 4小时内解决，超过4小时 ，故障每持续1小时扣除2分, 不足1小时按 照1小时计算.(不可抗力除外)。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 xml:space="preserve">二级故障:局部网络瘫痪 (网络或业务  应用系统)  </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局部网络不通造成部分人员不能正常上网；或30%以上业务应用系统无法访问，及其他相当于此级别的故障。</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在 4小内解决，超4 小时，故障每持续1小时扣除 1.5分,不足 1 小时按照1小时计算。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三级故障:全网性能降低(网络或业务应用系统速度明显降低)</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大面积网络性能下降，速度慢，多个业务应用系统运行速度慢(50%以上)，及其他相当于此级别的故障。</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在4 小内解决，超过4小时，故障每持续1小时扣1分，不足1 小时按照 1小时计算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 xml:space="preserve">四级故障: 局部网络性能降低(网络或业务应用系统速度明显降低) </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局部网络速度慢，或10%以上业务应用系统速度慢，一般告警1天内没有解决(特殊情况申请后可以延期，最长不超过5个工作日)及其他相 当于此级别的故障。</w:t>
            </w:r>
          </w:p>
          <w:p>
            <w:pPr>
              <w:spacing w:line="360" w:lineRule="exact"/>
              <w:rPr>
                <w:rFonts w:ascii="宋体" w:hAnsi="宋体" w:cs="宋体"/>
                <w:szCs w:val="21"/>
                <w:highlight w:val="none"/>
              </w:rPr>
            </w:pP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在4小内解决，超过4 小时，故障每持续1小时扣 0.5 分，不足1 小时按照1小时计算 。</w:t>
            </w:r>
          </w:p>
          <w:p>
            <w:pPr>
              <w:spacing w:line="360" w:lineRule="exact"/>
              <w:rPr>
                <w:rFonts w:ascii="宋体" w:hAnsi="宋体" w:cs="宋体"/>
                <w:szCs w:val="21"/>
                <w:highlight w:val="none"/>
              </w:rPr>
            </w:pPr>
            <w:r>
              <w:rPr>
                <w:rFonts w:hint="eastAsia" w:ascii="宋体" w:hAnsi="宋体" w:cs="宋体"/>
                <w:szCs w:val="21"/>
                <w:highlight w:val="none"/>
              </w:rPr>
              <w:t xml:space="preserve"> </w:t>
            </w:r>
          </w:p>
        </w:tc>
      </w:tr>
    </w:tbl>
    <w:p>
      <w:pPr>
        <w:pStyle w:val="798"/>
        <w:spacing w:line="360" w:lineRule="exact"/>
        <w:ind w:firstLine="420"/>
        <w:rPr>
          <w:sz w:val="21"/>
          <w:szCs w:val="21"/>
          <w:highlight w:val="none"/>
        </w:rPr>
      </w:pPr>
    </w:p>
    <w:p>
      <w:pPr>
        <w:pStyle w:val="798"/>
        <w:spacing w:line="360" w:lineRule="exact"/>
        <w:ind w:firstLine="420"/>
        <w:rPr>
          <w:sz w:val="21"/>
          <w:szCs w:val="21"/>
          <w:highlight w:val="none"/>
        </w:rPr>
      </w:pPr>
      <w:r>
        <w:rPr>
          <w:rFonts w:hint="eastAsia" w:hAnsi="宋体" w:cs="宋体"/>
          <w:sz w:val="21"/>
          <w:szCs w:val="21"/>
          <w:highlight w:val="none"/>
        </w:rPr>
        <w:t>若乙方连续两年考核每年考核分都在60分以下的，第三年甲方将不再进行考核，直接扣除当年的服务质量费。</w:t>
      </w:r>
    </w:p>
    <w:p>
      <w:pPr>
        <w:rPr>
          <w:rFonts w:ascii="宋体" w:hAnsi="宋体" w:cs="宋体"/>
          <w:b/>
          <w:sz w:val="36"/>
          <w:szCs w:val="36"/>
          <w:highlight w:val="none"/>
        </w:rPr>
      </w:pPr>
      <w:r>
        <w:rPr>
          <w:rFonts w:hint="eastAsia" w:ascii="宋体" w:hAnsi="宋体" w:cs="宋体"/>
          <w:b/>
          <w:sz w:val="36"/>
          <w:szCs w:val="36"/>
          <w:highlight w:val="none"/>
        </w:rPr>
        <w:br w:type="page"/>
      </w:r>
    </w:p>
    <w:p>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第四部分</w:t>
      </w:r>
      <w:bookmarkStart w:id="52" w:name="_Toc184313284"/>
      <w:bookmarkEnd w:id="52"/>
      <w:bookmarkStart w:id="53" w:name="_Toc184312097"/>
      <w:bookmarkEnd w:id="53"/>
      <w:bookmarkStart w:id="54" w:name="_Toc184314454"/>
      <w:bookmarkEnd w:id="54"/>
      <w:bookmarkStart w:id="55" w:name="_Toc184308080"/>
      <w:bookmarkEnd w:id="55"/>
      <w:bookmarkStart w:id="56" w:name="_Toc184308099"/>
      <w:bookmarkEnd w:id="56"/>
      <w:bookmarkStart w:id="57" w:name="_Toc184312087"/>
      <w:bookmarkEnd w:id="57"/>
      <w:bookmarkStart w:id="58" w:name="_Toc184314472"/>
      <w:bookmarkEnd w:id="58"/>
      <w:bookmarkStart w:id="59" w:name="_Toc184312079"/>
      <w:bookmarkEnd w:id="59"/>
      <w:bookmarkStart w:id="60" w:name="_Toc184310336"/>
      <w:bookmarkEnd w:id="60"/>
      <w:bookmarkStart w:id="61" w:name="_Toc184312077"/>
      <w:bookmarkEnd w:id="61"/>
      <w:bookmarkStart w:id="62" w:name="_Toc184313260"/>
      <w:bookmarkEnd w:id="62"/>
      <w:bookmarkStart w:id="63" w:name="_Toc184314423"/>
      <w:bookmarkEnd w:id="63"/>
      <w:bookmarkStart w:id="64" w:name="_Toc184314478"/>
      <w:bookmarkEnd w:id="64"/>
      <w:bookmarkStart w:id="65" w:name="_Toc184313306"/>
      <w:bookmarkEnd w:id="65"/>
      <w:bookmarkStart w:id="66" w:name="_Toc184308085"/>
      <w:bookmarkEnd w:id="66"/>
      <w:bookmarkStart w:id="67" w:name="_Toc184312091"/>
      <w:bookmarkEnd w:id="67"/>
      <w:bookmarkStart w:id="68" w:name="_Toc184314460"/>
      <w:bookmarkEnd w:id="68"/>
      <w:bookmarkStart w:id="69" w:name="_Toc184313255"/>
      <w:bookmarkEnd w:id="69"/>
      <w:bookmarkStart w:id="70" w:name="_Toc184313254"/>
      <w:bookmarkEnd w:id="70"/>
      <w:bookmarkStart w:id="71" w:name="_Toc184310314"/>
      <w:bookmarkEnd w:id="71"/>
      <w:bookmarkStart w:id="72" w:name="_Toc184313279"/>
      <w:bookmarkEnd w:id="72"/>
      <w:bookmarkStart w:id="73" w:name="_Toc184310272"/>
      <w:bookmarkEnd w:id="73"/>
      <w:bookmarkStart w:id="74" w:name="_Toc184312124"/>
      <w:bookmarkEnd w:id="74"/>
      <w:bookmarkStart w:id="75" w:name="_Toc184308100"/>
      <w:bookmarkEnd w:id="75"/>
      <w:bookmarkStart w:id="76" w:name="_Toc184312083"/>
      <w:bookmarkEnd w:id="76"/>
      <w:bookmarkStart w:id="77" w:name="_Toc184312094"/>
      <w:bookmarkEnd w:id="77"/>
      <w:bookmarkStart w:id="78" w:name="_Toc184312112"/>
      <w:bookmarkEnd w:id="78"/>
      <w:bookmarkStart w:id="79" w:name="_Toc184310283"/>
      <w:bookmarkEnd w:id="79"/>
      <w:bookmarkStart w:id="80" w:name="_Toc184310329"/>
      <w:bookmarkEnd w:id="80"/>
      <w:bookmarkStart w:id="81" w:name="_Toc184313280"/>
      <w:bookmarkEnd w:id="81"/>
      <w:bookmarkStart w:id="82" w:name="_Toc184312090"/>
      <w:bookmarkEnd w:id="82"/>
      <w:bookmarkStart w:id="83" w:name="_Toc184312080"/>
      <w:bookmarkEnd w:id="83"/>
      <w:bookmarkStart w:id="84" w:name="_Toc184312119"/>
      <w:bookmarkEnd w:id="84"/>
      <w:bookmarkStart w:id="85" w:name="_Toc184314428"/>
      <w:bookmarkEnd w:id="85"/>
      <w:bookmarkStart w:id="86" w:name="_Toc184310334"/>
      <w:bookmarkEnd w:id="86"/>
      <w:bookmarkStart w:id="87" w:name="_Toc184310280"/>
      <w:bookmarkEnd w:id="87"/>
      <w:bookmarkStart w:id="88" w:name="_Toc184310323"/>
      <w:bookmarkEnd w:id="88"/>
      <w:bookmarkStart w:id="89" w:name="_Toc184312086"/>
      <w:bookmarkEnd w:id="89"/>
      <w:bookmarkStart w:id="90" w:name="_Toc184310340"/>
      <w:bookmarkEnd w:id="90"/>
      <w:bookmarkStart w:id="91" w:name="_Toc184313261"/>
      <w:bookmarkEnd w:id="91"/>
      <w:bookmarkStart w:id="92" w:name="_Toc184310303"/>
      <w:bookmarkEnd w:id="92"/>
      <w:bookmarkStart w:id="93" w:name="_Toc184310281"/>
      <w:bookmarkEnd w:id="93"/>
      <w:bookmarkStart w:id="94" w:name="_Toc184310306"/>
      <w:bookmarkEnd w:id="94"/>
      <w:bookmarkStart w:id="95" w:name="_Toc184310316"/>
      <w:bookmarkEnd w:id="95"/>
      <w:bookmarkStart w:id="96" w:name="_Toc184308084"/>
      <w:bookmarkEnd w:id="96"/>
      <w:bookmarkStart w:id="97" w:name="_Toc184314475"/>
      <w:bookmarkEnd w:id="97"/>
      <w:bookmarkStart w:id="98" w:name="_Toc184313296"/>
      <w:bookmarkEnd w:id="98"/>
      <w:bookmarkStart w:id="99" w:name="_Toc184308066"/>
      <w:bookmarkEnd w:id="99"/>
      <w:bookmarkStart w:id="100" w:name="_Toc184308047"/>
      <w:bookmarkEnd w:id="100"/>
      <w:bookmarkStart w:id="101" w:name="_Toc184314444"/>
      <w:bookmarkEnd w:id="101"/>
      <w:bookmarkStart w:id="102" w:name="_Toc184308049"/>
      <w:bookmarkEnd w:id="102"/>
      <w:bookmarkStart w:id="103" w:name="_Toc184310319"/>
      <w:bookmarkEnd w:id="103"/>
      <w:bookmarkStart w:id="104" w:name="_Toc184310327"/>
      <w:bookmarkEnd w:id="104"/>
      <w:bookmarkStart w:id="105" w:name="_Toc184310298"/>
      <w:bookmarkEnd w:id="105"/>
      <w:bookmarkStart w:id="106" w:name="_Toc184314437"/>
      <w:bookmarkEnd w:id="106"/>
      <w:bookmarkStart w:id="107" w:name="_Toc184314476"/>
      <w:bookmarkEnd w:id="107"/>
      <w:bookmarkStart w:id="108" w:name="_Toc184310338"/>
      <w:bookmarkEnd w:id="108"/>
      <w:bookmarkStart w:id="109" w:name="_Toc184312109"/>
      <w:bookmarkEnd w:id="109"/>
      <w:bookmarkStart w:id="110" w:name="_Toc184313302"/>
      <w:bookmarkEnd w:id="110"/>
      <w:bookmarkStart w:id="111" w:name="_Toc184310344"/>
      <w:bookmarkEnd w:id="111"/>
      <w:bookmarkStart w:id="112" w:name="_Toc184308096"/>
      <w:bookmarkEnd w:id="112"/>
      <w:bookmarkStart w:id="113" w:name="_Toc184313271"/>
      <w:bookmarkEnd w:id="113"/>
      <w:bookmarkStart w:id="114" w:name="_Toc184314435"/>
      <w:bookmarkEnd w:id="114"/>
      <w:bookmarkStart w:id="115" w:name="_Toc184312134"/>
      <w:bookmarkEnd w:id="115"/>
      <w:bookmarkStart w:id="116" w:name="_Toc184310343"/>
      <w:bookmarkEnd w:id="116"/>
      <w:bookmarkStart w:id="117" w:name="_Toc184310313"/>
      <w:bookmarkEnd w:id="117"/>
      <w:bookmarkStart w:id="118" w:name="_Toc184314467"/>
      <w:bookmarkEnd w:id="118"/>
      <w:bookmarkStart w:id="119" w:name="_Toc184313307"/>
      <w:bookmarkEnd w:id="119"/>
      <w:bookmarkStart w:id="120" w:name="_Toc184312067"/>
      <w:bookmarkEnd w:id="120"/>
      <w:bookmarkStart w:id="121" w:name="_Toc184308108"/>
      <w:bookmarkEnd w:id="121"/>
      <w:bookmarkStart w:id="122" w:name="_Toc184308059"/>
      <w:bookmarkEnd w:id="122"/>
      <w:bookmarkStart w:id="123" w:name="_Toc184314455"/>
      <w:bookmarkEnd w:id="123"/>
      <w:bookmarkStart w:id="124" w:name="_Toc184314410"/>
      <w:bookmarkEnd w:id="124"/>
      <w:bookmarkStart w:id="125" w:name="_Toc184313242"/>
      <w:bookmarkEnd w:id="125"/>
      <w:bookmarkStart w:id="126" w:name="_Toc184310305"/>
      <w:bookmarkEnd w:id="126"/>
      <w:bookmarkStart w:id="127" w:name="_Toc184312130"/>
      <w:bookmarkEnd w:id="127"/>
      <w:bookmarkStart w:id="128" w:name="_Toc184308104"/>
      <w:bookmarkEnd w:id="128"/>
      <w:bookmarkStart w:id="129" w:name="_Toc184308050"/>
      <w:bookmarkEnd w:id="129"/>
      <w:bookmarkStart w:id="130" w:name="_Toc184310295"/>
      <w:bookmarkEnd w:id="130"/>
      <w:bookmarkStart w:id="131" w:name="_Toc184312128"/>
      <w:bookmarkEnd w:id="131"/>
      <w:bookmarkStart w:id="132" w:name="_Toc184308040"/>
      <w:bookmarkEnd w:id="132"/>
      <w:bookmarkStart w:id="133" w:name="_Toc184312078"/>
      <w:bookmarkEnd w:id="133"/>
      <w:bookmarkStart w:id="134" w:name="_Toc184310328"/>
      <w:bookmarkEnd w:id="134"/>
      <w:bookmarkStart w:id="135" w:name="_Toc184310282"/>
      <w:bookmarkEnd w:id="135"/>
      <w:bookmarkStart w:id="136" w:name="_Toc184312089"/>
      <w:bookmarkEnd w:id="136"/>
      <w:bookmarkStart w:id="137" w:name="_Toc184312101"/>
      <w:bookmarkEnd w:id="137"/>
      <w:bookmarkStart w:id="138" w:name="_Toc184314482"/>
      <w:bookmarkEnd w:id="138"/>
      <w:bookmarkStart w:id="139" w:name="_Toc184310292"/>
      <w:bookmarkEnd w:id="139"/>
      <w:bookmarkStart w:id="140" w:name="_Toc184312114"/>
      <w:bookmarkEnd w:id="140"/>
      <w:bookmarkStart w:id="141" w:name="_Toc184314464"/>
      <w:bookmarkEnd w:id="141"/>
      <w:bookmarkStart w:id="142" w:name="_Toc184314441"/>
      <w:bookmarkEnd w:id="142"/>
      <w:bookmarkStart w:id="143" w:name="_Toc184308083"/>
      <w:bookmarkEnd w:id="143"/>
      <w:bookmarkStart w:id="144" w:name="_Toc184312096"/>
      <w:bookmarkEnd w:id="144"/>
      <w:bookmarkStart w:id="145" w:name="_Toc184313241"/>
      <w:bookmarkEnd w:id="145"/>
      <w:bookmarkStart w:id="146" w:name="_Toc184314465"/>
      <w:bookmarkEnd w:id="146"/>
      <w:bookmarkStart w:id="147" w:name="_Toc184308070"/>
      <w:bookmarkEnd w:id="147"/>
      <w:bookmarkStart w:id="148" w:name="_Toc184314462"/>
      <w:bookmarkEnd w:id="148"/>
      <w:bookmarkStart w:id="149" w:name="_Toc184308054"/>
      <w:bookmarkEnd w:id="149"/>
      <w:bookmarkStart w:id="150" w:name="_Toc184312135"/>
      <w:bookmarkEnd w:id="150"/>
      <w:bookmarkStart w:id="151" w:name="_Toc184314461"/>
      <w:bookmarkEnd w:id="151"/>
      <w:bookmarkStart w:id="152" w:name="_Toc184310297"/>
      <w:bookmarkEnd w:id="152"/>
      <w:bookmarkStart w:id="153" w:name="_Toc184308091"/>
      <w:bookmarkEnd w:id="153"/>
      <w:bookmarkStart w:id="154" w:name="_Toc184312107"/>
      <w:bookmarkEnd w:id="154"/>
      <w:bookmarkStart w:id="155" w:name="_Toc184312110"/>
      <w:bookmarkEnd w:id="155"/>
      <w:bookmarkStart w:id="156" w:name="_Toc184313253"/>
      <w:bookmarkEnd w:id="156"/>
      <w:bookmarkStart w:id="157" w:name="_Toc184308082"/>
      <w:bookmarkEnd w:id="157"/>
      <w:bookmarkStart w:id="158" w:name="_Toc184310286"/>
      <w:bookmarkEnd w:id="158"/>
      <w:bookmarkStart w:id="159" w:name="_Toc184314422"/>
      <w:bookmarkEnd w:id="159"/>
      <w:bookmarkStart w:id="160" w:name="_Toc184308045"/>
      <w:bookmarkEnd w:id="160"/>
      <w:bookmarkStart w:id="161" w:name="_Toc184313297"/>
      <w:bookmarkEnd w:id="161"/>
      <w:bookmarkStart w:id="162" w:name="_Toc184308055"/>
      <w:bookmarkEnd w:id="162"/>
      <w:bookmarkStart w:id="163" w:name="_Toc184310299"/>
      <w:bookmarkEnd w:id="163"/>
      <w:bookmarkStart w:id="164" w:name="_Toc184313239"/>
      <w:bookmarkEnd w:id="164"/>
      <w:bookmarkStart w:id="165" w:name="_Toc184313259"/>
      <w:bookmarkEnd w:id="165"/>
      <w:bookmarkStart w:id="166" w:name="_Toc184313272"/>
      <w:bookmarkEnd w:id="166"/>
      <w:bookmarkStart w:id="167" w:name="_Toc184312105"/>
      <w:bookmarkEnd w:id="167"/>
      <w:bookmarkStart w:id="168" w:name="_Toc184310308"/>
      <w:bookmarkEnd w:id="168"/>
      <w:bookmarkStart w:id="169" w:name="_Toc184312115"/>
      <w:bookmarkEnd w:id="169"/>
      <w:bookmarkStart w:id="170" w:name="_Toc184314412"/>
      <w:bookmarkEnd w:id="170"/>
      <w:bookmarkStart w:id="171" w:name="_Toc184313301"/>
      <w:bookmarkEnd w:id="171"/>
      <w:bookmarkStart w:id="172" w:name="_Toc184313285"/>
      <w:bookmarkEnd w:id="172"/>
      <w:bookmarkStart w:id="173" w:name="_Toc184314479"/>
      <w:bookmarkEnd w:id="173"/>
      <w:bookmarkStart w:id="174" w:name="_Toc184310277"/>
      <w:bookmarkEnd w:id="174"/>
      <w:bookmarkStart w:id="175" w:name="_Toc184314426"/>
      <w:bookmarkEnd w:id="175"/>
      <w:bookmarkStart w:id="176" w:name="_Toc184312123"/>
      <w:bookmarkEnd w:id="176"/>
      <w:bookmarkStart w:id="177" w:name="_Toc184314447"/>
      <w:bookmarkEnd w:id="177"/>
      <w:bookmarkStart w:id="178" w:name="_Toc184310276"/>
      <w:bookmarkEnd w:id="178"/>
      <w:bookmarkStart w:id="179" w:name="_Toc184312106"/>
      <w:bookmarkEnd w:id="179"/>
      <w:bookmarkStart w:id="180" w:name="_Toc184313299"/>
      <w:bookmarkEnd w:id="180"/>
      <w:bookmarkStart w:id="181" w:name="_Toc184312136"/>
      <w:bookmarkEnd w:id="181"/>
      <w:bookmarkStart w:id="182" w:name="_Toc184310300"/>
      <w:bookmarkEnd w:id="182"/>
      <w:bookmarkStart w:id="183" w:name="_Toc184312122"/>
      <w:bookmarkEnd w:id="183"/>
      <w:bookmarkStart w:id="184" w:name="_Toc184308068"/>
      <w:bookmarkEnd w:id="184"/>
      <w:bookmarkStart w:id="185" w:name="_Toc184312082"/>
      <w:bookmarkEnd w:id="185"/>
      <w:bookmarkStart w:id="186" w:name="_Toc184312111"/>
      <w:bookmarkEnd w:id="186"/>
      <w:bookmarkStart w:id="187" w:name="_Toc184314463"/>
      <w:bookmarkEnd w:id="187"/>
      <w:bookmarkStart w:id="188" w:name="_Toc184308102"/>
      <w:bookmarkEnd w:id="188"/>
      <w:bookmarkStart w:id="189" w:name="_Toc184314420"/>
      <w:bookmarkEnd w:id="189"/>
      <w:bookmarkStart w:id="190" w:name="_Toc184312121"/>
      <w:bookmarkEnd w:id="190"/>
      <w:bookmarkStart w:id="191" w:name="_Toc184310330"/>
      <w:bookmarkEnd w:id="191"/>
      <w:bookmarkStart w:id="192" w:name="_Toc184308037"/>
      <w:bookmarkEnd w:id="192"/>
      <w:bookmarkStart w:id="193" w:name="_Toc184314459"/>
      <w:bookmarkEnd w:id="193"/>
      <w:bookmarkStart w:id="194" w:name="_Toc184314466"/>
      <w:bookmarkEnd w:id="194"/>
      <w:bookmarkStart w:id="195" w:name="_Toc184308043"/>
      <w:bookmarkEnd w:id="195"/>
      <w:bookmarkStart w:id="196" w:name="_Toc184314458"/>
      <w:bookmarkEnd w:id="196"/>
      <w:bookmarkStart w:id="197" w:name="_Toc184314449"/>
      <w:bookmarkEnd w:id="197"/>
      <w:bookmarkStart w:id="198" w:name="_Toc184314443"/>
      <w:bookmarkEnd w:id="198"/>
      <w:bookmarkStart w:id="199" w:name="_Toc184310287"/>
      <w:bookmarkEnd w:id="199"/>
      <w:bookmarkStart w:id="200" w:name="_Toc184313251"/>
      <w:bookmarkEnd w:id="200"/>
      <w:bookmarkStart w:id="201" w:name="_Toc184308063"/>
      <w:bookmarkEnd w:id="201"/>
      <w:bookmarkStart w:id="202" w:name="_Toc184314446"/>
      <w:bookmarkEnd w:id="202"/>
      <w:bookmarkStart w:id="203" w:name="_Toc184312095"/>
      <w:bookmarkEnd w:id="203"/>
      <w:bookmarkStart w:id="204" w:name="_Toc184314434"/>
      <w:bookmarkEnd w:id="204"/>
      <w:bookmarkStart w:id="205" w:name="_Toc184312133"/>
      <w:bookmarkEnd w:id="205"/>
      <w:bookmarkStart w:id="206" w:name="_Toc184310317"/>
      <w:bookmarkEnd w:id="206"/>
      <w:bookmarkStart w:id="207" w:name="_Toc184313300"/>
      <w:bookmarkEnd w:id="207"/>
      <w:bookmarkStart w:id="208" w:name="_Toc184314456"/>
      <w:bookmarkEnd w:id="208"/>
      <w:bookmarkStart w:id="209" w:name="_Toc184312074"/>
      <w:bookmarkEnd w:id="209"/>
      <w:bookmarkStart w:id="210" w:name="_Toc184308087"/>
      <w:bookmarkEnd w:id="210"/>
      <w:bookmarkStart w:id="211" w:name="_Toc184312108"/>
      <w:bookmarkEnd w:id="211"/>
      <w:bookmarkStart w:id="212" w:name="_Toc184314442"/>
      <w:bookmarkEnd w:id="212"/>
      <w:bookmarkStart w:id="213" w:name="_Toc184312084"/>
      <w:bookmarkEnd w:id="213"/>
      <w:bookmarkStart w:id="214" w:name="_Toc184308090"/>
      <w:bookmarkEnd w:id="214"/>
      <w:bookmarkStart w:id="215" w:name="_Toc184313266"/>
      <w:bookmarkEnd w:id="215"/>
      <w:bookmarkStart w:id="216" w:name="_Toc184313240"/>
      <w:bookmarkEnd w:id="216"/>
      <w:bookmarkStart w:id="217" w:name="_Toc184308061"/>
      <w:bookmarkEnd w:id="217"/>
      <w:bookmarkStart w:id="218" w:name="_Toc184314431"/>
      <w:bookmarkEnd w:id="218"/>
      <w:bookmarkStart w:id="219" w:name="_Toc184308065"/>
      <w:bookmarkEnd w:id="219"/>
      <w:bookmarkStart w:id="220" w:name="_Toc184310315"/>
      <w:bookmarkEnd w:id="220"/>
      <w:bookmarkStart w:id="221" w:name="_Toc184310321"/>
      <w:bookmarkEnd w:id="221"/>
      <w:bookmarkStart w:id="222" w:name="_Toc184312075"/>
      <w:bookmarkEnd w:id="222"/>
      <w:bookmarkStart w:id="223" w:name="_Toc184308038"/>
      <w:bookmarkEnd w:id="223"/>
      <w:bookmarkStart w:id="224" w:name="_Toc184308069"/>
      <w:bookmarkEnd w:id="224"/>
      <w:bookmarkStart w:id="225" w:name="_Toc184310288"/>
      <w:bookmarkEnd w:id="225"/>
      <w:bookmarkStart w:id="226" w:name="_Toc184314473"/>
      <w:bookmarkEnd w:id="226"/>
      <w:bookmarkStart w:id="227" w:name="_Toc184312116"/>
      <w:bookmarkEnd w:id="227"/>
      <w:bookmarkStart w:id="228" w:name="_Toc184310333"/>
      <w:bookmarkEnd w:id="228"/>
      <w:bookmarkStart w:id="229" w:name="_Toc184312098"/>
      <w:bookmarkEnd w:id="229"/>
      <w:bookmarkStart w:id="230" w:name="_Toc184308092"/>
      <w:bookmarkEnd w:id="230"/>
      <w:bookmarkStart w:id="231" w:name="_Toc184314453"/>
      <w:bookmarkEnd w:id="231"/>
      <w:bookmarkStart w:id="232" w:name="_Toc184312071"/>
      <w:bookmarkEnd w:id="232"/>
      <w:bookmarkStart w:id="233" w:name="_Toc184313265"/>
      <w:bookmarkEnd w:id="233"/>
      <w:bookmarkStart w:id="234" w:name="_Toc184310309"/>
      <w:bookmarkEnd w:id="234"/>
      <w:bookmarkStart w:id="235" w:name="_Toc184313304"/>
      <w:bookmarkEnd w:id="235"/>
      <w:bookmarkStart w:id="236" w:name="_Toc184310339"/>
      <w:bookmarkEnd w:id="236"/>
      <w:bookmarkStart w:id="237" w:name="_Toc184314418"/>
      <w:bookmarkEnd w:id="237"/>
      <w:bookmarkStart w:id="238" w:name="_Toc184310318"/>
      <w:bookmarkEnd w:id="238"/>
      <w:bookmarkStart w:id="239" w:name="_Toc184313243"/>
      <w:bookmarkEnd w:id="239"/>
      <w:bookmarkStart w:id="240" w:name="_Toc184313245"/>
      <w:bookmarkEnd w:id="240"/>
      <w:bookmarkStart w:id="241" w:name="_Toc184313298"/>
      <w:bookmarkEnd w:id="241"/>
      <w:bookmarkStart w:id="242" w:name="_Toc184310279"/>
      <w:bookmarkEnd w:id="242"/>
      <w:bookmarkStart w:id="243" w:name="_Toc184312102"/>
      <w:bookmarkEnd w:id="243"/>
      <w:bookmarkStart w:id="244" w:name="_Toc184310289"/>
      <w:bookmarkEnd w:id="244"/>
      <w:bookmarkStart w:id="245" w:name="_Toc184314433"/>
      <w:bookmarkEnd w:id="245"/>
      <w:bookmarkStart w:id="246" w:name="_Toc184310296"/>
      <w:bookmarkEnd w:id="246"/>
      <w:bookmarkStart w:id="247" w:name="_Toc184312092"/>
      <w:bookmarkEnd w:id="247"/>
      <w:bookmarkStart w:id="248" w:name="_Toc184310341"/>
      <w:bookmarkEnd w:id="248"/>
      <w:bookmarkStart w:id="249" w:name="_Toc184308106"/>
      <w:bookmarkEnd w:id="249"/>
      <w:bookmarkStart w:id="250" w:name="_Toc184314438"/>
      <w:bookmarkEnd w:id="250"/>
      <w:bookmarkStart w:id="251" w:name="_Toc184312069"/>
      <w:bookmarkEnd w:id="251"/>
      <w:bookmarkStart w:id="252" w:name="_Toc184312073"/>
      <w:bookmarkEnd w:id="252"/>
      <w:bookmarkStart w:id="253" w:name="_Toc184312137"/>
      <w:bookmarkEnd w:id="253"/>
      <w:bookmarkStart w:id="254" w:name="_Toc184312072"/>
      <w:bookmarkEnd w:id="254"/>
      <w:bookmarkStart w:id="255" w:name="_Toc184314457"/>
      <w:bookmarkEnd w:id="255"/>
      <w:bookmarkStart w:id="256" w:name="_Toc184314417"/>
      <w:bookmarkEnd w:id="256"/>
      <w:bookmarkStart w:id="257" w:name="_Toc184308086"/>
      <w:bookmarkEnd w:id="257"/>
      <w:bookmarkStart w:id="258" w:name="_Toc184312085"/>
      <w:bookmarkEnd w:id="258"/>
      <w:bookmarkStart w:id="259" w:name="_Toc184312125"/>
      <w:bookmarkEnd w:id="259"/>
      <w:bookmarkStart w:id="260" w:name="_Toc184313238"/>
      <w:bookmarkEnd w:id="260"/>
      <w:bookmarkStart w:id="261" w:name="_Toc184313263"/>
      <w:bookmarkEnd w:id="261"/>
      <w:bookmarkStart w:id="262" w:name="_Toc184313274"/>
      <w:bookmarkEnd w:id="262"/>
      <w:bookmarkStart w:id="263" w:name="_Toc184308044"/>
      <w:bookmarkEnd w:id="263"/>
      <w:bookmarkStart w:id="264" w:name="_Toc184312068"/>
      <w:bookmarkEnd w:id="264"/>
      <w:bookmarkStart w:id="265" w:name="_Toc184312076"/>
      <w:bookmarkEnd w:id="265"/>
      <w:bookmarkStart w:id="266" w:name="_Toc184308103"/>
      <w:bookmarkEnd w:id="266"/>
      <w:bookmarkStart w:id="267" w:name="_Toc184314450"/>
      <w:bookmarkEnd w:id="267"/>
      <w:bookmarkStart w:id="268" w:name="_Toc184308088"/>
      <w:bookmarkEnd w:id="268"/>
      <w:bookmarkStart w:id="269" w:name="_Toc184314468"/>
      <w:bookmarkEnd w:id="269"/>
      <w:bookmarkStart w:id="270" w:name="_Toc184313248"/>
      <w:bookmarkEnd w:id="270"/>
      <w:bookmarkStart w:id="271" w:name="_Toc184310325"/>
      <w:bookmarkEnd w:id="271"/>
      <w:bookmarkStart w:id="272" w:name="_Toc184310307"/>
      <w:bookmarkEnd w:id="272"/>
      <w:bookmarkStart w:id="273" w:name="_Toc184308048"/>
      <w:bookmarkEnd w:id="273"/>
      <w:bookmarkStart w:id="274" w:name="_Toc184308051"/>
      <w:bookmarkEnd w:id="274"/>
      <w:bookmarkStart w:id="275" w:name="_Toc184312104"/>
      <w:bookmarkEnd w:id="275"/>
      <w:bookmarkStart w:id="276" w:name="_Toc184312113"/>
      <w:bookmarkEnd w:id="276"/>
      <w:bookmarkStart w:id="277" w:name="_Toc184313294"/>
      <w:bookmarkEnd w:id="277"/>
      <w:bookmarkStart w:id="278" w:name="_Toc184310337"/>
      <w:bookmarkEnd w:id="278"/>
      <w:bookmarkStart w:id="279" w:name="_Toc184312120"/>
      <w:bookmarkEnd w:id="279"/>
      <w:bookmarkStart w:id="280" w:name="_Toc184313262"/>
      <w:bookmarkEnd w:id="280"/>
      <w:bookmarkStart w:id="281" w:name="_Toc184312081"/>
      <w:bookmarkEnd w:id="281"/>
      <w:bookmarkStart w:id="282" w:name="_Toc184313264"/>
      <w:bookmarkEnd w:id="282"/>
      <w:bookmarkStart w:id="283" w:name="_Toc184313303"/>
      <w:bookmarkEnd w:id="283"/>
      <w:bookmarkStart w:id="284" w:name="_Toc184314439"/>
      <w:bookmarkEnd w:id="284"/>
      <w:bookmarkStart w:id="285" w:name="_Toc184314436"/>
      <w:bookmarkEnd w:id="285"/>
      <w:bookmarkStart w:id="286" w:name="_Toc184308057"/>
      <w:bookmarkEnd w:id="286"/>
      <w:bookmarkStart w:id="287" w:name="_Toc184310278"/>
      <w:bookmarkEnd w:id="287"/>
      <w:bookmarkStart w:id="288" w:name="_Toc184314481"/>
      <w:bookmarkEnd w:id="288"/>
      <w:bookmarkStart w:id="289" w:name="_Toc184313287"/>
      <w:bookmarkEnd w:id="289"/>
      <w:bookmarkStart w:id="290" w:name="_Toc184312139"/>
      <w:bookmarkEnd w:id="290"/>
      <w:bookmarkStart w:id="291" w:name="_Toc184314477"/>
      <w:bookmarkEnd w:id="291"/>
      <w:bookmarkStart w:id="292" w:name="_Toc184314474"/>
      <w:bookmarkEnd w:id="292"/>
      <w:bookmarkStart w:id="293" w:name="_Toc184313249"/>
      <w:bookmarkEnd w:id="293"/>
      <w:bookmarkStart w:id="294" w:name="_Toc184308097"/>
      <w:bookmarkEnd w:id="294"/>
      <w:bookmarkStart w:id="295" w:name="_Toc184312070"/>
      <w:bookmarkEnd w:id="295"/>
      <w:bookmarkStart w:id="296" w:name="_Toc184310293"/>
      <w:bookmarkEnd w:id="296"/>
      <w:bookmarkStart w:id="297" w:name="_Toc184310311"/>
      <w:bookmarkEnd w:id="297"/>
      <w:bookmarkStart w:id="298" w:name="_Toc184308062"/>
      <w:bookmarkEnd w:id="298"/>
      <w:bookmarkStart w:id="299" w:name="_Toc184313283"/>
      <w:bookmarkEnd w:id="299"/>
      <w:bookmarkStart w:id="300" w:name="_Toc184313276"/>
      <w:bookmarkEnd w:id="300"/>
      <w:bookmarkStart w:id="301" w:name="_Toc184308076"/>
      <w:bookmarkEnd w:id="301"/>
      <w:bookmarkStart w:id="302" w:name="_Toc184313268"/>
      <w:bookmarkEnd w:id="302"/>
      <w:bookmarkStart w:id="303" w:name="_Toc184308101"/>
      <w:bookmarkEnd w:id="303"/>
      <w:bookmarkStart w:id="304" w:name="_Toc184308053"/>
      <w:bookmarkEnd w:id="304"/>
      <w:bookmarkStart w:id="305" w:name="_Toc184314470"/>
      <w:bookmarkEnd w:id="305"/>
      <w:bookmarkStart w:id="306" w:name="_Toc184314471"/>
      <w:bookmarkEnd w:id="306"/>
      <w:bookmarkStart w:id="307" w:name="_Toc184308072"/>
      <w:bookmarkEnd w:id="307"/>
      <w:bookmarkStart w:id="308" w:name="_Toc184310320"/>
      <w:bookmarkEnd w:id="308"/>
      <w:bookmarkStart w:id="309" w:name="_Toc184313290"/>
      <w:bookmarkEnd w:id="309"/>
      <w:bookmarkStart w:id="310" w:name="_Toc184313247"/>
      <w:bookmarkEnd w:id="310"/>
      <w:bookmarkStart w:id="311" w:name="_Toc184313250"/>
      <w:bookmarkEnd w:id="311"/>
      <w:bookmarkStart w:id="312" w:name="_Toc184314448"/>
      <w:bookmarkEnd w:id="312"/>
      <w:bookmarkStart w:id="313" w:name="_Toc184313244"/>
      <w:bookmarkEnd w:id="313"/>
      <w:bookmarkStart w:id="314" w:name="_Toc184314480"/>
      <w:bookmarkEnd w:id="314"/>
      <w:bookmarkStart w:id="315" w:name="_Toc184313289"/>
      <w:bookmarkEnd w:id="315"/>
      <w:bookmarkStart w:id="316" w:name="_Toc184308041"/>
      <w:bookmarkEnd w:id="316"/>
      <w:bookmarkStart w:id="317" w:name="_Toc184310291"/>
      <w:bookmarkEnd w:id="317"/>
      <w:bookmarkStart w:id="318" w:name="_Toc184308071"/>
      <w:bookmarkEnd w:id="318"/>
      <w:bookmarkStart w:id="319" w:name="_Toc184313270"/>
      <w:bookmarkEnd w:id="319"/>
      <w:bookmarkStart w:id="320" w:name="_Toc184314440"/>
      <w:bookmarkEnd w:id="320"/>
      <w:bookmarkStart w:id="321" w:name="_Toc184308105"/>
      <w:bookmarkEnd w:id="321"/>
      <w:bookmarkStart w:id="322" w:name="_Toc184313309"/>
      <w:bookmarkEnd w:id="322"/>
      <w:bookmarkStart w:id="323" w:name="_Toc184313277"/>
      <w:bookmarkEnd w:id="323"/>
      <w:bookmarkStart w:id="324" w:name="_Toc184308107"/>
      <w:bookmarkEnd w:id="324"/>
      <w:bookmarkStart w:id="325" w:name="_Toc184314452"/>
      <w:bookmarkEnd w:id="325"/>
      <w:bookmarkStart w:id="326" w:name="_Toc184308036"/>
      <w:bookmarkEnd w:id="326"/>
      <w:bookmarkStart w:id="327" w:name="_Toc184313305"/>
      <w:bookmarkEnd w:id="327"/>
      <w:bookmarkStart w:id="328" w:name="_Toc184308067"/>
      <w:bookmarkEnd w:id="328"/>
      <w:bookmarkStart w:id="329" w:name="_Toc184314451"/>
      <w:bookmarkEnd w:id="329"/>
      <w:bookmarkStart w:id="330" w:name="_Toc184308074"/>
      <w:bookmarkEnd w:id="330"/>
      <w:bookmarkStart w:id="331" w:name="_Toc184308078"/>
      <w:bookmarkEnd w:id="331"/>
      <w:bookmarkStart w:id="332" w:name="_Toc184314416"/>
      <w:bookmarkEnd w:id="332"/>
      <w:bookmarkStart w:id="333" w:name="_Toc184314445"/>
      <w:bookmarkEnd w:id="333"/>
      <w:bookmarkStart w:id="334" w:name="_Toc184312093"/>
      <w:bookmarkEnd w:id="334"/>
      <w:bookmarkStart w:id="335" w:name="_Toc184308095"/>
      <w:bookmarkEnd w:id="335"/>
      <w:bookmarkStart w:id="336" w:name="_Toc184308098"/>
      <w:bookmarkEnd w:id="336"/>
      <w:bookmarkStart w:id="337" w:name="_Toc184308093"/>
      <w:bookmarkEnd w:id="337"/>
      <w:bookmarkStart w:id="338" w:name="_Toc184308077"/>
      <w:bookmarkEnd w:id="338"/>
      <w:bookmarkStart w:id="339" w:name="_Toc184310326"/>
      <w:bookmarkEnd w:id="339"/>
      <w:bookmarkStart w:id="340" w:name="_Toc184314424"/>
      <w:bookmarkEnd w:id="340"/>
      <w:bookmarkStart w:id="341" w:name="_Toc184310322"/>
      <w:bookmarkEnd w:id="341"/>
      <w:bookmarkStart w:id="342" w:name="_Toc184310294"/>
      <w:bookmarkEnd w:id="342"/>
      <w:bookmarkStart w:id="343" w:name="_Toc184313278"/>
      <w:bookmarkEnd w:id="343"/>
      <w:bookmarkStart w:id="344" w:name="_Toc184310332"/>
      <w:bookmarkEnd w:id="344"/>
      <w:bookmarkStart w:id="345" w:name="_Toc184308056"/>
      <w:bookmarkEnd w:id="345"/>
      <w:bookmarkStart w:id="346" w:name="_Toc184314427"/>
      <w:bookmarkEnd w:id="346"/>
      <w:bookmarkStart w:id="347" w:name="_Toc184310324"/>
      <w:bookmarkEnd w:id="347"/>
      <w:bookmarkStart w:id="348" w:name="_Toc184310342"/>
      <w:bookmarkEnd w:id="348"/>
      <w:bookmarkStart w:id="349" w:name="_Toc184308089"/>
      <w:bookmarkEnd w:id="349"/>
      <w:bookmarkStart w:id="350" w:name="_Toc184310331"/>
      <w:bookmarkEnd w:id="350"/>
      <w:bookmarkStart w:id="351" w:name="_Toc184312117"/>
      <w:bookmarkEnd w:id="351"/>
      <w:bookmarkStart w:id="352" w:name="_Toc184308060"/>
      <w:bookmarkEnd w:id="352"/>
      <w:bookmarkStart w:id="353" w:name="_Toc184308046"/>
      <w:bookmarkEnd w:id="353"/>
      <w:bookmarkStart w:id="354" w:name="_Toc184314429"/>
      <w:bookmarkEnd w:id="354"/>
      <w:bookmarkStart w:id="355" w:name="_Toc184308058"/>
      <w:bookmarkEnd w:id="355"/>
      <w:bookmarkStart w:id="356" w:name="_Toc184313267"/>
      <w:bookmarkEnd w:id="356"/>
      <w:bookmarkStart w:id="357" w:name="_Toc184308094"/>
      <w:bookmarkEnd w:id="357"/>
      <w:bookmarkStart w:id="358" w:name="_Toc184310301"/>
      <w:bookmarkEnd w:id="358"/>
      <w:bookmarkStart w:id="359" w:name="_Toc184310275"/>
      <w:bookmarkEnd w:id="359"/>
      <w:bookmarkStart w:id="360" w:name="_Toc184314414"/>
      <w:bookmarkEnd w:id="360"/>
      <w:bookmarkStart w:id="361" w:name="_Toc184312126"/>
      <w:bookmarkEnd w:id="361"/>
      <w:bookmarkStart w:id="362" w:name="_Toc184313246"/>
      <w:bookmarkEnd w:id="362"/>
      <w:bookmarkStart w:id="363" w:name="_Toc184312100"/>
      <w:bookmarkEnd w:id="363"/>
      <w:bookmarkStart w:id="364" w:name="_Toc184313257"/>
      <w:bookmarkEnd w:id="364"/>
      <w:bookmarkStart w:id="365" w:name="_Toc184313252"/>
      <w:bookmarkEnd w:id="365"/>
      <w:bookmarkStart w:id="366" w:name="_Toc184310285"/>
      <w:bookmarkEnd w:id="366"/>
      <w:bookmarkStart w:id="367" w:name="_Toc184310310"/>
      <w:bookmarkEnd w:id="367"/>
      <w:bookmarkStart w:id="368" w:name="_Toc184310335"/>
      <w:bookmarkEnd w:id="368"/>
      <w:bookmarkStart w:id="369" w:name="_Toc184310274"/>
      <w:bookmarkEnd w:id="369"/>
      <w:bookmarkStart w:id="370" w:name="_Toc184313258"/>
      <w:bookmarkEnd w:id="370"/>
      <w:bookmarkStart w:id="371" w:name="_Toc184313293"/>
      <w:bookmarkEnd w:id="371"/>
      <w:bookmarkStart w:id="372" w:name="_Toc184310304"/>
      <w:bookmarkEnd w:id="372"/>
      <w:bookmarkStart w:id="373" w:name="_Toc184312088"/>
      <w:bookmarkEnd w:id="373"/>
      <w:bookmarkStart w:id="374" w:name="_Toc184313295"/>
      <w:bookmarkEnd w:id="374"/>
      <w:bookmarkStart w:id="375" w:name="_Toc184313269"/>
      <w:bookmarkEnd w:id="375"/>
      <w:bookmarkStart w:id="376" w:name="_Toc184313308"/>
      <w:bookmarkEnd w:id="376"/>
      <w:bookmarkStart w:id="377" w:name="_Toc184313292"/>
      <w:bookmarkEnd w:id="377"/>
      <w:bookmarkStart w:id="378" w:name="_Toc184308052"/>
      <w:bookmarkEnd w:id="378"/>
      <w:bookmarkStart w:id="379" w:name="_Toc184308042"/>
      <w:bookmarkEnd w:id="379"/>
      <w:bookmarkStart w:id="380" w:name="_Toc184308079"/>
      <w:bookmarkEnd w:id="380"/>
      <w:bookmarkStart w:id="381" w:name="_Toc184308075"/>
      <w:bookmarkEnd w:id="381"/>
      <w:bookmarkStart w:id="382" w:name="_Toc184313288"/>
      <w:bookmarkEnd w:id="382"/>
      <w:bookmarkStart w:id="383" w:name="_Toc184314415"/>
      <w:bookmarkEnd w:id="383"/>
      <w:bookmarkStart w:id="384" w:name="_Toc184310284"/>
      <w:bookmarkEnd w:id="384"/>
      <w:bookmarkStart w:id="385" w:name="_Toc184312103"/>
      <w:bookmarkEnd w:id="385"/>
      <w:bookmarkStart w:id="386" w:name="_Toc184312129"/>
      <w:bookmarkEnd w:id="386"/>
      <w:bookmarkStart w:id="387" w:name="_Toc184310312"/>
      <w:bookmarkEnd w:id="387"/>
      <w:bookmarkStart w:id="388" w:name="_Toc184314432"/>
      <w:bookmarkEnd w:id="388"/>
      <w:bookmarkStart w:id="389" w:name="_Toc184308081"/>
      <w:bookmarkEnd w:id="389"/>
      <w:bookmarkStart w:id="390" w:name="_Toc184313256"/>
      <w:bookmarkEnd w:id="390"/>
      <w:bookmarkStart w:id="391" w:name="_Toc184308039"/>
      <w:bookmarkEnd w:id="391"/>
      <w:bookmarkStart w:id="392" w:name="_Toc184314425"/>
      <w:bookmarkEnd w:id="392"/>
      <w:bookmarkStart w:id="393" w:name="_Toc184314411"/>
      <w:bookmarkEnd w:id="393"/>
      <w:bookmarkStart w:id="394" w:name="_Toc184310290"/>
      <w:bookmarkEnd w:id="394"/>
      <w:bookmarkStart w:id="395" w:name="_Toc184312118"/>
      <w:bookmarkEnd w:id="395"/>
      <w:bookmarkStart w:id="396" w:name="_Toc184308064"/>
      <w:bookmarkEnd w:id="396"/>
      <w:bookmarkStart w:id="397" w:name="_Toc184314413"/>
      <w:bookmarkEnd w:id="397"/>
      <w:bookmarkStart w:id="398" w:name="_Toc184312132"/>
      <w:bookmarkEnd w:id="398"/>
      <w:bookmarkStart w:id="399" w:name="_Toc184310273"/>
      <w:bookmarkEnd w:id="399"/>
      <w:bookmarkStart w:id="400" w:name="_Toc184313275"/>
      <w:bookmarkEnd w:id="400"/>
      <w:bookmarkStart w:id="401" w:name="_Toc184312127"/>
      <w:bookmarkEnd w:id="401"/>
      <w:bookmarkStart w:id="402" w:name="_Toc184312138"/>
      <w:bookmarkEnd w:id="402"/>
      <w:bookmarkStart w:id="403" w:name="_Toc184314419"/>
      <w:bookmarkEnd w:id="403"/>
      <w:bookmarkStart w:id="404" w:name="_Toc184310302"/>
      <w:bookmarkEnd w:id="404"/>
      <w:bookmarkStart w:id="405" w:name="_Toc184314469"/>
      <w:bookmarkEnd w:id="405"/>
      <w:bookmarkStart w:id="406" w:name="_Toc184313273"/>
      <w:bookmarkEnd w:id="406"/>
      <w:bookmarkStart w:id="407" w:name="_Toc184313291"/>
      <w:bookmarkEnd w:id="407"/>
      <w:bookmarkStart w:id="408" w:name="_Toc184314421"/>
      <w:bookmarkEnd w:id="408"/>
      <w:bookmarkStart w:id="409" w:name="_Toc184313310"/>
      <w:bookmarkEnd w:id="409"/>
      <w:bookmarkStart w:id="410" w:name="_Toc184314430"/>
      <w:bookmarkEnd w:id="410"/>
      <w:bookmarkStart w:id="411" w:name="_Toc184308073"/>
      <w:bookmarkEnd w:id="411"/>
      <w:bookmarkStart w:id="412" w:name="_Toc184313282"/>
      <w:bookmarkEnd w:id="412"/>
      <w:bookmarkStart w:id="413" w:name="_Toc184312099"/>
      <w:bookmarkEnd w:id="413"/>
      <w:bookmarkStart w:id="414" w:name="_Toc184313286"/>
      <w:bookmarkEnd w:id="414"/>
      <w:bookmarkStart w:id="415" w:name="_Toc184313281"/>
      <w:bookmarkEnd w:id="415"/>
      <w:bookmarkStart w:id="416" w:name="_Toc184312131"/>
      <w:bookmarkEnd w:id="416"/>
      <w:r>
        <w:rPr>
          <w:rFonts w:hint="eastAsia" w:ascii="宋体" w:hAnsi="宋体" w:cs="宋体"/>
          <w:b/>
          <w:sz w:val="36"/>
          <w:szCs w:val="36"/>
          <w:highlight w:val="none"/>
        </w:rPr>
        <w:t xml:space="preserve"> 评标办法</w:t>
      </w:r>
      <w:bookmarkEnd w:id="50"/>
      <w:bookmarkEnd w:id="51"/>
    </w:p>
    <w:p>
      <w:pPr>
        <w:snapToGrid w:val="0"/>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标项1评标办法</w:t>
      </w:r>
    </w:p>
    <w:tbl>
      <w:tblPr>
        <w:tblStyle w:val="63"/>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90"/>
        <w:gridCol w:w="645"/>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序号</w:t>
            </w:r>
          </w:p>
        </w:tc>
        <w:tc>
          <w:tcPr>
            <w:tcW w:w="2235" w:type="dxa"/>
            <w:gridSpan w:val="2"/>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6540"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17" w:name="_Hlk194179226"/>
            <w:r>
              <w:rPr>
                <w:rFonts w:hint="eastAsia" w:ascii="宋体" w:hAnsi="宋体" w:cs="宋体"/>
                <w:b/>
                <w:bCs/>
                <w:spacing w:val="-1"/>
                <w:szCs w:val="21"/>
                <w:highlight w:val="none"/>
              </w:rPr>
              <w:t>1</w:t>
            </w:r>
          </w:p>
        </w:tc>
        <w:tc>
          <w:tcPr>
            <w:tcW w:w="1590" w:type="dxa"/>
            <w:vAlign w:val="center"/>
          </w:tcPr>
          <w:p>
            <w:pPr>
              <w:pStyle w:val="338"/>
              <w:spacing w:before="0" w:after="0" w:line="360" w:lineRule="auto"/>
              <w:jc w:val="center"/>
              <w:rPr>
                <w:rFonts w:ascii="宋体" w:hAnsi="宋体" w:cs="宋体"/>
                <w:b/>
                <w:bCs/>
                <w:snapToGrid w:val="0"/>
                <w:sz w:val="21"/>
                <w:szCs w:val="21"/>
                <w:highlight w:val="none"/>
              </w:rPr>
            </w:pPr>
            <w:r>
              <w:rPr>
                <w:rFonts w:hint="eastAsia" w:ascii="宋体" w:hAnsi="宋体" w:cs="宋体"/>
                <w:b/>
                <w:bCs/>
                <w:spacing w:val="-2"/>
                <w:sz w:val="21"/>
                <w:szCs w:val="21"/>
                <w:highlight w:val="none"/>
                <w14:textOutline w14:w="3835" w14:cap="flat" w14:cmpd="sng" w14:algn="ctr">
                  <w14:solidFill>
                    <w14:srgbClr w14:val="000000"/>
                  </w14:solidFill>
                  <w14:prstDash w14:val="solid"/>
                  <w14:miter w14:val="0"/>
                </w14:textOutline>
              </w:rPr>
              <w:t>价格分</w:t>
            </w:r>
          </w:p>
        </w:tc>
        <w:tc>
          <w:tcPr>
            <w:tcW w:w="645" w:type="dxa"/>
            <w:vAlign w:val="center"/>
          </w:tcPr>
          <w:p>
            <w:pPr>
              <w:pStyle w:val="338"/>
              <w:spacing w:before="0" w:after="0" w:line="360" w:lineRule="auto"/>
              <w:jc w:val="center"/>
              <w:rPr>
                <w:rFonts w:ascii="宋体" w:hAnsi="宋体" w:cs="宋体"/>
                <w:b/>
                <w:bCs/>
                <w:snapToGrid w:val="0"/>
                <w:sz w:val="21"/>
                <w:szCs w:val="21"/>
                <w:highlight w:val="none"/>
              </w:rPr>
            </w:pPr>
            <w:r>
              <w:rPr>
                <w:rFonts w:hint="eastAsia" w:ascii="宋体" w:hAnsi="宋体" w:cs="宋体"/>
                <w:b/>
                <w:bCs/>
                <w:spacing w:val="-8"/>
                <w:sz w:val="21"/>
                <w:szCs w:val="21"/>
                <w:highlight w:val="none"/>
                <w14:textOutline w14:w="3835" w14:cap="flat" w14:cmpd="sng" w14:algn="ctr">
                  <w14:solidFill>
                    <w14:srgbClr w14:val="000000"/>
                  </w14:solidFill>
                  <w14:prstDash w14:val="solid"/>
                  <w14:miter w14:val="0"/>
                </w14:textOutline>
              </w:rPr>
              <w:t>10</w:t>
            </w:r>
          </w:p>
        </w:tc>
        <w:tc>
          <w:tcPr>
            <w:tcW w:w="6540" w:type="dxa"/>
          </w:tcPr>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有效投标报价的最低价作为评标基准价，其最低报价为满分；按［投标报价得分=（评标基准价/投标报价）*10］的计算公式计算。</w:t>
            </w:r>
          </w:p>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评标过程中，不得去掉报价中的最高报价和最低报价。</w:t>
            </w:r>
          </w:p>
          <w:p>
            <w:pPr>
              <w:snapToGrid w:val="0"/>
              <w:spacing w:line="360" w:lineRule="auto"/>
              <w:ind w:firstLine="420" w:firstLineChars="200"/>
              <w:jc w:val="left"/>
              <w:rPr>
                <w:rFonts w:hint="eastAsia" w:ascii="宋体" w:hAnsi="宋体" w:cs="宋体"/>
                <w:bCs/>
                <w:szCs w:val="21"/>
                <w:highlight w:val="none"/>
              </w:rPr>
            </w:pPr>
            <w:bookmarkStart w:id="418" w:name="OLE_LINK7"/>
            <w:bookmarkStart w:id="419" w:name="OLE_LINK8"/>
            <w:r>
              <w:rPr>
                <w:rFonts w:hint="eastAsia" w:ascii="宋体" w:hAnsi="宋体" w:cs="宋体"/>
                <w:bCs/>
                <w:szCs w:val="21"/>
                <w:highlight w:val="none"/>
              </w:rPr>
              <w:t>对小型和微型企业的投标报价给予20%的扣除，用扣除后的价格参与评审。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pPr>
              <w:snapToGrid w:val="0"/>
              <w:spacing w:line="360" w:lineRule="auto"/>
              <w:ind w:firstLine="420" w:firstLineChars="200"/>
              <w:jc w:val="left"/>
              <w:rPr>
                <w:rFonts w:ascii="宋体" w:hAnsi="宋体" w:cs="宋体"/>
                <w:szCs w:val="21"/>
                <w:highlight w:val="none"/>
              </w:rPr>
            </w:pPr>
            <w:r>
              <w:rPr>
                <w:rFonts w:hint="eastAsia" w:ascii="宋体" w:hAnsi="宋体" w:cs="宋体"/>
                <w:bCs/>
                <w:szCs w:val="21"/>
                <w:highlight w:val="none"/>
              </w:rPr>
              <w:t>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End w:id="418"/>
            <w:bookmarkEnd w:id="419"/>
          </w:p>
        </w:tc>
      </w:tr>
      <w:bookmarkEnd w:id="4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20" w:name="_Hlk194179325"/>
            <w:r>
              <w:rPr>
                <w:rFonts w:hint="eastAsia" w:ascii="宋体" w:hAnsi="宋体" w:cs="宋体"/>
                <w:b/>
                <w:bCs/>
                <w:spacing w:val="-1"/>
                <w:szCs w:val="21"/>
                <w:highlight w:val="none"/>
              </w:rPr>
              <w:t>2</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重要指标性能分</w:t>
            </w:r>
          </w:p>
        </w:tc>
        <w:tc>
          <w:tcPr>
            <w:tcW w:w="64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20</w:t>
            </w:r>
          </w:p>
        </w:tc>
        <w:tc>
          <w:tcPr>
            <w:tcW w:w="6540" w:type="dxa"/>
          </w:tcPr>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采购需求一览表中标注“★”的技术参数为重要技术指标、功能项，提供标注“</w:t>
            </w:r>
            <w:bookmarkStart w:id="421" w:name="OLE_LINK1"/>
            <w:r>
              <w:rPr>
                <w:rFonts w:hint="eastAsia" w:ascii="宋体" w:hAnsi="宋体" w:cs="宋体"/>
                <w:szCs w:val="21"/>
                <w:highlight w:val="none"/>
              </w:rPr>
              <w:t>★</w:t>
            </w:r>
            <w:bookmarkEnd w:id="421"/>
            <w:r>
              <w:rPr>
                <w:rFonts w:hint="eastAsia" w:ascii="宋体" w:hAnsi="宋体" w:cs="宋体"/>
                <w:szCs w:val="21"/>
                <w:highlight w:val="none"/>
              </w:rPr>
              <w:t>”的技术参数相关证明材料，每提供1项得1分，满分20分。</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证明材料包括但不限于产品功能截图或国家认可的第三方检测（验）机构出具的检测（验）报告复印件等，同时，加盖投标供应商公章。</w:t>
            </w:r>
          </w:p>
        </w:tc>
      </w:tr>
      <w:bookmarkEnd w:id="4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22" w:name="_Hlk194179455"/>
            <w:r>
              <w:rPr>
                <w:rFonts w:hint="eastAsia" w:ascii="宋体" w:hAnsi="宋体" w:cs="宋体"/>
                <w:b/>
                <w:bCs/>
                <w:spacing w:val="-1"/>
                <w:szCs w:val="21"/>
                <w:highlight w:val="none"/>
              </w:rPr>
              <w:t>3</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项目整体技术方案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vAlign w:val="center"/>
          </w:tcPr>
          <w:p>
            <w:pPr>
              <w:spacing w:line="360" w:lineRule="auto"/>
              <w:jc w:val="left"/>
              <w:rPr>
                <w:rFonts w:ascii="宋体" w:hAnsi="宋体" w:cs="宋体"/>
                <w:szCs w:val="21"/>
                <w:highlight w:val="none"/>
              </w:rPr>
            </w:pPr>
            <w:r>
              <w:rPr>
                <w:rFonts w:hint="eastAsia" w:ascii="宋体" w:hAnsi="宋体" w:eastAsia="宋体" w:cs="宋体"/>
                <w:color w:val="000000"/>
                <w:sz w:val="21"/>
                <w:szCs w:val="21"/>
                <w:highlight w:val="none"/>
                <w:lang w:val="en-US" w:eastAsia="zh-CN"/>
              </w:rPr>
              <w:t>根据</w:t>
            </w:r>
            <w:r>
              <w:rPr>
                <w:rFonts w:hint="eastAsia" w:ascii="宋体" w:hAnsi="宋体" w:eastAsia="宋体" w:cs="宋体"/>
                <w:color w:val="000000"/>
                <w:sz w:val="21"/>
                <w:szCs w:val="21"/>
                <w:highlight w:val="none"/>
              </w:rPr>
              <w:t>投标人围绕本项目概况，依据《网络安全法》、《广西电子政务外网市、县级节点技术规范（20</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2 年修订版）》</w:t>
            </w:r>
            <w:r>
              <w:rPr>
                <w:rFonts w:hint="eastAsia" w:ascii="宋体" w:hAnsi="宋体" w:eastAsia="宋体" w:cs="宋体"/>
                <w:color w:val="000000"/>
                <w:sz w:val="21"/>
                <w:szCs w:val="21"/>
                <w:highlight w:val="none"/>
                <w:lang w:eastAsia="zh-CN"/>
              </w:rPr>
              <w:t>等</w:t>
            </w:r>
            <w:r>
              <w:rPr>
                <w:rFonts w:hint="eastAsia" w:ascii="宋体" w:hAnsi="宋体" w:eastAsia="宋体" w:cs="宋体"/>
                <w:color w:val="000000"/>
                <w:sz w:val="21"/>
                <w:szCs w:val="21"/>
                <w:highlight w:val="none"/>
              </w:rPr>
              <w:t>以及</w:t>
            </w:r>
            <w:r>
              <w:rPr>
                <w:rFonts w:hint="eastAsia" w:ascii="宋体" w:hAnsi="宋体" w:eastAsia="宋体" w:cs="宋体"/>
                <w:color w:val="000000"/>
                <w:sz w:val="21"/>
                <w:szCs w:val="21"/>
                <w:highlight w:val="none"/>
                <w:lang w:eastAsia="zh-CN"/>
              </w:rPr>
              <w:t>来宾市市本级</w:t>
            </w:r>
            <w:r>
              <w:rPr>
                <w:rFonts w:hint="eastAsia" w:ascii="宋体" w:hAnsi="宋体" w:eastAsia="宋体" w:cs="宋体"/>
                <w:color w:val="000000"/>
                <w:sz w:val="21"/>
                <w:szCs w:val="21"/>
                <w:highlight w:val="none"/>
              </w:rPr>
              <w:t>实际情况</w:t>
            </w:r>
            <w:r>
              <w:rPr>
                <w:rFonts w:hint="eastAsia" w:ascii="宋体" w:hAnsi="宋体" w:eastAsia="宋体" w:cs="宋体"/>
                <w:color w:val="000000"/>
                <w:sz w:val="21"/>
                <w:szCs w:val="21"/>
                <w:highlight w:val="none"/>
                <w:lang w:val="en-US" w:eastAsia="zh-CN"/>
              </w:rPr>
              <w:t>提供的方案，进行综合评审</w:t>
            </w:r>
            <w:r>
              <w:rPr>
                <w:rFonts w:hint="eastAsia" w:ascii="宋体" w:hAnsi="宋体" w:eastAsia="宋体" w:cs="宋体"/>
                <w:color w:val="000000"/>
                <w:sz w:val="21"/>
                <w:szCs w:val="21"/>
                <w:highlight w:val="none"/>
              </w:rPr>
              <w:t>具体内容包括</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①</w:t>
            </w:r>
            <w:r>
              <w:rPr>
                <w:rFonts w:hint="eastAsia" w:ascii="宋体" w:hAnsi="宋体" w:eastAsia="宋体" w:cs="宋体"/>
                <w:color w:val="000000"/>
                <w:sz w:val="21"/>
                <w:szCs w:val="21"/>
                <w:highlight w:val="none"/>
              </w:rPr>
              <w:t>项目建设背景</w:t>
            </w:r>
            <w:r>
              <w:rPr>
                <w:rFonts w:hint="eastAsia" w:ascii="宋体" w:hAnsi="宋体" w:cs="宋体"/>
                <w:color w:val="000000"/>
                <w:sz w:val="21"/>
                <w:szCs w:val="21"/>
                <w:highlight w:val="none"/>
                <w:lang w:eastAsia="zh-CN"/>
              </w:rPr>
              <w:t>及建设内容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②</w:t>
            </w:r>
            <w:r>
              <w:rPr>
                <w:rFonts w:hint="eastAsia" w:ascii="宋体" w:hAnsi="宋体" w:eastAsia="宋体" w:cs="宋体"/>
                <w:color w:val="000000"/>
                <w:sz w:val="21"/>
                <w:szCs w:val="21"/>
                <w:highlight w:val="none"/>
              </w:rPr>
              <w:t>网络拓扑</w:t>
            </w:r>
            <w:r>
              <w:rPr>
                <w:rFonts w:hint="eastAsia" w:ascii="宋体" w:hAnsi="宋体" w:cs="宋体"/>
                <w:color w:val="000000"/>
                <w:sz w:val="21"/>
                <w:szCs w:val="21"/>
                <w:highlight w:val="none"/>
                <w:lang w:eastAsia="zh-CN"/>
              </w:rPr>
              <w:t>及网络规划、安全规划</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③运维服务体系及具体可操作详细内容；④</w:t>
            </w:r>
            <w:r>
              <w:rPr>
                <w:rFonts w:hint="eastAsia" w:ascii="宋体" w:hAnsi="宋体" w:eastAsia="宋体" w:cs="宋体"/>
                <w:color w:val="000000"/>
                <w:sz w:val="21"/>
                <w:szCs w:val="21"/>
                <w:highlight w:val="none"/>
              </w:rPr>
              <w:t>可能存在的网络安全事件</w:t>
            </w:r>
            <w:r>
              <w:rPr>
                <w:rFonts w:hint="eastAsia" w:ascii="宋体" w:hAnsi="宋体" w:cs="宋体"/>
                <w:color w:val="000000"/>
                <w:sz w:val="21"/>
                <w:szCs w:val="21"/>
                <w:highlight w:val="none"/>
                <w:lang w:eastAsia="zh-CN"/>
              </w:rPr>
              <w:t>及处置流程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⑤</w:t>
            </w:r>
            <w:r>
              <w:rPr>
                <w:rFonts w:hint="eastAsia" w:ascii="宋体" w:hAnsi="宋体" w:eastAsia="宋体" w:cs="宋体"/>
                <w:color w:val="000000"/>
                <w:sz w:val="21"/>
                <w:szCs w:val="21"/>
                <w:highlight w:val="none"/>
              </w:rPr>
              <w:t>服务目标</w:t>
            </w:r>
            <w:r>
              <w:rPr>
                <w:rFonts w:hint="eastAsia" w:ascii="宋体" w:hAnsi="宋体" w:cs="宋体"/>
                <w:color w:val="000000"/>
                <w:sz w:val="21"/>
                <w:szCs w:val="21"/>
                <w:highlight w:val="none"/>
                <w:lang w:eastAsia="zh-CN"/>
              </w:rPr>
              <w:t>等内容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上述内容齐全，符合实际切实可行且无缺陷（缺陷是指：部分内容与项目无关、逻辑错误、科学原理错误、表述错误、不符合本项目涉及的相关规范或标准要求的任意一种情形）</w:t>
            </w:r>
          </w:p>
          <w:p>
            <w:pPr>
              <w:spacing w:line="360" w:lineRule="auto"/>
              <w:jc w:val="left"/>
              <w:rPr>
                <w:rFonts w:ascii="宋体" w:hAnsi="宋体" w:cs="宋体"/>
                <w:szCs w:val="21"/>
                <w:highlight w:val="none"/>
              </w:rPr>
            </w:pPr>
            <w:r>
              <w:rPr>
                <w:rFonts w:hint="eastAsia" w:ascii="宋体" w:hAnsi="宋体" w:cs="宋体"/>
                <w:szCs w:val="21"/>
                <w:highlight w:val="none"/>
              </w:rPr>
              <w:t>一档（4分）：投标人的技术方案描述简单，对项目概况以及需求有基本描述，并且能给出基本项目设计方案；</w:t>
            </w:r>
          </w:p>
          <w:p>
            <w:pPr>
              <w:spacing w:line="360" w:lineRule="auto"/>
              <w:jc w:val="left"/>
              <w:rPr>
                <w:rFonts w:ascii="宋体" w:hAnsi="宋体" w:cs="宋体"/>
                <w:szCs w:val="21"/>
                <w:highlight w:val="none"/>
              </w:rPr>
            </w:pPr>
            <w:r>
              <w:rPr>
                <w:rFonts w:hint="eastAsia" w:ascii="宋体" w:hAnsi="宋体" w:cs="宋体"/>
                <w:szCs w:val="21"/>
                <w:highlight w:val="none"/>
              </w:rPr>
              <w:t>二挡（8分）：投标人的技术方案对项目概况以及需求有较为细致的描述，能够给出细致的项目设计方案，对方案设计的各个子部分有切实、可靠的描述，并且能够给出项目建设所需要的设备档次建议，投标人对项目的建设有较为深刻的理解；</w:t>
            </w:r>
          </w:p>
          <w:p>
            <w:pPr>
              <w:spacing w:line="360" w:lineRule="auto"/>
              <w:jc w:val="left"/>
              <w:rPr>
                <w:rFonts w:ascii="宋体" w:hAnsi="宋体" w:cs="宋体"/>
                <w:szCs w:val="21"/>
                <w:highlight w:val="none"/>
              </w:rPr>
            </w:pPr>
            <w:r>
              <w:rPr>
                <w:rFonts w:hint="eastAsia" w:ascii="宋体" w:hAnsi="宋体" w:cs="宋体"/>
                <w:szCs w:val="21"/>
                <w:highlight w:val="none"/>
              </w:rPr>
              <w:t>三挡（12分）：投标人的技术方案对项目概况以及需求有较为细致的描述，能够给出细致的项目设计方案，对方案设计的各个子部分有切实、可靠的描述，并且能够给出项目建设所需要的设备档次建议；此外投标人对项目的建设有较为深刻的理解，技术方案内包含项目建设周期、项目风险及效益等分析。</w:t>
            </w:r>
          </w:p>
        </w:tc>
      </w:tr>
      <w:bookmarkEnd w:id="4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23" w:name="_Hlk194179564"/>
            <w:r>
              <w:rPr>
                <w:rFonts w:hint="eastAsia" w:ascii="宋体" w:hAnsi="宋体" w:cs="宋体"/>
                <w:b/>
                <w:bCs/>
                <w:spacing w:val="-1"/>
                <w:szCs w:val="21"/>
                <w:highlight w:val="none"/>
              </w:rPr>
              <w:t>4</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项目实施计划方案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vAlign w:val="center"/>
          </w:tcPr>
          <w:p>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一档（4分）：实施方案内容基本齐全，描述简单。基本能结合项目实际情况对进度管理和质量管理进行分析，且进度管理和质量管理措施简单描述；拟投入项目实施人员不少于5 人；</w:t>
            </w:r>
          </w:p>
          <w:p>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二档（8分）：实施方案内容较为全面，包括人员管理、进度管理、质量管理、计划管理、施工组织管理、协调管理。描述完整详尽，能结合项目实际情况进行分析说明，实施方案能融合主要建设内容进行合理分析和科学编排，且具有直观性、针对性和可操作性。拟投入项目实施人员不少于10 人。</w:t>
            </w:r>
          </w:p>
          <w:p>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三档（12分）：实施方案内容全面，包含人员管理、进度管理、质量管理、计划管理、施工组织管理、协调管理、突发事件的应急处理预案，描述完整详尽，能结合项目实际情况进行分析说明，实施方案进度能融合主要建设内容进行合理分析和科学编排，且具有直观性、针对性和可操作性，并提出具体的科学合理的工期和质量保证措施，对影响项目进度和质量的主要风险点和难点进行分析，提出合理化建议及切实可行、具有针对性和具体的解决方案或应对措施。拟投入项目实施人员不少于15 人。</w:t>
            </w:r>
          </w:p>
          <w:p>
            <w:pPr>
              <w:spacing w:line="360" w:lineRule="auto"/>
              <w:jc w:val="left"/>
              <w:rPr>
                <w:rFonts w:ascii="宋体" w:hAnsi="宋体" w:cs="宋体"/>
                <w:szCs w:val="21"/>
                <w:highlight w:val="none"/>
              </w:rPr>
            </w:pPr>
            <w:r>
              <w:rPr>
                <w:rFonts w:hint="eastAsia" w:ascii="宋体" w:hAnsi="宋体" w:cs="宋体"/>
                <w:szCs w:val="21"/>
                <w:highlight w:val="none"/>
              </w:rPr>
              <w:t>注：须在投标文件中提供上述人员在截标前半年内任意1个月为其缴纳社保的证明复印件，加盖公章。</w:t>
            </w:r>
          </w:p>
        </w:tc>
      </w:tr>
      <w:bookmarkEnd w:id="4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5</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项目实施团队服务能力分</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11</w:t>
            </w:r>
          </w:p>
        </w:tc>
        <w:tc>
          <w:tcPr>
            <w:tcW w:w="6540" w:type="dxa"/>
          </w:tcPr>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对项目实施人员组织结构、岗位职责及人员等配备情况进行打分，不提供的不得分：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1.拟投入本项目的项目负责人1人（满分2分）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①具有信息通信网络类高级工程师证书的，得1分；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②具有注册安全工程师证书的，得1分；，得1分；</w:t>
            </w:r>
          </w:p>
          <w:p>
            <w:pPr>
              <w:pStyle w:val="338"/>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2.拟投入本项目的运维负责人1人（满分3分）</w:t>
            </w:r>
          </w:p>
          <w:p>
            <w:pPr>
              <w:pStyle w:val="338"/>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①具有信息通信网络类高级工程师证书的，得1分；</w:t>
            </w:r>
          </w:p>
          <w:p>
            <w:pPr>
              <w:pStyle w:val="338"/>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②具有IT服务项目经理证书证书的，得1分；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③具有信息安全管理（高级）证书的，得1分。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3.拟投入本项目的实施人员6人（满分6分)以下人员和证书不重复记分，一人最多得1分。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①具有通信工程高级工程师证书的，得1分；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②具有高级数据安全管理师证书的，得1分；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③具有高级系统架构设计师证书的，得1分；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④具有网络规划设计师证书的，得1分；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⑤具有注册信息安全工程师证书的，得1分；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⑥信息系统项目管理师（高级）证书的，得1分</w:t>
            </w:r>
          </w:p>
          <w:p>
            <w:pPr>
              <w:spacing w:line="360" w:lineRule="auto"/>
              <w:ind w:firstLine="416" w:firstLineChars="200"/>
              <w:jc w:val="left"/>
              <w:rPr>
                <w:rFonts w:ascii="宋体" w:hAnsi="宋体" w:cs="宋体"/>
                <w:b/>
                <w:bCs/>
                <w:szCs w:val="21"/>
                <w:highlight w:val="none"/>
              </w:rPr>
            </w:pPr>
            <w:r>
              <w:rPr>
                <w:rFonts w:hint="eastAsia" w:ascii="宋体" w:hAnsi="宋体" w:cs="宋体"/>
                <w:spacing w:val="-1"/>
                <w:szCs w:val="21"/>
                <w:highlight w:val="none"/>
              </w:rPr>
              <w:t>注：投标人须提供以下加盖电子签章的证明材料：①国家认可的人员资质证书扫描件；②该人员与投标人签订的有效劳动合同扫描件或由投标人为其在投标截止日前半年内任意一个月依法缴纳社保的证明扫描件。不提供证明材料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6</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项目运维服务方案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tcPr>
          <w:p>
            <w:pPr>
              <w:pStyle w:val="637"/>
              <w:widowControl w:val="0"/>
              <w:spacing w:line="360" w:lineRule="auto"/>
              <w:ind w:firstLine="420"/>
              <w:rPr>
                <w:rFonts w:hAnsi="宋体" w:cs="宋体"/>
                <w:szCs w:val="21"/>
                <w:highlight w:val="none"/>
              </w:rPr>
            </w:pPr>
            <w:r>
              <w:rPr>
                <w:rFonts w:hint="eastAsia" w:hAnsi="宋体" w:cs="宋体"/>
                <w:szCs w:val="21"/>
                <w:highlight w:val="none"/>
              </w:rPr>
              <w:t>围绕1、安全运维巡检：电子政务网络设备、服务器、操作系统、应用系统等进行周期性检查，定期交付相应的巡检报告及安全建议，提供详细的服务方案，进行综合评审。</w:t>
            </w:r>
          </w:p>
          <w:p>
            <w:pPr>
              <w:widowControl/>
              <w:spacing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2、</w:t>
            </w:r>
            <w:r>
              <w:rPr>
                <w:rFonts w:hint="eastAsia" w:ascii="宋体" w:hAnsi="宋体" w:cs="宋体"/>
                <w:kern w:val="0"/>
                <w:szCs w:val="21"/>
                <w:highlight w:val="none"/>
              </w:rPr>
              <w:t>网络安全检测：对电子政务网络中的网络架构隔离状况，安全设备配置、终端与服务器安全设置合规状态、应用系统身份验证状态等内容进行网络安全检测，定期交付《安全检测服务报告》。</w:t>
            </w:r>
          </w:p>
          <w:p>
            <w:pPr>
              <w:pStyle w:val="638"/>
              <w:spacing w:line="360" w:lineRule="auto"/>
              <w:rPr>
                <w:rFonts w:ascii="宋体" w:hAnsi="宋体" w:eastAsia="宋体" w:cs="宋体"/>
                <w:color w:val="auto"/>
                <w:kern w:val="0"/>
                <w:highlight w:val="none"/>
              </w:rPr>
            </w:pPr>
            <w:r>
              <w:rPr>
                <w:rFonts w:hint="eastAsia" w:ascii="宋体" w:hAnsi="宋体" w:eastAsia="宋体" w:cs="宋体"/>
                <w:color w:val="auto"/>
                <w:kern w:val="0"/>
                <w:highlight w:val="none"/>
              </w:rPr>
              <w:t>（2）每年针对电子政务网络提供一次三级等保测评服务，交付《等保测评报告》。</w:t>
            </w:r>
          </w:p>
          <w:p>
            <w:pPr>
              <w:pStyle w:val="637"/>
              <w:widowControl w:val="0"/>
              <w:spacing w:line="360" w:lineRule="auto"/>
              <w:ind w:firstLine="420"/>
              <w:rPr>
                <w:rFonts w:hAnsi="宋体" w:cs="宋体"/>
                <w:szCs w:val="21"/>
                <w:highlight w:val="none"/>
              </w:rPr>
            </w:pPr>
            <w:r>
              <w:rPr>
                <w:rFonts w:hint="eastAsia" w:hAnsi="宋体" w:cs="宋体"/>
                <w:szCs w:val="21"/>
                <w:highlight w:val="none"/>
              </w:rPr>
              <w:t>3、资产梳理：对电子政务网络的硬件设备及附属设备型号、数量、版本、IP地址规划等信息阐述，对业务资产进行梳理，确定业务交互关系、数据调用关系等。交付网络拓扑图，《资产梳理报告》。</w:t>
            </w:r>
          </w:p>
          <w:p>
            <w:pPr>
              <w:pStyle w:val="638"/>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4、数据安全整改咨询：对电子政务网络提供数据资产全生命周期咨询服务，为电子政务系统数据安全规划交付服务解决方案。根据行业数据安全监管要求对数据进行梳理，提供数据安全策略与规划。在电子政务网络开展网络安全、信息系统等级保护测评工作后，根据被测系统的最终测评报告，对报告中提出的安全问题、系统现状提供安全整改建议，并协助采购人开展整改落地工作。</w:t>
            </w:r>
          </w:p>
          <w:p>
            <w:pPr>
              <w:pStyle w:val="637"/>
              <w:widowControl w:val="0"/>
              <w:spacing w:line="360" w:lineRule="auto"/>
              <w:ind w:firstLine="420"/>
              <w:rPr>
                <w:rFonts w:hAnsi="宋体" w:cs="宋体"/>
                <w:szCs w:val="21"/>
                <w:highlight w:val="none"/>
              </w:rPr>
            </w:pPr>
            <w:r>
              <w:rPr>
                <w:rFonts w:hint="eastAsia" w:hAnsi="宋体" w:cs="宋体"/>
                <w:szCs w:val="21"/>
                <w:highlight w:val="none"/>
              </w:rPr>
              <w:t>5、售后服务内容：</w:t>
            </w:r>
            <w:r>
              <w:rPr>
                <w:rFonts w:hint="eastAsia" w:hAnsi="宋体" w:cs="宋体"/>
                <w:bCs/>
                <w:szCs w:val="21"/>
                <w:highlight w:val="none"/>
              </w:rPr>
              <w:t>提供7*24小时网络故障报修服务，接到故障报修后0.5小时内响应，2小时内到达现场，非设备问题4小时内处理完毕相关故障报修，设备导致故障应及时提供备件支撑8小时内处理完毕</w:t>
            </w:r>
            <w:r>
              <w:rPr>
                <w:rFonts w:hint="eastAsia" w:hAnsi="宋体" w:cs="宋体"/>
                <w:szCs w:val="21"/>
                <w:highlight w:val="none"/>
              </w:rPr>
              <w:t>，其它运维服务内容根据各自的运维体系编制售后运维情况及内容。</w:t>
            </w:r>
          </w:p>
          <w:p>
            <w:pPr>
              <w:spacing w:line="360" w:lineRule="auto"/>
              <w:jc w:val="left"/>
              <w:rPr>
                <w:rFonts w:ascii="宋体" w:hAnsi="宋体" w:cs="宋体"/>
                <w:szCs w:val="21"/>
                <w:highlight w:val="none"/>
              </w:rPr>
            </w:pPr>
            <w:r>
              <w:rPr>
                <w:rFonts w:hint="eastAsia" w:ascii="宋体" w:hAnsi="宋体" w:cs="宋体"/>
                <w:szCs w:val="21"/>
                <w:highlight w:val="none"/>
              </w:rPr>
              <w:t>一档（4分）：方案存在缺项内容，方案较为简单、后续服务承诺；提供本地化服务内容简单或者未提及，对前期工作方案及承诺响应不细致，后续服务方案整体描述简单，满足采购文件要求的。</w:t>
            </w:r>
          </w:p>
          <w:p>
            <w:pPr>
              <w:spacing w:line="360" w:lineRule="auto"/>
              <w:jc w:val="left"/>
              <w:rPr>
                <w:rFonts w:ascii="宋体" w:hAnsi="宋体" w:cs="宋体"/>
                <w:szCs w:val="21"/>
                <w:highlight w:val="none"/>
              </w:rPr>
            </w:pPr>
            <w:r>
              <w:rPr>
                <w:rFonts w:hint="eastAsia" w:ascii="宋体" w:hAnsi="宋体" w:cs="宋体"/>
                <w:szCs w:val="21"/>
                <w:highlight w:val="none"/>
              </w:rPr>
              <w:t>二档（8分）：方案无缺项内容，提供比较详细、可行的运行维护方案、后续服务承诺；提供的本地化服务内容较细致，能满足采购单位的实际需求；对前期工作方案及承诺响应较细致；有简单的应急处理方案描述； 供应商具有维护能力，售后服务团队人员不少于5人。</w:t>
            </w:r>
          </w:p>
          <w:p>
            <w:pPr>
              <w:spacing w:line="360" w:lineRule="auto"/>
              <w:jc w:val="left"/>
              <w:rPr>
                <w:rFonts w:ascii="宋体" w:hAnsi="宋体" w:cs="宋体"/>
                <w:szCs w:val="21"/>
                <w:highlight w:val="none"/>
              </w:rPr>
            </w:pPr>
            <w:r>
              <w:rPr>
                <w:rFonts w:hint="eastAsia" w:ascii="宋体" w:hAnsi="宋体" w:cs="宋体"/>
                <w:szCs w:val="21"/>
                <w:highlight w:val="none"/>
              </w:rPr>
              <w:t>三档（12分）：方案无缺项内容，提供详细、具体、可行的运行维护方案、后续服务承诺，服务内容根据项目的属性能具体分析并且承诺；提供的本地化服务内容细致，能最大程度满足采购单位的实际需求；对前期工作方案及承诺响应较好；有提供应急处理方案且描述详细，有详细的各类事故应急救援方案；有完整的服务记录档案制度；对内容、流程方案处理操作性强；能提供服务电话； 7×24小时自有呼叫中心受理渠道；供应商具有维护能力，售后服务团队人员不少于15人。为保证项目售后服务，售后服务团队人员中除项目负责人及运维负责人外，至少有6人持有人社部、工信部或者公安部认可的与网络工程或者网络安全与管理相关的资格证书。。</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注：须在投标文件中提供上述人员相关资格证书复印件及投标人在投标截止日前半年内任意1个月为其缴纳社保的证明复印件、合同复印件（</w:t>
            </w:r>
            <w:r>
              <w:rPr>
                <w:rFonts w:hint="eastAsia" w:ascii="宋体" w:hAnsi="宋体" w:cs="宋体"/>
                <w:b/>
                <w:bCs/>
                <w:szCs w:val="21"/>
                <w:highlight w:val="none"/>
              </w:rPr>
              <w:t>人员的入职时间至少为截止投标日期的三个月以上（包含三个月）</w:t>
            </w:r>
            <w:r>
              <w:rPr>
                <w:rFonts w:hint="eastAsia" w:ascii="宋体" w:hAnsi="宋体" w:cs="宋体"/>
                <w:szCs w:val="21"/>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7</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网络安全服务方案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9</w:t>
            </w:r>
          </w:p>
        </w:tc>
        <w:tc>
          <w:tcPr>
            <w:tcW w:w="6540" w:type="dxa"/>
          </w:tcPr>
          <w:p>
            <w:pPr>
              <w:spacing w:line="360" w:lineRule="auto"/>
              <w:jc w:val="left"/>
              <w:rPr>
                <w:rFonts w:ascii="宋体" w:hAnsi="宋体" w:cs="宋体"/>
                <w:szCs w:val="21"/>
                <w:highlight w:val="none"/>
              </w:rPr>
            </w:pPr>
            <w:r>
              <w:rPr>
                <w:rFonts w:hint="eastAsia" w:ascii="宋体" w:hAnsi="宋体" w:cs="宋体"/>
                <w:szCs w:val="21"/>
                <w:highlight w:val="none"/>
              </w:rPr>
              <w:t>根据投标人围绕采购需求中网络安全服务：1</w:t>
            </w:r>
            <w:r>
              <w:rPr>
                <w:rFonts w:hint="eastAsia" w:ascii="宋体" w:hAnsi="宋体" w:cs="宋体"/>
                <w:kern w:val="0"/>
                <w:szCs w:val="21"/>
                <w:highlight w:val="none"/>
              </w:rPr>
              <w:t>流量清洗、2边界控制、3上网行为控制服务、4</w:t>
            </w:r>
            <w:r>
              <w:rPr>
                <w:rFonts w:hint="eastAsia" w:ascii="宋体" w:hAnsi="宋体" w:cs="宋体"/>
                <w:szCs w:val="21"/>
                <w:highlight w:val="none"/>
              </w:rPr>
              <w:t>互联网网络访问、5</w:t>
            </w:r>
            <w:r>
              <w:rPr>
                <w:rFonts w:hint="eastAsia" w:ascii="宋体" w:hAnsi="宋体" w:cs="宋体"/>
                <w:kern w:val="0"/>
                <w:szCs w:val="21"/>
                <w:highlight w:val="none"/>
              </w:rPr>
              <w:t>威胁分析、6日志分析</w:t>
            </w:r>
            <w:r>
              <w:rPr>
                <w:rFonts w:hint="eastAsia" w:ascii="宋体" w:hAnsi="宋体" w:cs="宋体"/>
                <w:szCs w:val="21"/>
                <w:highlight w:val="none"/>
              </w:rPr>
              <w:t>，提供详细的服务方案，进行综合评审。</w:t>
            </w:r>
          </w:p>
          <w:p>
            <w:pPr>
              <w:spacing w:line="360" w:lineRule="auto"/>
              <w:jc w:val="left"/>
              <w:rPr>
                <w:rFonts w:ascii="宋体" w:hAnsi="宋体" w:cs="宋体"/>
                <w:szCs w:val="21"/>
                <w:highlight w:val="none"/>
              </w:rPr>
            </w:pPr>
            <w:r>
              <w:rPr>
                <w:rFonts w:hint="eastAsia" w:ascii="宋体" w:hAnsi="宋体" w:cs="宋体"/>
                <w:szCs w:val="21"/>
                <w:highlight w:val="none"/>
              </w:rPr>
              <w:t>一档：方案存在缺项，并且方案较为简单得4分；</w:t>
            </w:r>
          </w:p>
          <w:p>
            <w:pPr>
              <w:spacing w:line="360" w:lineRule="auto"/>
              <w:jc w:val="left"/>
              <w:rPr>
                <w:rFonts w:ascii="宋体" w:hAnsi="宋体" w:cs="宋体"/>
                <w:szCs w:val="21"/>
                <w:highlight w:val="none"/>
              </w:rPr>
            </w:pPr>
            <w:r>
              <w:rPr>
                <w:rFonts w:hint="eastAsia" w:ascii="宋体" w:hAnsi="宋体" w:cs="宋体"/>
                <w:szCs w:val="21"/>
                <w:highlight w:val="none"/>
              </w:rPr>
              <w:t>二档：方案详细可行且合理得6分；</w:t>
            </w:r>
          </w:p>
          <w:p>
            <w:pPr>
              <w:spacing w:line="360" w:lineRule="auto"/>
              <w:jc w:val="left"/>
              <w:rPr>
                <w:rFonts w:ascii="宋体" w:hAnsi="宋体" w:cs="宋体"/>
                <w:szCs w:val="21"/>
                <w:highlight w:val="none"/>
              </w:rPr>
            </w:pPr>
            <w:r>
              <w:rPr>
                <w:rFonts w:hint="eastAsia" w:ascii="宋体" w:hAnsi="宋体" w:cs="宋体"/>
                <w:szCs w:val="21"/>
                <w:highlight w:val="none"/>
              </w:rPr>
              <w:t>三档：方案无缺项详细且全面分析得可提升网络安全防护能力得9分；</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未提供方案的得0分，本项最高得9分，最低得0分。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8</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信誉分</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vAlign w:val="center"/>
          </w:tcPr>
          <w:p>
            <w:pPr>
              <w:spacing w:line="360" w:lineRule="auto"/>
              <w:ind w:firstLine="412" w:firstLineChars="202"/>
              <w:rPr>
                <w:rFonts w:ascii="宋体" w:hAnsi="宋体" w:cs="宋体"/>
                <w:szCs w:val="21"/>
                <w:highlight w:val="none"/>
              </w:rPr>
            </w:pPr>
            <w:r>
              <w:rPr>
                <w:rFonts w:hint="eastAsia" w:ascii="宋体" w:hAnsi="宋体" w:cs="宋体"/>
                <w:spacing w:val="-3"/>
                <w:szCs w:val="21"/>
                <w:highlight w:val="none"/>
              </w:rPr>
              <w:t>①</w:t>
            </w:r>
            <w:r>
              <w:rPr>
                <w:rFonts w:hint="eastAsia" w:ascii="宋体" w:hAnsi="宋体" w:cs="宋体"/>
                <w:szCs w:val="21"/>
                <w:highlight w:val="none"/>
              </w:rPr>
              <w:t>投标人具备GB/T 24353/ISO31000 风险管理体系认证证书，认证范围有：基础和增值电信业务（许可范围内）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得2分；</w:t>
            </w:r>
          </w:p>
          <w:p>
            <w:pPr>
              <w:spacing w:line="360" w:lineRule="auto"/>
              <w:ind w:firstLine="412" w:firstLineChars="202"/>
              <w:rPr>
                <w:rFonts w:ascii="宋体" w:hAnsi="宋体" w:cs="宋体"/>
                <w:szCs w:val="21"/>
                <w:highlight w:val="none"/>
              </w:rPr>
            </w:pPr>
            <w:r>
              <w:rPr>
                <w:rFonts w:hint="eastAsia" w:ascii="宋体" w:hAnsi="宋体" w:cs="宋体"/>
                <w:spacing w:val="-3"/>
                <w:szCs w:val="21"/>
                <w:highlight w:val="none"/>
              </w:rPr>
              <w:t>②</w:t>
            </w:r>
            <w:r>
              <w:rPr>
                <w:rFonts w:hint="eastAsia" w:ascii="宋体" w:hAnsi="宋体" w:cs="宋体"/>
                <w:szCs w:val="21"/>
                <w:highlight w:val="none"/>
              </w:rPr>
              <w:t>投标人具备GB/T 36733系列标准的服务质量评价认证证书，认证范围有：基础和增值电信业务（许可范围内）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服务能力达二A（星）级及以下的得0.5分，达三A（星）级得1分，达四A（星）级得1.5分，达五A（星）级及以上，得2分。</w:t>
            </w:r>
          </w:p>
          <w:p>
            <w:pPr>
              <w:spacing w:line="360" w:lineRule="auto"/>
              <w:ind w:firstLine="412" w:firstLineChars="202"/>
              <w:rPr>
                <w:rFonts w:ascii="宋体" w:hAnsi="宋体" w:cs="宋体"/>
                <w:szCs w:val="21"/>
                <w:highlight w:val="none"/>
              </w:rPr>
            </w:pPr>
            <w:r>
              <w:rPr>
                <w:rFonts w:hint="eastAsia" w:ascii="宋体" w:hAnsi="宋体" w:cs="宋体"/>
                <w:spacing w:val="-3"/>
                <w:szCs w:val="21"/>
                <w:highlight w:val="none"/>
              </w:rPr>
              <w:t>③</w:t>
            </w:r>
            <w:r>
              <w:rPr>
                <w:rFonts w:hint="eastAsia" w:ascii="宋体" w:hAnsi="宋体" w:cs="宋体"/>
                <w:szCs w:val="21"/>
                <w:highlight w:val="none"/>
              </w:rPr>
              <w:t>投标人具备ISO/IEC 27032、ISO 9001 网络空间安全管理体系认证证书，认证范围有：基础和增值电信业务（许可范围内）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得2分</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④投标人具备GB/T 33718、GB/T 31863履约能力服务认证证书，认证范围有：基础和增值电信业务（许可范围内）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5星级的得2分，4星级及以下的得1分，满分2分。</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⑤投标人具备ISO28000供应链安全管理体系认证证书，认证范围有：基础和增值电信业务（许可范围内）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得2分。</w:t>
            </w:r>
          </w:p>
          <w:p>
            <w:pPr>
              <w:pStyle w:val="2"/>
              <w:spacing w:after="0" w:line="360" w:lineRule="auto"/>
              <w:ind w:left="0" w:leftChars="0" w:firstLine="0" w:firstLineChars="0"/>
              <w:rPr>
                <w:rFonts w:cs="宋体"/>
                <w:szCs w:val="21"/>
                <w:highlight w:val="none"/>
              </w:rPr>
            </w:pPr>
            <w:r>
              <w:rPr>
                <w:rFonts w:hint="eastAsia" w:cs="宋体"/>
                <w:szCs w:val="21"/>
                <w:highlight w:val="none"/>
                <w:lang w:val="en"/>
              </w:rPr>
              <w:t xml:space="preserve">    ⑥投标人具备</w:t>
            </w:r>
            <w:r>
              <w:rPr>
                <w:rFonts w:hint="eastAsia" w:cs="宋体"/>
                <w:szCs w:val="21"/>
                <w:highlight w:val="none"/>
              </w:rPr>
              <w:t>ISO9001质量管理体系认证证书，认证范围有：基础和增值电信业务（许可范围内）</w:t>
            </w:r>
            <w:r>
              <w:rPr>
                <w:rFonts w:hint="eastAsia" w:cs="宋体"/>
                <w:szCs w:val="21"/>
                <w:highlight w:val="none"/>
                <w:lang w:val="en"/>
              </w:rPr>
              <w:t>,</w:t>
            </w:r>
            <w:r>
              <w:rPr>
                <w:rFonts w:hint="eastAsia" w:cs="宋体"/>
                <w:szCs w:val="21"/>
                <w:highlight w:val="none"/>
              </w:rPr>
              <w:t>得2分。</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备注：提供相关证明材料复印件并加盖投标人公章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9</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业绩分</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2</w:t>
            </w:r>
          </w:p>
        </w:tc>
        <w:tc>
          <w:tcPr>
            <w:tcW w:w="6540" w:type="dxa"/>
            <w:vAlign w:val="center"/>
          </w:tcPr>
          <w:p>
            <w:pPr>
              <w:spacing w:line="360" w:lineRule="auto"/>
              <w:ind w:firstLine="424" w:firstLineChars="202"/>
              <w:rPr>
                <w:rFonts w:ascii="宋体" w:hAnsi="宋体" w:cs="宋体"/>
                <w:szCs w:val="21"/>
                <w:highlight w:val="none"/>
              </w:rPr>
            </w:pPr>
            <w:r>
              <w:rPr>
                <w:rFonts w:hint="eastAsia" w:ascii="宋体" w:hAnsi="宋体" w:cs="宋体"/>
                <w:szCs w:val="21"/>
                <w:highlight w:val="none"/>
              </w:rPr>
              <w:t>投标人具有同类或类似项目案例，提供中标/成交通知书或其对应的合同复印件并加盖供应商公章。提供1个得1分，本项满分2分。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3" w:type="dxa"/>
            <w:gridSpan w:val="4"/>
          </w:tcPr>
          <w:p>
            <w:pPr>
              <w:spacing w:line="360" w:lineRule="auto"/>
              <w:rPr>
                <w:rFonts w:ascii="宋体" w:hAnsi="宋体" w:cs="宋体"/>
                <w:spacing w:val="-1"/>
                <w:szCs w:val="21"/>
                <w:highlight w:val="none"/>
              </w:rPr>
            </w:pPr>
            <w:r>
              <w:rPr>
                <w:rFonts w:hint="eastAsia" w:ascii="宋体" w:hAnsi="宋体" w:cs="宋体"/>
                <w:spacing w:val="-2"/>
                <w:szCs w:val="21"/>
                <w:highlight w:val="none"/>
                <w14:textOutline w14:w="3835" w14:cap="flat" w14:cmpd="sng" w14:algn="ctr">
                  <w14:solidFill>
                    <w14:srgbClr w14:val="000000"/>
                  </w14:solidFill>
                  <w14:prstDash w14:val="solid"/>
                  <w14:miter w14:val="0"/>
                </w14:textOutline>
              </w:rPr>
              <w:t>总分=1+2+3+4+5+6+7+8+9</w:t>
            </w:r>
          </w:p>
        </w:tc>
      </w:tr>
    </w:tbl>
    <w:p>
      <w:pPr>
        <w:snapToGrid w:val="0"/>
        <w:spacing w:line="360" w:lineRule="auto"/>
        <w:ind w:firstLine="400" w:firstLineChars="200"/>
        <w:rPr>
          <w:rFonts w:ascii="宋体" w:hAnsi="宋体" w:cs="宋体"/>
          <w:sz w:val="24"/>
          <w:highlight w:val="none"/>
        </w:rPr>
      </w:pPr>
      <w:r>
        <w:rPr>
          <w:rFonts w:hint="eastAsia" w:ascii="宋体" w:hAnsi="宋体" w:cs="宋体"/>
          <w:sz w:val="20"/>
          <w:szCs w:val="20"/>
          <w:highlight w:val="none"/>
          <w:shd w:val="clear" w:color="auto" w:fill="FFFFFF"/>
        </w:rPr>
        <w:t> </w:t>
      </w:r>
      <w:r>
        <w:rPr>
          <w:rFonts w:hint="eastAsia" w:cs="仿宋_GB2312" w:asciiTheme="minorEastAsia" w:hAnsiTheme="minorEastAsia" w:eastAsiaTheme="minorEastAsia"/>
          <w:bCs/>
          <w:sz w:val="24"/>
          <w:highlight w:val="none"/>
        </w:rPr>
        <w:t>*</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w:t>
      </w:r>
    </w:p>
    <w:p>
      <w:pPr>
        <w:snapToGrid w:val="0"/>
        <w:spacing w:line="360" w:lineRule="auto"/>
        <w:jc w:val="center"/>
        <w:outlineLvl w:val="1"/>
        <w:rPr>
          <w:rFonts w:ascii="宋体" w:hAnsi="宋体" w:cs="宋体"/>
          <w:sz w:val="24"/>
          <w:highlight w:val="none"/>
        </w:rPr>
      </w:pPr>
      <w:r>
        <w:rPr>
          <w:rFonts w:hint="eastAsia" w:ascii="宋体" w:hAnsi="宋体" w:cs="宋体"/>
          <w:sz w:val="24"/>
          <w:highlight w:val="none"/>
        </w:rPr>
        <w:t> </w:t>
      </w:r>
    </w:p>
    <w:p>
      <w:pPr>
        <w:rPr>
          <w:rFonts w:ascii="宋体" w:hAnsi="宋体" w:cs="宋体"/>
          <w:sz w:val="24"/>
          <w:highlight w:val="none"/>
        </w:rPr>
      </w:pPr>
      <w:r>
        <w:rPr>
          <w:rFonts w:hint="eastAsia" w:ascii="宋体" w:hAnsi="宋体" w:cs="宋体"/>
          <w:sz w:val="24"/>
          <w:highlight w:val="none"/>
        </w:rPr>
        <w:br w:type="page"/>
      </w:r>
    </w:p>
    <w:p>
      <w:pPr>
        <w:snapToGrid w:val="0"/>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标项2评标办法</w:t>
      </w:r>
    </w:p>
    <w:tbl>
      <w:tblPr>
        <w:tblStyle w:val="63"/>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75"/>
        <w:gridCol w:w="645"/>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序号</w:t>
            </w:r>
          </w:p>
        </w:tc>
        <w:tc>
          <w:tcPr>
            <w:tcW w:w="2220" w:type="dxa"/>
            <w:gridSpan w:val="2"/>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6585"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w:t>
            </w:r>
          </w:p>
        </w:tc>
        <w:tc>
          <w:tcPr>
            <w:tcW w:w="1575" w:type="dxa"/>
            <w:vAlign w:val="center"/>
          </w:tcPr>
          <w:p>
            <w:pPr>
              <w:pStyle w:val="338"/>
              <w:spacing w:before="0" w:after="0" w:line="360" w:lineRule="auto"/>
              <w:jc w:val="center"/>
              <w:rPr>
                <w:rFonts w:ascii="宋体" w:hAnsi="宋体" w:cs="宋体"/>
                <w:b/>
                <w:bCs/>
                <w:sz w:val="21"/>
                <w:szCs w:val="21"/>
                <w:highlight w:val="none"/>
              </w:rPr>
            </w:pPr>
            <w:r>
              <w:rPr>
                <w:rFonts w:hint="eastAsia" w:ascii="宋体" w:hAnsi="宋体" w:cs="宋体"/>
                <w:b/>
                <w:bCs/>
                <w:spacing w:val="-2"/>
                <w:sz w:val="21"/>
                <w:szCs w:val="21"/>
                <w:highlight w:val="none"/>
                <w14:textOutline w14:w="3835" w14:cap="flat" w14:cmpd="sng" w14:algn="ctr">
                  <w14:solidFill>
                    <w14:srgbClr w14:val="000000"/>
                  </w14:solidFill>
                  <w14:prstDash w14:val="solid"/>
                  <w14:miter w14:val="0"/>
                </w14:textOutline>
              </w:rPr>
              <w:t>价格分</w:t>
            </w:r>
          </w:p>
          <w:p>
            <w:pPr>
              <w:pStyle w:val="338"/>
              <w:spacing w:before="0" w:after="0" w:line="360" w:lineRule="auto"/>
              <w:jc w:val="both"/>
              <w:rPr>
                <w:rFonts w:ascii="宋体" w:hAnsi="宋体" w:cs="宋体"/>
                <w:b/>
                <w:bCs/>
                <w:snapToGrid w:val="0"/>
                <w:sz w:val="21"/>
                <w:szCs w:val="21"/>
                <w:highlight w:val="none"/>
              </w:rPr>
            </w:pPr>
          </w:p>
        </w:tc>
        <w:tc>
          <w:tcPr>
            <w:tcW w:w="645" w:type="dxa"/>
            <w:vAlign w:val="center"/>
          </w:tcPr>
          <w:p>
            <w:pPr>
              <w:pStyle w:val="338"/>
              <w:spacing w:before="0" w:after="0" w:line="360" w:lineRule="auto"/>
              <w:jc w:val="center"/>
              <w:rPr>
                <w:rFonts w:ascii="宋体" w:hAnsi="宋体" w:cs="宋体"/>
                <w:b/>
                <w:bCs/>
                <w:snapToGrid w:val="0"/>
                <w:sz w:val="21"/>
                <w:szCs w:val="21"/>
                <w:highlight w:val="none"/>
              </w:rPr>
            </w:pPr>
            <w:r>
              <w:rPr>
                <w:rFonts w:hint="eastAsia" w:ascii="宋体" w:hAnsi="宋体" w:cs="宋体"/>
                <w:b/>
                <w:bCs/>
                <w:spacing w:val="-8"/>
                <w:sz w:val="21"/>
                <w:szCs w:val="21"/>
                <w:highlight w:val="none"/>
                <w14:textOutline w14:w="3835" w14:cap="flat" w14:cmpd="sng" w14:algn="ctr">
                  <w14:solidFill>
                    <w14:srgbClr w14:val="000000"/>
                  </w14:solidFill>
                  <w14:prstDash w14:val="solid"/>
                  <w14:miter w14:val="0"/>
                </w14:textOutline>
              </w:rPr>
              <w:t>10</w:t>
            </w:r>
          </w:p>
        </w:tc>
        <w:tc>
          <w:tcPr>
            <w:tcW w:w="6585" w:type="dxa"/>
          </w:tcPr>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有效投标报价的最低价作为评标基准价，其最低报价为满分；按［投标报价得分=（评标基准价/投标报价）*10］的计算公式计算。</w:t>
            </w:r>
          </w:p>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评标过程中，不得去掉报价中的最高报价和最低报价。</w:t>
            </w:r>
          </w:p>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对小型和微型企业的投标报价给予20%的扣除，用扣除后的价格参与评审。</w:t>
            </w:r>
            <w:bookmarkStart w:id="436" w:name="_GoBack"/>
            <w:bookmarkEnd w:id="436"/>
            <w:r>
              <w:rPr>
                <w:rFonts w:hint="eastAsia" w:ascii="宋体" w:hAnsi="宋体" w:cs="宋体"/>
                <w:bCs/>
                <w:szCs w:val="21"/>
                <w:highlight w:val="none"/>
              </w:rPr>
              <w:t>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pPr>
              <w:snapToGrid w:val="0"/>
              <w:spacing w:line="360" w:lineRule="auto"/>
              <w:ind w:firstLine="420" w:firstLineChars="200"/>
              <w:jc w:val="left"/>
              <w:rPr>
                <w:rFonts w:ascii="宋体" w:hAnsi="宋体" w:cs="宋体"/>
                <w:szCs w:val="21"/>
                <w:highlight w:val="none"/>
              </w:rPr>
            </w:pPr>
            <w:r>
              <w:rPr>
                <w:rFonts w:hint="eastAsia" w:ascii="宋体" w:hAnsi="宋体" w:cs="宋体"/>
                <w:bCs/>
                <w:szCs w:val="21"/>
                <w:highlight w:val="none"/>
              </w:rPr>
              <w:t>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2</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szCs w:val="21"/>
                <w:highlight w:val="none"/>
              </w:rPr>
              <w:t>重要指标性能分</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12</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采购需求一览表中标注“★”的技术参数为重要技术指标、功能项，提供标注“★”的技术参数相关证明材料，每提供1项得2分，满分12分。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证明材料包括但不限于产品功能截图或国家认可的第三方检测（验）机构出具的检测（验）报告复印件等，同时，加盖投标供应商公章。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3</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技术</w:t>
            </w:r>
            <w:r>
              <w:rPr>
                <w:rFonts w:hint="eastAsia" w:ascii="宋体" w:hAnsi="宋体" w:cs="宋体"/>
                <w:b/>
                <w:bCs/>
                <w:szCs w:val="21"/>
                <w:highlight w:val="none"/>
              </w:rPr>
              <w:t>服务方案分</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14</w:t>
            </w:r>
          </w:p>
        </w:tc>
        <w:tc>
          <w:tcPr>
            <w:tcW w:w="6585" w:type="dxa"/>
            <w:vAlign w:val="center"/>
          </w:tcPr>
          <w:p>
            <w:pPr>
              <w:widowControl/>
              <w:snapToGrid w:val="0"/>
              <w:spacing w:line="360" w:lineRule="auto"/>
              <w:textAlignment w:val="center"/>
              <w:rPr>
                <w:rFonts w:ascii="宋体" w:hAnsi="宋体" w:cs="宋体"/>
                <w:szCs w:val="21"/>
                <w:highlight w:val="none"/>
              </w:rPr>
            </w:pPr>
            <w:r>
              <w:rPr>
                <w:rStyle w:val="312"/>
                <w:rFonts w:hint="default" w:cs="宋体"/>
                <w:sz w:val="21"/>
                <w:szCs w:val="21"/>
                <w:highlight w:val="none"/>
                <w:lang w:bidi="ar"/>
              </w:rPr>
              <w:t>一档（0分）：未提供技术服务方案或方案不满足以下评分项的不得分。</w:t>
            </w:r>
            <w:r>
              <w:rPr>
                <w:rStyle w:val="312"/>
                <w:rFonts w:hint="default" w:cs="宋体"/>
                <w:sz w:val="21"/>
                <w:szCs w:val="21"/>
                <w:highlight w:val="none"/>
                <w:lang w:bidi="ar"/>
              </w:rPr>
              <w:br w:type="textWrapping"/>
            </w:r>
            <w:r>
              <w:rPr>
                <w:rStyle w:val="312"/>
                <w:rFonts w:hint="default" w:cs="宋体"/>
                <w:sz w:val="21"/>
                <w:szCs w:val="21"/>
                <w:highlight w:val="none"/>
                <w:lang w:bidi="ar"/>
              </w:rPr>
              <w:t>二档（4分）：供应商提供接入技术和运行维护方案，方案满足采购需求；方案满足项目实际需求且被评标委员会认可的，得4分。</w:t>
            </w:r>
            <w:r>
              <w:rPr>
                <w:rStyle w:val="312"/>
                <w:rFonts w:hint="default" w:cs="宋体"/>
                <w:sz w:val="21"/>
                <w:szCs w:val="21"/>
                <w:highlight w:val="none"/>
                <w:lang w:bidi="ar"/>
              </w:rPr>
              <w:br w:type="textWrapping"/>
            </w:r>
            <w:r>
              <w:rPr>
                <w:rStyle w:val="312"/>
                <w:rFonts w:hint="default" w:cs="宋体"/>
                <w:sz w:val="21"/>
                <w:szCs w:val="21"/>
                <w:highlight w:val="none"/>
                <w:lang w:bidi="ar"/>
              </w:rPr>
              <w:t>三档（8分）：在满足上一档的基础上，方案包括网络架构、组网技术应用，专网的实现方式，符合项目实际情况，</w:t>
            </w:r>
            <w:r>
              <w:rPr>
                <w:rStyle w:val="329"/>
                <w:rFonts w:hint="default" w:ascii="宋体" w:hAnsi="宋体" w:eastAsia="宋体" w:cs="宋体"/>
                <w:color w:val="auto"/>
                <w:sz w:val="21"/>
                <w:szCs w:val="21"/>
                <w:highlight w:val="none"/>
                <w:lang w:bidi="ar"/>
              </w:rPr>
              <w:t>拟投入1名本项目技术负责人具有中级工程师（计算机网络工程）或以上职称证书的</w:t>
            </w:r>
            <w:r>
              <w:rPr>
                <w:rStyle w:val="312"/>
                <w:rFonts w:hint="default" w:cs="宋体"/>
                <w:sz w:val="21"/>
                <w:szCs w:val="21"/>
                <w:highlight w:val="none"/>
                <w:lang w:bidi="ar"/>
              </w:rPr>
              <w:t>；方案满足项目实际需求且被评标委员会认可的，得8分。</w:t>
            </w:r>
            <w:r>
              <w:rPr>
                <w:rStyle w:val="312"/>
                <w:rFonts w:hint="default" w:cs="宋体"/>
                <w:sz w:val="21"/>
                <w:szCs w:val="21"/>
                <w:highlight w:val="none"/>
                <w:lang w:bidi="ar"/>
              </w:rPr>
              <w:br w:type="textWrapping"/>
            </w:r>
            <w:r>
              <w:rPr>
                <w:rStyle w:val="312"/>
                <w:rFonts w:hint="default" w:cs="宋体"/>
                <w:sz w:val="21"/>
                <w:szCs w:val="21"/>
                <w:highlight w:val="none"/>
                <w:lang w:bidi="ar"/>
              </w:rPr>
              <w:t>四档（14分）：在满足上一档的基础上，方案能够详细描述安全防护功能实现方式并提供运行维护服务方案的。因突发事件造成网络可能长时间中断，有能力做出替代服务决策让网络尽快恢复，最大限度降低采购人损失。</w:t>
            </w:r>
            <w:r>
              <w:rPr>
                <w:rStyle w:val="329"/>
                <w:rFonts w:hint="default" w:ascii="宋体" w:hAnsi="宋体" w:eastAsia="宋体" w:cs="宋体"/>
                <w:color w:val="auto"/>
                <w:sz w:val="21"/>
                <w:szCs w:val="21"/>
                <w:highlight w:val="none"/>
                <w:lang w:bidi="ar"/>
              </w:rPr>
              <w:t>拟投入1名本项目技术负责人具有网络规划设计师（高级）证书、互联网技术工程师证书、中级工程师（计算机网络工程）或以上职称证书的</w:t>
            </w:r>
            <w:r>
              <w:rPr>
                <w:rStyle w:val="312"/>
                <w:rFonts w:hint="default" w:cs="宋体"/>
                <w:sz w:val="21"/>
                <w:szCs w:val="21"/>
                <w:highlight w:val="none"/>
                <w:lang w:bidi="ar"/>
              </w:rPr>
              <w:t>，方案满足项目实际需求且被评标委员会认可的，得14分。</w:t>
            </w:r>
            <w:r>
              <w:rPr>
                <w:rStyle w:val="312"/>
                <w:rFonts w:hint="default" w:cs="宋体"/>
                <w:sz w:val="21"/>
                <w:szCs w:val="21"/>
                <w:highlight w:val="none"/>
                <w:lang w:bidi="ar"/>
              </w:rPr>
              <w:br w:type="textWrapping"/>
            </w:r>
            <w:r>
              <w:rPr>
                <w:rStyle w:val="329"/>
                <w:rFonts w:hint="default" w:ascii="宋体" w:hAnsi="宋体" w:eastAsia="宋体" w:cs="宋体"/>
                <w:color w:val="auto"/>
                <w:sz w:val="21"/>
                <w:szCs w:val="21"/>
                <w:highlight w:val="none"/>
                <w:lang w:bidi="ar"/>
              </w:rPr>
              <w:t>投标文件中须提供：1）满足加对应项分值的人员证书复印件；2）以上人员必须提供投标截止日期前半年内其中一个月的社保证明或劳动/聘用合同等有效证明材料。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4</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实施方案</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16</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一档（0分）：未提供方案或方案不满足以下评分项的不得分。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二档（6分）：供应商提供组织实施方案，方案包含实施方法及保障措施、形成项目管理文档计划等。方案满足项目实际需求且被评标委员会认可的，得6分。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三档（10分）：在满足上一档的基础上，方案有项目管理组织机构图、工作安排能说明人员安排及施工进度安排；方案满足项目实际需求且被评标委员会认可的，得10分。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四档（16分）：在满足上一档的基础上，方案有完备的质量管理体系和安全保障措施，指明项目重点难点及解决办法，确保项目在计划工期内完成；方案满足项目实际需求且被评标委员会认可的，得16分。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5</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实施人员配备及保障措施</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8</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一档（0分）：未提供实施人员配备方案及保障措施或方案不满足以下评分项的不得分。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二档（4分）：提供本项目实施人员配备方案，方案满足项目实际需求且被评标委员会认可的，得3分。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三档（8分）：在满足上一档的基础上，方案包含人员分工、具体保障措施等，确保本项目按时开通服务。方案满足项目实际需求且被评标委员会认可的，得8分。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6</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售后服务方案</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20</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一档（0分）：未提供方案或方案不满足以下评分项的不得分。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二档（10分）：供应商提供售后服务保障方案，方案包含售后服务内容，光缆故障处理预案、传输设备故障处理预案等，</w:t>
            </w:r>
            <w:r>
              <w:rPr>
                <w:rStyle w:val="329"/>
                <w:rFonts w:hint="default" w:ascii="宋体" w:hAnsi="宋体" w:eastAsia="宋体" w:cs="宋体"/>
                <w:color w:val="auto"/>
                <w:sz w:val="21"/>
                <w:szCs w:val="21"/>
                <w:highlight w:val="none"/>
                <w:lang w:bidi="ar"/>
              </w:rPr>
              <w:t>拟投入1名售后负责人具有中级工程师（通信工程）或以上职称证书、移动通信网络优化维护师(初级或以上)证书；且拟投入本项目售后服务人员至少6人，</w:t>
            </w:r>
            <w:r>
              <w:rPr>
                <w:rStyle w:val="312"/>
                <w:rFonts w:hint="default" w:cs="宋体"/>
                <w:sz w:val="21"/>
                <w:szCs w:val="21"/>
                <w:highlight w:val="none"/>
                <w:lang w:bidi="ar"/>
              </w:rPr>
              <w:t>方案满足项目实际需求且被评标委员会认可的，得10分。</w:t>
            </w:r>
            <w:r>
              <w:rPr>
                <w:rStyle w:val="312"/>
                <w:rFonts w:hint="default" w:cs="宋体"/>
                <w:sz w:val="21"/>
                <w:szCs w:val="21"/>
                <w:highlight w:val="none"/>
                <w:lang w:bidi="ar"/>
              </w:rPr>
              <w:br w:type="textWrapping"/>
            </w:r>
            <w:r>
              <w:rPr>
                <w:rStyle w:val="312"/>
                <w:rFonts w:hint="default" w:cs="宋体"/>
                <w:sz w:val="21"/>
                <w:szCs w:val="21"/>
                <w:highlight w:val="none"/>
                <w:lang w:bidi="ar"/>
              </w:rPr>
              <w:t>三档（20分）：在满足上一档的基础上，方案包含售后服务流程、故障等级与处理时限，有本地化服务支撑能力、应急响应方案、故障申告途径及绿色通道，根据项目情况和具体维修内容，</w:t>
            </w:r>
            <w:r>
              <w:rPr>
                <w:rStyle w:val="329"/>
                <w:rFonts w:hint="default" w:ascii="宋体" w:hAnsi="宋体" w:eastAsia="宋体" w:cs="宋体"/>
                <w:color w:val="auto"/>
                <w:sz w:val="21"/>
                <w:szCs w:val="21"/>
                <w:highlight w:val="none"/>
                <w:lang w:bidi="ar"/>
              </w:rPr>
              <w:t>拟投入1名售后负责人具有高级工程师（通信工程）或以上职称证书、移动通信网络优化维护师(中级或以上)证书；且拟投入本项目售后服务人员至少6人，其中至少2人具备网络工程师证书，至少2人具备信息安全管理(高级)证书</w:t>
            </w:r>
            <w:r>
              <w:rPr>
                <w:rStyle w:val="312"/>
                <w:rFonts w:hint="default" w:cs="宋体"/>
                <w:sz w:val="21"/>
                <w:szCs w:val="21"/>
                <w:highlight w:val="none"/>
                <w:lang w:bidi="ar"/>
              </w:rPr>
              <w:t>，承诺一般故障能够在30分钟内响应，6小时内完成故障处理。（注：以上服务人员标准情况为采购单位根据过往服务情况对应各档次明确的服务标准情况测算所得。）方案满足项目实际需求且被评标委员会认可的，得</w:t>
            </w:r>
            <w:r>
              <w:rPr>
                <w:rStyle w:val="312"/>
                <w:rFonts w:hint="eastAsia" w:cs="宋体"/>
                <w:sz w:val="21"/>
                <w:szCs w:val="21"/>
                <w:highlight w:val="none"/>
                <w:lang w:val="en-US" w:bidi="ar"/>
              </w:rPr>
              <w:t>20</w:t>
            </w:r>
            <w:r>
              <w:rPr>
                <w:rStyle w:val="312"/>
                <w:rFonts w:hint="default" w:cs="宋体"/>
                <w:sz w:val="21"/>
                <w:szCs w:val="21"/>
                <w:highlight w:val="none"/>
                <w:lang w:bidi="ar"/>
              </w:rPr>
              <w:t>分。</w:t>
            </w:r>
            <w:r>
              <w:rPr>
                <w:rStyle w:val="312"/>
                <w:rFonts w:hint="default" w:cs="宋体"/>
                <w:sz w:val="21"/>
                <w:szCs w:val="21"/>
                <w:highlight w:val="none"/>
                <w:lang w:bidi="ar"/>
              </w:rPr>
              <w:br w:type="textWrapping"/>
            </w:r>
            <w:r>
              <w:rPr>
                <w:rStyle w:val="329"/>
                <w:rFonts w:hint="default" w:ascii="宋体" w:hAnsi="宋体" w:eastAsia="宋体" w:cs="宋体"/>
                <w:color w:val="auto"/>
                <w:sz w:val="21"/>
                <w:szCs w:val="21"/>
                <w:highlight w:val="none"/>
                <w:lang w:bidi="ar"/>
              </w:rPr>
              <w:t>投标文件中须提供：1）满足加对应项分值的人员证书复印件；2）以上人员必须提供投标截止日期前半年内其中一个月的社保证明或劳动/聘用合同等有效证明材料。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7</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培训方案</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4</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一档（0分）：未提供培训方案或培训方案不满足以下评分项的不得分。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二档（2分）：提供本项目培训方案，方案满足项目实际需求且被评标委员会认可的，得2分。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三档（4分）：在满足上一档的基础上，方案包含培训优势、培训目的、培训原则、培训内容等。方案满足项目实际需求且被评标委员会认可的，得4分。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8</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实施人员配备能力</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7</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1、供应商拟投入1名项目负责人同时具有信息系统项目管理师（高级）证书、信息安全管理(高级)证书、网络工程师证书的，</w:t>
            </w:r>
            <w:r>
              <w:rPr>
                <w:rFonts w:hint="eastAsia" w:ascii="宋体" w:hAnsi="宋体" w:cs="宋体"/>
                <w:szCs w:val="21"/>
                <w:highlight w:val="none"/>
              </w:rPr>
              <w:t>具有一个证得1分</w:t>
            </w:r>
            <w:r>
              <w:rPr>
                <w:rFonts w:hint="eastAsia" w:ascii="宋体" w:hAnsi="宋体" w:cs="宋体"/>
                <w:kern w:val="0"/>
                <w:szCs w:val="21"/>
                <w:highlight w:val="none"/>
                <w:lang w:bidi="ar"/>
              </w:rPr>
              <w:t>。满分3分。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2、项目实施团队人员资质分（4分）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①具备互联网技术工程师证书，每具备1名得1分，满分2分；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②具有中级工程师（通信工程）或以上职称证书，每具备1名得1分，满分2分；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投标文件中须提供：1）满足加对应项分值的人员证书复印件；2）以上人员必须提供投标截止日期前半年内其中一个月的社保证明或劳动/聘用合同等有效证明材料。3）项目负责人、项目实施团队人员不能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9</w:t>
            </w:r>
          </w:p>
        </w:tc>
        <w:tc>
          <w:tcPr>
            <w:tcW w:w="1575" w:type="dxa"/>
            <w:vMerge w:val="restart"/>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实力信誉分</w:t>
            </w:r>
          </w:p>
          <w:p>
            <w:pPr>
              <w:spacing w:line="360" w:lineRule="auto"/>
              <w:jc w:val="center"/>
              <w:rPr>
                <w:rFonts w:ascii="宋体" w:hAnsi="宋体" w:cs="宋体"/>
                <w:b/>
                <w:bCs/>
                <w:spacing w:val="-1"/>
                <w:szCs w:val="21"/>
                <w:highlight w:val="none"/>
              </w:rPr>
            </w:pPr>
          </w:p>
        </w:tc>
        <w:tc>
          <w:tcPr>
            <w:tcW w:w="645" w:type="dxa"/>
            <w:vMerge w:val="restart"/>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7</w:t>
            </w:r>
          </w:p>
          <w:p>
            <w:pPr>
              <w:pStyle w:val="338"/>
              <w:spacing w:before="0" w:after="0" w:line="360" w:lineRule="auto"/>
              <w:jc w:val="center"/>
              <w:rPr>
                <w:rFonts w:ascii="宋体" w:hAnsi="宋体" w:cs="宋体"/>
                <w:b/>
                <w:bCs/>
                <w:spacing w:val="-2"/>
                <w:sz w:val="21"/>
                <w:szCs w:val="21"/>
                <w:highlight w:val="none"/>
                <w14:textOutline w14:w="3835" w14:cap="flat" w14:cmpd="sng" w14:algn="ctr">
                  <w14:solidFill>
                    <w14:srgbClr w14:val="000000"/>
                  </w14:solidFill>
                  <w14:prstDash w14:val="solid"/>
                  <w14:miter w14:val="0"/>
                </w14:textOutline>
              </w:rPr>
            </w:pP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①投标人或其总公司获得投标人通过项目质量管理体系认证证书、组织履约能力管理体系认证证书，每提供1项得1分，最多得2分。（需提供相应有效的认证证书复印件，并加盖单位公章）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bCs/>
                <w:spacing w:val="-1"/>
                <w:szCs w:val="21"/>
                <w:highlight w:val="none"/>
              </w:rPr>
            </w:pPr>
          </w:p>
        </w:tc>
        <w:tc>
          <w:tcPr>
            <w:tcW w:w="1575" w:type="dxa"/>
            <w:vMerge w:val="continue"/>
            <w:vAlign w:val="center"/>
          </w:tcPr>
          <w:p>
            <w:pPr>
              <w:spacing w:line="360" w:lineRule="auto"/>
              <w:jc w:val="center"/>
              <w:rPr>
                <w:rFonts w:ascii="宋体" w:hAnsi="宋体" w:cs="宋体"/>
                <w:b/>
                <w:bCs/>
                <w:spacing w:val="-1"/>
                <w:szCs w:val="21"/>
                <w:highlight w:val="none"/>
              </w:rPr>
            </w:pPr>
          </w:p>
        </w:tc>
        <w:tc>
          <w:tcPr>
            <w:tcW w:w="645" w:type="dxa"/>
            <w:vMerge w:val="continue"/>
            <w:vAlign w:val="center"/>
          </w:tcPr>
          <w:p>
            <w:pPr>
              <w:pStyle w:val="338"/>
              <w:spacing w:before="0" w:after="0" w:line="360" w:lineRule="auto"/>
              <w:jc w:val="center"/>
              <w:rPr>
                <w:rFonts w:ascii="宋体" w:hAnsi="宋体" w:cs="宋体"/>
                <w:b/>
                <w:bCs/>
                <w:spacing w:val="-2"/>
                <w:sz w:val="21"/>
                <w:szCs w:val="21"/>
                <w:highlight w:val="none"/>
                <w14:textOutline w14:w="3835" w14:cap="flat" w14:cmpd="sng" w14:algn="ctr">
                  <w14:solidFill>
                    <w14:srgbClr w14:val="000000"/>
                  </w14:solidFill>
                  <w14:prstDash w14:val="solid"/>
                  <w14:miter w14:val="0"/>
                </w14:textOutline>
              </w:rPr>
            </w:pP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②供应商自2024年以来参加由省级公安厅、省级党委网信办、省级数据局联合举办的省级网络安全攻防实战演习活动中获得一等奖得5分，二等奖2分，三等奖1分（需提供证明材料并加盖投标人公章）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10</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业绩分</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2</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投标人具有同类或类似项目案例，提供中标/成交通知书或其对应的合同复印件并加盖供应商公章。提供1个得1分，本项满分2分。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3" w:type="dxa"/>
            <w:gridSpan w:val="4"/>
          </w:tcPr>
          <w:p>
            <w:pPr>
              <w:spacing w:line="360" w:lineRule="auto"/>
              <w:rPr>
                <w:rFonts w:ascii="宋体" w:hAnsi="宋体" w:cs="宋体"/>
                <w:spacing w:val="-1"/>
                <w:szCs w:val="21"/>
                <w:highlight w:val="none"/>
              </w:rPr>
            </w:pPr>
            <w:r>
              <w:rPr>
                <w:rFonts w:hint="eastAsia" w:ascii="宋体" w:hAnsi="宋体" w:cs="宋体"/>
                <w:spacing w:val="-2"/>
                <w:szCs w:val="21"/>
                <w:highlight w:val="none"/>
                <w14:textOutline w14:w="3835" w14:cap="flat" w14:cmpd="sng" w14:algn="ctr">
                  <w14:solidFill>
                    <w14:srgbClr w14:val="000000"/>
                  </w14:solidFill>
                  <w14:prstDash w14:val="solid"/>
                  <w14:miter w14:val="0"/>
                </w14:textOutline>
              </w:rPr>
              <w:t>总分=1+2+3+4+5+6+7+8+9+10</w:t>
            </w:r>
          </w:p>
        </w:tc>
      </w:tr>
    </w:tbl>
    <w:p>
      <w:pPr>
        <w:snapToGrid w:val="0"/>
        <w:spacing w:line="360" w:lineRule="auto"/>
        <w:rPr>
          <w:rFonts w:ascii="宋体" w:hAnsi="宋体" w:cs="宋体"/>
          <w:sz w:val="24"/>
          <w:highlight w:val="none"/>
        </w:rPr>
      </w:pPr>
      <w:r>
        <w:rPr>
          <w:rFonts w:hint="eastAsia" w:ascii="宋体" w:hAnsi="宋体" w:cs="宋体"/>
          <w:sz w:val="20"/>
          <w:szCs w:val="20"/>
          <w:highlight w:val="none"/>
          <w:shd w:val="clear" w:color="auto" w:fill="FFFFFF"/>
        </w:rPr>
        <w:t> </w:t>
      </w:r>
      <w:r>
        <w:rPr>
          <w:rFonts w:hint="eastAsia" w:cs="仿宋_GB2312" w:asciiTheme="minorEastAsia" w:hAnsiTheme="minorEastAsia" w:eastAsiaTheme="minorEastAsia"/>
          <w:bCs/>
          <w:sz w:val="24"/>
          <w:highlight w:val="none"/>
        </w:rPr>
        <w:t>*</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w:t>
      </w:r>
    </w:p>
    <w:p>
      <w:pPr>
        <w:rPr>
          <w:rFonts w:ascii="宋体" w:hAnsi="宋体" w:cs="宋体"/>
          <w:sz w:val="24"/>
          <w:highlight w:val="none"/>
        </w:rPr>
      </w:pPr>
      <w:r>
        <w:rPr>
          <w:rFonts w:hint="eastAsia" w:ascii="宋体" w:hAnsi="宋体" w:cs="宋体"/>
          <w:sz w:val="24"/>
          <w:highlight w:val="none"/>
        </w:rPr>
        <w:br w:type="page"/>
      </w:r>
    </w:p>
    <w:p>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pPr>
        <w:adjustRightInd/>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1.本项目采用的评标方法:</w:t>
      </w:r>
    </w:p>
    <w:p>
      <w:pPr>
        <w:adjustRightInd/>
        <w:spacing w:line="360" w:lineRule="auto"/>
        <w:ind w:firstLine="480" w:firstLineChars="200"/>
        <w:rPr>
          <w:rFonts w:ascii="宋体" w:hAnsi="宋体" w:cs="宋体"/>
          <w:kern w:val="0"/>
          <w:sz w:val="24"/>
          <w:highlight w:val="none"/>
        </w:rPr>
      </w:pPr>
      <w:sdt>
        <w:sdtPr>
          <w:rPr>
            <w:rFonts w:hint="eastAsia" w:ascii="宋体" w:hAnsi="宋体" w:cs="宋体"/>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b/>
          <w:kern w:val="0"/>
          <w:sz w:val="24"/>
          <w:highlight w:val="none"/>
        </w:rPr>
        <w:t>综合评分法</w:t>
      </w:r>
      <w:r>
        <w:rPr>
          <w:rFonts w:hint="eastAsia" w:ascii="宋体" w:hAnsi="宋体" w:cs="宋体"/>
          <w:sz w:val="24"/>
          <w:highlight w:val="none"/>
        </w:rPr>
        <w:t>。</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kern w:val="0"/>
          <w:sz w:val="24"/>
          <w:highlight w:val="none"/>
        </w:rPr>
      </w:pPr>
      <w:sdt>
        <w:sdtPr>
          <w:rPr>
            <w:rFonts w:hint="eastAsia" w:ascii="宋体" w:hAnsi="宋体" w:cs="宋体"/>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w:t>
      </w:r>
      <w:r>
        <w:rPr>
          <w:rFonts w:hint="eastAsia" w:ascii="宋体" w:hAnsi="宋体" w:cs="宋体"/>
          <w:sz w:val="24"/>
          <w:highlight w:val="none"/>
        </w:rPr>
        <w:t>最低评标价法</w:t>
      </w:r>
      <w:r>
        <w:rPr>
          <w:rFonts w:hint="eastAsia" w:ascii="宋体" w:hAnsi="宋体" w:cs="宋体"/>
          <w:b/>
          <w:kern w:val="0"/>
          <w:sz w:val="24"/>
          <w:highlight w:val="none"/>
        </w:rPr>
        <w:t>。</w:t>
      </w:r>
      <w:r>
        <w:rPr>
          <w:rFonts w:hint="eastAsia" w:ascii="宋体" w:hAnsi="宋体" w:cs="宋体"/>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kern w:val="0"/>
          <w:sz w:val="24"/>
          <w:highlight w:val="none"/>
        </w:rPr>
      </w:pPr>
      <w:r>
        <w:rPr>
          <w:rFonts w:hint="eastAsia" w:ascii="宋体" w:hAnsi="宋体" w:cs="宋体"/>
          <w:b/>
          <w:sz w:val="32"/>
          <w:highlight w:val="none"/>
        </w:rPr>
        <w:t>二、评标标准</w:t>
      </w:r>
    </w:p>
    <w:p>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sz w:val="24"/>
          <w:highlight w:val="none"/>
        </w:rPr>
        <w:t>采用综合评分法的，评标标准</w:t>
      </w:r>
      <w:r>
        <w:rPr>
          <w:rFonts w:hint="eastAsia" w:ascii="宋体" w:hAnsi="宋体" w:cs="宋体"/>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sz w:val="36"/>
          <w:szCs w:val="36"/>
          <w:highlight w:val="none"/>
        </w:rPr>
      </w:pPr>
      <w:r>
        <w:rPr>
          <w:rFonts w:hint="eastAsia" w:ascii="宋体" w:hAnsi="宋体" w:cs="宋体"/>
          <w:b/>
          <w:sz w:val="36"/>
          <w:szCs w:val="36"/>
          <w:highlight w:val="none"/>
        </w:rPr>
        <w:t>三、评标程序</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pPr>
        <w:pStyle w:val="129"/>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3.4.4政府采购异常低价审查：</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3.4.4.1按照《关于推动解决政府采购异常低价问题的通知》（财库〔2026〕2号）有关规定，本项目评审中出现下列情形之一的，评标委员会应当启动异常低价投标审查程序：</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（1）投标报价低于全部通过符合性审查供应商投标报价平均值50%的，即投标报价&lt;全部通过符合性审查供应商投标报价平均值×50%；</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（2）投标报价低于通过符合性审查的次低报价供应商投标报价50%的，即投标报价&lt;通过符合性审查的次低报价供应商投标报价×50%；</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（3）投标报价低于采购项目最高限价45%的，即投标报价&lt;采购项目最高限价×45%；</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（4）评标委员会基于专业判断，认为供应商报价过低，有可能影响产品质量或者不能诚信履约的其他情形。</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kern w:val="0"/>
          <w:szCs w:val="24"/>
          <w:highlight w:val="none"/>
          <w:u w:val="single"/>
        </w:rPr>
        <w:t>50%</w:t>
      </w:r>
      <w:r>
        <w:rPr>
          <w:rFonts w:hint="eastAsia" w:ascii="宋体" w:hAnsi="宋体" w:cs="宋体"/>
          <w:kern w:val="0"/>
          <w:szCs w:val="24"/>
          <w:highlight w:val="none"/>
        </w:rPr>
        <w:t>，</w:t>
      </w:r>
      <w:r>
        <w:rPr>
          <w:rFonts w:hint="eastAsia" w:ascii="宋体" w:hAnsi="宋体" w:cs="宋体"/>
          <w:kern w:val="0"/>
          <w:szCs w:val="24"/>
          <w:highlight w:val="none"/>
          <w:u w:val="single"/>
        </w:rPr>
        <w:t>50%</w:t>
      </w:r>
      <w:r>
        <w:rPr>
          <w:rFonts w:hint="eastAsia" w:ascii="宋体" w:hAnsi="宋体" w:cs="宋体"/>
          <w:kern w:val="0"/>
          <w:szCs w:val="24"/>
          <w:highlight w:val="none"/>
        </w:rPr>
        <w:t>，</w:t>
      </w:r>
      <w:r>
        <w:rPr>
          <w:rFonts w:hint="eastAsia" w:ascii="宋体" w:hAnsi="宋体" w:cs="宋体"/>
          <w:kern w:val="0"/>
          <w:szCs w:val="24"/>
          <w:highlight w:val="none"/>
          <w:u w:val="single"/>
        </w:rPr>
        <w:t>45%</w:t>
      </w:r>
      <w:r>
        <w:rPr>
          <w:rFonts w:hint="eastAsia" w:ascii="宋体" w:hAnsi="宋体" w:cs="宋体"/>
          <w:kern w:val="0"/>
          <w:szCs w:val="24"/>
          <w:highlight w:val="none"/>
        </w:rPr>
        <w:t>。</w:t>
      </w:r>
      <w:r>
        <w:rPr>
          <w:rFonts w:hint="eastAsia" w:ascii="宋体" w:hAnsi="宋体" w:cs="宋体"/>
          <w:kern w:val="0"/>
          <w:highlight w:val="none"/>
        </w:rPr>
        <w:t>采购项目未设定最高限价的，审查时取项目预算金额作为最高限价。</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异常低价投标审查的启动原因、审查意见和审查结果应当在评审报告中记录，并随供应商提供的相关书面说明及证明材料，以及评标委员会有关互联网浏览、查询历史一并归档。</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3.4.6</w:t>
      </w:r>
      <w:r>
        <w:rPr>
          <w:rFonts w:hint="eastAsia" w:ascii="宋体" w:hAnsi="宋体" w:cs="宋体"/>
          <w:sz w:val="24"/>
          <w:highlight w:val="none"/>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pPr>
        <w:pStyle w:val="129"/>
        <w:spacing w:before="0"/>
        <w:ind w:firstLine="480"/>
        <w:rPr>
          <w:rFonts w:ascii="宋体" w:hAnsi="宋体" w:cs="宋体"/>
          <w:kern w:val="0"/>
          <w:szCs w:val="24"/>
          <w:highlight w:val="none"/>
        </w:rPr>
      </w:pPr>
      <w:r>
        <w:rPr>
          <w:rFonts w:hint="eastAsia" w:ascii="宋体" w:hAnsi="宋体" w:cs="宋体"/>
          <w:highlight w:val="none"/>
        </w:rPr>
        <w:t>对于未预留份额专门面向中小企业采购的采购项目，以及预留份额项目中的非预留部分采购包，投标人提供的产品同时满足《国务院办公厅关于在政府采购中实施本国产品标准及相关政策的通知》（国办发〔2025〕34号）和《政府采购促进中小企业发展管理办法》（财库〔2020〕46号）有关规定的，叠加享受本国产品价格扣除和小微企业产品价格扣除政策。</w:t>
      </w:r>
    </w:p>
    <w:p>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3.5排序与推荐。</w:t>
      </w:r>
    </w:p>
    <w:p>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3.5.1</w:t>
      </w:r>
      <w:r>
        <w:rPr>
          <w:rFonts w:hint="eastAsia" w:ascii="宋体" w:hAnsi="宋体" w:cs="宋体"/>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pStyle w:val="83"/>
        <w:rPr>
          <w:rFonts w:cs="宋体"/>
          <w:highlight w:val="none"/>
        </w:rPr>
      </w:pPr>
      <w:r>
        <w:rPr>
          <w:rFonts w:hint="eastAsia" w:cs="宋体"/>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hAnsi="宋体" w:cs="宋体"/>
          <w:b/>
          <w:sz w:val="32"/>
          <w:highlight w:val="none"/>
        </w:rPr>
      </w:pPr>
      <w:r>
        <w:rPr>
          <w:rFonts w:hint="eastAsia" w:ascii="宋体" w:hAnsi="宋体" w:cs="宋体"/>
          <w:b/>
          <w:sz w:val="32"/>
          <w:highlight w:val="none"/>
        </w:rPr>
        <w:t>四、评标中的其他事项</w:t>
      </w:r>
    </w:p>
    <w:p>
      <w:pPr>
        <w:pStyle w:val="129"/>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3"/>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4.2.8投标报价属于招标文件规定的政府采购异常低价情形之一，且投标人不能提供书面说明、证明材料，或者提供的书面说明、证明材料不能证明其报价合理性的</w:t>
      </w:r>
      <w:r>
        <w:rPr>
          <w:rFonts w:hint="eastAsia" w:ascii="宋体" w:hAnsi="宋体" w:cs="宋体"/>
          <w:sz w:val="24"/>
          <w:szCs w:val="21"/>
          <w:highlight w:val="none"/>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4.2.9投标人对根据修正原则修正后的报价不确认的；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4.2.12投标人仅提交备份投标文件，未在电子交易平台传输递交投标文件的，投标无效；</w:t>
      </w:r>
    </w:p>
    <w:p>
      <w:pPr>
        <w:pStyle w:val="83"/>
        <w:rPr>
          <w:b/>
          <w:bCs/>
          <w:highlight w:val="none"/>
        </w:rPr>
      </w:pPr>
      <w:r>
        <w:rPr>
          <w:rFonts w:hint="eastAsia"/>
          <w:highlight w:val="none"/>
        </w:rPr>
        <w:t>4.2.13 投标文件不满足招标文件的其它实质性要求的；</w:t>
      </w:r>
    </w:p>
    <w:p>
      <w:pPr>
        <w:pStyle w:val="83"/>
        <w:rPr>
          <w:rFonts w:cs="宋体"/>
          <w:highlight w:val="none"/>
        </w:rPr>
      </w:pPr>
      <w:r>
        <w:rPr>
          <w:rFonts w:hint="eastAsia"/>
          <w:highlight w:val="none"/>
        </w:rPr>
        <w:t>4.2.14</w:t>
      </w:r>
      <w:r>
        <w:rPr>
          <w:rFonts w:hint="eastAsia" w:cs="宋体"/>
          <w:highlight w:val="none"/>
        </w:rPr>
        <w:t>投标人存在下列情形之一且无法合理解释的：（1</w:t>
      </w:r>
      <w:r>
        <w:rPr>
          <w:rFonts w:cs="宋体"/>
          <w:highlight w:val="none"/>
        </w:rPr>
        <w:t>）</w:t>
      </w:r>
      <w:r>
        <w:rPr>
          <w:rFonts w:hint="eastAsia" w:cs="宋体"/>
          <w:highlight w:val="none"/>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4.2.15法律、法规、规章（适用本市的）及省级以上规范性文件（适用本市的）规定的其他无效情形。</w:t>
      </w:r>
    </w:p>
    <w:p>
      <w:pPr>
        <w:pStyle w:val="3"/>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pPr>
        <w:pStyle w:val="3"/>
        <w:snapToGrid w:val="0"/>
        <w:spacing w:line="360" w:lineRule="auto"/>
        <w:rPr>
          <w:rFonts w:cs="宋体"/>
          <w:highlight w:val="none"/>
        </w:rPr>
      </w:pPr>
      <w:r>
        <w:rPr>
          <w:rFonts w:hint="eastAsia" w:cs="宋体"/>
          <w:highlight w:val="none"/>
        </w:rPr>
        <w:t>5.1符合专业条件的供应商或者对招标文件作实质响应的供应商不足3家的；</w:t>
      </w:r>
    </w:p>
    <w:p>
      <w:pPr>
        <w:pStyle w:val="3"/>
        <w:snapToGrid w:val="0"/>
        <w:spacing w:line="360" w:lineRule="auto"/>
        <w:rPr>
          <w:rFonts w:cs="宋体"/>
          <w:highlight w:val="none"/>
        </w:rPr>
      </w:pPr>
      <w:r>
        <w:rPr>
          <w:rFonts w:hint="eastAsia" w:cs="宋体"/>
          <w:highlight w:val="none"/>
        </w:rPr>
        <w:t>5.2出现影响采购公正的违法、违规行为的；</w:t>
      </w:r>
    </w:p>
    <w:p>
      <w:pPr>
        <w:pStyle w:val="3"/>
        <w:snapToGrid w:val="0"/>
        <w:spacing w:line="360" w:lineRule="auto"/>
        <w:rPr>
          <w:rFonts w:cs="宋体"/>
          <w:highlight w:val="none"/>
        </w:rPr>
      </w:pPr>
      <w:r>
        <w:rPr>
          <w:rFonts w:hint="eastAsia" w:cs="宋体"/>
          <w:highlight w:val="none"/>
        </w:rPr>
        <w:t>5.3投标人的报价均超过了采购预算，采购人不能支付的；</w:t>
      </w:r>
    </w:p>
    <w:p>
      <w:pPr>
        <w:pStyle w:val="3"/>
        <w:snapToGrid w:val="0"/>
        <w:spacing w:line="360" w:lineRule="auto"/>
        <w:rPr>
          <w:rFonts w:cs="宋体"/>
          <w:highlight w:val="none"/>
        </w:rPr>
      </w:pPr>
      <w:r>
        <w:rPr>
          <w:rFonts w:hint="eastAsia" w:cs="宋体"/>
          <w:highlight w:val="none"/>
        </w:rPr>
        <w:t>5.4因重大变故，采购任务取消的。</w:t>
      </w:r>
    </w:p>
    <w:p>
      <w:pPr>
        <w:pStyle w:val="3"/>
        <w:snapToGrid w:val="0"/>
        <w:spacing w:line="360" w:lineRule="auto"/>
        <w:rPr>
          <w:rFonts w:cs="宋体"/>
          <w:highlight w:val="none"/>
        </w:rPr>
      </w:pPr>
      <w:r>
        <w:rPr>
          <w:rFonts w:hint="eastAsia" w:cs="宋体"/>
          <w:highlight w:val="none"/>
        </w:rPr>
        <w:t>废标后，采购代理机构应当将废标理由通知所有投标人。</w:t>
      </w:r>
    </w:p>
    <w:p>
      <w:pPr>
        <w:pStyle w:val="3"/>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3"/>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pPr>
        <w:pStyle w:val="3"/>
        <w:snapToGrid w:val="0"/>
        <w:spacing w:line="360" w:lineRule="auto"/>
        <w:rPr>
          <w:rFonts w:cs="宋体"/>
          <w:highlight w:val="none"/>
        </w:rPr>
      </w:pPr>
      <w:r>
        <w:rPr>
          <w:rFonts w:hint="eastAsia" w:cs="宋体"/>
          <w:highlight w:val="none"/>
        </w:rPr>
        <w:t>7.1未确定中标供应商的，终止本次政府采购活动，重新开展政府采购活动。</w:t>
      </w:r>
    </w:p>
    <w:p>
      <w:pPr>
        <w:pStyle w:val="3"/>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pPr>
        <w:pStyle w:val="3"/>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pPr>
        <w:pStyle w:val="3"/>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pPr>
        <w:pStyle w:val="3"/>
        <w:snapToGrid w:val="0"/>
        <w:spacing w:line="360" w:lineRule="auto"/>
        <w:rPr>
          <w:rFonts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3"/>
        <w:ind w:firstLine="0"/>
        <w:rPr>
          <w:b/>
          <w:sz w:val="32"/>
          <w:szCs w:val="32"/>
          <w:highlight w:val="none"/>
        </w:rPr>
      </w:pPr>
      <w:r>
        <w:rPr>
          <w:rFonts w:hint="eastAsia"/>
          <w:b/>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8.1.保密。</w:t>
      </w:r>
      <w:r>
        <w:rPr>
          <w:rFonts w:hint="eastAsia" w:cs="仿宋_GB2312" w:asciiTheme="minorEastAsia" w:hAnsiTheme="minorEastAsia" w:eastAsiaTheme="minorEastAsia"/>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3"/>
        <w:snapToGrid w:val="0"/>
        <w:spacing w:line="360" w:lineRule="auto"/>
        <w:ind w:firstLine="482"/>
        <w:rPr>
          <w:rFonts w:cs="宋体"/>
          <w:highlight w:val="none"/>
        </w:rPr>
      </w:pPr>
      <w:r>
        <w:rPr>
          <w:rFonts w:hint="eastAsia" w:cs="仿宋_GB2312" w:asciiTheme="minorEastAsia" w:hAnsiTheme="minorEastAsia" w:eastAsiaTheme="minorEastAsia"/>
          <w:b/>
          <w:highlight w:val="none"/>
        </w:rPr>
        <w:t>8.2.录音录像。</w:t>
      </w:r>
      <w:r>
        <w:rPr>
          <w:rFonts w:hint="eastAsia" w:cs="仿宋_GB2312" w:asciiTheme="minorEastAsia" w:hAnsiTheme="minorEastAsia" w:eastAsiaTheme="minorEastAsia"/>
          <w:highlight w:val="none"/>
        </w:rPr>
        <w:t>采购代理机构对评审工作现场进行全过程录音录像，录音录像资料作为采购项目文件随其他文件一并存档。</w:t>
      </w:r>
    </w:p>
    <w:p>
      <w:pPr>
        <w:pStyle w:val="3"/>
        <w:snapToGrid w:val="0"/>
        <w:spacing w:line="360" w:lineRule="auto"/>
        <w:ind w:firstLine="0" w:firstLineChars="0"/>
        <w:rPr>
          <w:rFonts w:cs="宋体"/>
          <w:highlight w:val="none"/>
        </w:rPr>
      </w:pPr>
    </w:p>
    <w:bookmarkEnd w:id="48"/>
    <w:p>
      <w:pPr>
        <w:spacing w:line="360" w:lineRule="auto"/>
        <w:ind w:left="720" w:leftChars="343" w:firstLine="1084" w:firstLineChars="300"/>
        <w:rPr>
          <w:rFonts w:ascii="宋体" w:hAnsi="宋体" w:cs="宋体"/>
          <w:b/>
          <w:sz w:val="36"/>
          <w:szCs w:val="36"/>
          <w:highlight w:val="none"/>
        </w:rPr>
      </w:pPr>
      <w:bookmarkStart w:id="424" w:name="第五部分"/>
      <w:bookmarkStart w:id="425" w:name="_Toc86217003"/>
    </w:p>
    <w:p>
      <w:pPr>
        <w:spacing w:line="360" w:lineRule="auto"/>
        <w:ind w:left="720" w:leftChars="343" w:firstLine="1084" w:firstLineChars="300"/>
        <w:rPr>
          <w:rFonts w:ascii="宋体" w:hAnsi="宋体" w:cs="宋体"/>
          <w:b/>
          <w:sz w:val="36"/>
          <w:szCs w:val="36"/>
          <w:highlight w:val="none"/>
        </w:rPr>
      </w:pPr>
      <w:r>
        <w:rPr>
          <w:rFonts w:hint="eastAsia" w:ascii="宋体" w:hAnsi="宋体" w:cs="宋体"/>
          <w:b/>
          <w:sz w:val="36"/>
          <w:szCs w:val="36"/>
          <w:highlight w:val="none"/>
        </w:rPr>
        <w:t xml:space="preserve">    </w:t>
      </w:r>
    </w:p>
    <w:p>
      <w:pPr>
        <w:spacing w:line="360" w:lineRule="auto"/>
        <w:ind w:left="720" w:leftChars="343" w:firstLine="1084" w:firstLineChars="300"/>
        <w:rPr>
          <w:rFonts w:ascii="宋体" w:hAnsi="宋体" w:cs="宋体"/>
          <w:b/>
          <w:sz w:val="36"/>
          <w:szCs w:val="36"/>
          <w:highlight w:val="none"/>
        </w:rPr>
      </w:pPr>
    </w:p>
    <w:p>
      <w:pPr>
        <w:spacing w:line="360" w:lineRule="auto"/>
        <w:ind w:left="720" w:leftChars="343" w:firstLine="1084" w:firstLineChars="300"/>
        <w:rPr>
          <w:rFonts w:ascii="宋体" w:hAnsi="宋体" w:cs="宋体"/>
          <w:b/>
          <w:sz w:val="36"/>
          <w:szCs w:val="36"/>
          <w:highlight w:val="none"/>
        </w:rPr>
      </w:pPr>
    </w:p>
    <w:p>
      <w:pPr>
        <w:widowControl/>
        <w:adjustRightInd/>
        <w:jc w:val="left"/>
        <w:rPr>
          <w:rFonts w:ascii="宋体" w:hAnsi="宋体" w:cs="宋体"/>
          <w:b/>
          <w:sz w:val="36"/>
          <w:szCs w:val="36"/>
          <w:highlight w:val="none"/>
        </w:rPr>
      </w:pPr>
      <w:r>
        <w:rPr>
          <w:rFonts w:ascii="宋体" w:hAnsi="宋体" w:cs="宋体"/>
          <w:b/>
          <w:sz w:val="36"/>
          <w:szCs w:val="36"/>
          <w:highlight w:val="none"/>
        </w:rPr>
        <w:br w:type="page"/>
      </w:r>
    </w:p>
    <w:p>
      <w:pPr>
        <w:spacing w:line="360" w:lineRule="auto"/>
        <w:jc w:val="center"/>
        <w:outlineLvl w:val="0"/>
        <w:rPr>
          <w:rFonts w:ascii="宋体" w:hAnsi="宋体" w:cs="宋体"/>
          <w:b/>
          <w:sz w:val="36"/>
          <w:szCs w:val="36"/>
          <w:highlight w:val="none"/>
        </w:rPr>
      </w:pPr>
      <w:bookmarkStart w:id="426" w:name="_Toc176368906"/>
      <w:bookmarkStart w:id="427" w:name="_Toc32594"/>
      <w:r>
        <w:rPr>
          <w:rFonts w:hint="eastAsia" w:ascii="宋体" w:hAnsi="宋体" w:cs="宋体"/>
          <w:b/>
          <w:sz w:val="36"/>
          <w:szCs w:val="36"/>
          <w:highlight w:val="none"/>
        </w:rPr>
        <w:t>第五部分 拟签订的合同文本</w:t>
      </w:r>
      <w:bookmarkEnd w:id="426"/>
      <w:bookmarkEnd w:id="427"/>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根据《中华人民共和国政府采购法》、《中华人民共和国民法典》等法律、法规规定，按照招标文件规定条款和中标（成交）供应商承诺，甲乙双方签订本合同。</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第一条　合同标的</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1．项目服务一览表</w:t>
      </w:r>
    </w:p>
    <w:tbl>
      <w:tblPr>
        <w:tblStyle w:val="62"/>
        <w:tblW w:w="0" w:type="auto"/>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922"/>
        <w:gridCol w:w="2323"/>
        <w:gridCol w:w="1515"/>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宋体"/>
                <w:szCs w:val="21"/>
                <w:highlight w:val="none"/>
              </w:rPr>
            </w:pPr>
            <w:r>
              <w:rPr>
                <w:rFonts w:hint="eastAsia" w:ascii="宋体" w:hAnsi="宋体" w:cs="宋体"/>
                <w:szCs w:val="21"/>
                <w:highlight w:val="none"/>
              </w:rPr>
              <w:t>项号</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服务名称</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数量及单位</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单价（元）</w:t>
            </w: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r>
              <w:rPr>
                <w:rFonts w:hint="eastAsia" w:ascii="宋体" w:hAnsi="宋体" w:cs="宋体"/>
                <w:szCs w:val="21"/>
                <w:highlight w:val="none"/>
              </w:rPr>
              <w:t xml:space="preserve">运维服务时间： </w:t>
            </w:r>
          </w:p>
        </w:tc>
      </w:tr>
    </w:tbl>
    <w:p>
      <w:pPr>
        <w:spacing w:line="360" w:lineRule="auto"/>
        <w:ind w:firstLine="315" w:firstLineChars="150"/>
        <w:rPr>
          <w:rFonts w:ascii="宋体" w:hAnsi="宋体" w:cs="宋体"/>
          <w:szCs w:val="21"/>
          <w:highlight w:val="none"/>
        </w:rPr>
      </w:pPr>
      <w:r>
        <w:rPr>
          <w:rFonts w:hint="eastAsia" w:ascii="宋体" w:hAnsi="宋体" w:cs="宋体"/>
          <w:szCs w:val="21"/>
          <w:highlight w:val="none"/>
        </w:rPr>
        <w:t>2．合同合计金额应包括服务价格：投入本项目人工、软件的知识产权费，完成服务内容所需的标准附件、备品备件、专用工具的价格，调试费、培训、技术支持、售后服务费，必要的保险费和各项税金。</w:t>
      </w:r>
    </w:p>
    <w:p>
      <w:pPr>
        <w:tabs>
          <w:tab w:val="left" w:pos="8280"/>
        </w:tabs>
        <w:snapToGrid w:val="0"/>
        <w:spacing w:line="360" w:lineRule="auto"/>
        <w:ind w:right="26"/>
        <w:rPr>
          <w:rFonts w:ascii="宋体" w:hAnsi="宋体" w:cs="宋体"/>
          <w:szCs w:val="21"/>
          <w:highlight w:val="none"/>
        </w:rPr>
      </w:pPr>
      <w:r>
        <w:rPr>
          <w:rFonts w:hint="eastAsia" w:ascii="宋体" w:hAnsi="宋体" w:cs="宋体"/>
          <w:szCs w:val="21"/>
          <w:highlight w:val="none"/>
        </w:rPr>
        <w:t>等完成服务所需的一切费用。招标文件及投标文件对其另有规定的，从其规定。</w:t>
      </w:r>
    </w:p>
    <w:p>
      <w:pPr>
        <w:tabs>
          <w:tab w:val="left" w:pos="8280"/>
        </w:tabs>
        <w:snapToGrid w:val="0"/>
        <w:spacing w:line="360" w:lineRule="auto"/>
        <w:ind w:right="26" w:firstLine="420" w:firstLineChars="200"/>
        <w:rPr>
          <w:rFonts w:ascii="宋体" w:hAnsi="宋体" w:cs="宋体"/>
          <w:szCs w:val="21"/>
          <w:highlight w:val="none"/>
        </w:rPr>
      </w:pPr>
      <w:r>
        <w:rPr>
          <w:rFonts w:hint="eastAsia" w:ascii="宋体" w:hAnsi="宋体" w:cs="宋体"/>
          <w:szCs w:val="21"/>
          <w:highlight w:val="none"/>
        </w:rPr>
        <w:t>3．具体服务内容、范围及要求详见招标文件“采购需求”的约定。</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第二条　质量保证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1．乙方所提供的服务内容、成果、数量、质量等必须与招标文件、投标文件和承诺相一致。</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2．乙方所提供的服务各项指标均达到质量要求。</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第三条　权利保证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1．乙方应保证所提供服务内容在使用时不会侵犯任何第三方的专利权、商标权、工业设计权或其他权利。</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2．乙方保证所交付的服务的所有权完全属于乙方且无任何抵押、质押、查封等产权瑕疵。</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第四条　交付和验收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1．乙方提供不符合招标文件和本合同约定的服务成果，甲方有权拒绝接受。</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2．乙方应按要求提交服务成果材料，如有缺失应及时补齐，否则视为逾期交付。</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3．乙方在指定地点提交服务成果后，甲方应在七个工作日内进行验收，验收合格后由甲乙双方签署验收单并加盖采购单位公章，甲乙双方各执一份。</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4．甲方对验收有异议的，在验收后五个工作日内以书面形式向乙方提出，乙方应自收到甲方书面异议后 5个工作日内及时予以解决。</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第五条  售后服务</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1.乙方应按照国家有关法律法规以及招标文件和投标文件承诺的服务，为甲方提供技术服务。</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2.乙方提供的服务承诺和售后服务等具体事项详见合同附件及投标文件承诺。</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第六条　付款方式</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1．资金性质：</w:t>
      </w:r>
      <w:r>
        <w:rPr>
          <w:rFonts w:hint="eastAsia" w:ascii="宋体" w:hAnsi="宋体" w:cs="宋体"/>
          <w:szCs w:val="21"/>
          <w:highlight w:val="none"/>
          <w:u w:val="single"/>
        </w:rPr>
        <w:t>财政资金</w:t>
      </w:r>
      <w:r>
        <w:rPr>
          <w:rFonts w:hint="eastAsia" w:ascii="宋体" w:hAnsi="宋体" w:cs="宋体"/>
          <w:szCs w:val="21"/>
          <w:highlight w:val="none"/>
        </w:rPr>
        <w:t xml:space="preserve"> 。</w:t>
      </w:r>
    </w:p>
    <w:p>
      <w:pPr>
        <w:snapToGrid w:val="0"/>
        <w:spacing w:line="360" w:lineRule="auto"/>
        <w:ind w:left="-61" w:leftChars="-29" w:firstLine="514" w:firstLineChars="245"/>
        <w:rPr>
          <w:rFonts w:ascii="宋体" w:hAnsi="宋体" w:cs="宋体"/>
          <w:kern w:val="0"/>
          <w:szCs w:val="21"/>
          <w:highlight w:val="none"/>
          <w:u w:val="single"/>
        </w:rPr>
      </w:pPr>
      <w:r>
        <w:rPr>
          <w:rFonts w:hint="eastAsia" w:ascii="宋体" w:hAnsi="宋体" w:cs="宋体"/>
          <w:kern w:val="0"/>
          <w:szCs w:val="21"/>
          <w:highlight w:val="none"/>
        </w:rPr>
        <w:t>2．付款方式：</w:t>
      </w:r>
      <w:r>
        <w:rPr>
          <w:rFonts w:hint="eastAsia" w:ascii="宋体" w:hAnsi="宋体" w:cs="宋体"/>
          <w:kern w:val="0"/>
          <w:szCs w:val="21"/>
          <w:highlight w:val="none"/>
          <w:u w:val="single"/>
        </w:rPr>
        <w:t>采购人按合同价分3年支付费用，第一年应支付合同价的33%，第二年应支付合同标价33%，第三年应支付合同价34%，每年度终了经考评后，由中标人向采购人书面申请支付年度费用，支付前中标人开具合法发票给采购人，采购人向财政部门申请费用及时付款。如遇财政资金使用困难，服务费不能及时支付，中标人不能以此为由停止采购内容的服务工作</w:t>
      </w:r>
      <w:r>
        <w:rPr>
          <w:rFonts w:hint="eastAsia" w:ascii="宋体" w:hAnsi="宋体" w:cs="宋体"/>
          <w:kern w:val="0"/>
          <w:szCs w:val="21"/>
          <w:highlight w:val="none"/>
        </w:rPr>
        <w:t>。</w:t>
      </w:r>
    </w:p>
    <w:p>
      <w:pPr>
        <w:pStyle w:val="798"/>
        <w:ind w:firstLine="0" w:firstLineChars="0"/>
        <w:rPr>
          <w:rFonts w:hAnsi="宋体" w:cs="宋体"/>
          <w:kern w:val="0"/>
          <w:sz w:val="21"/>
          <w:szCs w:val="21"/>
          <w:highlight w:val="none"/>
        </w:rPr>
      </w:pPr>
      <w:r>
        <w:rPr>
          <w:rFonts w:hint="eastAsia" w:hAnsi="宋体" w:cs="宋体"/>
          <w:b/>
          <w:sz w:val="21"/>
          <w:szCs w:val="21"/>
          <w:highlight w:val="none"/>
        </w:rPr>
        <w:t>3.</w:t>
      </w:r>
      <w:r>
        <w:rPr>
          <w:rFonts w:hint="eastAsia" w:hAnsi="宋体" w:cs="宋体"/>
          <w:kern w:val="0"/>
          <w:sz w:val="21"/>
          <w:szCs w:val="21"/>
          <w:highlight w:val="none"/>
          <w:u w:val="single"/>
        </w:rPr>
        <w:t>甲方在应支付给乙方每年应支付费中拿出10%作为考核乙方服务质量费，根据《</w:t>
      </w:r>
      <w:r>
        <w:rPr>
          <w:rFonts w:hint="eastAsia" w:hAnsi="宋体" w:cs="宋体"/>
          <w:kern w:val="0"/>
          <w:sz w:val="21"/>
          <w:szCs w:val="21"/>
          <w:highlight w:val="none"/>
        </w:rPr>
        <w:t>电子政务外网运维考核方案</w:t>
      </w:r>
      <w:r>
        <w:rPr>
          <w:rFonts w:hint="eastAsia" w:hAnsi="宋体" w:cs="宋体"/>
          <w:kern w:val="0"/>
          <w:sz w:val="21"/>
          <w:szCs w:val="21"/>
          <w:highlight w:val="none"/>
          <w:u w:val="single"/>
        </w:rPr>
        <w:t>》考核得分情况对应支付费用。考核得分90分（含）—100分的，支付给乙方服务质量费的100%；80分（含）—89分的，支付给乙方服务质量费的90%；70分（含）—79分的，支付给乙方服务质量费的80%；60分（含）—69分的，支付给乙方服务质量费的70%；60分以下的本年度不支付服务质量费</w:t>
      </w:r>
      <w:r>
        <w:rPr>
          <w:rFonts w:hint="eastAsia" w:hAnsi="宋体" w:cs="宋体"/>
          <w:kern w:val="0"/>
          <w:sz w:val="21"/>
          <w:szCs w:val="21"/>
          <w:highlight w:val="none"/>
        </w:rPr>
        <w:t>。</w:t>
      </w:r>
    </w:p>
    <w:p>
      <w:pPr>
        <w:pStyle w:val="798"/>
        <w:ind w:firstLine="0" w:firstLineChars="0"/>
        <w:rPr>
          <w:rFonts w:hAnsi="宋体" w:cs="宋体"/>
          <w:sz w:val="21"/>
          <w:szCs w:val="21"/>
          <w:highlight w:val="none"/>
        </w:rPr>
      </w:pPr>
      <w:r>
        <w:rPr>
          <w:rFonts w:hint="eastAsia" w:hAnsi="宋体" w:cs="宋体"/>
          <w:kern w:val="0"/>
          <w:sz w:val="21"/>
          <w:szCs w:val="21"/>
          <w:highlight w:val="none"/>
        </w:rPr>
        <w:t>电子政务外网运维考核方案</w:t>
      </w:r>
    </w:p>
    <w:tbl>
      <w:tblPr>
        <w:tblStyle w:val="62"/>
        <w:tblpPr w:leftFromText="180" w:rightFromText="180" w:vertAnchor="text" w:horzAnchor="page" w:tblpX="1225" w:tblpY="337"/>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897"/>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考核项目</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 xml:space="preserve"> 考核内容</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 扣分标准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巡检</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每周及重大节会前夕，对机房内IT硬件设备和运行环境设施进行一次全面巡检，对机房维护范围内公共，对机房维护范围内公共支撑软件和业务系统进行全面巡检和备份，并做好巡查记录。</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未按要求进行巡检， 备份等工作，每次扣 0.5 分。 </w:t>
            </w:r>
          </w:p>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预防性维护</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每月对维护范围内的软、硬件设备进行一次预防性维护服务，包括元器件检查、易耗品更换、软件升级等，并做好维护记录。</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未按要求进行预防性维护的，每次扣1分。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备品备件</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对维护范围内关键设备建立备品、备件。</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 设备损坏后未能按要求及时提供备品、备件的，一次扣1分。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工单处置</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按甲方要求完成工单任务处置，并提供相应证明材料</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无正当理由未按甲方要求完成的，一次扣1分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常驻人员</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常驻人员应遵守甲方相关规定，不得工作时间擅离岗位，不得做与服务无关的事情，服务热情周到。</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因服务质量被投诉的，经查实后一次扣 1 分；因违反法律法规、 工作纪律被有关部门通报或给甲方造成不良影响的，一次扣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运维报告</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 xml:space="preserve">根据甲方要求按期提交相关运维服务报告。 </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未按期提交相关报告的每五次扣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 xml:space="preserve">一级故障:全网瘫痪(网络或业务应用系统） </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汇聚层以上故障造成的大面积网络不通，或多个业务应用系统无法访问(50%以上)，及其他相当于此级别的故障。</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实时响应并在 4小时内解决，超过4小时 ，故障每持续1小时扣除2分, 不足1小时按 照1小时计算.(不可抗力除外)。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 xml:space="preserve">二级故障:局部网络瘫痪 (网络或业务  应用系统)  </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局部网络不通造成部分人员不能正常上网；或30%以上业务应用系统无法访问，及其他相当于此级别的故障。</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在 4小内解决，超4 小时，故障每持续1小时扣除 1.5分,不足 1 小时按照1小时计算。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三级故障:全网性能降低(网络或业务应用系统速度明显降低)</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大面积网络性能下降，速度慢，多个业务应用系统运行速度慢(50%以上)，及其他相当于此级别的故障。</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在4 小内解决，超过4小时，故障每持续1小时扣1分，不足1 小时按照 1小时计算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 xml:space="preserve">四级故障: 局部网络性能降低(网络或业务应用系统速度明显降低) </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局部网络速度慢，或10%以上业务应用系统速度慢，一般告警1天内没有解决(特殊情况申请后可以延期，最长不超过5个工作日)及其他相 当于此级别的故障。</w:t>
            </w:r>
          </w:p>
          <w:p>
            <w:pPr>
              <w:spacing w:line="360" w:lineRule="auto"/>
              <w:rPr>
                <w:rFonts w:ascii="宋体" w:hAnsi="宋体" w:cs="宋体"/>
                <w:szCs w:val="21"/>
                <w:highlight w:val="none"/>
              </w:rPr>
            </w:pP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在4小内解决，超过4 小时，故障每持续1小时扣 0.5 分，不足1 小时按照1小时计算 。</w:t>
            </w:r>
          </w:p>
          <w:p>
            <w:pPr>
              <w:spacing w:line="360" w:lineRule="auto"/>
              <w:rPr>
                <w:rFonts w:ascii="宋体" w:hAnsi="宋体" w:cs="宋体"/>
                <w:szCs w:val="21"/>
                <w:highlight w:val="none"/>
              </w:rPr>
            </w:pPr>
            <w:r>
              <w:rPr>
                <w:rFonts w:hint="eastAsia" w:ascii="宋体" w:hAnsi="宋体" w:cs="宋体"/>
                <w:szCs w:val="21"/>
                <w:highlight w:val="none"/>
              </w:rPr>
              <w:t xml:space="preserve"> </w:t>
            </w:r>
          </w:p>
        </w:tc>
      </w:tr>
    </w:tbl>
    <w:p>
      <w:pPr>
        <w:pStyle w:val="798"/>
        <w:ind w:firstLine="420"/>
        <w:rPr>
          <w:rFonts w:hAnsi="宋体" w:cs="宋体"/>
          <w:sz w:val="21"/>
          <w:szCs w:val="21"/>
          <w:highlight w:val="none"/>
        </w:rPr>
      </w:pPr>
    </w:p>
    <w:p>
      <w:pPr>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rPr>
        <w:t>4.</w:t>
      </w:r>
      <w:r>
        <w:rPr>
          <w:rFonts w:hint="eastAsia" w:ascii="宋体" w:hAnsi="宋体" w:cs="宋体"/>
          <w:szCs w:val="21"/>
          <w:highlight w:val="none"/>
          <w:u w:val="single"/>
        </w:rPr>
        <w:t>若乙方连续两年考核每年考核分都在60分以下的，第三年甲方将不再进行考核，直接扣除当年的服务质量费</w:t>
      </w:r>
      <w:r>
        <w:rPr>
          <w:rFonts w:hint="eastAsia" w:ascii="宋体" w:hAnsi="宋体" w:cs="宋体"/>
          <w:szCs w:val="21"/>
          <w:highlight w:val="none"/>
        </w:rPr>
        <w:t>。</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第七条　本项目无履约保证金</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第八条  税费</w:t>
      </w:r>
    </w:p>
    <w:p>
      <w:pPr>
        <w:snapToGrid w:val="0"/>
        <w:spacing w:line="360" w:lineRule="auto"/>
        <w:ind w:left="-61" w:firstLine="514"/>
        <w:rPr>
          <w:rFonts w:ascii="宋体" w:hAnsi="宋体" w:cs="宋体"/>
          <w:szCs w:val="21"/>
          <w:highlight w:val="none"/>
        </w:rPr>
      </w:pPr>
      <w:r>
        <w:rPr>
          <w:rFonts w:hint="eastAsia" w:ascii="宋体" w:hAnsi="宋体" w:cs="宋体"/>
          <w:szCs w:val="21"/>
          <w:highlight w:val="none"/>
        </w:rPr>
        <w:t>本合同执行中相关的一切税费均由乙方负担。</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第九条  质量保证及售后服务</w:t>
      </w:r>
    </w:p>
    <w:p>
      <w:pPr>
        <w:pStyle w:val="33"/>
        <w:snapToGrid w:val="0"/>
        <w:spacing w:line="360" w:lineRule="auto"/>
        <w:ind w:firstLine="420" w:firstLineChars="200"/>
        <w:rPr>
          <w:rFonts w:hAnsi="宋体" w:cs="宋体"/>
          <w:highlight w:val="none"/>
        </w:rPr>
      </w:pPr>
      <w:r>
        <w:rPr>
          <w:rFonts w:hint="eastAsia" w:hAnsi="宋体" w:cs="宋体"/>
          <w:highlight w:val="none"/>
        </w:rPr>
        <w:t>1．乙方应按招标文件规定的服务内容、技术要求、质量标准向甲方提供无瑕疵的服务成果。乙方对提交的最终服务成果质量负责。</w:t>
      </w:r>
    </w:p>
    <w:p>
      <w:pPr>
        <w:pStyle w:val="33"/>
        <w:snapToGrid w:val="0"/>
        <w:spacing w:line="360" w:lineRule="auto"/>
        <w:ind w:firstLine="420" w:firstLineChars="200"/>
        <w:rPr>
          <w:rFonts w:hAnsi="宋体" w:cs="宋体"/>
          <w:highlight w:val="none"/>
        </w:rPr>
      </w:pPr>
      <w:r>
        <w:rPr>
          <w:rFonts w:hint="eastAsia" w:hAnsi="宋体" w:cs="宋体"/>
          <w:highlight w:val="none"/>
        </w:rPr>
        <w:t>2. 成果提交后，如有修改，乙方应在规定时间按要求完成修改工作，甲方不另行支付额外费用。</w:t>
      </w:r>
    </w:p>
    <w:p>
      <w:pPr>
        <w:pStyle w:val="33"/>
        <w:snapToGrid w:val="0"/>
        <w:spacing w:line="360" w:lineRule="auto"/>
        <w:ind w:firstLine="420" w:firstLineChars="200"/>
        <w:rPr>
          <w:rFonts w:hAnsi="宋体" w:cs="宋体"/>
          <w:highlight w:val="none"/>
        </w:rPr>
      </w:pPr>
      <w:r>
        <w:rPr>
          <w:rFonts w:hint="eastAsia" w:hAnsi="宋体" w:cs="宋体"/>
          <w:highlight w:val="none"/>
        </w:rPr>
        <w:t>3.乙方如不再为甲方继续提供运维服务，则须按甲方要求移交本项目所有相关数据，不得留存或另行备份。</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第十条　违约责任</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1.甲方无正当理由拒收服务的，甲方向乙方支付拒收服务费总金额的 3‰/天的违约金。</w:t>
      </w:r>
    </w:p>
    <w:p>
      <w:pPr>
        <w:pStyle w:val="962"/>
        <w:spacing w:line="360" w:lineRule="auto"/>
        <w:jc w:val="left"/>
        <w:rPr>
          <w:rFonts w:ascii="宋体" w:hAnsi="宋体" w:eastAsia="宋体" w:cs="宋体"/>
          <w:b w:val="0"/>
          <w:szCs w:val="21"/>
          <w:highlight w:val="none"/>
        </w:rPr>
      </w:pPr>
      <w:r>
        <w:rPr>
          <w:rFonts w:hint="eastAsia" w:ascii="宋体" w:hAnsi="宋体" w:eastAsia="宋体" w:cs="宋体"/>
          <w:b w:val="0"/>
          <w:szCs w:val="21"/>
          <w:highlight w:val="none"/>
        </w:rPr>
        <w:t xml:space="preserve">     2．甲方无故逾期验收或办理合同款支付手续的，甲方应按逾期付款总额3‰/天向乙方支付违约金。</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3．乙方不能按约定向甲方交付合法有效的发票的，甲方有权暂不予支付合同款项。</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4．乙方擅自转包、分包本合同服务内容的，甲方有权解除合同，不予支付合同款项并要求乙方按合同总金额的20%向甲方支付违约金。</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5．乙方擅自解除合同的，应向甲方支付合同总金额20%的违约金，同时甲方有权不予支付合同款项。</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 xml:space="preserve">6．乙方未按期限提交服务成果的，乙方应向甲方支付合同总金额 </w:t>
      </w:r>
      <w:r>
        <w:rPr>
          <w:rFonts w:hint="eastAsia" w:ascii="宋体" w:hAnsi="宋体" w:cs="宋体"/>
          <w:szCs w:val="21"/>
          <w:highlight w:val="none"/>
          <w:lang w:val="zh-CN"/>
        </w:rPr>
        <w:t>3‰/天的</w:t>
      </w:r>
      <w:r>
        <w:rPr>
          <w:rFonts w:hint="eastAsia" w:ascii="宋体" w:hAnsi="宋体" w:cs="宋体"/>
          <w:szCs w:val="21"/>
          <w:highlight w:val="none"/>
        </w:rPr>
        <w:t>违约金，逾期交付</w:t>
      </w:r>
      <w:r>
        <w:rPr>
          <w:rFonts w:hint="eastAsia" w:ascii="宋体" w:hAnsi="宋体" w:cs="宋体"/>
          <w:szCs w:val="21"/>
          <w:highlight w:val="none"/>
          <w:lang w:val="zh-CN"/>
        </w:rPr>
        <w:t>超过</w:t>
      </w:r>
      <w:r>
        <w:rPr>
          <w:rFonts w:hint="eastAsia" w:ascii="宋体" w:hAnsi="宋体" w:cs="宋体"/>
          <w:szCs w:val="21"/>
          <w:highlight w:val="none"/>
          <w:u w:val="single"/>
          <w:lang w:val="zh-CN"/>
        </w:rPr>
        <w:t>30</w:t>
      </w:r>
      <w:r>
        <w:rPr>
          <w:rFonts w:hint="eastAsia" w:ascii="宋体" w:hAnsi="宋体" w:cs="宋体"/>
          <w:szCs w:val="21"/>
          <w:highlight w:val="none"/>
          <w:lang w:val="zh-CN"/>
        </w:rPr>
        <w:t>天的，甲方有权解除合同，</w:t>
      </w:r>
      <w:r>
        <w:rPr>
          <w:rFonts w:hint="eastAsia" w:ascii="宋体" w:hAnsi="宋体" w:cs="宋体"/>
          <w:szCs w:val="21"/>
          <w:highlight w:val="none"/>
        </w:rPr>
        <w:t>并</w:t>
      </w:r>
      <w:r>
        <w:rPr>
          <w:rFonts w:hint="eastAsia" w:ascii="宋体" w:hAnsi="宋体" w:cs="宋体"/>
          <w:szCs w:val="21"/>
          <w:highlight w:val="none"/>
          <w:lang w:val="zh-CN"/>
        </w:rPr>
        <w:t>要求乙方</w:t>
      </w:r>
      <w:r>
        <w:rPr>
          <w:rFonts w:hint="eastAsia" w:ascii="宋体" w:hAnsi="宋体" w:cs="宋体"/>
          <w:szCs w:val="21"/>
          <w:highlight w:val="none"/>
        </w:rPr>
        <w:t xml:space="preserve">向甲方支付合同总金额10%的违约金。                                       </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7．乙方提交的服务成果不符合约定的，应予以负责整改，造成逾期交付的，乙方承担逾期交工的违约责任。</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8．乙方提供的成果如侵犯了第三方合法权益而引发的任何纠纷或诉讼，均由乙方负责交涉并承担全部责任</w:t>
      </w:r>
      <w:r>
        <w:rPr>
          <w:rFonts w:hint="eastAsia" w:ascii="宋体" w:hAnsi="宋体" w:cs="宋体"/>
          <w:szCs w:val="21"/>
          <w:highlight w:val="none"/>
          <w:lang w:val="zh-CN"/>
        </w:rPr>
        <w:t>，造成甲方损失的，乙方应予赔偿</w:t>
      </w:r>
      <w:r>
        <w:rPr>
          <w:rFonts w:hint="eastAsia" w:ascii="宋体" w:hAnsi="宋体" w:cs="宋体"/>
          <w:szCs w:val="21"/>
          <w:highlight w:val="none"/>
        </w:rPr>
        <w:t>。</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9．乙方未按本合同和招标文件中规定的服务承诺提供售后服务的，乙方应按本合同总金额 5%向甲方支付违约金。</w:t>
      </w:r>
    </w:p>
    <w:p>
      <w:pPr>
        <w:snapToGrid w:val="0"/>
        <w:spacing w:line="360" w:lineRule="auto"/>
        <w:ind w:firstLine="472" w:firstLineChars="225"/>
        <w:jc w:val="left"/>
        <w:rPr>
          <w:rFonts w:ascii="宋体" w:hAnsi="宋体" w:cs="宋体"/>
          <w:szCs w:val="21"/>
          <w:highlight w:val="none"/>
        </w:rPr>
      </w:pPr>
      <w:r>
        <w:rPr>
          <w:rFonts w:hint="eastAsia" w:ascii="宋体" w:hAnsi="宋体" w:cs="宋体"/>
          <w:szCs w:val="21"/>
          <w:highlight w:val="none"/>
        </w:rPr>
        <w:t>10．乙方及乙方工作人员必须对实施本服务接触到的甲方资料保密，若发生泄密，乙方应按合同总金额的5%支付违约金，甲方损失超过此违约金的，乙方亦应赔偿。</w:t>
      </w:r>
    </w:p>
    <w:p>
      <w:pPr>
        <w:snapToGrid w:val="0"/>
        <w:spacing w:line="360" w:lineRule="auto"/>
        <w:ind w:left="1029" w:leftChars="190" w:hanging="630" w:hangingChars="300"/>
        <w:jc w:val="left"/>
        <w:rPr>
          <w:rFonts w:ascii="宋体" w:hAnsi="宋体" w:cs="宋体"/>
          <w:szCs w:val="21"/>
          <w:highlight w:val="none"/>
        </w:rPr>
      </w:pPr>
      <w:r>
        <w:rPr>
          <w:rFonts w:hint="eastAsia" w:ascii="宋体" w:hAnsi="宋体" w:cs="宋体"/>
          <w:szCs w:val="21"/>
          <w:highlight w:val="none"/>
        </w:rPr>
        <w:t>11．因乙方违约造成的甲方损失或应向甲方支付的违约金，甲方有权直接从未付款中扣除。</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12．因乙方违约，造成的甲方支出的争议处理费用（包括但不限于诉讼费、律师费、保全费、诉讼财产保全担保保险费等）也由乙方承担。</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第十一条  不可抗力事件处理</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3．不可抗力事件延续30天以上，双方应通过友好协商，确定是否继续履行合同。</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第十二条  合同争议解决</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1.因服务质量问题发生争议的，应邀请国家认可的机构对服务质量进行鉴定。服务质量符合标准的，鉴定费由甲方承担；不符合标准的，鉴定费由乙方承担。</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2.因履行本合同引起的或与本合同有关的争议，甲乙双方应首先通过友好协商解决，如果协商不能解决，任何一方可向甲方所在地有管辖权的人民法院提起诉讼。</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3.诉讼期间，本合同继续履行。</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第十三条  合同生效及其它</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1．合同经双方法定代表人或被授权代表签字并加盖单位公章后生效。</w:t>
      </w:r>
    </w:p>
    <w:p>
      <w:pPr>
        <w:snapToGrid w:val="0"/>
        <w:spacing w:line="360" w:lineRule="auto"/>
        <w:ind w:firstLine="472" w:firstLineChars="225"/>
        <w:rPr>
          <w:rFonts w:ascii="宋体" w:hAnsi="宋体" w:cs="宋体"/>
          <w:bCs/>
          <w:szCs w:val="21"/>
          <w:highlight w:val="none"/>
        </w:rPr>
      </w:pPr>
      <w:r>
        <w:rPr>
          <w:rFonts w:hint="eastAsia" w:ascii="宋体" w:hAnsi="宋体" w:cs="宋体"/>
          <w:bCs/>
          <w:szCs w:val="21"/>
          <w:highlight w:val="none"/>
        </w:rPr>
        <w:t>2．合同执行中涉及采购资金和采购内容修改或补充的，须经财政部门审批，并签书面补充协议报财政部门备案，双方就此签订补充协议并作为主合同不可分割的一部分。</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3．本合同未尽事宜，双方协商并签署补充协议确定。</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第十四条　合同的变更、终止与转让</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1．除《中华人民共和国政府采购法》第五十条规定的情形外，本合同一经签订，甲乙双方不得擅自变更、中止或终止。</w:t>
      </w:r>
    </w:p>
    <w:p>
      <w:pPr>
        <w:snapToGrid w:val="0"/>
        <w:spacing w:line="360" w:lineRule="auto"/>
        <w:ind w:left="-61" w:firstLine="514"/>
        <w:rPr>
          <w:rFonts w:ascii="宋体" w:hAnsi="宋体" w:cs="宋体"/>
          <w:szCs w:val="21"/>
          <w:highlight w:val="none"/>
        </w:rPr>
      </w:pPr>
      <w:r>
        <w:rPr>
          <w:rFonts w:hint="eastAsia" w:ascii="宋体" w:hAnsi="宋体" w:cs="宋体"/>
          <w:szCs w:val="21"/>
          <w:highlight w:val="none"/>
        </w:rPr>
        <w:t>2．乙方不得擅自转让其应履行的合同义务。</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3．因项目发生实际变化，原合同服务范围无法满足实际变化后的服务需求，合同可由双方协商调整或终止。</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第十五条　附件为合同有效组成部分，与合同效力同等。本合同附件如下：</w:t>
      </w:r>
    </w:p>
    <w:p>
      <w:pPr>
        <w:snapToGrid w:val="0"/>
        <w:spacing w:line="360" w:lineRule="auto"/>
        <w:ind w:left="420"/>
        <w:rPr>
          <w:rFonts w:ascii="宋体" w:hAnsi="宋体" w:cs="宋体"/>
          <w:szCs w:val="21"/>
          <w:highlight w:val="none"/>
        </w:rPr>
      </w:pPr>
      <w:r>
        <w:rPr>
          <w:rFonts w:hint="eastAsia" w:ascii="宋体" w:hAnsi="宋体" w:cs="宋体"/>
          <w:szCs w:val="21"/>
          <w:highlight w:val="none"/>
        </w:rPr>
        <w:t>1.招标文件；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2.乙方提供的投标文件；</w:t>
      </w:r>
    </w:p>
    <w:p>
      <w:pPr>
        <w:snapToGrid w:val="0"/>
        <w:spacing w:line="360" w:lineRule="auto"/>
        <w:ind w:left="420"/>
        <w:rPr>
          <w:rFonts w:ascii="宋体" w:hAnsi="宋体" w:cs="宋体"/>
          <w:szCs w:val="21"/>
          <w:highlight w:val="none"/>
        </w:rPr>
      </w:pPr>
      <w:r>
        <w:rPr>
          <w:rFonts w:hint="eastAsia" w:ascii="宋体" w:hAnsi="宋体" w:cs="宋体"/>
          <w:szCs w:val="21"/>
          <w:highlight w:val="none"/>
        </w:rPr>
        <w:t>3.其他约定附件。</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第十六条　签订本合同依据</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1．政府采购招标文件；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2．乙方提供的投标文件；</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3．中标通知书。</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第十七条　</w:t>
      </w:r>
      <w:r>
        <w:rPr>
          <w:rFonts w:hint="eastAsia" w:ascii="宋体" w:hAnsi="宋体" w:cs="宋体"/>
          <w:szCs w:val="21"/>
          <w:highlight w:val="none"/>
        </w:rPr>
        <w:t>本合同一式七份，具有同等法律效力，甲乙双方各三份、采购代理机构一份，（可根据需要另增加）。</w:t>
      </w:r>
    </w:p>
    <w:p>
      <w:pPr>
        <w:spacing w:line="360" w:lineRule="auto"/>
        <w:rPr>
          <w:rFonts w:ascii="宋体" w:hAnsi="宋体" w:cs="宋体"/>
          <w:b/>
          <w:szCs w:val="21"/>
          <w:highlight w:val="none"/>
        </w:rPr>
      </w:pPr>
      <w:r>
        <w:rPr>
          <w:rFonts w:hint="eastAsia" w:ascii="宋体" w:hAnsi="宋体" w:cs="宋体"/>
          <w:szCs w:val="21"/>
          <w:highlight w:val="none"/>
        </w:rPr>
        <w:t>本合同甲乙双方签字盖章后生效。采购人应当自政府采购合同签订之日起2个工作日内，将政府采购合同在省级以上人民政府财政部门指定的媒体上公告，但政府采购合同中涉及国家秘密、商业秘密的内容除外。</w:t>
      </w:r>
    </w:p>
    <w:p>
      <w:pPr>
        <w:rPr>
          <w:rFonts w:ascii="宋体" w:hAnsi="宋体" w:cs="宋体"/>
          <w:b/>
          <w:sz w:val="36"/>
          <w:szCs w:val="20"/>
          <w:highlight w:val="none"/>
        </w:rPr>
      </w:pPr>
      <w:bookmarkStart w:id="428" w:name="_Toc176368907"/>
      <w:bookmarkStart w:id="429" w:name="_Toc20755"/>
      <w:r>
        <w:rPr>
          <w:rFonts w:hint="eastAsia" w:ascii="宋体" w:hAnsi="宋体" w:cs="宋体"/>
          <w:b/>
          <w:sz w:val="36"/>
          <w:szCs w:val="20"/>
          <w:highlight w:val="none"/>
        </w:rPr>
        <w:br w:type="page"/>
      </w:r>
    </w:p>
    <w:p>
      <w:pPr>
        <w:widowControl/>
        <w:adjustRightInd/>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424"/>
      <w:r>
        <w:rPr>
          <w:rFonts w:hint="eastAsia" w:ascii="宋体" w:hAnsi="宋体" w:cs="宋体"/>
          <w:b/>
          <w:sz w:val="36"/>
          <w:szCs w:val="20"/>
          <w:highlight w:val="none"/>
        </w:rPr>
        <w:t xml:space="preserve"> </w:t>
      </w:r>
      <w:bookmarkEnd w:id="425"/>
      <w:r>
        <w:rPr>
          <w:rFonts w:hint="eastAsia" w:ascii="宋体" w:hAnsi="宋体" w:cs="宋体"/>
          <w:b/>
          <w:sz w:val="36"/>
          <w:szCs w:val="20"/>
          <w:highlight w:val="none"/>
        </w:rPr>
        <w:t>应提交的有关格式范例</w:t>
      </w:r>
      <w:bookmarkEnd w:id="428"/>
      <w:bookmarkEnd w:id="429"/>
    </w:p>
    <w:p>
      <w:pPr>
        <w:spacing w:line="360" w:lineRule="auto"/>
        <w:jc w:val="center"/>
        <w:rPr>
          <w:rFonts w:ascii="宋体" w:hAnsi="宋体" w:cs="宋体"/>
          <w:b/>
          <w:kern w:val="0"/>
          <w:sz w:val="36"/>
          <w:szCs w:val="36"/>
          <w:highlight w:val="none"/>
        </w:rPr>
      </w:pP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rPr>
          <w:rFonts w:ascii="宋体" w:hAnsi="宋体" w:cs="宋体"/>
          <w:b/>
          <w:kern w:val="0"/>
          <w:sz w:val="36"/>
          <w:szCs w:val="36"/>
          <w:highlight w:val="none"/>
        </w:rPr>
      </w:pPr>
    </w:p>
    <w:p>
      <w:pPr>
        <w:snapToGrid w:val="0"/>
        <w:spacing w:line="360" w:lineRule="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（1）符合参加政府采购活动应当具备的一般条件的承诺函……………（页码）</w:t>
      </w:r>
    </w:p>
    <w:p>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pPr>
        <w:snapToGrid w:val="0"/>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sz w:val="24"/>
          <w:highlight w:val="none"/>
        </w:rPr>
      </w:pPr>
    </w:p>
    <w:p>
      <w:pPr>
        <w:snapToGrid w:val="0"/>
        <w:spacing w:line="360" w:lineRule="auto"/>
        <w:ind w:right="480"/>
        <w:jc w:val="center"/>
        <w:rPr>
          <w:rFonts w:ascii="宋体" w:hAnsi="宋体" w:cs="宋体"/>
          <w:sz w:val="24"/>
          <w:highlight w:val="none"/>
        </w:rPr>
      </w:pPr>
      <w:r>
        <w:rPr>
          <w:rFonts w:hint="eastAsia" w:ascii="宋体" w:hAnsi="宋体" w:cs="宋体"/>
          <w:sz w:val="24"/>
          <w:highlight w:val="none"/>
        </w:rPr>
        <w:t>北海市政府采购供应商信用承诺函（格式）</w:t>
      </w:r>
    </w:p>
    <w:p>
      <w:pPr>
        <w:snapToGrid w:val="0"/>
        <w:spacing w:line="360" w:lineRule="auto"/>
        <w:rPr>
          <w:rFonts w:ascii="宋体" w:hAnsi="宋体" w:cs="宋体"/>
          <w:sz w:val="24"/>
          <w:highlight w:val="none"/>
        </w:rPr>
      </w:pPr>
    </w:p>
    <w:p>
      <w:pPr>
        <w:snapToGrid w:val="0"/>
        <w:spacing w:line="360" w:lineRule="auto"/>
        <w:ind w:right="480"/>
        <w:rPr>
          <w:rFonts w:ascii="宋体" w:hAnsi="宋体" w:cs="宋体"/>
          <w:sz w:val="24"/>
          <w:highlight w:val="none"/>
        </w:rPr>
      </w:pPr>
      <w:r>
        <w:rPr>
          <w:rFonts w:hint="eastAsia" w:ascii="宋体" w:hAnsi="宋体" w:cs="宋体"/>
          <w:sz w:val="24"/>
          <w:highlight w:val="none"/>
        </w:rPr>
        <w:t>（采购人）、（采购代理机构） ：</w:t>
      </w:r>
    </w:p>
    <w:p>
      <w:pPr>
        <w:snapToGrid w:val="0"/>
        <w:spacing w:line="360" w:lineRule="auto"/>
        <w:ind w:right="480"/>
        <w:rPr>
          <w:rFonts w:ascii="宋体" w:hAnsi="宋体" w:cs="宋体"/>
          <w:sz w:val="24"/>
          <w:highlight w:val="none"/>
        </w:rPr>
      </w:pPr>
      <w:r>
        <w:rPr>
          <w:rFonts w:hint="eastAsia" w:ascii="宋体" w:hAnsi="宋体" w:cs="宋体"/>
          <w:sz w:val="24"/>
          <w:highlight w:val="none"/>
        </w:rPr>
        <w:t>供应商名称：</w:t>
      </w:r>
    </w:p>
    <w:p>
      <w:pPr>
        <w:snapToGrid w:val="0"/>
        <w:spacing w:line="360" w:lineRule="auto"/>
        <w:ind w:right="480"/>
        <w:rPr>
          <w:rFonts w:ascii="宋体" w:hAnsi="宋体" w:cs="宋体"/>
          <w:sz w:val="24"/>
          <w:highlight w:val="none"/>
        </w:rPr>
      </w:pPr>
      <w:r>
        <w:rPr>
          <w:rFonts w:hint="eastAsia" w:ascii="宋体" w:hAnsi="宋体" w:cs="宋体"/>
          <w:sz w:val="24"/>
          <w:highlight w:val="none"/>
        </w:rPr>
        <w:t>统一社会信用代码：</w:t>
      </w:r>
    </w:p>
    <w:p>
      <w:pPr>
        <w:snapToGrid w:val="0"/>
        <w:spacing w:line="360" w:lineRule="auto"/>
        <w:ind w:right="480"/>
        <w:rPr>
          <w:rFonts w:ascii="宋体" w:hAnsi="宋体" w:cs="宋体"/>
          <w:sz w:val="24"/>
          <w:highlight w:val="none"/>
        </w:rPr>
      </w:pPr>
      <w:r>
        <w:rPr>
          <w:rFonts w:hint="eastAsia" w:ascii="宋体" w:hAnsi="宋体" w:cs="宋体"/>
          <w:sz w:val="24"/>
          <w:highlight w:val="none"/>
        </w:rPr>
        <w:t>供应商地址：</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2.我单位具有符合采购文件资格要求的财务状况报告。</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若我单位承诺不实，自愿承担提供虚假材料谋取中标、成交的法律责任。</w:t>
      </w:r>
    </w:p>
    <w:p>
      <w:pPr>
        <w:snapToGrid w:val="0"/>
        <w:spacing w:line="360" w:lineRule="auto"/>
        <w:ind w:right="480"/>
        <w:rPr>
          <w:rFonts w:ascii="宋体" w:hAnsi="宋体" w:cs="宋体"/>
          <w:sz w:val="24"/>
          <w:highlight w:val="none"/>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napToGrid w:val="0"/>
        <w:spacing w:line="360" w:lineRule="auto"/>
        <w:ind w:right="480"/>
        <w:rPr>
          <w:rFonts w:ascii="宋体" w:hAnsi="宋体" w:cs="宋体"/>
          <w:sz w:val="24"/>
          <w:highlight w:val="none"/>
        </w:rPr>
      </w:pPr>
    </w:p>
    <w:p>
      <w:pPr>
        <w:snapToGrid w:val="0"/>
        <w:spacing w:line="360" w:lineRule="auto"/>
        <w:ind w:right="480"/>
        <w:jc w:val="center"/>
        <w:rPr>
          <w:rFonts w:ascii="宋体" w:hAnsi="宋体" w:cs="宋体"/>
          <w:b/>
          <w:kern w:val="0"/>
          <w:sz w:val="32"/>
          <w:szCs w:val="32"/>
          <w:highlight w:val="none"/>
        </w:rPr>
      </w:pPr>
    </w:p>
    <w:p>
      <w:pPr>
        <w:rPr>
          <w:rFonts w:ascii="宋体" w:hAnsi="宋体" w:cs="宋体"/>
          <w:highlight w:val="none"/>
        </w:rPr>
      </w:pPr>
    </w:p>
    <w:p>
      <w:pPr>
        <w:widowControl/>
        <w:spacing w:line="360" w:lineRule="auto"/>
        <w:ind w:firstLine="643" w:firstLineChars="200"/>
        <w:jc w:val="center"/>
        <w:rPr>
          <w:rFonts w:ascii="宋体" w:hAnsi="宋体" w:cs="宋体"/>
          <w:b/>
          <w:kern w:val="0"/>
          <w:sz w:val="32"/>
          <w:szCs w:val="32"/>
          <w:highlight w:val="none"/>
        </w:rPr>
      </w:pPr>
      <w:r>
        <w:rPr>
          <w:rFonts w:hint="eastAsia" w:ascii="宋体" w:hAnsi="宋体" w:cs="宋体"/>
          <w:b/>
          <w:kern w:val="0"/>
          <w:sz w:val="32"/>
          <w:szCs w:val="32"/>
          <w:highlight w:val="none"/>
        </w:rPr>
        <w:t>二、联合协议（如果有）</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highlight w:val="none"/>
        </w:rPr>
      </w:pPr>
    </w:p>
    <w:p>
      <w:pPr>
        <w:rPr>
          <w:rFonts w:ascii="宋体" w:hAnsi="宋体" w:cs="宋体"/>
          <w:b/>
          <w:kern w:val="0"/>
          <w:sz w:val="32"/>
          <w:szCs w:val="32"/>
          <w:highlight w:val="none"/>
        </w:rPr>
      </w:pPr>
      <w:r>
        <w:rPr>
          <w:rFonts w:hint="eastAsia" w:ascii="宋体" w:hAnsi="宋体" w:cs="宋体"/>
          <w:b/>
          <w:kern w:val="0"/>
          <w:sz w:val="32"/>
          <w:szCs w:val="32"/>
          <w:highlight w:val="none"/>
        </w:rPr>
        <w:br w:type="page"/>
      </w:r>
    </w:p>
    <w:p>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.专门面向中小企业，服务全部由符合政策要求的中小企业（或小微企业）承接的，提供相应的中小企业声明函（附件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pPr>
        <w:widowControl/>
        <w:spacing w:line="360" w:lineRule="auto"/>
        <w:ind w:firstLine="480"/>
        <w:jc w:val="left"/>
        <w:rPr>
          <w:rFonts w:ascii="宋体" w:hAnsi="宋体" w:cs="宋体"/>
          <w:sz w:val="24"/>
          <w:highlight w:val="none"/>
        </w:rPr>
      </w:pPr>
    </w:p>
    <w:p>
      <w:pPr>
        <w:widowControl/>
        <w:spacing w:line="360" w:lineRule="auto"/>
        <w:ind w:firstLine="472" w:firstLineChars="196"/>
        <w:jc w:val="left"/>
        <w:rPr>
          <w:rFonts w:ascii="宋体" w:hAnsi="宋体" w:cs="宋体"/>
          <w:sz w:val="24"/>
          <w:highlight w:val="none"/>
        </w:rPr>
      </w:pPr>
      <w:r>
        <w:rPr>
          <w:rFonts w:hint="eastAsia" w:ascii="宋体" w:hAnsi="宋体" w:cs="宋体"/>
          <w:b/>
          <w:sz w:val="24"/>
          <w:highlight w:val="none"/>
        </w:rPr>
        <w:t>B.</w:t>
      </w:r>
      <w:r>
        <w:rPr>
          <w:rFonts w:hint="eastAsia" w:ascii="宋体" w:hAnsi="宋体" w:cs="宋体"/>
          <w:sz w:val="24"/>
          <w:highlight w:val="none"/>
        </w:rPr>
        <w:t>要求以联合体形式参加的，提供联合协议（附件</w:t>
      </w:r>
      <w:r>
        <w:rPr>
          <w:rFonts w:ascii="宋体" w:hAnsi="宋体" w:cs="宋体"/>
          <w:sz w:val="24"/>
          <w:highlight w:val="none"/>
        </w:rPr>
        <w:t>5</w:t>
      </w:r>
      <w:r>
        <w:rPr>
          <w:rFonts w:hint="eastAsia" w:ascii="宋体" w:hAnsi="宋体" w:cs="宋体"/>
          <w:sz w:val="24"/>
          <w:highlight w:val="none"/>
        </w:rPr>
        <w:t>）和中小企业声明函（附件</w:t>
      </w:r>
      <w:r>
        <w:rPr>
          <w:rFonts w:ascii="宋体" w:hAnsi="宋体" w:cs="宋体"/>
          <w:sz w:val="24"/>
          <w:highlight w:val="none"/>
        </w:rPr>
        <w:t>7</w:t>
      </w:r>
      <w:r>
        <w:rPr>
          <w:rFonts w:hint="eastAsia" w:ascii="宋体" w:hAnsi="宋体" w:cs="宋体"/>
          <w:sz w:val="24"/>
          <w:highlight w:val="none"/>
        </w:rPr>
        <w:t>），联合协议中中小企业合同金额应当达到招标公告载明的比例；如果供应商本身提供所有标的均由中小企业承接的，</w:t>
      </w:r>
      <w:r>
        <w:rPr>
          <w:rFonts w:hint="eastAsia" w:ascii="宋体" w:hAnsi="宋体" w:cs="宋体"/>
          <w:spacing w:val="8"/>
          <w:kern w:val="0"/>
          <w:sz w:val="24"/>
          <w:highlight w:val="none"/>
        </w:rPr>
        <w:t>并相应达到了前述比例要求，</w:t>
      </w:r>
      <w:r>
        <w:rPr>
          <w:rFonts w:hint="eastAsia" w:ascii="宋体" w:hAnsi="宋体" w:cs="宋体"/>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C、</w:t>
      </w:r>
      <w:r>
        <w:rPr>
          <w:rFonts w:hint="eastAsia" w:ascii="宋体" w:hAnsi="宋体" w:cs="宋体"/>
          <w:sz w:val="24"/>
          <w:highlight w:val="none"/>
        </w:rPr>
        <w:t>要求合同分包的，提供分包意向协议（附件6）和中小企业声明函（附件</w:t>
      </w:r>
      <w:r>
        <w:rPr>
          <w:rFonts w:ascii="宋体" w:hAnsi="宋体" w:cs="宋体"/>
          <w:sz w:val="24"/>
          <w:highlight w:val="none"/>
        </w:rPr>
        <w:t>7</w:t>
      </w:r>
      <w:r>
        <w:rPr>
          <w:rFonts w:hint="eastAsia" w:ascii="宋体" w:hAnsi="宋体" w:cs="宋体"/>
          <w:sz w:val="24"/>
          <w:highlight w:val="none"/>
        </w:rPr>
        <w:t>），分包意向协议中中小企业合同金额应当达到招标公告载明的比例；如果供应商本身提供所有标的均由中小企业承接的，</w:t>
      </w:r>
      <w:r>
        <w:rPr>
          <w:rFonts w:hint="eastAsia" w:ascii="宋体" w:hAnsi="宋体" w:cs="宋体"/>
          <w:spacing w:val="8"/>
          <w:kern w:val="0"/>
          <w:sz w:val="24"/>
          <w:highlight w:val="none"/>
        </w:rPr>
        <w:t>并相应达到了前述比例要求，</w:t>
      </w:r>
      <w:r>
        <w:rPr>
          <w:rFonts w:hint="eastAsia" w:ascii="宋体" w:hAnsi="宋体" w:cs="宋体"/>
          <w:sz w:val="24"/>
          <w:highlight w:val="none"/>
        </w:rPr>
        <w:t>视同符合了资格条件，无需再向中小企业分包，无需提供分包意向协议。</w:t>
      </w:r>
    </w:p>
    <w:p>
      <w:pPr>
        <w:widowControl/>
        <w:spacing w:line="360" w:lineRule="auto"/>
        <w:ind w:left="150"/>
        <w:jc w:val="center"/>
        <w:rPr>
          <w:rFonts w:ascii="宋体" w:hAnsi="宋体" w:cs="宋体"/>
          <w:b/>
          <w:kern w:val="0"/>
          <w:sz w:val="32"/>
          <w:szCs w:val="32"/>
          <w:highlight w:val="none"/>
        </w:rPr>
      </w:pPr>
    </w:p>
    <w:p>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rPr>
        <w:t>四、本项目的特定资格要求</w:t>
      </w:r>
    </w:p>
    <w:p>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pPr>
        <w:rPr>
          <w:rFonts w:ascii="宋体" w:hAnsi="宋体" w:cs="宋体"/>
          <w:highlight w:val="none"/>
        </w:rPr>
      </w:pPr>
    </w:p>
    <w:p>
      <w:pPr>
        <w:snapToGrid w:val="0"/>
        <w:spacing w:line="360" w:lineRule="auto"/>
        <w:ind w:right="480"/>
        <w:jc w:val="center"/>
        <w:rPr>
          <w:rFonts w:ascii="宋体" w:hAnsi="宋体" w:cs="宋体"/>
          <w:b/>
          <w:kern w:val="0"/>
          <w:sz w:val="32"/>
          <w:szCs w:val="32"/>
          <w:highlight w:val="none"/>
        </w:rPr>
      </w:pPr>
    </w:p>
    <w:p>
      <w:pPr>
        <w:widowControl/>
        <w:adjustRightInd/>
        <w:jc w:val="left"/>
        <w:rPr>
          <w:rFonts w:ascii="宋体" w:hAnsi="宋体" w:cs="宋体"/>
          <w:b/>
          <w:kern w:val="0"/>
          <w:sz w:val="36"/>
          <w:szCs w:val="36"/>
          <w:highlight w:val="none"/>
        </w:rPr>
      </w:pPr>
      <w:r>
        <w:rPr>
          <w:rFonts w:ascii="宋体" w:hAnsi="宋体" w:cs="宋体"/>
          <w:b/>
          <w:kern w:val="0"/>
          <w:sz w:val="36"/>
          <w:szCs w:val="36"/>
          <w:highlight w:val="none"/>
        </w:rPr>
        <w:br w:type="page"/>
      </w:r>
    </w:p>
    <w:p>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pPr>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目录</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rPr>
        <w:t>（1）投标函</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）商务技术偏离表</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lang w:val="zh-CN"/>
        </w:rPr>
        <w:t>（</w:t>
      </w:r>
      <w:r>
        <w:rPr>
          <w:rFonts w:hint="eastAsia" w:ascii="宋体" w:hAnsi="宋体" w:cs="宋体"/>
          <w:sz w:val="24"/>
          <w:highlight w:val="none"/>
        </w:rPr>
        <w:t>9</w:t>
      </w:r>
      <w:r>
        <w:rPr>
          <w:rFonts w:hint="eastAsia" w:ascii="宋体" w:hAnsi="宋体" w:cs="宋体"/>
          <w:sz w:val="24"/>
          <w:highlight w:val="none"/>
          <w:lang w:val="zh-CN"/>
        </w:rPr>
        <w:t>）承诺函</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10</w:t>
      </w:r>
      <w:r>
        <w:rPr>
          <w:rFonts w:hint="eastAsia" w:ascii="宋体" w:hAnsi="宋体" w:cs="宋体"/>
          <w:sz w:val="24"/>
          <w:highlight w:val="none"/>
          <w:lang w:val="zh-CN"/>
        </w:rPr>
        <w:t>）技术解决方案</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11</w:t>
      </w:r>
      <w:r>
        <w:rPr>
          <w:rFonts w:hint="eastAsia" w:ascii="宋体" w:hAnsi="宋体" w:cs="宋体"/>
          <w:sz w:val="24"/>
          <w:highlight w:val="none"/>
          <w:lang w:val="zh-CN"/>
        </w:rPr>
        <w:t>）组织实施方案</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12</w:t>
      </w:r>
      <w:r>
        <w:rPr>
          <w:rFonts w:hint="eastAsia" w:ascii="宋体" w:hAnsi="宋体" w:cs="宋体"/>
          <w:sz w:val="24"/>
          <w:highlight w:val="none"/>
          <w:lang w:val="zh-CN"/>
        </w:rPr>
        <w:t>）运维服务方案</w:t>
      </w:r>
      <w:r>
        <w:rPr>
          <w:rFonts w:hint="eastAsia" w:ascii="宋体" w:hAnsi="宋体" w:cs="宋体"/>
          <w:highlight w:val="none"/>
        </w:rPr>
        <w:t>…………………………………………………………………………（页码）</w:t>
      </w: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rPr>
          <w:rFonts w:ascii="宋体" w:hAnsi="宋体" w:cs="宋体"/>
          <w:b/>
          <w:kern w:val="0"/>
          <w:sz w:val="32"/>
          <w:szCs w:val="32"/>
          <w:highlight w:val="none"/>
          <w:lang w:val="zh-CN"/>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snapToGrid w:val="0"/>
        <w:spacing w:line="360" w:lineRule="auto"/>
        <w:jc w:val="center"/>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pPr>
        <w:snapToGrid w:val="0"/>
        <w:spacing w:line="360" w:lineRule="auto"/>
        <w:rPr>
          <w:rFonts w:ascii="宋体" w:hAnsi="宋体" w:cs="宋体"/>
          <w:sz w:val="24"/>
          <w:highlight w:val="none"/>
        </w:rPr>
      </w:pPr>
      <w:r>
        <w:rPr>
          <w:rFonts w:hint="eastAsia" w:ascii="宋体" w:hAnsi="宋体" w:cs="宋体"/>
          <w:sz w:val="24"/>
          <w:highlight w:val="none"/>
        </w:rPr>
        <w:t>（采购人）、（采购代理机构）：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天（不少于60天）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2.1资格文件：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2.1.1承诺函；</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2.1.2</w:t>
      </w:r>
      <w:r>
        <w:rPr>
          <w:rFonts w:hint="eastAsia" w:ascii="宋体" w:hAnsi="宋体" w:cs="宋体"/>
          <w:snapToGrid w:val="0"/>
          <w:kern w:val="28"/>
          <w:sz w:val="24"/>
          <w:szCs w:val="20"/>
          <w:highlight w:val="none"/>
        </w:rPr>
        <w:t>联合协议</w:t>
      </w:r>
      <w:bookmarkStart w:id="430" w:name="_Hlk101257010"/>
      <w:r>
        <w:rPr>
          <w:rFonts w:hint="eastAsia" w:ascii="宋体" w:hAnsi="宋体" w:cs="宋体"/>
          <w:sz w:val="24"/>
          <w:highlight w:val="none"/>
        </w:rPr>
        <w:t>（如果有)</w:t>
      </w:r>
      <w:bookmarkEnd w:id="430"/>
      <w:r>
        <w:rPr>
          <w:rFonts w:hint="eastAsia" w:ascii="宋体" w:hAnsi="宋体" w:cs="宋体"/>
          <w:snapToGrid w:val="0"/>
          <w:kern w:val="28"/>
          <w:sz w:val="24"/>
          <w:szCs w:val="20"/>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.1.3</w:t>
      </w:r>
      <w:r>
        <w:rPr>
          <w:rFonts w:hint="eastAsia" w:ascii="宋体" w:hAnsi="宋体" w:cs="宋体"/>
          <w:sz w:val="24"/>
          <w:highlight w:val="none"/>
        </w:rPr>
        <w:t>落实政府采购政策需满足的资格要求（如果有）；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w:t>
      </w:r>
      <w:r>
        <w:rPr>
          <w:rFonts w:ascii="宋体" w:hAnsi="宋体" w:cs="宋体"/>
          <w:sz w:val="24"/>
          <w:highlight w:val="none"/>
        </w:rPr>
        <w:t>4</w:t>
      </w:r>
      <w:r>
        <w:rPr>
          <w:rFonts w:hint="eastAsia" w:ascii="宋体" w:hAnsi="宋体" w:cs="宋体"/>
          <w:sz w:val="24"/>
          <w:highlight w:val="none"/>
        </w:rPr>
        <w:t>本项目的特定资格要求（如果有)。</w:t>
      </w:r>
    </w:p>
    <w:p>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3</w:t>
      </w:r>
      <w:r>
        <w:rPr>
          <w:rFonts w:hint="eastAsia" w:ascii="宋体" w:hAnsi="宋体" w:cs="宋体"/>
          <w:sz w:val="24"/>
          <w:highlight w:val="none"/>
        </w:rPr>
        <w:t>分包意向协议（如果有)；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4</w:t>
      </w:r>
      <w:r>
        <w:rPr>
          <w:rFonts w:hint="eastAsia" w:ascii="宋体" w:hAnsi="宋体" w:cs="宋体"/>
          <w:sz w:val="24"/>
          <w:highlight w:val="none"/>
        </w:rPr>
        <w:t>符合性审查资料（如果有）；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5</w:t>
      </w:r>
      <w:r>
        <w:rPr>
          <w:rFonts w:hint="eastAsia" w:ascii="宋体" w:hAnsi="宋体" w:cs="宋体"/>
          <w:sz w:val="24"/>
          <w:highlight w:val="none"/>
        </w:rPr>
        <w:t>评标标准相应的商务技术资料（如果有）；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6</w:t>
      </w:r>
      <w:r>
        <w:rPr>
          <w:rFonts w:hint="eastAsia" w:ascii="宋体" w:hAnsi="宋体" w:cs="宋体"/>
          <w:sz w:val="24"/>
          <w:highlight w:val="none"/>
        </w:rPr>
        <w:t>投标标的清单（如果有）；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7</w:t>
      </w:r>
      <w:r>
        <w:rPr>
          <w:rFonts w:hint="eastAsia" w:ascii="宋体" w:hAnsi="宋体" w:cs="宋体"/>
          <w:sz w:val="24"/>
          <w:highlight w:val="none"/>
        </w:rPr>
        <w:t>商务技术偏离表；</w:t>
      </w:r>
    </w:p>
    <w:p>
      <w:pPr>
        <w:snapToGrid w:val="0"/>
        <w:spacing w:line="360" w:lineRule="auto"/>
        <w:ind w:left="420" w:leftChars="2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pPr>
        <w:pStyle w:val="83"/>
        <w:ind w:left="420" w:leftChars="200" w:firstLine="480" w:firstLineChars="200"/>
        <w:rPr>
          <w:rFonts w:cs="宋体"/>
          <w:highlight w:val="none"/>
          <w:lang w:val="zh-CN"/>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9</w:t>
      </w:r>
      <w:r>
        <w:rPr>
          <w:rFonts w:hint="eastAsia" w:cs="宋体"/>
          <w:highlight w:val="none"/>
          <w:lang w:val="zh-CN"/>
        </w:rPr>
        <w:t>承诺函；</w:t>
      </w:r>
    </w:p>
    <w:p>
      <w:pPr>
        <w:pStyle w:val="83"/>
        <w:ind w:left="420" w:leftChars="200" w:firstLine="480" w:firstLineChars="200"/>
        <w:rPr>
          <w:rFonts w:cs="宋体"/>
          <w:highlight w:val="none"/>
          <w:lang w:val="zh-CN"/>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10</w:t>
      </w:r>
      <w:r>
        <w:rPr>
          <w:rFonts w:hint="eastAsia" w:cs="宋体"/>
          <w:highlight w:val="none"/>
          <w:lang w:val="zh-CN"/>
        </w:rPr>
        <w:t>技术解决方案</w:t>
      </w:r>
      <w:r>
        <w:rPr>
          <w:rFonts w:hint="eastAsia" w:cs="宋体"/>
          <w:snapToGrid w:val="0"/>
          <w:kern w:val="28"/>
          <w:highlight w:val="none"/>
        </w:rPr>
        <w:t>（如果有）</w:t>
      </w:r>
      <w:r>
        <w:rPr>
          <w:rFonts w:hint="eastAsia" w:cs="宋体"/>
          <w:highlight w:val="none"/>
          <w:lang w:val="zh-CN"/>
        </w:rPr>
        <w:t>；</w:t>
      </w:r>
    </w:p>
    <w:p>
      <w:pPr>
        <w:pStyle w:val="83"/>
        <w:ind w:left="420" w:leftChars="200" w:firstLine="480" w:firstLineChars="200"/>
        <w:rPr>
          <w:rFonts w:cs="宋体"/>
          <w:highlight w:val="none"/>
          <w:lang w:val="zh-CN"/>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11</w:t>
      </w:r>
      <w:r>
        <w:rPr>
          <w:rFonts w:hint="eastAsia" w:cs="宋体"/>
          <w:highlight w:val="none"/>
          <w:lang w:val="zh-CN"/>
        </w:rPr>
        <w:t>组织实施方案</w:t>
      </w:r>
      <w:r>
        <w:rPr>
          <w:rFonts w:hint="eastAsia" w:cs="宋体"/>
          <w:snapToGrid w:val="0"/>
          <w:kern w:val="28"/>
          <w:highlight w:val="none"/>
        </w:rPr>
        <w:t>（如果有）</w:t>
      </w:r>
      <w:r>
        <w:rPr>
          <w:rFonts w:hint="eastAsia" w:cs="宋体"/>
          <w:highlight w:val="none"/>
          <w:lang w:val="zh-CN"/>
        </w:rPr>
        <w:t>；</w:t>
      </w:r>
    </w:p>
    <w:p>
      <w:pPr>
        <w:pStyle w:val="83"/>
        <w:ind w:left="420" w:leftChars="200" w:firstLine="480" w:firstLineChars="200"/>
        <w:rPr>
          <w:highlight w:val="none"/>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12运维服务</w:t>
      </w:r>
      <w:r>
        <w:rPr>
          <w:rFonts w:hint="eastAsia" w:cs="宋体"/>
          <w:highlight w:val="none"/>
          <w:lang w:val="zh-CN"/>
        </w:rPr>
        <w:t>方案。</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pPr>
        <w:pStyle w:val="83"/>
        <w:ind w:left="420" w:leftChars="200" w:firstLine="480" w:firstLineChars="200"/>
        <w:rPr>
          <w:rFonts w:cs="宋体"/>
          <w:highlight w:val="none"/>
          <w:lang w:val="zh-CN"/>
        </w:rPr>
      </w:pPr>
      <w:r>
        <w:rPr>
          <w:rFonts w:hint="eastAsia" w:cs="宋体"/>
          <w:highlight w:val="none"/>
          <w:lang w:val="zh-CN"/>
        </w:rPr>
        <w:t>2.3.2中小企业声明函（如果有）。</w:t>
      </w:r>
    </w:p>
    <w:p>
      <w:pPr>
        <w:pStyle w:val="83"/>
        <w:ind w:left="420" w:leftChars="200" w:firstLine="480" w:firstLineChars="200"/>
        <w:rPr>
          <w:rFonts w:cs="宋体"/>
          <w:highlight w:val="none"/>
          <w:lang w:val="zh-CN"/>
        </w:rPr>
      </w:pPr>
      <w:r>
        <w:rPr>
          <w:rFonts w:hint="eastAsia" w:cs="宋体"/>
          <w:highlight w:val="none"/>
          <w:lang w:val="zh-CN"/>
        </w:rPr>
        <w:t>2.3.3关于符合本国产品标准的声明函（如果有) ；</w:t>
      </w:r>
    </w:p>
    <w:p>
      <w:pPr>
        <w:pStyle w:val="83"/>
        <w:ind w:left="420" w:leftChars="200" w:firstLine="480" w:firstLineChars="200"/>
        <w:rPr>
          <w:rFonts w:cs="宋体"/>
          <w:highlight w:val="none"/>
          <w:lang w:val="zh-CN"/>
        </w:rPr>
      </w:pPr>
      <w:r>
        <w:rPr>
          <w:rFonts w:hint="eastAsia" w:cs="宋体"/>
          <w:highlight w:val="none"/>
          <w:lang w:val="zh-CN"/>
        </w:rPr>
        <w:t>2.3.4关于符合本国产品标准的产品成本之和占所提供的全部产品成本之和的比例达到80%以上的声明函（如果有)。</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5、其他补充说明: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napToGrid w:val="0"/>
        <w:spacing w:line="360" w:lineRule="auto"/>
        <w:ind w:left="420" w:leftChars="200" w:firstLine="4200" w:firstLineChars="1750"/>
        <w:rPr>
          <w:rFonts w:ascii="宋体" w:hAnsi="宋体" w:cs="宋体"/>
          <w:kern w:val="0"/>
          <w:sz w:val="24"/>
          <w:highlight w:val="none"/>
          <w:u w:val="singl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napToGrid w:val="0"/>
        <w:spacing w:line="360" w:lineRule="auto"/>
        <w:jc w:val="center"/>
        <w:rPr>
          <w:rFonts w:ascii="宋体" w:hAnsi="宋体" w:cs="宋体"/>
          <w:b/>
          <w:kern w:val="0"/>
          <w:sz w:val="32"/>
          <w:szCs w:val="32"/>
          <w:highlight w:val="none"/>
        </w:rPr>
      </w:pP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pStyle w:val="83"/>
        <w:rPr>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spacing w:line="360" w:lineRule="auto"/>
        <w:ind w:left="4649" w:leftChars="2214" w:firstLine="3600" w:firstLineChars="1500"/>
        <w:rPr>
          <w:rFonts w:ascii="宋体" w:hAnsi="宋体" w:cs="宋体"/>
          <w:sz w:val="24"/>
          <w:highlight w:val="none"/>
        </w:rPr>
      </w:pPr>
      <w:r>
        <w:rPr>
          <w:rFonts w:hint="eastAsia" w:ascii="宋体" w:hAnsi="宋体" w:cs="宋体"/>
          <w:kern w:val="0"/>
          <w:sz w:val="24"/>
          <w:highlight w:val="none"/>
          <w:lang w:val="zh-CN"/>
        </w:rPr>
        <w:t xml:space="preserve">                                                 </w:t>
      </w:r>
      <w:r>
        <w:rPr>
          <w:rFonts w:hint="eastAsia" w:ascii="宋体" w:hAnsi="宋体" w:cs="宋体"/>
          <w:sz w:val="24"/>
          <w:highlight w:val="none"/>
        </w:rPr>
        <w:t>投标人名称（公章）：</w:t>
      </w:r>
    </w:p>
    <w:p>
      <w:pPr>
        <w:snapToGrid w:val="0"/>
        <w:spacing w:line="360" w:lineRule="auto"/>
        <w:ind w:left="4649" w:leftChars="2214"/>
        <w:rPr>
          <w:rFonts w:ascii="宋体" w:hAnsi="宋体" w:cs="宋体"/>
          <w:kern w:val="0"/>
          <w:sz w:val="24"/>
          <w:highlight w:val="none"/>
        </w:rPr>
      </w:pPr>
      <w:r>
        <w:rPr>
          <w:rFonts w:hint="eastAsia" w:ascii="宋体" w:hAnsi="宋体" w:cs="宋体"/>
          <w:sz w:val="24"/>
          <w:highlight w:val="none"/>
        </w:rPr>
        <w:t>法定代表人（负责人） (签名)：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pPr>
        <w:adjustRightInd/>
        <w:spacing w:line="360" w:lineRule="auto"/>
        <w:rPr>
          <w:rFonts w:ascii="宋体" w:hAnsi="宋体"/>
          <w:sz w:val="24"/>
          <w:szCs w:val="21"/>
          <w:highlight w:val="none"/>
        </w:rPr>
      </w:pPr>
    </w:p>
    <w:p>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tc>
      </w:tr>
    </w:tbl>
    <w:p>
      <w:pPr>
        <w:snapToGrid w:val="0"/>
        <w:spacing w:line="360" w:lineRule="auto"/>
        <w:ind w:firstLine="576"/>
        <w:jc w:val="center"/>
        <w:rPr>
          <w:rFonts w:ascii="宋体" w:hAnsi="宋体" w:cs="宋体"/>
          <w:kern w:val="0"/>
          <w:sz w:val="24"/>
          <w:highlight w:val="none"/>
        </w:rPr>
      </w:pPr>
      <w:r>
        <w:rPr>
          <w:rFonts w:hint="eastAsia" w:ascii="宋体" w:hAnsi="宋体" w:cs="宋体"/>
          <w:kern w:val="0"/>
          <w:sz w:val="24"/>
          <w:highlight w:val="none"/>
        </w:rPr>
        <w:t xml:space="preserve">                 </w:t>
      </w:r>
    </w:p>
    <w:p>
      <w:pPr>
        <w:snapToGrid w:val="0"/>
        <w:spacing w:line="360" w:lineRule="auto"/>
        <w:ind w:right="480"/>
        <w:rPr>
          <w:rFonts w:ascii="宋体" w:hAnsi="宋体" w:cs="宋体"/>
          <w:b/>
          <w:kern w:val="0"/>
          <w:sz w:val="32"/>
          <w:szCs w:val="32"/>
          <w:highlight w:val="none"/>
        </w:rPr>
        <w:sectPr>
          <w:headerReference r:id="rId7" w:type="first"/>
          <w:footerReference r:id="rId9" w:type="first"/>
          <w:headerReference r:id="rId6" w:type="default"/>
          <w:footerReference r:id="rId8" w:type="default"/>
          <w:pgSz w:w="11906" w:h="16838"/>
          <w:pgMar w:top="1134" w:right="1134" w:bottom="1134" w:left="1134" w:header="397" w:footer="992" w:gutter="0"/>
          <w:pgNumType w:start="1"/>
          <w:cols w:space="720" w:num="1"/>
          <w:titlePg/>
          <w:docGrid w:linePitch="312" w:charSpace="0"/>
        </w:sectPr>
      </w:pP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rPr>
          <w:rFonts w:ascii="宋体" w:hAnsi="宋体" w:cs="宋体"/>
          <w:highlight w:val="none"/>
        </w:rPr>
      </w:pP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pPr>
        <w:snapToGrid w:val="0"/>
        <w:spacing w:line="360" w:lineRule="auto"/>
        <w:ind w:firstLine="5040" w:firstLineChars="2100"/>
        <w:rPr>
          <w:rFonts w:ascii="宋体" w:hAnsi="宋体"/>
          <w:sz w:val="24"/>
          <w:highlight w:val="none"/>
        </w:rPr>
      </w:pPr>
      <w:r>
        <w:rPr>
          <w:rFonts w:hint="eastAsia" w:ascii="宋体" w:hAnsi="宋体"/>
          <w:sz w:val="24"/>
          <w:highlight w:val="none"/>
        </w:rPr>
        <w:t>法定代表人（负责人） (签名)：</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sz w:val="24"/>
          <w:highlight w:val="none"/>
        </w:rPr>
        <w:t>联合体成</w:t>
      </w:r>
      <w:r>
        <w:rPr>
          <w:rFonts w:hint="eastAsia" w:ascii="宋体" w:hAnsi="宋体" w:cs="宋体"/>
          <w:kern w:val="0"/>
          <w:sz w:val="24"/>
          <w:highlight w:val="none"/>
          <w:lang w:val="zh-CN"/>
        </w:rPr>
        <w:t>员名称(公章)：</w:t>
      </w:r>
    </w:p>
    <w:p>
      <w:pPr>
        <w:snapToGrid w:val="0"/>
        <w:spacing w:line="360" w:lineRule="auto"/>
        <w:ind w:firstLine="5040" w:firstLineChars="2100"/>
        <w:jc w:val="left"/>
        <w:rPr>
          <w:rFonts w:ascii="宋体" w:hAnsi="宋体"/>
          <w:kern w:val="0"/>
          <w:sz w:val="24"/>
          <w:szCs w:val="20"/>
          <w:highlight w:val="none"/>
        </w:rPr>
      </w:pPr>
      <w:r>
        <w:rPr>
          <w:rFonts w:hint="eastAsia" w:ascii="宋体" w:hAnsi="宋体"/>
          <w:kern w:val="0"/>
          <w:sz w:val="24"/>
          <w:szCs w:val="20"/>
          <w:highlight w:val="none"/>
        </w:rPr>
        <w:t>法定代表人（负责人） (签名)：</w:t>
      </w:r>
    </w:p>
    <w:p>
      <w:pPr>
        <w:snapToGrid w:val="0"/>
        <w:spacing w:line="360" w:lineRule="auto"/>
        <w:ind w:firstLine="5040" w:firstLineChars="2100"/>
        <w:rPr>
          <w:rFonts w:ascii="宋体" w:hAnsi="宋体" w:cs="宋体"/>
          <w:kern w:val="0"/>
          <w:sz w:val="24"/>
          <w:highlight w:val="none"/>
          <w:lang w:val="zh-CN"/>
        </w:rPr>
      </w:pP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adjustRightInd/>
        <w:spacing w:line="360" w:lineRule="auto"/>
        <w:rPr>
          <w:rFonts w:ascii="宋体" w:hAnsi="宋体"/>
          <w:sz w:val="24"/>
          <w:szCs w:val="21"/>
          <w:highlight w:val="none"/>
        </w:rPr>
      </w:pPr>
    </w:p>
    <w:p>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委托代理人和联合体牵头单位法定代表人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tc>
      </w:tr>
    </w:tbl>
    <w:p>
      <w:pPr>
        <w:snapToGrid w:val="0"/>
        <w:spacing w:line="360" w:lineRule="auto"/>
        <w:ind w:firstLine="576"/>
        <w:jc w:val="center"/>
        <w:rPr>
          <w:rFonts w:ascii="宋体" w:hAnsi="宋体" w:cs="宋体"/>
          <w:kern w:val="0"/>
          <w:sz w:val="24"/>
          <w:highlight w:val="none"/>
        </w:rPr>
      </w:pPr>
      <w:r>
        <w:rPr>
          <w:rFonts w:hint="eastAsia" w:ascii="宋体" w:hAnsi="宋体" w:cs="宋体"/>
          <w:kern w:val="0"/>
          <w:sz w:val="24"/>
          <w:highlight w:val="none"/>
        </w:rPr>
        <w:t xml:space="preserve">                 </w:t>
      </w:r>
    </w:p>
    <w:p>
      <w:pPr>
        <w:snapToGrid w:val="0"/>
        <w:spacing w:line="360" w:lineRule="auto"/>
        <w:ind w:right="480"/>
        <w:rPr>
          <w:rFonts w:ascii="宋体" w:hAnsi="宋体" w:cs="宋体"/>
          <w:b/>
          <w:kern w:val="0"/>
          <w:sz w:val="32"/>
          <w:szCs w:val="32"/>
          <w:highlight w:val="none"/>
        </w:rPr>
        <w:sectPr>
          <w:headerReference r:id="rId11" w:type="first"/>
          <w:footerReference r:id="rId13" w:type="first"/>
          <w:headerReference r:id="rId10" w:type="default"/>
          <w:footerReference r:id="rId12" w:type="default"/>
          <w:pgSz w:w="11906" w:h="16838"/>
          <w:pgMar w:top="1134" w:right="1134" w:bottom="1134" w:left="1134" w:header="851" w:footer="992" w:gutter="0"/>
          <w:cols w:space="720" w:num="1"/>
          <w:titlePg/>
          <w:docGrid w:linePitch="312" w:charSpace="0"/>
        </w:sectPr>
      </w:pPr>
    </w:p>
    <w:p>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pPr>
        <w:adjustRightInd/>
        <w:spacing w:line="360" w:lineRule="auto"/>
        <w:rPr>
          <w:rFonts w:ascii="宋体" w:hAnsi="宋体" w:cs="宋体"/>
          <w:bCs/>
          <w:sz w:val="24"/>
          <w:szCs w:val="21"/>
          <w:highlight w:val="none"/>
        </w:rPr>
      </w:pPr>
    </w:p>
    <w:p>
      <w:pPr>
        <w:adjustRightInd/>
        <w:snapToGrid w:val="0"/>
        <w:spacing w:before="120" w:beforeLines="50" w:after="50" w:line="600" w:lineRule="exact"/>
        <w:jc w:val="center"/>
        <w:rPr>
          <w:rFonts w:ascii="宋体" w:hAnsi="宋体"/>
          <w:b/>
          <w:sz w:val="30"/>
          <w:szCs w:val="30"/>
          <w:highlight w:val="none"/>
        </w:rPr>
      </w:pPr>
      <w:r>
        <w:rPr>
          <w:rFonts w:hint="eastAsia" w:ascii="宋体" w:hAnsi="宋体"/>
          <w:b/>
          <w:sz w:val="30"/>
          <w:szCs w:val="30"/>
          <w:highlight w:val="none"/>
        </w:rPr>
        <w:t>法定代表人、单位负责人或自然人身份证明书</w:t>
      </w:r>
    </w:p>
    <w:p>
      <w:pPr>
        <w:snapToGrid w:val="0"/>
        <w:spacing w:line="276" w:lineRule="auto"/>
        <w:ind w:firstLine="960" w:firstLineChars="400"/>
        <w:rPr>
          <w:rFonts w:ascii="宋体" w:hAnsi="宋体"/>
          <w:sz w:val="24"/>
          <w:highlight w:val="none"/>
          <w:u w:val="single"/>
        </w:rPr>
      </w:pPr>
    </w:p>
    <w:p>
      <w:pPr>
        <w:snapToGrid w:val="0"/>
        <w:spacing w:line="720" w:lineRule="exact"/>
        <w:ind w:firstLine="960" w:firstLineChars="400"/>
        <w:rPr>
          <w:rFonts w:ascii="宋体" w:hAnsi="宋体"/>
          <w:sz w:val="24"/>
          <w:highlight w:val="none"/>
        </w:rPr>
      </w:pP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w:t>
      </w:r>
      <w:r>
        <w:rPr>
          <w:rFonts w:hint="eastAsia" w:ascii="宋体" w:hAnsi="宋体"/>
          <w:sz w:val="24"/>
          <w:highlight w:val="none"/>
        </w:rPr>
        <w:t>在我公司（单位）任</w:t>
      </w:r>
      <w:r>
        <w:rPr>
          <w:rFonts w:hint="eastAsia" w:ascii="宋体" w:hAnsi="宋体"/>
          <w:sz w:val="24"/>
          <w:highlight w:val="none"/>
          <w:u w:val="single"/>
        </w:rPr>
        <w:t xml:space="preserve">          </w:t>
      </w:r>
      <w:r>
        <w:rPr>
          <w:rFonts w:hint="eastAsia" w:ascii="宋体" w:hAnsi="宋体"/>
          <w:sz w:val="24"/>
          <w:highlight w:val="none"/>
        </w:rPr>
        <w:t>职务，是我公司（单位）</w:t>
      </w:r>
      <w:r>
        <w:rPr>
          <w:rFonts w:hint="eastAsia" w:ascii="宋体" w:hAnsi="宋体"/>
          <w:sz w:val="24"/>
          <w:highlight w:val="none"/>
          <w:u w:val="single"/>
        </w:rPr>
        <w:t xml:space="preserve">          </w:t>
      </w:r>
      <w:r>
        <w:rPr>
          <w:rFonts w:hint="eastAsia" w:ascii="宋体" w:hAnsi="宋体"/>
          <w:sz w:val="24"/>
          <w:highlight w:val="none"/>
        </w:rPr>
        <w:t>的法定代表人</w:t>
      </w:r>
      <w:r>
        <w:rPr>
          <w:rFonts w:hint="eastAsia" w:ascii="宋体" w:hAnsi="宋体" w:cs="宋体"/>
          <w:kern w:val="0"/>
          <w:sz w:val="24"/>
          <w:highlight w:val="none"/>
        </w:rPr>
        <w:t>（负责人）</w:t>
      </w:r>
      <w:r>
        <w:rPr>
          <w:rFonts w:hint="eastAsia" w:ascii="宋体" w:hAnsi="宋体"/>
          <w:sz w:val="24"/>
          <w:highlight w:val="none"/>
        </w:rPr>
        <w:t>。</w:t>
      </w:r>
    </w:p>
    <w:p>
      <w:pPr>
        <w:snapToGrid w:val="0"/>
        <w:spacing w:line="720" w:lineRule="exact"/>
        <w:ind w:firstLine="840" w:firstLineChars="350"/>
        <w:rPr>
          <w:rFonts w:ascii="宋体" w:hAnsi="宋体"/>
          <w:sz w:val="24"/>
          <w:highlight w:val="none"/>
        </w:rPr>
      </w:pPr>
      <w:r>
        <w:rPr>
          <w:rFonts w:hint="eastAsia" w:ascii="宋体" w:hAnsi="宋体"/>
          <w:sz w:val="24"/>
          <w:highlight w:val="none"/>
        </w:rPr>
        <w:t>特此证明。</w:t>
      </w:r>
    </w:p>
    <w:p>
      <w:pPr>
        <w:snapToGrid w:val="0"/>
        <w:spacing w:line="276" w:lineRule="auto"/>
        <w:rPr>
          <w:rFonts w:ascii="宋体" w:hAnsi="宋体"/>
          <w:sz w:val="24"/>
          <w:highlight w:val="none"/>
        </w:rPr>
      </w:pPr>
    </w:p>
    <w:p>
      <w:pPr>
        <w:snapToGrid w:val="0"/>
        <w:spacing w:line="276" w:lineRule="auto"/>
        <w:rPr>
          <w:rFonts w:ascii="宋体" w:hAnsi="宋体"/>
          <w:sz w:val="24"/>
          <w:highlight w:val="none"/>
        </w:rPr>
      </w:pPr>
      <w:r>
        <w:rPr>
          <w:rFonts w:hint="eastAsia" w:ascii="宋体" w:hAnsi="宋体"/>
          <w:sz w:val="24"/>
          <w:highlight w:val="none"/>
        </w:rPr>
        <w:t xml:space="preserve">                        </w:t>
      </w:r>
    </w:p>
    <w:p>
      <w:pPr>
        <w:snapToGrid w:val="0"/>
        <w:spacing w:line="276" w:lineRule="auto"/>
        <w:rPr>
          <w:rFonts w:ascii="宋体" w:hAnsi="宋体"/>
          <w:sz w:val="24"/>
          <w:highlight w:val="none"/>
        </w:rPr>
      </w:pPr>
    </w:p>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投标人名称(公章)：                              </w:t>
      </w:r>
    </w:p>
    <w:p>
      <w:pPr>
        <w:adjustRightInd/>
        <w:spacing w:line="360" w:lineRule="auto"/>
        <w:rPr>
          <w:rFonts w:ascii="宋体" w:hAnsi="宋体" w:cs="宋体"/>
          <w:bCs/>
          <w:sz w:val="24"/>
          <w:szCs w:val="21"/>
          <w:highlight w:val="none"/>
        </w:rPr>
      </w:pPr>
      <w:r>
        <w:rPr>
          <w:rFonts w:hint="eastAsia" w:ascii="宋体" w:hAnsi="宋体" w:cs="宋体"/>
          <w:kern w:val="0"/>
          <w:sz w:val="24"/>
          <w:szCs w:val="21"/>
          <w:highlight w:val="none"/>
          <w:lang w:val="zh-CN"/>
        </w:rPr>
        <w:t xml:space="preserve">                               日期：  年  月  日</w:t>
      </w:r>
    </w:p>
    <w:p>
      <w:pPr>
        <w:adjustRightInd/>
        <w:spacing w:line="360" w:lineRule="auto"/>
        <w:rPr>
          <w:rFonts w:ascii="宋体" w:hAnsi="宋体" w:cs="宋体"/>
          <w:bCs/>
          <w:sz w:val="24"/>
          <w:szCs w:val="21"/>
          <w:highlight w:val="none"/>
        </w:rPr>
      </w:pPr>
    </w:p>
    <w:p>
      <w:pPr>
        <w:adjustRightInd/>
        <w:spacing w:line="360" w:lineRule="auto"/>
        <w:rPr>
          <w:rFonts w:ascii="宋体" w:hAnsi="宋体" w:cs="宋体"/>
          <w:bCs/>
          <w:sz w:val="24"/>
          <w:szCs w:val="21"/>
          <w:highlight w:val="none"/>
        </w:rPr>
      </w:pPr>
      <w:r>
        <w:rPr>
          <w:rFonts w:hint="eastAsia" w:ascii="宋体" w:hAnsi="宋体"/>
          <w:sz w:val="24"/>
          <w:szCs w:val="21"/>
          <w:highlight w:val="none"/>
        </w:rPr>
        <w:t>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tc>
      </w:tr>
    </w:tbl>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right="480"/>
        <w:rPr>
          <w:rFonts w:ascii="宋体" w:hAnsi="宋体" w:cs="宋体"/>
          <w:b/>
          <w:kern w:val="0"/>
          <w:sz w:val="32"/>
          <w:szCs w:val="32"/>
          <w:highlight w:val="none"/>
        </w:rPr>
        <w:sectPr>
          <w:headerReference r:id="rId15" w:type="first"/>
          <w:footerReference r:id="rId17" w:type="first"/>
          <w:headerReference r:id="rId14" w:type="default"/>
          <w:footerReference r:id="rId16" w:type="default"/>
          <w:pgSz w:w="11906" w:h="16838"/>
          <w:pgMar w:top="1134" w:right="1134" w:bottom="1134" w:left="1134" w:header="851" w:footer="992" w:gutter="0"/>
          <w:cols w:space="720" w:num="1"/>
          <w:titlePg/>
          <w:docGrid w:linePitch="312" w:charSpace="0"/>
        </w:sectPr>
      </w:pPr>
    </w:p>
    <w:p>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三、分包意向协议（如果有）</w:t>
      </w:r>
    </w:p>
    <w:p>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pPr>
        <w:snapToGrid w:val="0"/>
        <w:spacing w:line="360" w:lineRule="auto"/>
        <w:rPr>
          <w:rFonts w:ascii="宋体" w:hAnsi="宋体" w:cs="宋体"/>
          <w:kern w:val="0"/>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四、符合性审查资料</w:t>
      </w:r>
    </w:p>
    <w:p>
      <w:pPr>
        <w:jc w:val="center"/>
        <w:rPr>
          <w:rFonts w:ascii="宋体" w:hAnsi="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99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4991" w:type="dxa"/>
          </w:tcPr>
          <w:p>
            <w:pPr>
              <w:spacing w:line="360" w:lineRule="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见投标文件</w:t>
            </w:r>
          </w:p>
          <w:p>
            <w:pPr>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4991" w:type="dxa"/>
          </w:tcPr>
          <w:p>
            <w:pPr>
              <w:spacing w:line="360" w:lineRule="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pPr>
              <w:rPr>
                <w:rFonts w:ascii="宋体" w:hAnsi="宋体" w:cs="宋体"/>
                <w:sz w:val="24"/>
                <w:highlight w:val="none"/>
              </w:rPr>
            </w:pPr>
            <w:r>
              <w:rPr>
                <w:rFonts w:hint="eastAsia" w:ascii="宋体" w:hAnsi="宋体" w:cs="宋体"/>
                <w:sz w:val="24"/>
                <w:highlight w:val="none"/>
              </w:rPr>
              <w:t>投标函</w:t>
            </w:r>
          </w:p>
        </w:tc>
        <w:tc>
          <w:tcPr>
            <w:tcW w:w="1418" w:type="dxa"/>
          </w:tcPr>
          <w:p>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4991" w:type="dxa"/>
          </w:tcPr>
          <w:p>
            <w:pPr>
              <w:spacing w:line="360" w:lineRule="auto"/>
              <w:rPr>
                <w:rFonts w:ascii="宋体" w:hAnsi="宋体" w:cs="宋体"/>
                <w:sz w:val="24"/>
                <w:highlight w:val="none"/>
              </w:rPr>
            </w:pPr>
            <w:r>
              <w:rPr>
                <w:rFonts w:hint="eastAsia" w:ascii="宋体" w:hAnsi="宋体" w:cs="宋体"/>
                <w:sz w:val="24"/>
                <w:highlight w:val="none"/>
              </w:rPr>
              <w:t>投标文件满足招标文件的其它实质性要求。</w:t>
            </w:r>
          </w:p>
        </w:tc>
        <w:tc>
          <w:tcPr>
            <w:tcW w:w="2551" w:type="dxa"/>
            <w:vAlign w:val="center"/>
          </w:tcPr>
          <w:p>
            <w:pPr>
              <w:rPr>
                <w:rFonts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tcPr>
          <w:p>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rPr>
          <w:rFonts w:ascii="宋体" w:hAnsi="宋体" w:cs="宋体"/>
          <w:b/>
          <w:kern w:val="0"/>
          <w:sz w:val="32"/>
          <w:szCs w:val="32"/>
          <w:highlight w:val="none"/>
        </w:rPr>
      </w:pPr>
      <w:r>
        <w:rPr>
          <w:rFonts w:hint="eastAsia" w:ascii="宋体" w:hAnsi="宋体" w:cs="宋体"/>
          <w:b/>
          <w:kern w:val="0"/>
          <w:sz w:val="32"/>
          <w:szCs w:val="32"/>
          <w:highlight w:val="none"/>
        </w:rPr>
        <w:br w:type="page"/>
      </w:r>
    </w:p>
    <w:p>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ind w:firstLine="2891" w:firstLineChars="900"/>
        <w:rPr>
          <w:rFonts w:ascii="宋体" w:hAnsi="宋体" w:cs="宋体"/>
          <w:b/>
          <w:kern w:val="0"/>
          <w:sz w:val="32"/>
          <w:szCs w:val="32"/>
          <w:highlight w:val="none"/>
        </w:rPr>
      </w:pPr>
      <w:r>
        <w:rPr>
          <w:rFonts w:hint="eastAsia" w:ascii="宋体" w:hAnsi="宋体" w:cs="宋体"/>
          <w:b/>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pPr>
              <w:spacing w:line="360" w:lineRule="auto"/>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highlight w:val="none"/>
        </w:rPr>
      </w:pPr>
      <w:r>
        <w:rPr>
          <w:rFonts w:hint="eastAsia" w:ascii="宋体" w:hAnsi="宋体" w:cs="宋体"/>
          <w:b/>
          <w:kern w:val="0"/>
          <w:sz w:val="32"/>
          <w:szCs w:val="32"/>
          <w:highlight w:val="none"/>
        </w:rPr>
        <w:t>七、商务技术偏离表</w:t>
      </w:r>
    </w:p>
    <w:p>
      <w:pPr>
        <w:snapToGrid w:val="0"/>
        <w:spacing w:line="4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项目名称:</w:t>
      </w:r>
    </w:p>
    <w:p>
      <w:pPr>
        <w:snapToGrid w:val="0"/>
        <w:spacing w:line="4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项目编号:   </w:t>
      </w:r>
    </w:p>
    <w:p>
      <w:pPr>
        <w:autoSpaceDE w:val="0"/>
        <w:autoSpaceDN w:val="0"/>
        <w:snapToGrid w:val="0"/>
        <w:spacing w:after="120" w:line="400" w:lineRule="exact"/>
        <w:ind w:firstLine="480" w:firstLineChars="200"/>
        <w:jc w:val="left"/>
        <w:rPr>
          <w:rFonts w:cs="仿宋_GB2312" w:asciiTheme="minorEastAsia" w:hAnsiTheme="minorEastAsia" w:eastAsiaTheme="minorEastAsia"/>
          <w:kern w:val="0"/>
          <w:sz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招标文件要求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技术（服务）部分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bl>
    <w:p>
      <w:pPr>
        <w:snapToGrid w:val="0"/>
        <w:spacing w:line="40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说明：1.应写明招标文件对商务与服务技术要求的响应和偏离情况</w:t>
      </w:r>
      <w:r>
        <w:rPr>
          <w:rFonts w:hint="eastAsia" w:asciiTheme="minorEastAsia" w:hAnsiTheme="minorEastAsia" w:eastAsiaTheme="minorEastAsia"/>
          <w:bCs/>
          <w:sz w:val="24"/>
          <w:highlight w:val="none"/>
        </w:rPr>
        <w:t>；</w:t>
      </w:r>
    </w:p>
    <w:p>
      <w:pPr>
        <w:snapToGrid w:val="0"/>
        <w:spacing w:line="400" w:lineRule="exact"/>
        <w:ind w:firstLine="720" w:firstLineChars="3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2.应对照招标文件“第三部分  采购需求”，逐条说明所提供货物、服务已对招标文件的商务、技术（服务）要求做出了实质性的响应，并申明与采购项目要求的偏离情况。特别对有具体商务、技术（服务）要求的，</w:t>
      </w:r>
      <w:r>
        <w:rPr>
          <w:rFonts w:hint="eastAsia" w:ascii="宋体" w:hAnsi="宋体" w:cs="宋体"/>
          <w:sz w:val="24"/>
          <w:highlight w:val="none"/>
        </w:rPr>
        <w:t>投标人</w:t>
      </w:r>
      <w:r>
        <w:rPr>
          <w:rFonts w:hint="eastAsia" w:asciiTheme="minorEastAsia" w:hAnsiTheme="minorEastAsia" w:eastAsiaTheme="minorEastAsia"/>
          <w:sz w:val="24"/>
          <w:highlight w:val="none"/>
        </w:rPr>
        <w:t xml:space="preserve">必须提供对应的详细应答。如果仅注明“符合”、“满足”或简单复制招标文件要求，将导致投标被拒绝。 </w:t>
      </w:r>
    </w:p>
    <w:p>
      <w:pPr>
        <w:snapToGrid w:val="0"/>
        <w:spacing w:line="400" w:lineRule="exact"/>
        <w:rPr>
          <w:rFonts w:cs="Courier New" w:asciiTheme="minorEastAsia" w:hAnsiTheme="minorEastAsia" w:eastAsiaTheme="minorEastAsia"/>
          <w:sz w:val="24"/>
          <w:highlight w:val="none"/>
        </w:rPr>
      </w:pPr>
    </w:p>
    <w:p>
      <w:pPr>
        <w:spacing w:line="360" w:lineRule="auto"/>
        <w:ind w:firstLine="3600" w:firstLineChars="1500"/>
        <w:rPr>
          <w:rFonts w:ascii="宋体" w:hAnsi="宋体" w:cs="宋体"/>
          <w:sz w:val="24"/>
          <w:highlight w:val="none"/>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jc w:val="center"/>
        <w:rPr>
          <w:rFonts w:ascii="宋体" w:hAnsi="宋体" w:cs="宋体"/>
          <w:b/>
          <w:kern w:val="0"/>
          <w:sz w:val="32"/>
          <w:szCs w:val="32"/>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ind w:firstLine="1911" w:firstLineChars="595"/>
        <w:rPr>
          <w:rFonts w:ascii="宋体" w:hAnsi="宋体" w:cs="宋体"/>
          <w:b/>
          <w:bCs/>
          <w:sz w:val="32"/>
          <w:szCs w:val="32"/>
          <w:highlight w:val="none"/>
        </w:rPr>
      </w:pPr>
    </w:p>
    <w:p>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pPr>
        <w:snapToGrid w:val="0"/>
        <w:spacing w:line="360" w:lineRule="auto"/>
        <w:rPr>
          <w:rFonts w:ascii="宋体" w:hAnsi="宋体" w:cs="宋体"/>
          <w:sz w:val="24"/>
          <w:highlight w:val="none"/>
        </w:rPr>
      </w:pP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pacing w:line="360" w:lineRule="auto"/>
        <w:ind w:left="4620" w:leftChars="2200"/>
        <w:rPr>
          <w:rFonts w:ascii="宋体" w:hAnsi="宋体" w:cs="宋体"/>
          <w:sz w:val="24"/>
          <w:highlight w:val="none"/>
        </w:rPr>
      </w:pPr>
    </w:p>
    <w:p>
      <w:pPr>
        <w:spacing w:line="360" w:lineRule="auto"/>
        <w:jc w:val="center"/>
        <w:rPr>
          <w:rFonts w:ascii="宋体" w:hAnsi="宋体" w:cs="宋体"/>
          <w:b/>
          <w:bCs/>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pStyle w:val="83"/>
        <w:rPr>
          <w:highlight w:val="none"/>
        </w:rPr>
      </w:pPr>
    </w:p>
    <w:p>
      <w:pPr>
        <w:pStyle w:val="83"/>
        <w:rPr>
          <w:highlight w:val="none"/>
        </w:rPr>
      </w:pPr>
    </w:p>
    <w:p>
      <w:pPr>
        <w:rPr>
          <w:rFonts w:ascii="宋体" w:hAnsi="宋体" w:cs="宋体"/>
          <w:b/>
          <w:bCs/>
          <w:sz w:val="32"/>
          <w:szCs w:val="32"/>
          <w:highlight w:val="none"/>
        </w:rPr>
      </w:pPr>
      <w:r>
        <w:rPr>
          <w:rFonts w:hint="eastAsia" w:ascii="宋体" w:hAnsi="宋体" w:cs="宋体"/>
          <w:b/>
          <w:bCs/>
          <w:sz w:val="32"/>
          <w:szCs w:val="32"/>
          <w:highlight w:val="none"/>
        </w:rPr>
        <w:br w:type="page"/>
      </w:r>
    </w:p>
    <w:p>
      <w:pPr>
        <w:jc w:val="center"/>
        <w:rPr>
          <w:rFonts w:ascii="宋体" w:hAnsi="宋体" w:cs="宋体"/>
          <w:b/>
          <w:kern w:val="0"/>
          <w:sz w:val="32"/>
          <w:szCs w:val="21"/>
          <w:highlight w:val="none"/>
        </w:rPr>
      </w:pPr>
      <w:r>
        <w:rPr>
          <w:rFonts w:hint="eastAsia" w:ascii="宋体" w:hAnsi="宋体" w:cs="宋体"/>
          <w:b/>
          <w:bCs/>
          <w:sz w:val="32"/>
          <w:szCs w:val="32"/>
          <w:highlight w:val="none"/>
        </w:rPr>
        <w:t>九</w:t>
      </w:r>
      <w:r>
        <w:rPr>
          <w:rFonts w:hint="eastAsia" w:ascii="宋体" w:hAnsi="宋体" w:cs="宋体"/>
          <w:b/>
          <w:kern w:val="0"/>
          <w:sz w:val="32"/>
          <w:szCs w:val="32"/>
          <w:highlight w:val="none"/>
        </w:rPr>
        <w:t>、</w:t>
      </w:r>
      <w:r>
        <w:rPr>
          <w:rFonts w:hint="eastAsia" w:ascii="宋体" w:hAnsi="宋体" w:cs="宋体"/>
          <w:b/>
          <w:kern w:val="0"/>
          <w:sz w:val="32"/>
          <w:szCs w:val="21"/>
          <w:highlight w:val="none"/>
        </w:rPr>
        <w:t>承诺函</w:t>
      </w:r>
    </w:p>
    <w:p>
      <w:pPr>
        <w:widowControl/>
        <w:adjustRightInd/>
        <w:ind w:firstLine="640" w:firstLineChars="200"/>
        <w:jc w:val="left"/>
        <w:rPr>
          <w:rFonts w:ascii="宋体" w:hAnsi="宋体" w:cs="宋体"/>
          <w:kern w:val="0"/>
          <w:sz w:val="32"/>
          <w:szCs w:val="21"/>
          <w:highlight w:val="none"/>
        </w:rPr>
      </w:pP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highlight w:val="none"/>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pacing w:line="360" w:lineRule="auto"/>
        <w:ind w:left="4620" w:leftChars="2200"/>
        <w:rPr>
          <w:rFonts w:ascii="宋体" w:hAnsi="宋体" w:cs="宋体"/>
          <w:sz w:val="24"/>
          <w:highlight w:val="none"/>
        </w:rPr>
      </w:pPr>
    </w:p>
    <w:p>
      <w:pPr>
        <w:spacing w:line="360" w:lineRule="auto"/>
        <w:jc w:val="center"/>
        <w:rPr>
          <w:rFonts w:ascii="宋体" w:hAnsi="宋体" w:cs="宋体"/>
          <w:b/>
          <w:bCs/>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十、技术解决方案</w:t>
      </w:r>
    </w:p>
    <w:p>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（由供应商根据采购需求及招标文件要求编制）</w:t>
      </w:r>
    </w:p>
    <w:p>
      <w:pPr>
        <w:spacing w:line="360" w:lineRule="auto"/>
        <w:jc w:val="center"/>
        <w:rPr>
          <w:rFonts w:cs="仿宋_GB2312" w:asciiTheme="minorEastAsia" w:hAnsiTheme="minorEastAsia" w:eastAsiaTheme="minorEastAsia"/>
          <w:sz w:val="24"/>
          <w:highlight w:val="none"/>
        </w:rPr>
      </w:pPr>
    </w:p>
    <w:p>
      <w:pPr>
        <w:autoSpaceDE w:val="0"/>
        <w:autoSpaceDN w:val="0"/>
        <w:spacing w:line="360" w:lineRule="auto"/>
        <w:rPr>
          <w:rFonts w:cs="仿宋_GB2312" w:asciiTheme="minorEastAsia" w:hAnsiTheme="minorEastAsia" w:eastAsiaTheme="minorEastAsia"/>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投标人名称（公章）：</w:t>
      </w:r>
      <w:r>
        <w:rPr>
          <w:rFonts w:hint="eastAsia" w:cs="仿宋_GB2312" w:asciiTheme="minorEastAsia" w:hAnsiTheme="minorEastAsia" w:eastAsiaTheme="minorEastAsia"/>
          <w:kern w:val="0"/>
          <w:sz w:val="24"/>
          <w:highlight w:val="none"/>
        </w:rPr>
        <w:t xml:space="preserve">                       </w:t>
      </w:r>
    </w:p>
    <w:p>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pPr>
        <w:spacing w:line="360" w:lineRule="auto"/>
        <w:jc w:val="center"/>
        <w:rPr>
          <w:rFonts w:cs="仿宋_GB2312" w:asciiTheme="minorEastAsia" w:hAnsiTheme="minorEastAsia" w:eastAsiaTheme="minorEastAsia"/>
          <w:b/>
          <w:bCs/>
          <w:sz w:val="32"/>
          <w:szCs w:val="32"/>
          <w:highlight w:val="none"/>
        </w:rPr>
      </w:pPr>
    </w:p>
    <w:p>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十一、组织实施方案</w:t>
      </w:r>
    </w:p>
    <w:p>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（由供应商根据采购需求及招标文件要求编制）</w:t>
      </w:r>
    </w:p>
    <w:p>
      <w:pPr>
        <w:spacing w:line="360" w:lineRule="auto"/>
        <w:jc w:val="center"/>
        <w:rPr>
          <w:rFonts w:cs="仿宋_GB2312" w:asciiTheme="minorEastAsia" w:hAnsiTheme="minorEastAsia" w:eastAsiaTheme="minorEastAsia"/>
          <w:sz w:val="24"/>
          <w:highlight w:val="none"/>
        </w:rPr>
      </w:pPr>
    </w:p>
    <w:p>
      <w:pPr>
        <w:autoSpaceDE w:val="0"/>
        <w:autoSpaceDN w:val="0"/>
        <w:spacing w:line="360" w:lineRule="auto"/>
        <w:rPr>
          <w:rFonts w:cs="仿宋_GB2312" w:asciiTheme="minorEastAsia" w:hAnsiTheme="minorEastAsia" w:eastAsiaTheme="minorEastAsia"/>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投标人名称（公章）：</w:t>
      </w:r>
      <w:r>
        <w:rPr>
          <w:rFonts w:hint="eastAsia" w:cs="仿宋_GB2312" w:asciiTheme="minorEastAsia" w:hAnsiTheme="minorEastAsia" w:eastAsiaTheme="minorEastAsia"/>
          <w:kern w:val="0"/>
          <w:sz w:val="24"/>
          <w:highlight w:val="none"/>
        </w:rPr>
        <w:t xml:space="preserve">                       </w:t>
      </w:r>
    </w:p>
    <w:p>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pPr>
        <w:spacing w:line="360" w:lineRule="auto"/>
        <w:jc w:val="center"/>
        <w:rPr>
          <w:rFonts w:cs="仿宋_GB2312" w:asciiTheme="minorEastAsia" w:hAnsiTheme="minorEastAsia" w:eastAsiaTheme="minorEastAsia"/>
          <w:b/>
          <w:bCs/>
          <w:sz w:val="32"/>
          <w:szCs w:val="32"/>
          <w:highlight w:val="none"/>
        </w:rPr>
      </w:pPr>
    </w:p>
    <w:p>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十二、运维服务方案</w:t>
      </w:r>
    </w:p>
    <w:p>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（由供应商根据采购需求及招标文件要求编制）</w:t>
      </w:r>
    </w:p>
    <w:p>
      <w:pPr>
        <w:spacing w:line="360" w:lineRule="auto"/>
        <w:jc w:val="center"/>
        <w:rPr>
          <w:rFonts w:cs="仿宋_GB2312" w:asciiTheme="minorEastAsia" w:hAnsiTheme="minorEastAsia" w:eastAsiaTheme="minorEastAsia"/>
          <w:sz w:val="24"/>
          <w:highlight w:val="none"/>
        </w:rPr>
      </w:pPr>
    </w:p>
    <w:p>
      <w:pPr>
        <w:autoSpaceDE w:val="0"/>
        <w:autoSpaceDN w:val="0"/>
        <w:spacing w:line="360" w:lineRule="auto"/>
        <w:rPr>
          <w:rFonts w:cs="仿宋_GB2312" w:asciiTheme="minorEastAsia" w:hAnsiTheme="minorEastAsia" w:eastAsiaTheme="minorEastAsia"/>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投标人名称（公章）：</w:t>
      </w:r>
      <w:r>
        <w:rPr>
          <w:rFonts w:hint="eastAsia" w:cs="仿宋_GB2312" w:asciiTheme="minorEastAsia" w:hAnsiTheme="minorEastAsia" w:eastAsiaTheme="minorEastAsia"/>
          <w:kern w:val="0"/>
          <w:sz w:val="24"/>
          <w:highlight w:val="none"/>
        </w:rPr>
        <w:t xml:space="preserve">                       </w:t>
      </w:r>
    </w:p>
    <w:p>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pPr>
        <w:spacing w:line="360" w:lineRule="auto"/>
        <w:jc w:val="center"/>
        <w:rPr>
          <w:rFonts w:ascii="宋体" w:hAnsi="宋体" w:cs="宋体"/>
          <w:b/>
          <w:bCs/>
          <w:sz w:val="24"/>
          <w:highlight w:val="none"/>
        </w:rPr>
        <w:sectPr>
          <w:headerReference r:id="rId19" w:type="first"/>
          <w:footerReference r:id="rId21" w:type="first"/>
          <w:headerReference r:id="rId18" w:type="default"/>
          <w:footerReference r:id="rId20" w:type="default"/>
          <w:pgSz w:w="11906" w:h="16838"/>
          <w:pgMar w:top="1134" w:right="1134" w:bottom="1134" w:left="1134" w:header="680" w:footer="850" w:gutter="0"/>
          <w:cols w:space="720" w:num="1"/>
          <w:titlePg/>
          <w:docGrid w:linePitch="312" w:charSpace="0"/>
        </w:sectPr>
      </w:pP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rPr>
          <w:rFonts w:ascii="宋体" w:hAnsi="宋体" w:cs="宋体"/>
          <w:b/>
          <w:kern w:val="0"/>
          <w:sz w:val="36"/>
          <w:szCs w:val="36"/>
          <w:highlight w:val="none"/>
        </w:rPr>
      </w:pPr>
    </w:p>
    <w:p>
      <w:pPr>
        <w:snapToGrid w:val="0"/>
        <w:spacing w:line="360" w:lineRule="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（1）开标一览表（报价表）………………………………………………………（页码）</w:t>
      </w:r>
    </w:p>
    <w:p>
      <w:pPr>
        <w:snapToGrid w:val="0"/>
        <w:spacing w:line="360" w:lineRule="auto"/>
        <w:rPr>
          <w:rFonts w:ascii="宋体" w:hAnsi="宋体" w:cs="宋体"/>
          <w:sz w:val="24"/>
          <w:highlight w:val="none"/>
        </w:rPr>
      </w:pPr>
      <w:r>
        <w:rPr>
          <w:rFonts w:hint="eastAsia" w:ascii="宋体" w:hAnsi="宋体" w:cs="宋体"/>
          <w:sz w:val="24"/>
          <w:highlight w:val="none"/>
        </w:rPr>
        <w:t>（2）中小企业声明函………………………………………………………………（页码）</w:t>
      </w: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23" w:type="first"/>
          <w:footerReference r:id="rId25" w:type="first"/>
          <w:headerReference r:id="rId22" w:type="default"/>
          <w:footerReference r:id="rId24" w:type="default"/>
          <w:pgSz w:w="11906" w:h="16838"/>
          <w:pgMar w:top="1134" w:right="1134" w:bottom="1134" w:left="1134" w:header="851" w:footer="992" w:gutter="0"/>
          <w:cols w:space="720" w:num="1"/>
          <w:titlePg/>
          <w:docGrid w:linePitch="312" w:charSpace="0"/>
        </w:sectPr>
      </w:pPr>
    </w:p>
    <w:p>
      <w:pPr>
        <w:pStyle w:val="83"/>
        <w:jc w:val="center"/>
        <w:rPr>
          <w:b/>
          <w:sz w:val="32"/>
          <w:szCs w:val="32"/>
          <w:highlight w:val="none"/>
        </w:rPr>
      </w:pPr>
      <w:r>
        <w:rPr>
          <w:rFonts w:hint="eastAsia"/>
          <w:b/>
          <w:sz w:val="32"/>
          <w:szCs w:val="32"/>
          <w:highlight w:val="none"/>
        </w:rPr>
        <w:t>一、开标一览表（报价表）</w:t>
      </w: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rPr>
        <w:t>（项目名称）</w:t>
      </w:r>
      <w:r>
        <w:rPr>
          <w:rFonts w:hint="eastAsia" w:ascii="宋体" w:hAnsi="宋体" w:cs="宋体"/>
          <w:kern w:val="0"/>
          <w:sz w:val="24"/>
          <w:highlight w:val="none"/>
          <w:lang w:val="zh-CN"/>
        </w:rPr>
        <w:t>【招标编号：</w:t>
      </w:r>
      <w:r>
        <w:rPr>
          <w:rFonts w:hint="eastAsia" w:ascii="宋体" w:hAnsi="宋体" w:cs="宋体"/>
          <w:sz w:val="24"/>
          <w:highlight w:val="none"/>
        </w:rPr>
        <w:t>（采购编号）】的实施</w:t>
      </w:r>
      <w:r>
        <w:rPr>
          <w:rFonts w:hint="eastAsia" w:ascii="宋体" w:hAnsi="宋体" w:cs="宋体"/>
          <w:kern w:val="0"/>
          <w:sz w:val="24"/>
          <w:highlight w:val="none"/>
          <w:lang w:val="zh-CN"/>
        </w:rPr>
        <w:t>。</w:t>
      </w:r>
    </w:p>
    <w:p>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99"/>
        <w:gridCol w:w="4455"/>
        <w:gridCol w:w="1597"/>
        <w:gridCol w:w="1598"/>
        <w:gridCol w:w="304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499"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lang w:eastAsia="zh-CN"/>
              </w:rPr>
              <w:t>服务</w:t>
            </w:r>
            <w:r>
              <w:rPr>
                <w:rFonts w:hint="eastAsia" w:ascii="宋体" w:hAnsi="宋体" w:cs="宋体"/>
                <w:b/>
                <w:sz w:val="24"/>
                <w:highlight w:val="none"/>
              </w:rPr>
              <w:t>名称</w:t>
            </w:r>
          </w:p>
        </w:tc>
        <w:tc>
          <w:tcPr>
            <w:tcW w:w="4455" w:type="dxa"/>
          </w:tcPr>
          <w:p>
            <w:pPr>
              <w:spacing w:line="360" w:lineRule="auto"/>
              <w:jc w:val="center"/>
              <w:rPr>
                <w:rFonts w:ascii="宋体" w:hAnsi="宋体" w:cs="宋体"/>
                <w:b/>
                <w:sz w:val="24"/>
                <w:highlight w:val="none"/>
              </w:rPr>
            </w:pPr>
          </w:p>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rPr>
              <w:t>服务</w:t>
            </w:r>
            <w:r>
              <w:rPr>
                <w:rFonts w:hint="eastAsia" w:ascii="宋体" w:hAnsi="宋体" w:cs="宋体"/>
                <w:b/>
                <w:sz w:val="24"/>
                <w:highlight w:val="none"/>
                <w:lang w:eastAsia="zh-CN"/>
              </w:rPr>
              <w:t>要求</w:t>
            </w:r>
          </w:p>
        </w:tc>
        <w:tc>
          <w:tcPr>
            <w:tcW w:w="1597" w:type="dxa"/>
            <w:vAlign w:val="center"/>
          </w:tcPr>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数量</w:t>
            </w:r>
          </w:p>
        </w:tc>
        <w:tc>
          <w:tcPr>
            <w:tcW w:w="1598" w:type="dxa"/>
            <w:vAlign w:val="center"/>
          </w:tcPr>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单位</w:t>
            </w:r>
          </w:p>
        </w:tc>
        <w:tc>
          <w:tcPr>
            <w:tcW w:w="3042" w:type="dxa"/>
          </w:tcPr>
          <w:p>
            <w:pPr>
              <w:spacing w:line="360" w:lineRule="auto"/>
              <w:jc w:val="center"/>
              <w:rPr>
                <w:rFonts w:ascii="宋体" w:hAnsi="宋体" w:cs="宋体"/>
                <w:b/>
                <w:sz w:val="24"/>
                <w:highlight w:val="none"/>
              </w:rPr>
            </w:pPr>
          </w:p>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价格（元）</w:t>
            </w:r>
          </w:p>
        </w:tc>
        <w:tc>
          <w:tcPr>
            <w:tcW w:w="2126" w:type="dxa"/>
            <w:vAlign w:val="center"/>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pPr>
              <w:spacing w:line="360" w:lineRule="auto"/>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1499" w:type="dxa"/>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1499" w:type="dxa"/>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499" w:type="dxa"/>
            <w:vAlign w:val="center"/>
          </w:tcPr>
          <w:p>
            <w:pPr>
              <w:snapToGrid w:val="0"/>
              <w:spacing w:line="360" w:lineRule="auto"/>
              <w:jc w:val="center"/>
              <w:rPr>
                <w:rFonts w:ascii="宋体" w:hAnsi="宋体" w:cs="宋体"/>
                <w:sz w:val="24"/>
                <w:highlight w:val="none"/>
              </w:rPr>
            </w:pP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p>
        </w:tc>
        <w:tc>
          <w:tcPr>
            <w:tcW w:w="1499" w:type="dxa"/>
            <w:vAlign w:val="center"/>
          </w:tcPr>
          <w:p>
            <w:pPr>
              <w:snapToGrid w:val="0"/>
              <w:spacing w:line="360" w:lineRule="auto"/>
              <w:jc w:val="center"/>
              <w:rPr>
                <w:rFonts w:ascii="宋体" w:hAnsi="宋体" w:cs="宋体"/>
                <w:sz w:val="24"/>
                <w:highlight w:val="none"/>
              </w:rPr>
            </w:pP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p>
        </w:tc>
        <w:tc>
          <w:tcPr>
            <w:tcW w:w="1499" w:type="dxa"/>
            <w:vAlign w:val="center"/>
          </w:tcPr>
          <w:p>
            <w:pPr>
              <w:snapToGrid w:val="0"/>
              <w:spacing w:line="360" w:lineRule="auto"/>
              <w:jc w:val="center"/>
              <w:rPr>
                <w:rFonts w:ascii="宋体" w:hAnsi="宋体" w:cs="宋体"/>
                <w:sz w:val="24"/>
                <w:highlight w:val="none"/>
              </w:rPr>
            </w:pP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71" w:type="dxa"/>
            <w:gridSpan w:val="3"/>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投标报价</w:t>
            </w:r>
            <w:r>
              <w:rPr>
                <w:rFonts w:hint="eastAsia" w:ascii="宋体" w:hAnsi="宋体" w:cs="宋体"/>
                <w:b/>
                <w:sz w:val="24"/>
                <w:highlight w:val="none"/>
                <w:lang w:eastAsia="zh-CN"/>
              </w:rPr>
              <w:t>合计</w:t>
            </w:r>
            <w:r>
              <w:rPr>
                <w:rFonts w:hint="eastAsia" w:ascii="宋体" w:hAnsi="宋体" w:cs="宋体"/>
                <w:b/>
                <w:sz w:val="24"/>
                <w:highlight w:val="none"/>
              </w:rPr>
              <w:t>（小写）</w:t>
            </w:r>
          </w:p>
        </w:tc>
        <w:tc>
          <w:tcPr>
            <w:tcW w:w="8363" w:type="dxa"/>
            <w:gridSpan w:val="4"/>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771" w:type="dxa"/>
            <w:gridSpan w:val="3"/>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投标报价</w:t>
            </w:r>
            <w:r>
              <w:rPr>
                <w:rFonts w:hint="eastAsia" w:ascii="宋体" w:hAnsi="宋体" w:cs="宋体"/>
                <w:b/>
                <w:sz w:val="24"/>
                <w:highlight w:val="none"/>
                <w:lang w:eastAsia="zh-CN"/>
              </w:rPr>
              <w:t>合计</w:t>
            </w:r>
            <w:r>
              <w:rPr>
                <w:rFonts w:hint="eastAsia" w:ascii="宋体" w:hAnsi="宋体" w:cs="宋体"/>
                <w:b/>
                <w:sz w:val="24"/>
                <w:highlight w:val="none"/>
              </w:rPr>
              <w:t>（大写）</w:t>
            </w:r>
          </w:p>
        </w:tc>
        <w:tc>
          <w:tcPr>
            <w:tcW w:w="8363" w:type="dxa"/>
            <w:gridSpan w:val="4"/>
          </w:tcPr>
          <w:p>
            <w:pPr>
              <w:spacing w:line="360" w:lineRule="auto"/>
              <w:jc w:val="center"/>
              <w:rPr>
                <w:rFonts w:ascii="宋体" w:hAnsi="宋体" w:cs="宋体"/>
                <w:sz w:val="24"/>
                <w:highlight w:val="none"/>
              </w:rPr>
            </w:pPr>
          </w:p>
        </w:tc>
      </w:tr>
    </w:tbl>
    <w:p>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pPr>
        <w:spacing w:line="360" w:lineRule="auto"/>
        <w:ind w:left="-2" w:leftChars="-1" w:firstLine="480" w:firstLineChars="200"/>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rPr>
        <w:t>1、投标人需按本表格式填写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b/>
          <w:sz w:val="24"/>
          <w:highlight w:val="none"/>
          <w:lang w:eastAsia="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采购人将以合同形式有偿取得货物或服务，不接受投标人给予的赠品、回扣或者与采购无关的其他商品、服务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b/>
          <w:kern w:val="0"/>
          <w:sz w:val="24"/>
          <w:highlight w:val="none"/>
          <w:lang w:val="zh-CN"/>
        </w:rPr>
        <w:t>；采购内容未包含在《开标一览表（报价表）》名称栏中，投标人不能作出合理解释的，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3、特别提示：采购代理机构将对项目名称和项目编号，中标供应商名称、地址和中标金额，主要中标标的名称、服务范围、服务要求、服务时间、服务标准等予以公示。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kern w:val="0"/>
          <w:sz w:val="24"/>
          <w:highlight w:val="none"/>
          <w:lang w:val="zh-CN"/>
        </w:rPr>
      </w:pPr>
      <w:r>
        <w:rPr>
          <w:rFonts w:ascii="宋体" w:hAnsi="宋体" w:cs="宋体"/>
          <w:kern w:val="0"/>
          <w:sz w:val="24"/>
          <w:szCs w:val="22"/>
          <w:highlight w:val="none"/>
          <w:lang w:val="zh-CN"/>
        </w:rPr>
        <w:t>4</w:t>
      </w:r>
      <w:r>
        <w:rPr>
          <w:rFonts w:hint="eastAsia" w:ascii="宋体" w:hAnsi="宋体" w:cs="宋体"/>
          <w:kern w:val="0"/>
          <w:sz w:val="24"/>
          <w:szCs w:val="22"/>
          <w:highlight w:val="none"/>
          <w:lang w:val="zh-CN"/>
        </w:rPr>
        <w:t>、</w:t>
      </w:r>
      <w:r>
        <w:rPr>
          <w:rFonts w:hint="eastAsia" w:ascii="宋体" w:hAnsi="宋体" w:cs="宋体"/>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szCs w:val="22"/>
          <w:highlight w:val="none"/>
          <w:lang w:val="zh-CN"/>
        </w:rPr>
        <w:t>5、</w:t>
      </w:r>
      <w:r>
        <w:rPr>
          <w:rFonts w:hint="eastAsia" w:ascii="宋体" w:hAnsi="宋体" w:cs="宋体"/>
          <w:kern w:val="0"/>
          <w:sz w:val="24"/>
          <w:highlight w:val="none"/>
          <w:lang w:val="zh-CN"/>
        </w:rPr>
        <w:t>符合招标文件中列明的可享受</w:t>
      </w:r>
      <w:r>
        <w:rPr>
          <w:rFonts w:hint="eastAsia" w:ascii="宋体" w:hAnsi="宋体" w:cs="宋体"/>
          <w:sz w:val="24"/>
          <w:highlight w:val="none"/>
        </w:rPr>
        <w:t>本国产品标准及相关政策</w:t>
      </w:r>
      <w:r>
        <w:rPr>
          <w:rFonts w:hint="eastAsia" w:ascii="宋体" w:hAnsi="宋体" w:cs="宋体"/>
          <w:kern w:val="0"/>
          <w:sz w:val="24"/>
          <w:highlight w:val="none"/>
          <w:lang w:val="zh-CN"/>
        </w:rPr>
        <w:t>的投标人，请填写</w:t>
      </w:r>
      <w:r>
        <w:rPr>
          <w:rFonts w:hint="eastAsia" w:ascii="宋体" w:hAnsi="宋体" w:cs="宋体"/>
          <w:sz w:val="24"/>
          <w:highlight w:val="none"/>
        </w:rPr>
        <w:t>《关于符合本国产品标准的声明函》或出具财政部会同有关部门规定的有关证明文件。当采购项目或者采购包中含有多种产品，</w:t>
      </w:r>
      <w:r>
        <w:rPr>
          <w:rFonts w:hint="eastAsia" w:ascii="宋体" w:hAnsi="宋体" w:cs="宋体"/>
          <w:kern w:val="0"/>
          <w:sz w:val="24"/>
          <w:highlight w:val="none"/>
          <w:lang w:val="zh-CN"/>
        </w:rPr>
        <w:t>投标人还</w:t>
      </w:r>
      <w:r>
        <w:rPr>
          <w:rFonts w:hint="eastAsia" w:ascii="宋体" w:hAnsi="宋体" w:cs="宋体"/>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kern w:val="0"/>
          <w:sz w:val="24"/>
          <w:highlight w:val="none"/>
          <w:lang w:val="zh-CN"/>
        </w:rPr>
        <w:t>注：投标人提供的</w:t>
      </w:r>
      <w:r>
        <w:rPr>
          <w:rFonts w:hint="eastAsia" w:ascii="宋体" w:hAnsi="宋体" w:cs="宋体"/>
          <w:sz w:val="24"/>
          <w:highlight w:val="none"/>
        </w:rPr>
        <w:t>《声明函》</w:t>
      </w:r>
      <w:r>
        <w:rPr>
          <w:rFonts w:hint="eastAsia" w:ascii="宋体" w:hAnsi="宋体" w:cs="宋体"/>
          <w:kern w:val="0"/>
          <w:sz w:val="24"/>
          <w:highlight w:val="none"/>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szCs w:val="22"/>
          <w:highlight w:val="none"/>
          <w:lang w:val="zh-CN"/>
        </w:rPr>
        <w:t>6、</w:t>
      </w:r>
      <w:r>
        <w:rPr>
          <w:rFonts w:hint="eastAsia" w:ascii="宋体" w:hAnsi="宋体" w:cs="宋体"/>
          <w:kern w:val="0"/>
          <w:sz w:val="24"/>
          <w:highlight w:val="none"/>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cs="宋体"/>
          <w:kern w:val="0"/>
          <w:sz w:val="24"/>
          <w:highlight w:val="none"/>
          <w:lang w:val="zh-CN"/>
        </w:rPr>
        <w:t>。</w:t>
      </w:r>
    </w:p>
    <w:p>
      <w:pPr>
        <w:snapToGrid w:val="0"/>
        <w:spacing w:line="360" w:lineRule="auto"/>
        <w:ind w:firstLine="480" w:firstLineChars="200"/>
        <w:jc w:val="left"/>
        <w:rPr>
          <w:rFonts w:ascii="宋体" w:hAnsi="宋体" w:cs="宋体"/>
          <w:kern w:val="0"/>
          <w:sz w:val="24"/>
          <w:highlight w:val="none"/>
          <w:lang w:val="zh-CN"/>
        </w:rPr>
      </w:pPr>
    </w:p>
    <w:p>
      <w:pPr>
        <w:autoSpaceDE w:val="0"/>
        <w:autoSpaceDN w:val="0"/>
        <w:spacing w:line="360" w:lineRule="auto"/>
        <w:ind w:left="4620" w:leftChars="2200" w:right="1119" w:rightChars="533" w:firstLine="4560" w:firstLineChars="1900"/>
        <w:jc w:val="left"/>
        <w:rPr>
          <w:rFonts w:ascii="宋体" w:hAnsi="宋体" w:cs="宋体"/>
          <w:kern w:val="0"/>
          <w:sz w:val="24"/>
          <w:highlight w:val="none"/>
          <w:lang w:val="zh-CN"/>
        </w:rPr>
      </w:pPr>
    </w:p>
    <w:p>
      <w:pPr>
        <w:spacing w:line="360" w:lineRule="auto"/>
        <w:ind w:firstLine="6240" w:firstLineChars="26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6240" w:firstLineChars="26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32"/>
          <w:szCs w:val="32"/>
          <w:highlight w:val="none"/>
        </w:rPr>
      </w:pPr>
      <w:r>
        <w:rPr>
          <w:rFonts w:hint="eastAsia" w:ascii="宋体" w:hAnsi="宋体" w:cs="宋体"/>
          <w:sz w:val="24"/>
          <w:highlight w:val="none"/>
        </w:rPr>
        <w:t xml:space="preserve">     日期：  年   月   日</w:t>
      </w: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134" w:right="1134" w:bottom="1134" w:left="1134" w:header="851" w:footer="992" w:gutter="0"/>
          <w:cols w:space="720" w:num="1"/>
          <w:titlePg/>
          <w:docGrid w:linePitch="312" w:charSpace="0"/>
        </w:sectPr>
      </w:pPr>
    </w:p>
    <w:p>
      <w:pPr>
        <w:pStyle w:val="83"/>
        <w:jc w:val="center"/>
        <w:rPr>
          <w:b/>
          <w:sz w:val="32"/>
          <w:szCs w:val="32"/>
          <w:highlight w:val="none"/>
        </w:rPr>
      </w:pPr>
      <w:r>
        <w:rPr>
          <w:rFonts w:hint="eastAsia"/>
          <w:b/>
          <w:kern w:val="2"/>
          <w:sz w:val="32"/>
          <w:szCs w:val="32"/>
          <w:highlight w:val="none"/>
        </w:rPr>
        <w:t>二、</w:t>
      </w:r>
      <w:r>
        <w:rPr>
          <w:rFonts w:hint="eastAsia"/>
          <w:b/>
          <w:sz w:val="32"/>
          <w:szCs w:val="32"/>
          <w:highlight w:val="none"/>
        </w:rPr>
        <w:t>中小企业声明函（如果有）</w:t>
      </w:r>
    </w:p>
    <w:p>
      <w:pPr>
        <w:widowControl/>
        <w:spacing w:line="360" w:lineRule="auto"/>
        <w:ind w:firstLine="120" w:firstLineChars="50"/>
        <w:jc w:val="left"/>
        <w:rPr>
          <w:rFonts w:ascii="宋体" w:hAnsi="宋体" w:cs="宋体"/>
          <w:b/>
          <w:sz w:val="24"/>
          <w:highlight w:val="none"/>
        </w:rPr>
      </w:pPr>
      <w:r>
        <w:rPr>
          <w:rFonts w:hint="eastAsia" w:ascii="宋体" w:hAnsi="宋体" w:cs="宋体"/>
          <w:b/>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highlight w:val="none"/>
        </w:rPr>
        <w:t>7</w:t>
      </w:r>
      <w:r>
        <w:rPr>
          <w:rFonts w:hint="eastAsia" w:ascii="宋体" w:hAnsi="宋体" w:cs="宋体"/>
          <w:b/>
          <w:sz w:val="24"/>
          <w:highlight w:val="none"/>
        </w:rPr>
        <w:t>）。]</w:t>
      </w:r>
    </w:p>
    <w:p>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pStyle w:val="83"/>
        <w:rPr>
          <w:highlight w:val="none"/>
        </w:rPr>
      </w:pPr>
    </w:p>
    <w:p>
      <w:pPr>
        <w:pStyle w:val="83"/>
        <w:jc w:val="center"/>
        <w:rPr>
          <w:b/>
          <w:sz w:val="36"/>
          <w:szCs w:val="36"/>
          <w:highlight w:val="none"/>
        </w:rPr>
      </w:pPr>
      <w:r>
        <w:rPr>
          <w:rFonts w:hint="eastAsia"/>
          <w:b/>
          <w:sz w:val="36"/>
          <w:szCs w:val="36"/>
          <w:highlight w:val="none"/>
        </w:rPr>
        <w:t>附件</w:t>
      </w:r>
    </w:p>
    <w:p>
      <w:pPr>
        <w:pStyle w:val="83"/>
        <w:rPr>
          <w:highlight w:val="none"/>
        </w:rPr>
      </w:pPr>
    </w:p>
    <w:p>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pPr>
        <w:spacing w:line="360" w:lineRule="auto"/>
        <w:jc w:val="center"/>
        <w:rPr>
          <w:rFonts w:ascii="宋体" w:hAnsi="宋体" w:cs="宋体"/>
          <w:b/>
          <w:spacing w:val="6"/>
          <w:sz w:val="32"/>
          <w:szCs w:val="32"/>
          <w:highlight w:val="none"/>
        </w:rPr>
      </w:pPr>
      <w:bookmarkStart w:id="431" w:name="OLE_LINK14"/>
      <w:bookmarkStart w:id="432" w:name="OLE_LINK13"/>
      <w:r>
        <w:rPr>
          <w:rFonts w:hint="eastAsia" w:ascii="宋体" w:hAnsi="宋体" w:cs="宋体"/>
          <w:b/>
          <w:spacing w:val="6"/>
          <w:sz w:val="32"/>
          <w:szCs w:val="32"/>
          <w:highlight w:val="none"/>
        </w:rPr>
        <w:t>残疾人福利性单位声明函</w:t>
      </w:r>
    </w:p>
    <w:bookmarkEnd w:id="431"/>
    <w:bookmarkEnd w:id="432"/>
    <w:p>
      <w:pPr>
        <w:spacing w:line="360" w:lineRule="auto"/>
        <w:rPr>
          <w:rFonts w:ascii="宋体" w:hAnsi="宋体" w:cs="宋体"/>
          <w:b/>
          <w:spacing w:val="6"/>
          <w:sz w:val="30"/>
          <w:szCs w:val="30"/>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highlight w:val="none"/>
          <w:u w:val="single"/>
        </w:rPr>
        <w:t>(采购人)</w:t>
      </w:r>
      <w:r>
        <w:rPr>
          <w:rFonts w:hint="eastAsia" w:ascii="宋体" w:hAnsi="宋体" w:cs="宋体"/>
          <w:sz w:val="24"/>
          <w:highlight w:val="none"/>
        </w:rPr>
        <w:t>_单位的_</w:t>
      </w:r>
      <w:r>
        <w:rPr>
          <w:rFonts w:hint="eastAsia" w:ascii="宋体" w:hAnsi="宋体" w:cs="宋体"/>
          <w:sz w:val="24"/>
          <w:highlight w:val="none"/>
          <w:u w:val="single"/>
        </w:rPr>
        <w:t>（项目名称）</w:t>
      </w:r>
      <w:r>
        <w:rPr>
          <w:rFonts w:hint="eastAsia" w:ascii="宋体" w:hAnsi="宋体" w:cs="宋体"/>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w:t>
      </w:r>
      <w:r>
        <w:rPr>
          <w:rFonts w:hint="eastAsia" w:ascii="宋体" w:hAnsi="宋体" w:cs="宋体"/>
          <w:sz w:val="24"/>
          <w:highlight w:val="none"/>
        </w:rPr>
        <w:t>公章</w:t>
      </w:r>
      <w:r>
        <w:rPr>
          <w:rFonts w:hint="eastAsia" w:ascii="宋体" w:hAnsi="宋体" w:cs="宋体"/>
          <w:kern w:val="0"/>
          <w:sz w:val="24"/>
          <w:highlight w:val="none"/>
          <w:lang w:val="zh-CN"/>
        </w:rPr>
        <w:t>）</w:t>
      </w:r>
      <w:r>
        <w:rPr>
          <w:rFonts w:hint="eastAsia" w:ascii="宋体" w:hAnsi="宋体" w:cs="宋体"/>
          <w:sz w:val="24"/>
          <w:highlight w:val="none"/>
        </w:rPr>
        <w:t>：</w:t>
      </w: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pacing w:line="360" w:lineRule="auto"/>
        <w:ind w:firstLine="480" w:firstLineChars="200"/>
        <w:rPr>
          <w:rFonts w:ascii="宋体" w:hAnsi="宋体" w:cs="宋体"/>
          <w:sz w:val="24"/>
          <w:highlight w:val="none"/>
        </w:rPr>
      </w:pPr>
    </w:p>
    <w:p>
      <w:pPr>
        <w:tabs>
          <w:tab w:val="left" w:pos="4860"/>
        </w:tabs>
        <w:spacing w:line="360" w:lineRule="auto"/>
        <w:ind w:right="1560" w:firstLine="480" w:firstLineChars="200"/>
        <w:jc w:val="center"/>
        <w:rPr>
          <w:rFonts w:ascii="宋体" w:hAnsi="宋体" w:cs="宋体"/>
          <w:sz w:val="24"/>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pPr>
        <w:spacing w:line="360" w:lineRule="auto"/>
        <w:jc w:val="center"/>
        <w:rPr>
          <w:rFonts w:ascii="宋体" w:hAnsi="宋体" w:cs="宋体"/>
          <w:b/>
          <w:sz w:val="24"/>
          <w:highlight w:val="none"/>
        </w:rPr>
      </w:pP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pPr>
        <w:spacing w:line="360" w:lineRule="auto"/>
        <w:rPr>
          <w:rFonts w:ascii="宋体" w:hAnsi="宋体" w:cs="宋体"/>
          <w:sz w:val="24"/>
          <w:highlight w:val="none"/>
        </w:rPr>
      </w:pPr>
      <w:r>
        <w:rPr>
          <w:rFonts w:hint="eastAsia" w:ascii="宋体" w:hAnsi="宋体" w:cs="宋体"/>
          <w:sz w:val="24"/>
          <w:highlight w:val="none"/>
        </w:rPr>
        <w:t>一、投诉相关主体基本情况</w:t>
      </w:r>
    </w:p>
    <w:p>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被投诉人2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二、投诉项目基本情况</w:t>
      </w:r>
    </w:p>
    <w:p>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三、质疑基本情况</w:t>
      </w:r>
    </w:p>
    <w:p>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pPr>
        <w:spacing w:line="360" w:lineRule="auto"/>
        <w:rPr>
          <w:rFonts w:ascii="宋体" w:hAnsi="宋体" w:cs="宋体"/>
          <w:sz w:val="24"/>
          <w:highlight w:val="none"/>
        </w:rPr>
      </w:pPr>
      <w:r>
        <w:rPr>
          <w:rFonts w:hint="eastAsia" w:ascii="宋体" w:hAnsi="宋体" w:cs="宋体"/>
          <w:sz w:val="24"/>
          <w:highlight w:val="none"/>
        </w:rPr>
        <w:t>四、投诉事项具体内容</w:t>
      </w:r>
    </w:p>
    <w:p>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投诉事项2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投诉书制作说明：</w:t>
      </w:r>
    </w:p>
    <w:p>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highlight w:val="none"/>
        </w:rPr>
      </w:pPr>
    </w:p>
    <w:p>
      <w:pPr>
        <w:autoSpaceDE w:val="0"/>
        <w:autoSpaceDN w:val="0"/>
        <w:jc w:val="center"/>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autoSpaceDE w:val="0"/>
        <w:autoSpaceDN w:val="0"/>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pPr>
        <w:spacing w:line="360" w:lineRule="auto"/>
        <w:rPr>
          <w:rFonts w:ascii="宋体" w:hAnsi="宋体" w:cs="宋体"/>
          <w:sz w:val="24"/>
          <w:highlight w:val="none"/>
          <w:u w:val="single"/>
        </w:rPr>
      </w:pPr>
    </w:p>
    <w:p>
      <w:pPr>
        <w:spacing w:line="360" w:lineRule="auto"/>
        <w:rPr>
          <w:rFonts w:ascii="宋体" w:hAnsi="宋体" w:cs="宋体"/>
          <w:sz w:val="24"/>
          <w:highlight w:val="none"/>
        </w:rPr>
      </w:pPr>
      <w:r>
        <w:rPr>
          <w:rFonts w:hint="eastAsia" w:ascii="宋体" w:hAnsi="宋体" w:cs="宋体"/>
          <w:sz w:val="24"/>
          <w:highlight w:val="none"/>
          <w:u w:val="single"/>
        </w:rPr>
        <w:t>（采购人）、（采购代理机构）：</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你方组织的（项目名称）【招标编号：（采购编号）】</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pPr>
        <w:rPr>
          <w:rFonts w:ascii="宋体" w:hAnsi="宋体" w:cs="宋体"/>
          <w:sz w:val="24"/>
          <w:highlight w:val="none"/>
        </w:rPr>
      </w:pPr>
      <w:r>
        <w:rPr>
          <w:rFonts w:hint="eastAsia" w:ascii="宋体" w:hAnsi="宋体" w:cs="宋体"/>
          <w:b/>
          <w:bCs/>
          <w:sz w:val="24"/>
          <w:highlight w:val="none"/>
        </w:rPr>
        <w:t>附：</w:t>
      </w:r>
    </w:p>
    <w:p>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autoSpaceDE w:val="0"/>
        <w:autoSpaceDN w:val="0"/>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 xml:space="preserve">投标。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w:t>
      </w:r>
      <w:bookmarkStart w:id="433" w:name="_Hlk101131882"/>
      <w:r>
        <w:rPr>
          <w:rFonts w:hint="eastAsia" w:ascii="宋体" w:hAnsi="宋体" w:cs="宋体"/>
          <w:kern w:val="0"/>
          <w:sz w:val="24"/>
          <w:highlight w:val="none"/>
          <w:u w:val="single"/>
        </w:rPr>
        <w:t>联合体成员X</w:t>
      </w:r>
      <w:r>
        <w:rPr>
          <w:rFonts w:ascii="宋体" w:hAnsi="宋体" w:cs="宋体"/>
          <w:kern w:val="0"/>
          <w:sz w:val="24"/>
          <w:highlight w:val="none"/>
          <w:u w:val="single"/>
        </w:rPr>
        <w:t>,</w:t>
      </w:r>
      <w:r>
        <w:rPr>
          <w:rFonts w:hint="eastAsia" w:ascii="宋体" w:hAnsi="宋体" w:cs="宋体"/>
          <w:kern w:val="0"/>
          <w:sz w:val="24"/>
          <w:highlight w:val="none"/>
          <w:u w:val="single"/>
        </w:rPr>
        <w:t>……</w:t>
      </w:r>
      <w:bookmarkEnd w:id="433"/>
      <w:r>
        <w:rPr>
          <w:rFonts w:hint="eastAsia" w:ascii="宋体" w:hAnsi="宋体" w:cs="宋体"/>
          <w:kern w:val="0"/>
          <w:sz w:val="24"/>
          <w:highlight w:val="none"/>
          <w:u w:val="single"/>
        </w:rPr>
        <w:t>）</w:t>
      </w:r>
      <w:r>
        <w:rPr>
          <w:rFonts w:hint="eastAsia" w:ascii="宋体" w:hAnsi="宋体" w:cs="宋体"/>
          <w:kern w:val="0"/>
          <w:sz w:val="24"/>
          <w:highlight w:val="none"/>
        </w:rPr>
        <w:t>提供的服务由小微企业承接，其合同份额占到合同总金额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w:t>
      </w:r>
      <w:bookmarkStart w:id="434" w:name="_Hlk101133598"/>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bookmarkEnd w:id="434"/>
      <w:r>
        <w:rPr>
          <w:rFonts w:hint="eastAsia" w:ascii="宋体" w:hAnsi="宋体" w:cs="宋体"/>
          <w:b/>
          <w:kern w:val="0"/>
          <w:sz w:val="24"/>
          <w:highlight w:val="none"/>
          <w:lang w:val="zh-CN"/>
        </w:rPr>
        <w:t>）</w:t>
      </w:r>
    </w:p>
    <w:p>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435"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bookmarkEnd w:id="435"/>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pPr>
        <w:snapToGrid w:val="0"/>
        <w:spacing w:line="360" w:lineRule="auto"/>
        <w:ind w:firstLine="5040" w:firstLineChars="2100"/>
        <w:rPr>
          <w:rStyle w:val="82"/>
          <w:highlight w:val="none"/>
        </w:rPr>
      </w:pPr>
      <w:r>
        <w:rPr>
          <w:rStyle w:val="82"/>
          <w:rFonts w:hint="eastAsia"/>
          <w:highlight w:val="none"/>
        </w:rPr>
        <w:t>法定代表人（负责人） (签名)：</w:t>
      </w:r>
    </w:p>
    <w:p>
      <w:pPr>
        <w:snapToGrid w:val="0"/>
        <w:spacing w:line="360" w:lineRule="auto"/>
        <w:ind w:firstLine="5040" w:firstLineChars="2100"/>
        <w:rPr>
          <w:rFonts w:ascii="宋体" w:hAnsi="宋体" w:cs="宋体"/>
          <w:kern w:val="0"/>
          <w:sz w:val="24"/>
          <w:highlight w:val="none"/>
          <w:lang w:val="zh-CN"/>
        </w:rPr>
      </w:pPr>
      <w:r>
        <w:rPr>
          <w:rStyle w:val="82"/>
          <w:rFonts w:hint="eastAsia"/>
          <w:highlight w:val="none"/>
        </w:rPr>
        <w:t>联合体成</w:t>
      </w:r>
      <w:r>
        <w:rPr>
          <w:rFonts w:hint="eastAsia" w:ascii="宋体" w:hAnsi="宋体" w:cs="宋体"/>
          <w:kern w:val="0"/>
          <w:sz w:val="24"/>
          <w:highlight w:val="none"/>
          <w:lang w:val="zh-CN"/>
        </w:rPr>
        <w:t>员名称(公章)：</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法定代表人（负责人） (签名)：</w:t>
      </w:r>
    </w:p>
    <w:p>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widowControl/>
        <w:adjustRightInd/>
        <w:jc w:val="left"/>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snapToGrid w:val="0"/>
        <w:spacing w:line="360" w:lineRule="auto"/>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的中标供应商，将依法采取分包方式履行合同。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一、分包标的及数量</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（分包供应商2名称），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pPr>
        <w:pStyle w:val="83"/>
        <w:rPr>
          <w:highlight w:val="none"/>
        </w:rPr>
      </w:pPr>
      <w:r>
        <w:rPr>
          <w:rFonts w:hint="eastAsia"/>
          <w:highlight w:val="none"/>
        </w:rPr>
        <w:t>……</w:t>
      </w:r>
    </w:p>
    <w:p>
      <w:pPr>
        <w:rPr>
          <w:highlight w:val="none"/>
        </w:rPr>
      </w:pPr>
      <w:r>
        <w:rPr>
          <w:rFonts w:hint="eastAsia"/>
          <w:highlight w:val="none"/>
          <w:lang w:val="zh-CN"/>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……）提供的服务全部由小微企业承接，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pPr>
        <w:snapToGrid w:val="0"/>
        <w:spacing w:line="360" w:lineRule="auto"/>
        <w:ind w:left="573" w:leftChars="273"/>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3"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八、其他</w:t>
      </w:r>
    </w:p>
    <w:p>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 xml:space="preserve">  。                                           投标人名称(公章)：</w:t>
      </w:r>
    </w:p>
    <w:p>
      <w:pPr>
        <w:snapToGrid w:val="0"/>
        <w:spacing w:line="360" w:lineRule="auto"/>
        <w:ind w:left="5758" w:leftChars="2742"/>
        <w:rPr>
          <w:rFonts w:ascii="宋体" w:hAnsi="宋体" w:cs="宋体"/>
          <w:kern w:val="0"/>
          <w:sz w:val="24"/>
          <w:highlight w:val="none"/>
          <w:lang w:val="zh-CN"/>
        </w:rPr>
      </w:pPr>
      <w:r>
        <w:rPr>
          <w:rStyle w:val="82"/>
          <w:rFonts w:hint="eastAsia"/>
          <w:highlight w:val="none"/>
        </w:rPr>
        <w:t>法定代表人（负责人） (签名)：</w:t>
      </w:r>
      <w:r>
        <w:rPr>
          <w:rFonts w:hint="eastAsia" w:ascii="宋体" w:hAnsi="宋体" w:cs="宋体"/>
          <w:kern w:val="0"/>
          <w:sz w:val="24"/>
          <w:highlight w:val="none"/>
          <w:lang w:val="zh-CN"/>
        </w:rPr>
        <w:t>分包供应商名称(公章)：</w:t>
      </w:r>
    </w:p>
    <w:p>
      <w:pPr>
        <w:pStyle w:val="83"/>
        <w:ind w:firstLine="5760" w:firstLineChars="2400"/>
        <w:rPr>
          <w:highlight w:val="none"/>
        </w:rPr>
      </w:pPr>
      <w:r>
        <w:rPr>
          <w:rStyle w:val="82"/>
          <w:rFonts w:hint="eastAsia"/>
          <w:highlight w:val="none"/>
        </w:rPr>
        <w:t>法定代表人（负责人） (签名)：</w:t>
      </w:r>
    </w:p>
    <w:p>
      <w:pPr>
        <w:snapToGrid w:val="0"/>
        <w:spacing w:line="360" w:lineRule="auto"/>
        <w:jc w:val="right"/>
        <w:rPr>
          <w:rFonts w:ascii="宋体" w:hAnsi="宋体" w:cs="宋体"/>
          <w:kern w:val="0"/>
          <w:sz w:val="24"/>
          <w:highlight w:val="none"/>
          <w:lang w:val="zh-CN"/>
        </w:rPr>
      </w:pP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spacing w:line="360" w:lineRule="auto"/>
        <w:jc w:val="left"/>
        <w:rPr>
          <w:rFonts w:ascii="宋体" w:hAnsi="宋体" w:cs="宋体"/>
          <w:b/>
          <w:sz w:val="32"/>
          <w:szCs w:val="32"/>
          <w:highlight w:val="none"/>
        </w:rPr>
      </w:pPr>
      <w:r>
        <w:rPr>
          <w:rFonts w:hint="eastAsia" w:ascii="宋体" w:hAnsi="宋体" w:cs="宋体"/>
          <w:b/>
          <w:sz w:val="32"/>
          <w:szCs w:val="32"/>
          <w:highlight w:val="none"/>
        </w:rPr>
        <w:t>附件</w:t>
      </w:r>
      <w:r>
        <w:rPr>
          <w:rFonts w:ascii="宋体" w:hAnsi="宋体" w:cs="宋体"/>
          <w:b/>
          <w:sz w:val="32"/>
          <w:szCs w:val="32"/>
          <w:highlight w:val="none"/>
        </w:rPr>
        <w:t>7</w:t>
      </w:r>
      <w:r>
        <w:rPr>
          <w:rFonts w:hint="eastAsia" w:ascii="宋体" w:hAnsi="宋体" w:cs="宋体"/>
          <w:b/>
          <w:sz w:val="32"/>
          <w:szCs w:val="32"/>
          <w:highlight w:val="none"/>
        </w:rPr>
        <w:t>：中小企业声明函</w:t>
      </w:r>
    </w:p>
    <w:p>
      <w:pPr>
        <w:spacing w:line="360" w:lineRule="auto"/>
        <w:jc w:val="center"/>
        <w:rPr>
          <w:rFonts w:ascii="宋体" w:hAnsi="宋体" w:cs="宋体"/>
          <w:sz w:val="24"/>
          <w:highlight w:val="none"/>
          <w:u w:val="singl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中小企业声明函（服务）</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（采购人）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 xml:space="preserve"> （采购文件中明确的所属行业）</w:t>
      </w:r>
      <w:r>
        <w:rPr>
          <w:rFonts w:hint="eastAsia" w:ascii="宋体" w:hAnsi="宋体" w:cs="宋体"/>
          <w:sz w:val="24"/>
          <w:highlight w:val="none"/>
        </w:rPr>
        <w:t xml:space="preserve"> ；承建（承接）企业为 </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（标的名称），</w:t>
      </w:r>
      <w:r>
        <w:rPr>
          <w:rFonts w:hint="eastAsia" w:ascii="宋体" w:hAnsi="宋体" w:cs="宋体"/>
          <w:sz w:val="24"/>
          <w:highlight w:val="none"/>
        </w:rPr>
        <w:t xml:space="preserve">属于 </w:t>
      </w:r>
      <w:r>
        <w:rPr>
          <w:rFonts w:hint="eastAsia" w:ascii="宋体" w:hAnsi="宋体" w:cs="宋体"/>
          <w:sz w:val="24"/>
          <w:highlight w:val="none"/>
          <w:u w:val="single"/>
        </w:rPr>
        <w:t xml:space="preserve">（采购文件中明确的所属行业） </w:t>
      </w:r>
      <w:r>
        <w:rPr>
          <w:rFonts w:hint="eastAsia" w:ascii="宋体" w:hAnsi="宋体" w:cs="宋体"/>
          <w:sz w:val="24"/>
          <w:highlight w:val="none"/>
        </w:rPr>
        <w:t xml:space="preserve">；承建（承接）企业为 </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kern w:val="0"/>
          <w:sz w:val="24"/>
          <w:highlight w:val="none"/>
        </w:rPr>
      </w:pPr>
      <w:r>
        <w:rPr>
          <w:rFonts w:hint="eastAsia" w:ascii="宋体" w:hAnsi="宋体" w:cs="宋体"/>
          <w:kern w:val="0"/>
          <w:sz w:val="24"/>
          <w:highlight w:val="none"/>
          <w:lang w:val="zh-CN"/>
        </w:rPr>
        <w:t>投标人名称(公章)：</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pacing w:line="360" w:lineRule="auto"/>
        <w:ind w:right="420"/>
        <w:rPr>
          <w:rFonts w:ascii="宋体" w:hAnsi="宋体" w:cs="宋体"/>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 xml:space="preserve">   注：</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ascii="宋体" w:hAnsi="宋体" w:cs="宋体"/>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rPr>
          <w:rFonts w:ascii="宋体" w:hAnsi="宋体" w:cs="宋体"/>
          <w:sz w:val="24"/>
          <w:highlight w:val="none"/>
        </w:rPr>
      </w:pPr>
      <w:r>
        <w:rPr>
          <w:rFonts w:hint="eastAsia" w:ascii="宋体" w:hAnsi="宋体" w:cs="宋体"/>
          <w:sz w:val="24"/>
          <w:highlight w:val="none"/>
        </w:rPr>
        <w:br w:type="page"/>
      </w:r>
    </w:p>
    <w:p>
      <w:pPr>
        <w:snapToGrid w:val="0"/>
        <w:spacing w:line="360" w:lineRule="auto"/>
        <w:jc w:val="left"/>
        <w:rPr>
          <w:rFonts w:ascii="宋体" w:hAnsi="宋体" w:cs="宋体"/>
          <w:b/>
          <w:kern w:val="0"/>
          <w:sz w:val="32"/>
          <w:szCs w:val="32"/>
          <w:highlight w:val="none"/>
        </w:rPr>
      </w:pPr>
      <w:r>
        <w:rPr>
          <w:rFonts w:hint="eastAsia" w:ascii="宋体" w:hAnsi="宋体" w:cs="宋体"/>
          <w:b/>
          <w:kern w:val="0"/>
          <w:sz w:val="32"/>
          <w:szCs w:val="32"/>
          <w:highlight w:val="none"/>
        </w:rPr>
        <w:t>附件8：关于符合本国产品标准的声明函</w:t>
      </w:r>
    </w:p>
    <w:p>
      <w:pPr>
        <w:spacing w:line="360" w:lineRule="auto"/>
        <w:jc w:val="center"/>
        <w:rPr>
          <w:rFonts w:ascii="宋体" w:hAnsi="宋体" w:cs="宋体"/>
          <w:sz w:val="24"/>
          <w:highlight w:val="none"/>
          <w:u w:val="singl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关于符合本国产品标准的声明函</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（产品名称1）</w:t>
      </w:r>
      <w:r>
        <w:rPr>
          <w:rFonts w:hint="eastAsia" w:ascii="宋体" w:hAnsi="宋体" w:cs="宋体"/>
          <w:sz w:val="24"/>
          <w:highlight w:val="none"/>
        </w:rPr>
        <w:t>1，生产厂为</w:t>
      </w:r>
      <w:r>
        <w:rPr>
          <w:rFonts w:hint="eastAsia" w:ascii="宋体" w:hAnsi="宋体" w:cs="宋体"/>
          <w:sz w:val="24"/>
          <w:highlight w:val="none"/>
          <w:u w:val="single"/>
        </w:rPr>
        <w:t>（厂名）</w:t>
      </w:r>
      <w:r>
        <w:rPr>
          <w:rFonts w:hint="eastAsia" w:ascii="宋体" w:hAnsi="宋体" w:cs="宋体"/>
          <w:sz w:val="24"/>
          <w:highlight w:val="none"/>
        </w:rPr>
        <w:t>2，厂址为</w:t>
      </w:r>
      <w:r>
        <w:rPr>
          <w:rFonts w:hint="eastAsia" w:ascii="宋体" w:hAnsi="宋体" w:cs="宋体"/>
          <w:sz w:val="24"/>
          <w:highlight w:val="none"/>
          <w:u w:val="single"/>
        </w:rPr>
        <w:t>（生产厂址）</w:t>
      </w:r>
      <w:r>
        <w:rPr>
          <w:rFonts w:hint="eastAsia" w:ascii="宋体" w:hAnsi="宋体" w:cs="宋体"/>
          <w:sz w:val="24"/>
          <w:highlight w:val="none"/>
        </w:rPr>
        <w:t>。</w:t>
      </w:r>
      <w:r>
        <w:rPr>
          <w:rFonts w:hint="eastAsia" w:ascii="宋体" w:hAnsi="宋体" w:cs="宋体"/>
          <w:sz w:val="24"/>
          <w:highlight w:val="none"/>
          <w:u w:val="single"/>
        </w:rPr>
        <w:t>（产品名称1）</w:t>
      </w:r>
      <w:r>
        <w:rPr>
          <w:rFonts w:hint="eastAsia" w:ascii="宋体" w:hAnsi="宋体" w:cs="宋体"/>
          <w:sz w:val="24"/>
          <w:highlight w:val="none"/>
        </w:rPr>
        <w:t>的中国境内生产的组件成本占比≥</w:t>
      </w:r>
      <w:r>
        <w:rPr>
          <w:rFonts w:hint="eastAsia" w:ascii="宋体" w:hAnsi="宋体" w:cs="宋体"/>
          <w:sz w:val="24"/>
          <w:highlight w:val="none"/>
          <w:u w:val="single"/>
        </w:rPr>
        <w:t>（规定比例）</w:t>
      </w:r>
      <w:r>
        <w:rPr>
          <w:rFonts w:hint="eastAsia" w:ascii="宋体" w:hAnsi="宋体" w:cs="宋体"/>
          <w:sz w:val="24"/>
          <w:highlight w:val="none"/>
        </w:rPr>
        <w:t>3。</w:t>
      </w:r>
      <w:r>
        <w:rPr>
          <w:rFonts w:hint="eastAsia" w:ascii="宋体" w:hAnsi="宋体" w:cs="宋体"/>
          <w:sz w:val="24"/>
          <w:highlight w:val="none"/>
          <w:u w:val="single"/>
        </w:rPr>
        <w:t>（产品名称1）</w:t>
      </w:r>
      <w:r>
        <w:rPr>
          <w:rFonts w:hint="eastAsia" w:ascii="宋体" w:hAnsi="宋体" w:cs="宋体"/>
          <w:sz w:val="24"/>
          <w:highlight w:val="none"/>
        </w:rPr>
        <w:t>的</w:t>
      </w:r>
      <w:r>
        <w:rPr>
          <w:rFonts w:hint="eastAsia" w:ascii="宋体" w:hAnsi="宋体" w:cs="宋体"/>
          <w:sz w:val="24"/>
          <w:highlight w:val="none"/>
          <w:u w:val="single"/>
        </w:rPr>
        <w:t>（关键组件）</w:t>
      </w:r>
      <w:r>
        <w:rPr>
          <w:rFonts w:hint="eastAsia" w:ascii="宋体" w:hAnsi="宋体" w:cs="宋体"/>
          <w:sz w:val="24"/>
          <w:highlight w:val="none"/>
        </w:rPr>
        <w:t>4在中国境内生产。</w:t>
      </w:r>
      <w:r>
        <w:rPr>
          <w:rFonts w:hint="eastAsia" w:ascii="宋体" w:hAnsi="宋体" w:cs="宋体"/>
          <w:sz w:val="24"/>
          <w:highlight w:val="none"/>
          <w:u w:val="single"/>
        </w:rPr>
        <w:t>（产品名称1）</w:t>
      </w:r>
      <w:r>
        <w:rPr>
          <w:rFonts w:hint="eastAsia" w:ascii="宋体" w:hAnsi="宋体" w:cs="宋体"/>
          <w:sz w:val="24"/>
          <w:highlight w:val="none"/>
        </w:rPr>
        <w:t>的</w:t>
      </w:r>
      <w:r>
        <w:rPr>
          <w:rFonts w:hint="eastAsia" w:ascii="宋体" w:hAnsi="宋体" w:cs="宋体"/>
          <w:sz w:val="24"/>
          <w:highlight w:val="none"/>
          <w:u w:val="single"/>
        </w:rPr>
        <w:t>（关键工序）</w:t>
      </w:r>
      <w:r>
        <w:rPr>
          <w:rFonts w:hint="eastAsia" w:ascii="宋体" w:hAnsi="宋体" w:cs="宋体"/>
          <w:sz w:val="24"/>
          <w:highlight w:val="none"/>
        </w:rPr>
        <w:t>5在中国境内完成。</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（产品名称2）</w:t>
      </w:r>
      <w:r>
        <w:rPr>
          <w:rFonts w:hint="eastAsia" w:ascii="宋体" w:hAnsi="宋体" w:cs="宋体"/>
          <w:sz w:val="24"/>
          <w:highlight w:val="none"/>
        </w:rPr>
        <w:t>，生产厂为</w:t>
      </w:r>
      <w:r>
        <w:rPr>
          <w:rFonts w:hint="eastAsia" w:ascii="宋体" w:hAnsi="宋体" w:cs="宋体"/>
          <w:sz w:val="24"/>
          <w:highlight w:val="none"/>
          <w:u w:val="single"/>
        </w:rPr>
        <w:t>（厂名）</w:t>
      </w:r>
      <w:r>
        <w:rPr>
          <w:rFonts w:hint="eastAsia" w:ascii="宋体" w:hAnsi="宋体" w:cs="宋体"/>
          <w:sz w:val="24"/>
          <w:highlight w:val="none"/>
        </w:rPr>
        <w:t>，厂址为</w:t>
      </w:r>
      <w:r>
        <w:rPr>
          <w:rFonts w:hint="eastAsia" w:ascii="宋体" w:hAnsi="宋体" w:cs="宋体"/>
          <w:sz w:val="24"/>
          <w:highlight w:val="none"/>
          <w:u w:val="single"/>
        </w:rPr>
        <w:t>（生产厂址）</w:t>
      </w:r>
      <w:r>
        <w:rPr>
          <w:rFonts w:hint="eastAsia" w:ascii="宋体" w:hAnsi="宋体" w:cs="宋体"/>
          <w:sz w:val="24"/>
          <w:highlight w:val="none"/>
        </w:rPr>
        <w:t>。</w:t>
      </w:r>
      <w:r>
        <w:rPr>
          <w:rFonts w:hint="eastAsia" w:ascii="宋体" w:hAnsi="宋体" w:cs="宋体"/>
          <w:sz w:val="24"/>
          <w:highlight w:val="none"/>
          <w:u w:val="single"/>
        </w:rPr>
        <w:t>（产品名称2）</w:t>
      </w:r>
      <w:r>
        <w:rPr>
          <w:rFonts w:hint="eastAsia" w:ascii="宋体" w:hAnsi="宋体" w:cs="宋体"/>
          <w:sz w:val="24"/>
          <w:highlight w:val="none"/>
        </w:rPr>
        <w:t>的中国境内生产的组件成本占比≥</w:t>
      </w:r>
      <w:r>
        <w:rPr>
          <w:rFonts w:hint="eastAsia" w:ascii="宋体" w:hAnsi="宋体" w:cs="宋体"/>
          <w:sz w:val="24"/>
          <w:highlight w:val="none"/>
          <w:u w:val="single"/>
        </w:rPr>
        <w:t>（规定比例）</w:t>
      </w:r>
      <w:r>
        <w:rPr>
          <w:rFonts w:hint="eastAsia" w:ascii="宋体" w:hAnsi="宋体" w:cs="宋体"/>
          <w:sz w:val="24"/>
          <w:highlight w:val="none"/>
        </w:rPr>
        <w:t>。</w:t>
      </w:r>
      <w:r>
        <w:rPr>
          <w:rFonts w:hint="eastAsia" w:ascii="宋体" w:hAnsi="宋体" w:cs="宋体"/>
          <w:sz w:val="24"/>
          <w:highlight w:val="none"/>
          <w:u w:val="single"/>
        </w:rPr>
        <w:t>（产品名称2）</w:t>
      </w:r>
      <w:r>
        <w:rPr>
          <w:rFonts w:hint="eastAsia" w:ascii="宋体" w:hAnsi="宋体" w:cs="宋体"/>
          <w:sz w:val="24"/>
          <w:highlight w:val="none"/>
        </w:rPr>
        <w:t>的</w:t>
      </w:r>
      <w:r>
        <w:rPr>
          <w:rFonts w:hint="eastAsia" w:ascii="宋体" w:hAnsi="宋体" w:cs="宋体"/>
          <w:sz w:val="24"/>
          <w:highlight w:val="none"/>
          <w:u w:val="single"/>
        </w:rPr>
        <w:t>（关键组件）</w:t>
      </w:r>
      <w:r>
        <w:rPr>
          <w:rFonts w:hint="eastAsia" w:ascii="宋体" w:hAnsi="宋体" w:cs="宋体"/>
          <w:sz w:val="24"/>
          <w:highlight w:val="none"/>
        </w:rPr>
        <w:t>在中国境内生产。</w:t>
      </w:r>
      <w:r>
        <w:rPr>
          <w:rFonts w:hint="eastAsia" w:ascii="宋体" w:hAnsi="宋体" w:cs="宋体"/>
          <w:sz w:val="24"/>
          <w:highlight w:val="none"/>
          <w:u w:val="single"/>
        </w:rPr>
        <w:t>（产品名称2）</w:t>
      </w:r>
      <w:r>
        <w:rPr>
          <w:rFonts w:hint="eastAsia" w:ascii="宋体" w:hAnsi="宋体" w:cs="宋体"/>
          <w:sz w:val="24"/>
          <w:highlight w:val="none"/>
        </w:rPr>
        <w:t>的</w:t>
      </w:r>
      <w:r>
        <w:rPr>
          <w:rFonts w:hint="eastAsia" w:ascii="宋体" w:hAnsi="宋体" w:cs="宋体"/>
          <w:sz w:val="24"/>
          <w:highlight w:val="none"/>
          <w:u w:val="single"/>
        </w:rPr>
        <w:t>（关键工序）</w:t>
      </w:r>
      <w:r>
        <w:rPr>
          <w:rFonts w:hint="eastAsia" w:ascii="宋体" w:hAnsi="宋体" w:cs="宋体"/>
          <w:sz w:val="24"/>
          <w:highlight w:val="none"/>
        </w:rPr>
        <w:t>在中国境内完成。</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本公司（单位）对上述声明内容的真实性负责。如有虚假，愿承担相应法律责任。</w:t>
      </w:r>
    </w:p>
    <w:p>
      <w:pPr>
        <w:spacing w:line="360" w:lineRule="auto"/>
        <w:ind w:right="420" w:firstLine="480" w:firstLineChars="200"/>
        <w:rPr>
          <w:rFonts w:ascii="宋体" w:hAnsi="宋体" w:cs="宋体"/>
          <w:sz w:val="24"/>
          <w:highlight w:val="none"/>
        </w:rPr>
      </w:pPr>
    </w:p>
    <w:p>
      <w:pPr>
        <w:spacing w:line="360" w:lineRule="auto"/>
        <w:ind w:right="420" w:firstLine="480" w:firstLineChars="200"/>
        <w:jc w:val="right"/>
        <w:rPr>
          <w:rFonts w:ascii="宋体" w:hAnsi="宋体" w:cs="宋体"/>
          <w:sz w:val="24"/>
          <w:highlight w:val="none"/>
        </w:rPr>
      </w:pPr>
      <w:r>
        <w:rPr>
          <w:rFonts w:hint="eastAsia" w:ascii="宋体" w:hAnsi="宋体" w:cs="宋体"/>
          <w:sz w:val="24"/>
          <w:highlight w:val="none"/>
        </w:rPr>
        <w:t>公司（单位）名称（盖章）：　</w:t>
      </w:r>
      <w:r>
        <w:rPr>
          <w:rFonts w:ascii="宋体" w:hAnsi="宋体" w:cs="宋体"/>
          <w:sz w:val="24"/>
          <w:highlight w:val="none"/>
        </w:rPr>
        <w:t>        </w:t>
      </w:r>
    </w:p>
    <w:p>
      <w:pPr>
        <w:spacing w:line="360" w:lineRule="auto"/>
        <w:ind w:right="180" w:firstLine="480" w:firstLineChars="200"/>
        <w:jc w:val="right"/>
        <w:rPr>
          <w:rFonts w:ascii="宋体" w:hAnsi="宋体" w:cs="宋体"/>
          <w:sz w:val="24"/>
          <w:highlight w:val="none"/>
        </w:rPr>
      </w:pPr>
      <w:r>
        <w:rPr>
          <w:rFonts w:hint="eastAsia" w:ascii="宋体" w:hAnsi="宋体" w:cs="宋体"/>
          <w:sz w:val="24"/>
          <w:highlight w:val="none"/>
        </w:rPr>
        <w:t>日期：</w:t>
      </w:r>
      <w:r>
        <w:rPr>
          <w:rFonts w:ascii="宋体" w:hAnsi="宋体" w:cs="宋体"/>
          <w:sz w:val="24"/>
          <w:highlight w:val="none"/>
        </w:rPr>
        <w:t> </w:t>
      </w:r>
      <w:r>
        <w:rPr>
          <w:rFonts w:hint="eastAsia" w:ascii="宋体" w:hAnsi="宋体" w:cs="宋体"/>
          <w:sz w:val="24"/>
          <w:highlight w:val="none"/>
        </w:rPr>
        <w:t xml:space="preserve">  </w:t>
      </w:r>
      <w:r>
        <w:rPr>
          <w:rFonts w:ascii="宋体" w:hAnsi="宋体" w:cs="宋体"/>
          <w:sz w:val="24"/>
          <w:highlight w:val="none"/>
        </w:rPr>
        <w:t> </w:t>
      </w:r>
      <w:r>
        <w:rPr>
          <w:rFonts w:hint="eastAsia" w:ascii="宋体" w:hAnsi="宋体" w:cs="宋体"/>
          <w:sz w:val="24"/>
          <w:highlight w:val="none"/>
        </w:rPr>
        <w:t>年 　</w:t>
      </w:r>
      <w:r>
        <w:rPr>
          <w:rFonts w:ascii="宋体" w:hAnsi="宋体" w:cs="宋体"/>
          <w:sz w:val="24"/>
          <w:highlight w:val="none"/>
        </w:rPr>
        <w:t> </w:t>
      </w:r>
      <w:r>
        <w:rPr>
          <w:rFonts w:hint="eastAsia" w:ascii="宋体" w:hAnsi="宋体" w:cs="宋体"/>
          <w:sz w:val="24"/>
          <w:highlight w:val="none"/>
        </w:rPr>
        <w:t xml:space="preserve">月　 </w:t>
      </w:r>
      <w:r>
        <w:rPr>
          <w:rFonts w:ascii="宋体" w:hAnsi="宋体" w:cs="宋体"/>
          <w:sz w:val="24"/>
          <w:highlight w:val="none"/>
        </w:rPr>
        <w:t> </w:t>
      </w:r>
      <w:r>
        <w:rPr>
          <w:rFonts w:hint="eastAsia" w:ascii="宋体" w:hAnsi="宋体" w:cs="宋体"/>
          <w:sz w:val="24"/>
          <w:highlight w:val="none"/>
        </w:rPr>
        <w:t>日</w:t>
      </w:r>
      <w:r>
        <w:rPr>
          <w:rFonts w:ascii="宋体" w:hAnsi="宋体" w:cs="宋体"/>
          <w:sz w:val="24"/>
          <w:highlight w:val="none"/>
        </w:rPr>
        <w:t>         </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注：</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1.产品如有型号，请在“产品名称”栏一并填写。</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2.生产厂名与厂址应与生产厂营业执照载明的相关信息保持一致。</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3.该产品的中国境内生产的组件成本占比相关要求实施前，“规定比例”栏可不填，下同。</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4.该产品的关键组件要求实施前，“关键组件”栏可不填，下同。</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5.该产品的关键工序要求实施前，“关键工序”栏可不填，下同。</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rPr>
          <w:rFonts w:ascii="宋体" w:hAnsi="宋体" w:cs="宋体"/>
          <w:b/>
          <w:kern w:val="0"/>
          <w:sz w:val="32"/>
          <w:szCs w:val="32"/>
          <w:highlight w:val="none"/>
        </w:rPr>
      </w:pPr>
      <w:r>
        <w:rPr>
          <w:rFonts w:hint="eastAsia" w:ascii="宋体" w:hAnsi="宋体" w:cs="宋体"/>
          <w:b/>
          <w:kern w:val="0"/>
          <w:sz w:val="32"/>
          <w:szCs w:val="32"/>
          <w:highlight w:val="none"/>
        </w:rPr>
        <w:br w:type="page"/>
      </w:r>
    </w:p>
    <w:p>
      <w:pPr>
        <w:snapToGrid w:val="0"/>
        <w:spacing w:line="360" w:lineRule="auto"/>
        <w:jc w:val="left"/>
        <w:rPr>
          <w:rFonts w:ascii="宋体" w:hAnsi="宋体" w:cs="宋体"/>
          <w:b/>
          <w:kern w:val="0"/>
          <w:sz w:val="32"/>
          <w:szCs w:val="32"/>
          <w:highlight w:val="none"/>
        </w:rPr>
      </w:pPr>
      <w:r>
        <w:rPr>
          <w:rFonts w:hint="eastAsia" w:ascii="宋体" w:hAnsi="宋体" w:cs="宋体"/>
          <w:b/>
          <w:kern w:val="0"/>
          <w:sz w:val="32"/>
          <w:szCs w:val="32"/>
          <w:highlight w:val="none"/>
        </w:rPr>
        <w:t>附件9：关于符合本国产品标准的产品成本之和占所提供的全部产品成本之和的比例达到80%以上的声明函</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本公司（单位）对上述声明内容的真实性负责。如有虚假，愿承担相应法律责任。</w:t>
      </w:r>
    </w:p>
    <w:p>
      <w:pPr>
        <w:spacing w:line="360" w:lineRule="auto"/>
        <w:ind w:right="420" w:firstLine="480" w:firstLineChars="200"/>
        <w:rPr>
          <w:rFonts w:ascii="宋体" w:hAnsi="宋体" w:cs="宋体"/>
          <w:sz w:val="24"/>
          <w:highlight w:val="none"/>
        </w:rPr>
      </w:pPr>
    </w:p>
    <w:p>
      <w:pPr>
        <w:spacing w:line="360" w:lineRule="auto"/>
        <w:ind w:right="420" w:firstLine="480" w:firstLineChars="200"/>
        <w:jc w:val="right"/>
        <w:rPr>
          <w:rFonts w:ascii="宋体" w:hAnsi="宋体" w:cs="宋体"/>
          <w:sz w:val="24"/>
          <w:highlight w:val="none"/>
        </w:rPr>
      </w:pPr>
      <w:r>
        <w:rPr>
          <w:rFonts w:hint="eastAsia" w:ascii="宋体" w:hAnsi="宋体" w:cs="宋体"/>
          <w:sz w:val="24"/>
          <w:highlight w:val="none"/>
        </w:rPr>
        <w:t>公司（单位）名称（盖章）：　</w:t>
      </w:r>
      <w:r>
        <w:rPr>
          <w:rFonts w:ascii="宋体" w:hAnsi="宋体" w:cs="宋体"/>
          <w:sz w:val="24"/>
          <w:highlight w:val="none"/>
        </w:rPr>
        <w:t>        </w:t>
      </w:r>
    </w:p>
    <w:p>
      <w:pPr>
        <w:spacing w:line="360" w:lineRule="auto"/>
        <w:ind w:right="180" w:firstLine="480" w:firstLineChars="200"/>
        <w:jc w:val="right"/>
        <w:rPr>
          <w:rFonts w:ascii="宋体" w:hAnsi="宋体" w:cs="宋体"/>
          <w:sz w:val="24"/>
          <w:highlight w:val="none"/>
        </w:rPr>
      </w:pPr>
      <w:r>
        <w:rPr>
          <w:rFonts w:hint="eastAsia" w:ascii="宋体" w:hAnsi="宋体" w:cs="宋体"/>
          <w:sz w:val="24"/>
          <w:highlight w:val="none"/>
        </w:rPr>
        <w:t>日期：</w:t>
      </w:r>
      <w:r>
        <w:rPr>
          <w:rFonts w:ascii="宋体" w:hAnsi="宋体" w:cs="宋体"/>
          <w:sz w:val="24"/>
          <w:highlight w:val="none"/>
        </w:rPr>
        <w:t> </w:t>
      </w:r>
      <w:r>
        <w:rPr>
          <w:rFonts w:hint="eastAsia" w:ascii="宋体" w:hAnsi="宋体" w:cs="宋体"/>
          <w:sz w:val="24"/>
          <w:highlight w:val="none"/>
        </w:rPr>
        <w:t xml:space="preserve">  </w:t>
      </w:r>
      <w:r>
        <w:rPr>
          <w:rFonts w:ascii="宋体" w:hAnsi="宋体" w:cs="宋体"/>
          <w:sz w:val="24"/>
          <w:highlight w:val="none"/>
        </w:rPr>
        <w:t> </w:t>
      </w:r>
      <w:r>
        <w:rPr>
          <w:rFonts w:hint="eastAsia" w:ascii="宋体" w:hAnsi="宋体" w:cs="宋体"/>
          <w:sz w:val="24"/>
          <w:highlight w:val="none"/>
        </w:rPr>
        <w:t>年 　</w:t>
      </w:r>
      <w:r>
        <w:rPr>
          <w:rFonts w:ascii="宋体" w:hAnsi="宋体" w:cs="宋体"/>
          <w:sz w:val="24"/>
          <w:highlight w:val="none"/>
        </w:rPr>
        <w:t> </w:t>
      </w:r>
      <w:r>
        <w:rPr>
          <w:rFonts w:hint="eastAsia" w:ascii="宋体" w:hAnsi="宋体" w:cs="宋体"/>
          <w:sz w:val="24"/>
          <w:highlight w:val="none"/>
        </w:rPr>
        <w:t xml:space="preserve">月　 </w:t>
      </w:r>
      <w:r>
        <w:rPr>
          <w:rFonts w:ascii="宋体" w:hAnsi="宋体" w:cs="宋体"/>
          <w:sz w:val="24"/>
          <w:highlight w:val="none"/>
        </w:rPr>
        <w:t> </w:t>
      </w:r>
      <w:r>
        <w:rPr>
          <w:rFonts w:hint="eastAsia" w:ascii="宋体" w:hAnsi="宋体" w:cs="宋体"/>
          <w:sz w:val="24"/>
          <w:highlight w:val="none"/>
        </w:rPr>
        <w:t>日</w:t>
      </w:r>
      <w:r>
        <w:rPr>
          <w:rFonts w:ascii="宋体" w:hAnsi="宋体" w:cs="宋体"/>
          <w:sz w:val="24"/>
          <w:highlight w:val="none"/>
        </w:rPr>
        <w:t>         </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注：</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2.当采购项目或者采购包中含有多种产品，投标人拟享受该政策时提供。当采购项目或者采购包中仅含有单一产品时，无须提供本声明函。</w:t>
      </w:r>
    </w:p>
    <w:p>
      <w:pPr>
        <w:pStyle w:val="6"/>
        <w:rPr>
          <w:highlight w:val="none"/>
        </w:rPr>
      </w:pPr>
    </w:p>
    <w:p>
      <w:pPr>
        <w:pStyle w:val="83"/>
        <w:rPr>
          <w:highlight w:val="none"/>
        </w:rPr>
      </w:pPr>
    </w:p>
    <w:p>
      <w:pPr>
        <w:spacing w:line="360" w:lineRule="auto"/>
        <w:ind w:right="420"/>
        <w:rPr>
          <w:rFonts w:ascii="宋体" w:hAnsi="宋体" w:cs="宋体"/>
          <w:highlight w:val="none"/>
        </w:rPr>
      </w:pPr>
    </w:p>
    <w:p>
      <w:pPr>
        <w:spacing w:line="360" w:lineRule="auto"/>
        <w:rPr>
          <w:rFonts w:ascii="宋体" w:hAnsi="宋体" w:cs="宋体"/>
          <w:bCs/>
          <w:sz w:val="24"/>
          <w:highlight w:val="none"/>
        </w:rPr>
      </w:pPr>
    </w:p>
    <w:sectPr>
      <w:headerReference r:id="rId27" w:type="first"/>
      <w:footerReference r:id="rId30" w:type="first"/>
      <w:headerReference r:id="rId26" w:type="default"/>
      <w:footerReference r:id="rId28" w:type="default"/>
      <w:footerReference r:id="rId29" w:type="even"/>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Calibri Light">
    <w:altName w:val="Calibri"/>
    <w:panose1 w:val="00000000000000000000"/>
    <w:charset w:val="00"/>
    <w:family w:val="swiss"/>
    <w:pitch w:val="default"/>
    <w:sig w:usb0="00000000" w:usb1="00000000" w:usb2="00000000" w:usb3="00000000" w:csb0="200001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szCs w:val="21"/>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103</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4"/>
      </w:pBdr>
      <w:jc w:val="both"/>
      <w:rPr>
        <w:sz w:val="21"/>
        <w:szCs w:val="21"/>
      </w:rPr>
    </w:pPr>
    <w:r>
      <w:rPr>
        <w:rFonts w:hint="eastAsia"/>
      </w:rPr>
      <w:t xml:space="preserve">        </w:t>
    </w:r>
    <w:r>
      <w:rPr>
        <w:rFonts w:hint="eastAsia"/>
        <w:sz w:val="21"/>
        <w:szCs w:val="21"/>
      </w:rPr>
      <w:t xml:space="preserve"> </w:t>
    </w:r>
  </w:p>
  <w:p>
    <w:pPr>
      <w:pStyle w:val="41"/>
      <w:pBdr>
        <w:bottom w:val="single" w:color="auto" w:sz="4" w:space="4"/>
      </w:pBdr>
      <w:jc w:val="right"/>
      <w:rPr>
        <w:rFonts w:ascii="仿宋_GB2312"/>
        <w:i/>
        <w:u w:val="single"/>
      </w:rPr>
    </w:pPr>
    <w:r>
      <w:rPr>
        <w:sz w:val="21"/>
        <w:szCs w:val="21"/>
      </w:rPr>
      <w:t>北海市政府采购公开招标文</w:t>
    </w:r>
    <w:r>
      <w:rPr>
        <w:rFonts w:hint="eastAsia"/>
        <w:sz w:val="21"/>
        <w:szCs w:val="21"/>
      </w:rPr>
      <w:t>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w:t>
    </w:r>
    <w:r>
      <w:rPr>
        <w:rFonts w:hint="eastAsia"/>
      </w:rPr>
      <w:t xml:space="preserve">                 </w:t>
    </w:r>
    <w: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center" w:pos="4535"/>
        <w:tab w:val="right" w:pos="9070"/>
        <w:tab w:val="clear" w:pos="4153"/>
        <w:tab w:val="clear" w:pos="8306"/>
      </w:tabs>
      <w:jc w:val="right"/>
    </w:pPr>
    <w:r>
      <w:rPr>
        <w:lang w:val="zh-CN"/>
      </w:rPr>
      <w:t></w:t>
    </w:r>
    <w:r>
      <w:tab/>
    </w:r>
    <w:r>
      <w:rPr>
        <w:lang w:val="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05E"/>
    <w:multiLevelType w:val="singleLevel"/>
    <w:tmpl w:val="9F27405E"/>
    <w:lvl w:ilvl="0" w:tentative="0">
      <w:start w:val="1"/>
      <w:numFmt w:val="chineseCounting"/>
      <w:suff w:val="space"/>
      <w:lvlText w:val="第%1部分"/>
      <w:lvlJc w:val="left"/>
      <w:rPr>
        <w:rFonts w:hint="eastAsia"/>
      </w:rPr>
    </w:lvl>
  </w:abstractNum>
  <w:abstractNum w:abstractNumId="1">
    <w:nsid w:val="E777D994"/>
    <w:multiLevelType w:val="singleLevel"/>
    <w:tmpl w:val="E777D99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E9"/>
    <w:rsid w:val="00046B29"/>
    <w:rsid w:val="000E4FBE"/>
    <w:rsid w:val="001A0028"/>
    <w:rsid w:val="0026121E"/>
    <w:rsid w:val="003555F0"/>
    <w:rsid w:val="00475841"/>
    <w:rsid w:val="00781EE2"/>
    <w:rsid w:val="007E667E"/>
    <w:rsid w:val="008571C7"/>
    <w:rsid w:val="00A312BF"/>
    <w:rsid w:val="00A97FF4"/>
    <w:rsid w:val="00AF0175"/>
    <w:rsid w:val="00BC32CD"/>
    <w:rsid w:val="00D4024E"/>
    <w:rsid w:val="00DB2904"/>
    <w:rsid w:val="00DB3231"/>
    <w:rsid w:val="00DF76E9"/>
    <w:rsid w:val="00E53BF3"/>
    <w:rsid w:val="00E55A44"/>
    <w:rsid w:val="00F3234E"/>
    <w:rsid w:val="083131D8"/>
    <w:rsid w:val="0F185AB6"/>
    <w:rsid w:val="0F444AFD"/>
    <w:rsid w:val="12281052"/>
    <w:rsid w:val="23D20662"/>
    <w:rsid w:val="35626DF8"/>
    <w:rsid w:val="36531956"/>
    <w:rsid w:val="385B39FB"/>
    <w:rsid w:val="3EA87DFB"/>
    <w:rsid w:val="40D10BE3"/>
    <w:rsid w:val="4219570E"/>
    <w:rsid w:val="5F906570"/>
    <w:rsid w:val="60B5756F"/>
    <w:rsid w:val="645A6B4F"/>
    <w:rsid w:val="798D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4"/>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9"/>
    <w:qFormat/>
    <w:uiPriority w:val="0"/>
    <w:pPr>
      <w:adjustRightInd/>
      <w:spacing w:after="120" w:line="240" w:lineRule="auto"/>
      <w:ind w:left="420" w:leftChars="200" w:firstLine="210"/>
    </w:pPr>
    <w:rPr>
      <w:sz w:val="21"/>
    </w:rPr>
  </w:style>
  <w:style w:type="paragraph" w:styleId="3">
    <w:name w:val="Body Text Indent"/>
    <w:basedOn w:val="1"/>
    <w:next w:val="4"/>
    <w:link w:val="263"/>
    <w:qFormat/>
    <w:uiPriority w:val="0"/>
    <w:pPr>
      <w:spacing w:line="480" w:lineRule="exact"/>
      <w:ind w:firstLine="480" w:firstLineChars="200"/>
    </w:pPr>
    <w:rPr>
      <w:rFonts w:ascii="宋体" w:hAnsi="宋体"/>
      <w:sz w:val="24"/>
    </w:rPr>
  </w:style>
  <w:style w:type="paragraph" w:styleId="4">
    <w:name w:val="Normal Indent"/>
    <w:basedOn w:val="1"/>
    <w:next w:val="3"/>
    <w:link w:val="191"/>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7"/>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0"/>
    <w:qFormat/>
    <w:uiPriority w:val="0"/>
    <w:pPr>
      <w:shd w:val="clear" w:color="auto" w:fill="000080"/>
    </w:pPr>
  </w:style>
  <w:style w:type="paragraph" w:styleId="21">
    <w:name w:val="annotation text"/>
    <w:basedOn w:val="1"/>
    <w:link w:val="342"/>
    <w:qFormat/>
    <w:uiPriority w:val="99"/>
    <w:pPr>
      <w:jc w:val="left"/>
    </w:pPr>
  </w:style>
  <w:style w:type="paragraph" w:styleId="22">
    <w:name w:val="Salutation"/>
    <w:basedOn w:val="1"/>
    <w:next w:val="1"/>
    <w:link w:val="296"/>
    <w:qFormat/>
    <w:uiPriority w:val="0"/>
    <w:rPr>
      <w:rFonts w:ascii="仿宋_GB2312" w:eastAsia="仿宋_GB2312"/>
      <w:sz w:val="28"/>
      <w:szCs w:val="20"/>
    </w:rPr>
  </w:style>
  <w:style w:type="paragraph" w:styleId="23">
    <w:name w:val="Body Text 3"/>
    <w:basedOn w:val="1"/>
    <w:link w:val="328"/>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28"/>
    <w:qFormat/>
    <w:uiPriority w:val="0"/>
    <w:pPr>
      <w:autoSpaceDE w:val="0"/>
      <w:autoSpaceDN w:val="0"/>
      <w:spacing w:line="360" w:lineRule="auto"/>
    </w:pPr>
    <w:rPr>
      <w:rFonts w:ascii="宋体" w:hAnsi="Arial" w:cs="Arial"/>
      <w:snapToGrid w:val="0"/>
      <w:sz w:val="24"/>
      <w:szCs w:val="21"/>
      <w:lang w:val="zh-CN"/>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4"/>
    <w:link w:val="308"/>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94"/>
    <w:qFormat/>
    <w:uiPriority w:val="0"/>
    <w:rPr>
      <w:b/>
      <w:bCs/>
    </w:rPr>
  </w:style>
  <w:style w:type="paragraph" w:styleId="61">
    <w:name w:val="Body Text First Indent"/>
    <w:basedOn w:val="25"/>
    <w:link w:val="319"/>
    <w:qFormat/>
    <w:uiPriority w:val="0"/>
    <w:pPr>
      <w:ind w:firstLine="420"/>
    </w:pPr>
    <w:rPr>
      <w:rFonts w:hAnsi="Calibri" w:cs="Times New Roman"/>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1"/>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10"/>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6"/>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3"/>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4"/>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z w:val="28"/>
    </w:rPr>
  </w:style>
  <w:style w:type="paragraph" w:customStyle="1" w:styleId="197">
    <w:name w:val="3级"/>
    <w:basedOn w:val="198"/>
    <w:link w:val="196"/>
    <w:qFormat/>
    <w:uiPriority w:val="0"/>
    <w:pPr>
      <w:ind w:left="0" w:right="466" w:firstLine="288"/>
    </w:pPr>
    <w:rPr>
      <w:rFonts w:hAnsi="宋体"/>
    </w:rPr>
  </w:style>
  <w:style w:type="paragraph" w:customStyle="1" w:styleId="198">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20"/>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basedOn w:val="69"/>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8"/>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8"/>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6">
    <w:name w:val="列出段落1"/>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3"/>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5"/>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9"/>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2"/>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8"/>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11"/>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1"/>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8"/>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3"/>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1"/>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2"/>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basedOn w:val="69"/>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4"/>
    <w:link w:val="426"/>
    <w:qFormat/>
    <w:uiPriority w:val="0"/>
    <w:pPr>
      <w:widowControl w:val="0"/>
      <w:adjustRightInd/>
      <w:snapToGrid/>
      <w:spacing w:line="360" w:lineRule="auto"/>
      <w:ind w:firstLine="200" w:firstLineChars="200"/>
    </w:pPr>
    <w:rPr>
      <w:rFonts w:ascii="Calibri"/>
      <w:color w:val="auto"/>
      <w:kern w:val="2"/>
      <w:sz w:val="24"/>
    </w:rPr>
  </w:style>
  <w:style w:type="character" w:customStyle="1" w:styleId="428">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8"/>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1">
    <w:name w:val="无间隔2"/>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6"/>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7"/>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9"/>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7"/>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8"/>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4"/>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5"/>
    <w:qFormat/>
    <w:uiPriority w:val="0"/>
    <w:pPr>
      <w:tabs>
        <w:tab w:val="left" w:pos="840"/>
      </w:tabs>
      <w:adjustRightInd/>
      <w:ind w:left="840" w:hanging="420"/>
    </w:pPr>
  </w:style>
  <w:style w:type="paragraph" w:customStyle="1" w:styleId="623">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next w:val="6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正文 A"/>
    <w:next w:val="637"/>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7"/>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7"/>
    <w:qFormat/>
    <w:uiPriority w:val="0"/>
    <w:pPr>
      <w:tabs>
        <w:tab w:val="left" w:pos="1260"/>
        <w:tab w:val="left" w:pos="1680"/>
        <w:tab w:val="left" w:pos="2100"/>
      </w:tabs>
      <w:ind w:left="0"/>
      <w:outlineLvl w:val="3"/>
    </w:pPr>
  </w:style>
  <w:style w:type="paragraph" w:customStyle="1" w:styleId="655">
    <w:name w:val="一级条标题"/>
    <w:basedOn w:val="656"/>
    <w:next w:val="637"/>
    <w:qFormat/>
    <w:uiPriority w:val="0"/>
    <w:pPr>
      <w:tabs>
        <w:tab w:val="left" w:pos="1260"/>
        <w:tab w:val="left" w:pos="1680"/>
      </w:tabs>
      <w:spacing w:before="0" w:beforeLines="0" w:after="0" w:afterLines="0"/>
      <w:ind w:left="1680"/>
      <w:outlineLvl w:val="2"/>
    </w:pPr>
  </w:style>
  <w:style w:type="paragraph" w:customStyle="1" w:styleId="656">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7"/>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8">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4"/>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7"/>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7"/>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7"/>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1"/>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70"/>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7"/>
    <w:qFormat/>
    <w:uiPriority w:val="0"/>
    <w:rPr>
      <w:b w:val="0"/>
      <w:sz w:val="20"/>
    </w:rPr>
  </w:style>
  <w:style w:type="paragraph" w:customStyle="1" w:styleId="891">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9"/>
    <w:next w:val="1"/>
    <w:qFormat/>
    <w:uiPriority w:val="0"/>
    <w:pPr>
      <w:tabs>
        <w:tab w:val="left" w:pos="1080"/>
      </w:tabs>
      <w:ind w:left="1080" w:hanging="1080"/>
    </w:pPr>
  </w:style>
  <w:style w:type="paragraph" w:customStyle="1" w:styleId="894">
    <w:name w:val="数字标题1"/>
    <w:basedOn w:val="5"/>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Title1"/>
    <w:basedOn w:val="1"/>
    <w:next w:val="1"/>
    <w:qFormat/>
    <w:uiPriority w:val="0"/>
    <w:pPr>
      <w:jc w:val="center"/>
      <w:outlineLvl w:val="0"/>
    </w:pPr>
    <w:rPr>
      <w:rFonts w:ascii="Calibri Light" w:hAnsi="Calibri Light" w:eastAsia="Arial Unicode MS"/>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105</Pages>
  <Words>11282</Words>
  <Characters>64309</Characters>
  <Lines>535</Lines>
  <Paragraphs>150</Paragraphs>
  <TotalTime>3</TotalTime>
  <ScaleCrop>false</ScaleCrop>
  <LinksUpToDate>false</LinksUpToDate>
  <CharactersWithSpaces>75441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北海市政府采购中心</dc:creator>
  <cp:lastModifiedBy>wwwww</cp:lastModifiedBy>
  <cp:lastPrinted>2026-06-17T01:41:40Z</cp:lastPrinted>
  <dcterms:modified xsi:type="dcterms:W3CDTF">2026-06-17T08:46:47Z</dcterms:modified>
  <dc:title>北海市政府采购中心</dc:title>
  <cp:revision>500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8C3D7364AA270A6C622F266AF51BB26B_33</vt:lpwstr>
  </property>
  <property fmtid="{D5CDD505-2E9C-101B-9397-08002B2CF9AE}" pid="5" name="KSOTemplateDocerSaveRecord">
    <vt:lpwstr>eyJoZGlkIjoiZWE2Yzg3ZmY1ZWIwYzgzODQwOWVkOTFmNWRkYTBjNDAiLCJ1c2VySWQiOiI0Mjg5MTU5ODEifQ==</vt:lpwstr>
  </property>
</Properties>
</file>