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rFonts w:hint="eastAsia" w:ascii="宋体" w:hAnsi="宋体" w:eastAsia="宋体" w:cs="宋体"/>
          <w:b/>
          <w:color w:val="auto"/>
          <w:sz w:val="36"/>
          <w:szCs w:val="36"/>
          <w:highlight w:val="none"/>
          <w:lang w:eastAsia="zh-CN"/>
        </w:rPr>
      </w:pPr>
      <w:r>
        <w:rPr>
          <w:rFonts w:hint="eastAsia" w:ascii="宋体" w:hAnsi="宋体" w:cs="宋体"/>
          <w:b/>
          <w:color w:val="auto"/>
          <w:sz w:val="36"/>
          <w:szCs w:val="36"/>
          <w:highlight w:val="none"/>
        </w:rPr>
        <w:t>第四部分</w:t>
      </w:r>
      <w:bookmarkStart w:id="0" w:name="_Toc184312080"/>
      <w:bookmarkEnd w:id="0"/>
      <w:bookmarkStart w:id="1" w:name="_Toc184313280"/>
      <w:bookmarkEnd w:id="1"/>
      <w:bookmarkStart w:id="2" w:name="_Toc184313306"/>
      <w:bookmarkEnd w:id="2"/>
      <w:bookmarkStart w:id="3" w:name="_Toc184314411"/>
      <w:bookmarkEnd w:id="3"/>
      <w:bookmarkStart w:id="4" w:name="_Toc184314478"/>
      <w:bookmarkEnd w:id="4"/>
      <w:bookmarkStart w:id="5" w:name="_Toc184313254"/>
      <w:bookmarkEnd w:id="5"/>
      <w:bookmarkStart w:id="6" w:name="_Toc184312090"/>
      <w:bookmarkEnd w:id="6"/>
      <w:bookmarkStart w:id="7" w:name="_Toc184314423"/>
      <w:bookmarkEnd w:id="7"/>
      <w:bookmarkStart w:id="8" w:name="_Toc184308085"/>
      <w:bookmarkEnd w:id="8"/>
      <w:bookmarkStart w:id="9" w:name="_Toc184312124"/>
      <w:bookmarkEnd w:id="9"/>
      <w:bookmarkStart w:id="10" w:name="_Toc184308099"/>
      <w:bookmarkEnd w:id="10"/>
      <w:bookmarkStart w:id="11" w:name="_Toc184310336"/>
      <w:bookmarkEnd w:id="11"/>
      <w:bookmarkStart w:id="12" w:name="_Toc184313255"/>
      <w:bookmarkEnd w:id="12"/>
      <w:bookmarkStart w:id="13" w:name="_Toc184314472"/>
      <w:bookmarkEnd w:id="13"/>
      <w:bookmarkStart w:id="14" w:name="_Toc184310323"/>
      <w:bookmarkEnd w:id="14"/>
      <w:bookmarkStart w:id="15" w:name="_Toc184312077"/>
      <w:bookmarkEnd w:id="15"/>
      <w:bookmarkStart w:id="16" w:name="_Toc184313260"/>
      <w:bookmarkEnd w:id="16"/>
      <w:bookmarkStart w:id="17" w:name="_Toc184310272"/>
      <w:bookmarkEnd w:id="17"/>
      <w:bookmarkStart w:id="18" w:name="_Toc184310334"/>
      <w:bookmarkEnd w:id="18"/>
      <w:bookmarkStart w:id="19" w:name="_Toc184314476"/>
      <w:bookmarkEnd w:id="19"/>
      <w:bookmarkStart w:id="20" w:name="_Toc184308084"/>
      <w:bookmarkEnd w:id="20"/>
      <w:bookmarkStart w:id="21" w:name="_Toc184308049"/>
      <w:bookmarkEnd w:id="21"/>
      <w:bookmarkStart w:id="22" w:name="_Toc184314460"/>
      <w:bookmarkEnd w:id="22"/>
      <w:bookmarkStart w:id="23" w:name="_Toc184308047"/>
      <w:bookmarkEnd w:id="23"/>
      <w:bookmarkStart w:id="24" w:name="_Toc184310340"/>
      <w:bookmarkEnd w:id="24"/>
      <w:bookmarkStart w:id="25" w:name="_Toc184312086"/>
      <w:bookmarkEnd w:id="25"/>
      <w:bookmarkStart w:id="26" w:name="_Toc184312109"/>
      <w:bookmarkEnd w:id="26"/>
      <w:bookmarkStart w:id="27" w:name="_Toc184310319"/>
      <w:bookmarkEnd w:id="27"/>
      <w:bookmarkStart w:id="28" w:name="_Toc184310306"/>
      <w:bookmarkEnd w:id="28"/>
      <w:bookmarkStart w:id="29" w:name="_Toc184310338"/>
      <w:bookmarkEnd w:id="29"/>
      <w:bookmarkStart w:id="30" w:name="_Toc184314444"/>
      <w:bookmarkEnd w:id="30"/>
      <w:bookmarkStart w:id="31" w:name="_Toc184314437"/>
      <w:bookmarkEnd w:id="31"/>
      <w:bookmarkStart w:id="32" w:name="_Toc184314454"/>
      <w:bookmarkEnd w:id="32"/>
      <w:bookmarkStart w:id="33" w:name="_Toc184310316"/>
      <w:bookmarkEnd w:id="33"/>
      <w:bookmarkStart w:id="34" w:name="_Toc184312083"/>
      <w:bookmarkEnd w:id="34"/>
      <w:bookmarkStart w:id="35" w:name="_Toc184310329"/>
      <w:bookmarkEnd w:id="35"/>
      <w:bookmarkStart w:id="36" w:name="_Toc184310281"/>
      <w:bookmarkEnd w:id="36"/>
      <w:bookmarkStart w:id="37" w:name="_Toc184313261"/>
      <w:bookmarkEnd w:id="37"/>
      <w:bookmarkStart w:id="38" w:name="_Toc184310283"/>
      <w:bookmarkEnd w:id="38"/>
      <w:bookmarkStart w:id="39" w:name="_Toc184308066"/>
      <w:bookmarkEnd w:id="39"/>
      <w:bookmarkStart w:id="40" w:name="_Toc184314475"/>
      <w:bookmarkEnd w:id="40"/>
      <w:bookmarkStart w:id="41" w:name="_Toc184310298"/>
      <w:bookmarkEnd w:id="41"/>
      <w:bookmarkStart w:id="42" w:name="_Toc184310327"/>
      <w:bookmarkEnd w:id="42"/>
      <w:bookmarkStart w:id="43" w:name="_Toc184313302"/>
      <w:bookmarkEnd w:id="43"/>
      <w:bookmarkStart w:id="44" w:name="_Toc184310280"/>
      <w:bookmarkEnd w:id="44"/>
      <w:bookmarkStart w:id="45" w:name="_Toc184310303"/>
      <w:bookmarkEnd w:id="45"/>
      <w:bookmarkStart w:id="46" w:name="_Toc184312087"/>
      <w:bookmarkEnd w:id="46"/>
      <w:bookmarkStart w:id="47" w:name="_Toc184314428"/>
      <w:bookmarkEnd w:id="47"/>
      <w:bookmarkStart w:id="48" w:name="_Toc184308100"/>
      <w:bookmarkEnd w:id="48"/>
      <w:bookmarkStart w:id="49" w:name="_Toc184312079"/>
      <w:bookmarkEnd w:id="49"/>
      <w:bookmarkStart w:id="50" w:name="_Toc184308080"/>
      <w:bookmarkEnd w:id="50"/>
      <w:bookmarkStart w:id="51" w:name="_Toc184314436"/>
      <w:bookmarkEnd w:id="51"/>
      <w:bookmarkStart w:id="52" w:name="_Toc184313296"/>
      <w:bookmarkEnd w:id="52"/>
      <w:bookmarkStart w:id="53" w:name="_Toc184313279"/>
      <w:bookmarkEnd w:id="53"/>
      <w:bookmarkStart w:id="54" w:name="_Toc184314468"/>
      <w:bookmarkEnd w:id="54"/>
      <w:bookmarkStart w:id="55" w:name="_Toc184308074"/>
      <w:bookmarkEnd w:id="55"/>
      <w:bookmarkStart w:id="56" w:name="_Toc184310307"/>
      <w:bookmarkEnd w:id="56"/>
      <w:bookmarkStart w:id="57" w:name="_Toc184308051"/>
      <w:bookmarkEnd w:id="57"/>
      <w:bookmarkStart w:id="58" w:name="_Toc184314450"/>
      <w:bookmarkEnd w:id="58"/>
      <w:bookmarkStart w:id="59" w:name="_Toc184310337"/>
      <w:bookmarkEnd w:id="59"/>
      <w:bookmarkStart w:id="60" w:name="_Toc184312113"/>
      <w:bookmarkEnd w:id="60"/>
      <w:bookmarkStart w:id="61" w:name="_Toc184312131"/>
      <w:bookmarkEnd w:id="61"/>
      <w:bookmarkStart w:id="62" w:name="_Toc184313281"/>
      <w:bookmarkEnd w:id="62"/>
      <w:bookmarkStart w:id="63" w:name="_Toc184308039"/>
      <w:bookmarkEnd w:id="63"/>
      <w:bookmarkStart w:id="64" w:name="_Toc184312088"/>
      <w:bookmarkEnd w:id="64"/>
      <w:bookmarkStart w:id="65" w:name="_Toc184312132"/>
      <w:bookmarkEnd w:id="65"/>
      <w:bookmarkStart w:id="66" w:name="_Toc184312118"/>
      <w:bookmarkEnd w:id="66"/>
      <w:bookmarkStart w:id="67" w:name="_Toc184313256"/>
      <w:bookmarkEnd w:id="67"/>
      <w:bookmarkStart w:id="68" w:name="_Toc184308073"/>
      <w:bookmarkEnd w:id="68"/>
      <w:bookmarkStart w:id="69" w:name="_Toc184312127"/>
      <w:bookmarkEnd w:id="69"/>
      <w:bookmarkStart w:id="70" w:name="_Toc184310273"/>
      <w:bookmarkEnd w:id="70"/>
      <w:bookmarkStart w:id="71" w:name="_Toc184308078"/>
      <w:bookmarkEnd w:id="71"/>
      <w:bookmarkStart w:id="72" w:name="_Toc184312138"/>
      <w:bookmarkEnd w:id="72"/>
      <w:bookmarkStart w:id="73" w:name="_Toc184313273"/>
      <w:bookmarkEnd w:id="73"/>
      <w:bookmarkStart w:id="74" w:name="_Toc184313282"/>
      <w:bookmarkEnd w:id="74"/>
      <w:bookmarkStart w:id="75" w:name="_Toc184314413"/>
      <w:bookmarkEnd w:id="75"/>
      <w:bookmarkStart w:id="76" w:name="_Toc184314469"/>
      <w:bookmarkEnd w:id="76"/>
      <w:bookmarkStart w:id="77" w:name="_Toc184314419"/>
      <w:bookmarkEnd w:id="77"/>
      <w:bookmarkStart w:id="78" w:name="_Toc184313286"/>
      <w:bookmarkEnd w:id="78"/>
      <w:bookmarkStart w:id="79" w:name="_Toc184314430"/>
      <w:bookmarkEnd w:id="79"/>
      <w:bookmarkStart w:id="80" w:name="_Toc184313291"/>
      <w:bookmarkEnd w:id="80"/>
      <w:bookmarkStart w:id="81" w:name="_Toc184310302"/>
      <w:bookmarkEnd w:id="81"/>
      <w:bookmarkStart w:id="82" w:name="_Toc184310325"/>
      <w:bookmarkEnd w:id="82"/>
      <w:bookmarkStart w:id="83" w:name="_Toc184312125"/>
      <w:bookmarkEnd w:id="83"/>
      <w:bookmarkStart w:id="84" w:name="_Toc184308056"/>
      <w:bookmarkEnd w:id="84"/>
      <w:bookmarkStart w:id="85" w:name="_Toc184310284"/>
      <w:bookmarkEnd w:id="85"/>
      <w:bookmarkStart w:id="86" w:name="_Toc184313269"/>
      <w:bookmarkEnd w:id="86"/>
      <w:bookmarkStart w:id="87" w:name="_Toc184313240"/>
      <w:bookmarkEnd w:id="87"/>
      <w:bookmarkStart w:id="88" w:name="_Toc184312112"/>
      <w:bookmarkEnd w:id="88"/>
      <w:bookmarkStart w:id="89" w:name="_Toc184312137"/>
      <w:bookmarkEnd w:id="89"/>
      <w:bookmarkStart w:id="90" w:name="_Toc184313263"/>
      <w:bookmarkEnd w:id="90"/>
      <w:bookmarkStart w:id="91" w:name="_Toc184308093"/>
      <w:bookmarkEnd w:id="91"/>
      <w:bookmarkStart w:id="92" w:name="_Toc184308077"/>
      <w:bookmarkEnd w:id="92"/>
      <w:bookmarkStart w:id="93" w:name="_Toc184308086"/>
      <w:bookmarkEnd w:id="93"/>
      <w:bookmarkStart w:id="94" w:name="_Toc184313274"/>
      <w:bookmarkEnd w:id="94"/>
      <w:bookmarkStart w:id="95" w:name="_Toc184314458"/>
      <w:bookmarkEnd w:id="95"/>
      <w:bookmarkStart w:id="96" w:name="_Toc184312122"/>
      <w:bookmarkEnd w:id="96"/>
      <w:bookmarkStart w:id="97" w:name="_Toc184310276"/>
      <w:bookmarkEnd w:id="97"/>
      <w:bookmarkStart w:id="98" w:name="_Toc184313275"/>
      <w:bookmarkEnd w:id="98"/>
      <w:bookmarkStart w:id="99" w:name="_Toc184310314"/>
      <w:bookmarkEnd w:id="99"/>
      <w:bookmarkStart w:id="100" w:name="_Toc184312099"/>
      <w:bookmarkEnd w:id="100"/>
      <w:bookmarkStart w:id="101" w:name="_Toc184314421"/>
      <w:bookmarkEnd w:id="101"/>
      <w:bookmarkStart w:id="102" w:name="_Toc184308098"/>
      <w:bookmarkEnd w:id="102"/>
      <w:bookmarkStart w:id="103" w:name="_Toc184310342"/>
      <w:bookmarkEnd w:id="103"/>
      <w:bookmarkStart w:id="104" w:name="_Toc184312129"/>
      <w:bookmarkEnd w:id="104"/>
      <w:bookmarkStart w:id="105" w:name="_Toc184313248"/>
      <w:bookmarkEnd w:id="105"/>
      <w:bookmarkStart w:id="106" w:name="_Toc184310332"/>
      <w:bookmarkEnd w:id="106"/>
      <w:bookmarkStart w:id="107" w:name="_Toc184313305"/>
      <w:bookmarkEnd w:id="107"/>
      <w:bookmarkStart w:id="108" w:name="_Toc184308088"/>
      <w:bookmarkEnd w:id="108"/>
      <w:bookmarkStart w:id="109" w:name="_Toc184312104"/>
      <w:bookmarkEnd w:id="109"/>
      <w:bookmarkStart w:id="110" w:name="_Toc184312091"/>
      <w:bookmarkEnd w:id="110"/>
      <w:bookmarkStart w:id="111" w:name="_Toc184308048"/>
      <w:bookmarkEnd w:id="111"/>
      <w:bookmarkStart w:id="112" w:name="_Toc184310290"/>
      <w:bookmarkEnd w:id="112"/>
      <w:bookmarkStart w:id="113" w:name="_Toc184312068"/>
      <w:bookmarkEnd w:id="113"/>
      <w:bookmarkStart w:id="114" w:name="_Toc184314425"/>
      <w:bookmarkEnd w:id="114"/>
      <w:bookmarkStart w:id="115" w:name="_Toc184312119"/>
      <w:bookmarkEnd w:id="115"/>
      <w:bookmarkStart w:id="116" w:name="_Toc184308081"/>
      <w:bookmarkEnd w:id="116"/>
      <w:bookmarkStart w:id="117" w:name="_Toc184314453"/>
      <w:bookmarkEnd w:id="117"/>
      <w:bookmarkStart w:id="118" w:name="_Toc184308037"/>
      <w:bookmarkEnd w:id="118"/>
      <w:bookmarkStart w:id="119" w:name="_Toc184308102"/>
      <w:bookmarkEnd w:id="119"/>
      <w:bookmarkStart w:id="120" w:name="_Toc184312106"/>
      <w:bookmarkEnd w:id="120"/>
      <w:bookmarkStart w:id="121" w:name="_Toc184308054"/>
      <w:bookmarkEnd w:id="121"/>
      <w:bookmarkStart w:id="122" w:name="_Toc184312072"/>
      <w:bookmarkEnd w:id="122"/>
      <w:bookmarkStart w:id="123" w:name="_Toc184310330"/>
      <w:bookmarkEnd w:id="123"/>
      <w:bookmarkStart w:id="124" w:name="_Toc184312121"/>
      <w:bookmarkEnd w:id="124"/>
      <w:bookmarkStart w:id="125" w:name="_Toc184308044"/>
      <w:bookmarkEnd w:id="125"/>
      <w:bookmarkStart w:id="126" w:name="_Toc184310304"/>
      <w:bookmarkEnd w:id="126"/>
      <w:bookmarkStart w:id="127" w:name="_Toc184314434"/>
      <w:bookmarkEnd w:id="127"/>
      <w:bookmarkStart w:id="128" w:name="_Toc184308092"/>
      <w:bookmarkEnd w:id="128"/>
      <w:bookmarkStart w:id="129" w:name="_Toc184314466"/>
      <w:bookmarkEnd w:id="129"/>
      <w:bookmarkStart w:id="130" w:name="_Toc184314456"/>
      <w:bookmarkEnd w:id="130"/>
      <w:bookmarkStart w:id="131" w:name="_Toc184310339"/>
      <w:bookmarkEnd w:id="131"/>
      <w:bookmarkStart w:id="132" w:name="_Toc184313304"/>
      <w:bookmarkEnd w:id="132"/>
      <w:bookmarkStart w:id="133" w:name="_Toc184314420"/>
      <w:bookmarkEnd w:id="133"/>
      <w:bookmarkStart w:id="134" w:name="_Toc184310288"/>
      <w:bookmarkEnd w:id="134"/>
      <w:bookmarkStart w:id="135" w:name="_Toc184312085"/>
      <w:bookmarkEnd w:id="135"/>
      <w:bookmarkStart w:id="136" w:name="_Toc184314443"/>
      <w:bookmarkEnd w:id="136"/>
      <w:bookmarkStart w:id="137" w:name="_Toc184312095"/>
      <w:bookmarkEnd w:id="137"/>
      <w:bookmarkStart w:id="138" w:name="_Toc184314459"/>
      <w:bookmarkEnd w:id="138"/>
      <w:bookmarkStart w:id="139" w:name="_Toc184313267"/>
      <w:bookmarkEnd w:id="139"/>
      <w:bookmarkStart w:id="140" w:name="_Toc184314445"/>
      <w:bookmarkEnd w:id="140"/>
      <w:bookmarkStart w:id="141" w:name="_Toc184314449"/>
      <w:bookmarkEnd w:id="141"/>
      <w:bookmarkStart w:id="142" w:name="_Toc184313251"/>
      <w:bookmarkEnd w:id="142"/>
      <w:bookmarkStart w:id="143" w:name="_Toc184312117"/>
      <w:bookmarkEnd w:id="143"/>
      <w:bookmarkStart w:id="144" w:name="_Toc184313310"/>
      <w:bookmarkEnd w:id="144"/>
      <w:bookmarkStart w:id="145" w:name="_Toc184313265"/>
      <w:bookmarkEnd w:id="145"/>
      <w:bookmarkStart w:id="146" w:name="_Toc184312136"/>
      <w:bookmarkEnd w:id="146"/>
      <w:bookmarkStart w:id="147" w:name="_Toc184312133"/>
      <w:bookmarkEnd w:id="147"/>
      <w:bookmarkStart w:id="148" w:name="_Toc184314463"/>
      <w:bookmarkEnd w:id="148"/>
      <w:bookmarkStart w:id="149" w:name="_Toc184312092"/>
      <w:bookmarkEnd w:id="149"/>
      <w:bookmarkStart w:id="150" w:name="_Toc184308043"/>
      <w:bookmarkEnd w:id="150"/>
      <w:bookmarkStart w:id="151" w:name="_Toc184308106"/>
      <w:bookmarkEnd w:id="151"/>
      <w:bookmarkStart w:id="152" w:name="_Toc184312071"/>
      <w:bookmarkEnd w:id="152"/>
      <w:bookmarkStart w:id="153" w:name="_Toc184308063"/>
      <w:bookmarkEnd w:id="153"/>
      <w:bookmarkStart w:id="154" w:name="_Toc184314446"/>
      <w:bookmarkEnd w:id="154"/>
      <w:bookmarkStart w:id="155" w:name="_Toc184310317"/>
      <w:bookmarkEnd w:id="155"/>
      <w:bookmarkStart w:id="156" w:name="_Toc184313258"/>
      <w:bookmarkEnd w:id="156"/>
      <w:bookmarkStart w:id="157" w:name="_Toc184308068"/>
      <w:bookmarkEnd w:id="157"/>
      <w:bookmarkStart w:id="158" w:name="_Toc184313299"/>
      <w:bookmarkEnd w:id="158"/>
      <w:bookmarkStart w:id="159" w:name="_Toc184310309"/>
      <w:bookmarkEnd w:id="159"/>
      <w:bookmarkStart w:id="160" w:name="_Toc184314447"/>
      <w:bookmarkEnd w:id="160"/>
      <w:bookmarkStart w:id="161" w:name="_Toc184313301"/>
      <w:bookmarkEnd w:id="161"/>
      <w:bookmarkStart w:id="162" w:name="_Toc184312082"/>
      <w:bookmarkEnd w:id="162"/>
      <w:bookmarkStart w:id="163" w:name="_Toc184312116"/>
      <w:bookmarkEnd w:id="163"/>
      <w:bookmarkStart w:id="164" w:name="_Toc184312115"/>
      <w:bookmarkEnd w:id="164"/>
      <w:bookmarkStart w:id="165" w:name="_Toc184310300"/>
      <w:bookmarkEnd w:id="165"/>
      <w:bookmarkStart w:id="166" w:name="_Toc184314426"/>
      <w:bookmarkEnd w:id="166"/>
      <w:bookmarkStart w:id="167" w:name="_Toc184310289"/>
      <w:bookmarkEnd w:id="167"/>
      <w:bookmarkStart w:id="168" w:name="_Toc184312111"/>
      <w:bookmarkEnd w:id="168"/>
      <w:bookmarkStart w:id="169" w:name="_Toc184313285"/>
      <w:bookmarkEnd w:id="169"/>
      <w:bookmarkStart w:id="170" w:name="_Toc184314479"/>
      <w:bookmarkEnd w:id="170"/>
      <w:bookmarkStart w:id="171" w:name="_Toc184312105"/>
      <w:bookmarkEnd w:id="171"/>
      <w:bookmarkStart w:id="172" w:name="_Toc184310318"/>
      <w:bookmarkEnd w:id="172"/>
      <w:bookmarkStart w:id="173" w:name="_Toc184310277"/>
      <w:bookmarkEnd w:id="173"/>
      <w:bookmarkStart w:id="174" w:name="_Toc184313297"/>
      <w:bookmarkEnd w:id="174"/>
      <w:bookmarkStart w:id="175" w:name="_Toc184310308"/>
      <w:bookmarkEnd w:id="175"/>
      <w:bookmarkStart w:id="176" w:name="_Toc184314412"/>
      <w:bookmarkEnd w:id="176"/>
      <w:bookmarkStart w:id="177" w:name="_Toc184314422"/>
      <w:bookmarkEnd w:id="177"/>
      <w:bookmarkStart w:id="178" w:name="_Toc184314433"/>
      <w:bookmarkEnd w:id="178"/>
      <w:bookmarkStart w:id="179" w:name="_Toc184310297"/>
      <w:bookmarkEnd w:id="179"/>
      <w:bookmarkStart w:id="180" w:name="_Toc184312098"/>
      <w:bookmarkEnd w:id="180"/>
      <w:bookmarkStart w:id="181" w:name="_Toc184310299"/>
      <w:bookmarkEnd w:id="181"/>
      <w:bookmarkStart w:id="182" w:name="_Toc184308082"/>
      <w:bookmarkEnd w:id="182"/>
      <w:bookmarkStart w:id="183" w:name="_Toc184308055"/>
      <w:bookmarkEnd w:id="183"/>
      <w:bookmarkStart w:id="184" w:name="_Toc184313239"/>
      <w:bookmarkEnd w:id="184"/>
      <w:bookmarkStart w:id="185" w:name="_Toc184312123"/>
      <w:bookmarkEnd w:id="185"/>
      <w:bookmarkStart w:id="186" w:name="_Toc184313259"/>
      <w:bookmarkEnd w:id="186"/>
      <w:bookmarkStart w:id="187" w:name="_Toc184310324"/>
      <w:bookmarkEnd w:id="187"/>
      <w:bookmarkStart w:id="188" w:name="_Toc184310296"/>
      <w:bookmarkEnd w:id="188"/>
      <w:bookmarkStart w:id="189" w:name="_Toc184313272"/>
      <w:bookmarkEnd w:id="189"/>
      <w:bookmarkStart w:id="190" w:name="_Toc184308045"/>
      <w:bookmarkEnd w:id="190"/>
      <w:bookmarkStart w:id="191" w:name="_Toc184312135"/>
      <w:bookmarkEnd w:id="191"/>
      <w:bookmarkStart w:id="192" w:name="_Toc184314473"/>
      <w:bookmarkEnd w:id="192"/>
      <w:bookmarkStart w:id="193" w:name="_Toc184314441"/>
      <w:bookmarkEnd w:id="193"/>
      <w:bookmarkStart w:id="194" w:name="_Toc184310286"/>
      <w:bookmarkEnd w:id="194"/>
      <w:bookmarkStart w:id="195" w:name="_Toc184308070"/>
      <w:bookmarkEnd w:id="195"/>
      <w:bookmarkStart w:id="196" w:name="_Toc184314461"/>
      <w:bookmarkEnd w:id="196"/>
      <w:bookmarkStart w:id="197" w:name="_Toc184314431"/>
      <w:bookmarkEnd w:id="197"/>
      <w:bookmarkStart w:id="198" w:name="_Toc184308064"/>
      <w:bookmarkEnd w:id="198"/>
      <w:bookmarkStart w:id="199" w:name="_Toc184310287"/>
      <w:bookmarkEnd w:id="199"/>
      <w:bookmarkStart w:id="200" w:name="_Toc184313245"/>
      <w:bookmarkEnd w:id="200"/>
      <w:bookmarkStart w:id="201" w:name="_Toc184310312"/>
      <w:bookmarkEnd w:id="201"/>
      <w:bookmarkStart w:id="202" w:name="_Toc184310315"/>
      <w:bookmarkEnd w:id="202"/>
      <w:bookmarkStart w:id="203" w:name="_Toc184313298"/>
      <w:bookmarkEnd w:id="203"/>
      <w:bookmarkStart w:id="204" w:name="_Toc184313292"/>
      <w:bookmarkEnd w:id="204"/>
      <w:bookmarkStart w:id="205" w:name="_Toc184312110"/>
      <w:bookmarkEnd w:id="205"/>
      <w:bookmarkStart w:id="206" w:name="_Toc184310292"/>
      <w:bookmarkEnd w:id="206"/>
      <w:bookmarkStart w:id="207" w:name="_Toc184308050"/>
      <w:bookmarkEnd w:id="207"/>
      <w:bookmarkStart w:id="208" w:name="_Toc184312096"/>
      <w:bookmarkEnd w:id="208"/>
      <w:bookmarkStart w:id="209" w:name="_Toc184308083"/>
      <w:bookmarkEnd w:id="209"/>
      <w:bookmarkStart w:id="210" w:name="_Toc184314462"/>
      <w:bookmarkEnd w:id="210"/>
      <w:bookmarkStart w:id="211" w:name="_Toc184312101"/>
      <w:bookmarkEnd w:id="211"/>
      <w:bookmarkStart w:id="212" w:name="_Toc184310279"/>
      <w:bookmarkEnd w:id="212"/>
      <w:bookmarkStart w:id="213" w:name="_Toc184308040"/>
      <w:bookmarkEnd w:id="213"/>
      <w:bookmarkStart w:id="214" w:name="_Toc184314465"/>
      <w:bookmarkEnd w:id="214"/>
      <w:bookmarkStart w:id="215" w:name="_Toc184313241"/>
      <w:bookmarkEnd w:id="215"/>
      <w:bookmarkStart w:id="216" w:name="_Toc184314464"/>
      <w:bookmarkEnd w:id="216"/>
      <w:bookmarkStart w:id="217" w:name="_Toc184312114"/>
      <w:bookmarkEnd w:id="217"/>
      <w:bookmarkStart w:id="218" w:name="_Toc184312102"/>
      <w:bookmarkEnd w:id="218"/>
      <w:bookmarkStart w:id="219" w:name="_Toc184313307"/>
      <w:bookmarkEnd w:id="219"/>
      <w:bookmarkStart w:id="220" w:name="_Toc184310328"/>
      <w:bookmarkEnd w:id="220"/>
      <w:bookmarkStart w:id="221" w:name="_Toc184312078"/>
      <w:bookmarkEnd w:id="221"/>
      <w:bookmarkStart w:id="222" w:name="_Toc184314482"/>
      <w:bookmarkEnd w:id="222"/>
      <w:bookmarkStart w:id="223" w:name="_Toc184312130"/>
      <w:bookmarkEnd w:id="223"/>
      <w:bookmarkStart w:id="224" w:name="_Toc184312089"/>
      <w:bookmarkEnd w:id="224"/>
      <w:bookmarkStart w:id="225" w:name="_Toc184308059"/>
      <w:bookmarkEnd w:id="225"/>
      <w:bookmarkStart w:id="226" w:name="_Toc184312128"/>
      <w:bookmarkEnd w:id="226"/>
      <w:bookmarkStart w:id="227" w:name="_Toc184310282"/>
      <w:bookmarkEnd w:id="227"/>
      <w:bookmarkStart w:id="228" w:name="_Toc184310341"/>
      <w:bookmarkEnd w:id="228"/>
      <w:bookmarkStart w:id="229" w:name="_Toc184314418"/>
      <w:bookmarkEnd w:id="229"/>
      <w:bookmarkStart w:id="230" w:name="_Toc184314410"/>
      <w:bookmarkEnd w:id="230"/>
      <w:bookmarkStart w:id="231" w:name="_Toc184312097"/>
      <w:bookmarkEnd w:id="231"/>
      <w:bookmarkStart w:id="232" w:name="_Toc184314455"/>
      <w:bookmarkEnd w:id="232"/>
      <w:bookmarkStart w:id="233" w:name="_Toc184310313"/>
      <w:bookmarkEnd w:id="233"/>
      <w:bookmarkStart w:id="234" w:name="_Toc184308104"/>
      <w:bookmarkEnd w:id="234"/>
      <w:bookmarkStart w:id="235" w:name="_Toc184310295"/>
      <w:bookmarkEnd w:id="235"/>
      <w:bookmarkStart w:id="236" w:name="_Toc184310305"/>
      <w:bookmarkEnd w:id="236"/>
      <w:bookmarkStart w:id="237" w:name="_Toc184308096"/>
      <w:bookmarkEnd w:id="237"/>
      <w:bookmarkStart w:id="238" w:name="_Toc184314467"/>
      <w:bookmarkEnd w:id="238"/>
      <w:bookmarkStart w:id="239" w:name="_Toc184308108"/>
      <w:bookmarkEnd w:id="239"/>
      <w:bookmarkStart w:id="240" w:name="_Toc184313243"/>
      <w:bookmarkEnd w:id="240"/>
      <w:bookmarkStart w:id="241" w:name="_Toc184312067"/>
      <w:bookmarkEnd w:id="241"/>
      <w:bookmarkStart w:id="242" w:name="_Toc184313271"/>
      <w:bookmarkEnd w:id="242"/>
      <w:bookmarkStart w:id="243" w:name="_Toc184314435"/>
      <w:bookmarkEnd w:id="243"/>
      <w:bookmarkStart w:id="244" w:name="_Toc184313242"/>
      <w:bookmarkEnd w:id="244"/>
      <w:bookmarkStart w:id="245" w:name="_Toc184314457"/>
      <w:bookmarkEnd w:id="245"/>
      <w:bookmarkStart w:id="246" w:name="_Toc184310343"/>
      <w:bookmarkEnd w:id="246"/>
      <w:bookmarkStart w:id="247" w:name="_Toc184310344"/>
      <w:bookmarkEnd w:id="247"/>
      <w:bookmarkStart w:id="248" w:name="_Toc184312134"/>
      <w:bookmarkEnd w:id="248"/>
      <w:bookmarkStart w:id="249" w:name="_Toc184314438"/>
      <w:bookmarkEnd w:id="249"/>
      <w:bookmarkStart w:id="250" w:name="_Toc184314417"/>
      <w:bookmarkEnd w:id="250"/>
      <w:bookmarkStart w:id="251" w:name="_Toc184312094"/>
      <w:bookmarkEnd w:id="251"/>
      <w:bookmarkStart w:id="252" w:name="_Toc184313288"/>
      <w:bookmarkEnd w:id="252"/>
      <w:bookmarkStart w:id="253" w:name="_Toc184313253"/>
      <w:bookmarkEnd w:id="253"/>
      <w:bookmarkStart w:id="254" w:name="_Toc184308069"/>
      <w:bookmarkEnd w:id="254"/>
      <w:bookmarkStart w:id="255" w:name="_Toc184313278"/>
      <w:bookmarkEnd w:id="255"/>
      <w:bookmarkStart w:id="256" w:name="_Toc184312070"/>
      <w:bookmarkEnd w:id="256"/>
      <w:bookmarkStart w:id="257" w:name="_Toc184310321"/>
      <w:bookmarkEnd w:id="257"/>
      <w:bookmarkStart w:id="258" w:name="_Toc184312069"/>
      <w:bookmarkEnd w:id="258"/>
      <w:bookmarkStart w:id="259" w:name="_Toc184310333"/>
      <w:bookmarkEnd w:id="259"/>
      <w:bookmarkStart w:id="260" w:name="_Toc184312075"/>
      <w:bookmarkEnd w:id="260"/>
      <w:bookmarkStart w:id="261" w:name="_Toc184308061"/>
      <w:bookmarkEnd w:id="261"/>
      <w:bookmarkStart w:id="262" w:name="_Toc184313249"/>
      <w:bookmarkEnd w:id="262"/>
      <w:bookmarkStart w:id="263" w:name="_Toc184310278"/>
      <w:bookmarkEnd w:id="263"/>
      <w:bookmarkStart w:id="264" w:name="_Toc184314416"/>
      <w:bookmarkEnd w:id="264"/>
      <w:bookmarkStart w:id="265" w:name="_Toc184314424"/>
      <w:bookmarkEnd w:id="265"/>
      <w:bookmarkStart w:id="266" w:name="_Toc184313295"/>
      <w:bookmarkEnd w:id="266"/>
      <w:bookmarkStart w:id="267" w:name="_Toc184314474"/>
      <w:bookmarkEnd w:id="267"/>
      <w:bookmarkStart w:id="268" w:name="_Toc184308038"/>
      <w:bookmarkEnd w:id="268"/>
      <w:bookmarkStart w:id="269" w:name="_Toc184310294"/>
      <w:bookmarkEnd w:id="269"/>
      <w:bookmarkStart w:id="270" w:name="_Toc184314451"/>
      <w:bookmarkEnd w:id="270"/>
      <w:bookmarkStart w:id="271" w:name="_Toc184313287"/>
      <w:bookmarkEnd w:id="271"/>
      <w:bookmarkStart w:id="272" w:name="_Toc184310326"/>
      <w:bookmarkEnd w:id="272"/>
      <w:bookmarkStart w:id="273" w:name="_Toc184312120"/>
      <w:bookmarkEnd w:id="273"/>
      <w:bookmarkStart w:id="274" w:name="_Toc184312073"/>
      <w:bookmarkEnd w:id="274"/>
      <w:bookmarkStart w:id="275" w:name="_Toc184314477"/>
      <w:bookmarkEnd w:id="275"/>
      <w:bookmarkStart w:id="276" w:name="_Toc184308097"/>
      <w:bookmarkEnd w:id="276"/>
      <w:bookmarkStart w:id="277" w:name="_Toc184308062"/>
      <w:bookmarkEnd w:id="277"/>
      <w:bookmarkStart w:id="278" w:name="_Toc184310293"/>
      <w:bookmarkEnd w:id="278"/>
      <w:bookmarkStart w:id="279" w:name="_Toc184308057"/>
      <w:bookmarkEnd w:id="279"/>
      <w:bookmarkStart w:id="280" w:name="_Toc184312139"/>
      <w:bookmarkEnd w:id="280"/>
      <w:bookmarkStart w:id="281" w:name="_Toc184313276"/>
      <w:bookmarkEnd w:id="281"/>
      <w:bookmarkStart w:id="282" w:name="_Toc184314470"/>
      <w:bookmarkEnd w:id="282"/>
      <w:bookmarkStart w:id="283" w:name="_Toc184313268"/>
      <w:bookmarkEnd w:id="283"/>
      <w:bookmarkStart w:id="284" w:name="_Toc184308076"/>
      <w:bookmarkEnd w:id="284"/>
      <w:bookmarkStart w:id="285" w:name="_Toc184308101"/>
      <w:bookmarkEnd w:id="285"/>
      <w:bookmarkStart w:id="286" w:name="_Toc184314471"/>
      <w:bookmarkEnd w:id="286"/>
      <w:bookmarkStart w:id="287" w:name="_Toc184308053"/>
      <w:bookmarkEnd w:id="287"/>
      <w:bookmarkStart w:id="288" w:name="_Toc184313262"/>
      <w:bookmarkEnd w:id="288"/>
      <w:bookmarkStart w:id="289" w:name="_Toc184310320"/>
      <w:bookmarkEnd w:id="289"/>
      <w:bookmarkStart w:id="290" w:name="_Toc184310311"/>
      <w:bookmarkEnd w:id="290"/>
      <w:bookmarkStart w:id="291" w:name="_Toc184308065"/>
      <w:bookmarkEnd w:id="291"/>
      <w:bookmarkStart w:id="292" w:name="_Toc184313247"/>
      <w:bookmarkEnd w:id="292"/>
      <w:bookmarkStart w:id="293" w:name="_Toc184314448"/>
      <w:bookmarkEnd w:id="293"/>
      <w:bookmarkStart w:id="294" w:name="_Toc184313250"/>
      <w:bookmarkEnd w:id="294"/>
      <w:bookmarkStart w:id="295" w:name="_Toc184313283"/>
      <w:bookmarkEnd w:id="295"/>
      <w:bookmarkStart w:id="296" w:name="_Toc184313244"/>
      <w:bookmarkEnd w:id="296"/>
      <w:bookmarkStart w:id="297" w:name="_Toc184313289"/>
      <w:bookmarkEnd w:id="297"/>
      <w:bookmarkStart w:id="298" w:name="_Toc184308041"/>
      <w:bookmarkEnd w:id="298"/>
      <w:bookmarkStart w:id="299" w:name="_Toc184312108"/>
      <w:bookmarkEnd w:id="299"/>
      <w:bookmarkStart w:id="300" w:name="_Toc184308036"/>
      <w:bookmarkEnd w:id="300"/>
      <w:bookmarkStart w:id="301" w:name="_Toc184313300"/>
      <w:bookmarkEnd w:id="301"/>
      <w:bookmarkStart w:id="302" w:name="_Toc184312076"/>
      <w:bookmarkEnd w:id="302"/>
      <w:bookmarkStart w:id="303" w:name="_Toc184308095"/>
      <w:bookmarkEnd w:id="303"/>
      <w:bookmarkStart w:id="304" w:name="_Toc184314480"/>
      <w:bookmarkEnd w:id="304"/>
      <w:bookmarkStart w:id="305" w:name="_Toc184312107"/>
      <w:bookmarkEnd w:id="305"/>
      <w:bookmarkStart w:id="306" w:name="_Toc184308075"/>
      <w:bookmarkEnd w:id="306"/>
      <w:bookmarkStart w:id="307" w:name="_Toc184308091"/>
      <w:bookmarkEnd w:id="307"/>
      <w:bookmarkStart w:id="308" w:name="_Toc184312081"/>
      <w:bookmarkEnd w:id="308"/>
      <w:bookmarkStart w:id="309" w:name="_Toc184313290"/>
      <w:bookmarkEnd w:id="309"/>
      <w:bookmarkStart w:id="310" w:name="_Toc184314439"/>
      <w:bookmarkEnd w:id="310"/>
      <w:bookmarkStart w:id="311" w:name="_Toc184314440"/>
      <w:bookmarkEnd w:id="311"/>
      <w:bookmarkStart w:id="312" w:name="_Toc184313303"/>
      <w:bookmarkEnd w:id="312"/>
      <w:bookmarkStart w:id="313" w:name="_Toc184313308"/>
      <w:bookmarkEnd w:id="313"/>
      <w:bookmarkStart w:id="314" w:name="_Toc184314414"/>
      <w:bookmarkEnd w:id="314"/>
      <w:bookmarkStart w:id="315" w:name="_Toc184308087"/>
      <w:bookmarkEnd w:id="315"/>
      <w:bookmarkStart w:id="316" w:name="_Toc184312093"/>
      <w:bookmarkEnd w:id="316"/>
      <w:bookmarkStart w:id="317" w:name="_Toc184313264"/>
      <w:bookmarkEnd w:id="317"/>
      <w:bookmarkStart w:id="318" w:name="_Toc184310291"/>
      <w:bookmarkEnd w:id="318"/>
      <w:bookmarkStart w:id="319" w:name="_Toc184313246"/>
      <w:bookmarkEnd w:id="319"/>
      <w:bookmarkStart w:id="320" w:name="_Toc184312084"/>
      <w:bookmarkEnd w:id="320"/>
      <w:bookmarkStart w:id="321" w:name="_Toc184308105"/>
      <w:bookmarkEnd w:id="321"/>
      <w:bookmarkStart w:id="322" w:name="_Toc184313252"/>
      <w:bookmarkEnd w:id="322"/>
      <w:bookmarkStart w:id="323" w:name="_Toc184312100"/>
      <w:bookmarkEnd w:id="323"/>
      <w:bookmarkStart w:id="324" w:name="_Toc184308046"/>
      <w:bookmarkEnd w:id="324"/>
      <w:bookmarkStart w:id="325" w:name="_Toc184312103"/>
      <w:bookmarkEnd w:id="325"/>
      <w:bookmarkStart w:id="326" w:name="_Toc184308071"/>
      <w:bookmarkEnd w:id="326"/>
      <w:bookmarkStart w:id="327" w:name="_Toc184310310"/>
      <w:bookmarkEnd w:id="327"/>
      <w:bookmarkStart w:id="328" w:name="_Toc184314452"/>
      <w:bookmarkEnd w:id="328"/>
      <w:bookmarkStart w:id="329" w:name="_Toc184308072"/>
      <w:bookmarkEnd w:id="329"/>
      <w:bookmarkStart w:id="330" w:name="_Toc184308060"/>
      <w:bookmarkEnd w:id="330"/>
      <w:bookmarkStart w:id="331" w:name="_Toc184314429"/>
      <w:bookmarkEnd w:id="331"/>
      <w:bookmarkStart w:id="332" w:name="_Toc184310285"/>
      <w:bookmarkEnd w:id="332"/>
      <w:bookmarkStart w:id="333" w:name="_Toc184313309"/>
      <w:bookmarkEnd w:id="333"/>
      <w:bookmarkStart w:id="334" w:name="_Toc184308103"/>
      <w:bookmarkEnd w:id="334"/>
      <w:bookmarkStart w:id="335" w:name="_Toc184308058"/>
      <w:bookmarkEnd w:id="335"/>
      <w:bookmarkStart w:id="336" w:name="_Toc184310301"/>
      <w:bookmarkEnd w:id="336"/>
      <w:bookmarkStart w:id="337" w:name="_Toc184312126"/>
      <w:bookmarkEnd w:id="337"/>
      <w:bookmarkStart w:id="338" w:name="_Toc184313257"/>
      <w:bookmarkEnd w:id="338"/>
      <w:bookmarkStart w:id="339" w:name="_Toc184308094"/>
      <w:bookmarkEnd w:id="339"/>
      <w:bookmarkStart w:id="340" w:name="_Toc184314481"/>
      <w:bookmarkEnd w:id="340"/>
      <w:bookmarkStart w:id="341" w:name="_Toc184310331"/>
      <w:bookmarkEnd w:id="341"/>
      <w:bookmarkStart w:id="342" w:name="_Toc184308089"/>
      <w:bookmarkEnd w:id="342"/>
      <w:bookmarkStart w:id="343" w:name="_Toc184310275"/>
      <w:bookmarkEnd w:id="343"/>
      <w:bookmarkStart w:id="344" w:name="_Toc184310335"/>
      <w:bookmarkEnd w:id="344"/>
      <w:bookmarkStart w:id="345" w:name="_Toc184308067"/>
      <w:bookmarkEnd w:id="345"/>
      <w:bookmarkStart w:id="346" w:name="_Toc184314432"/>
      <w:bookmarkEnd w:id="346"/>
      <w:bookmarkStart w:id="347" w:name="_Toc184312074"/>
      <w:bookmarkEnd w:id="347"/>
      <w:bookmarkStart w:id="348" w:name="_Toc184313277"/>
      <w:bookmarkEnd w:id="348"/>
      <w:bookmarkStart w:id="349" w:name="_Toc184313238"/>
      <w:bookmarkEnd w:id="349"/>
      <w:bookmarkStart w:id="350" w:name="_Toc184313293"/>
      <w:bookmarkEnd w:id="350"/>
      <w:bookmarkStart w:id="351" w:name="_Toc184314442"/>
      <w:bookmarkEnd w:id="351"/>
      <w:bookmarkStart w:id="352" w:name="_Toc184308107"/>
      <w:bookmarkEnd w:id="352"/>
      <w:bookmarkStart w:id="353" w:name="_Toc184310322"/>
      <w:bookmarkEnd w:id="353"/>
      <w:bookmarkStart w:id="354" w:name="_Toc184308090"/>
      <w:bookmarkEnd w:id="354"/>
      <w:bookmarkStart w:id="355" w:name="_Toc184313294"/>
      <w:bookmarkEnd w:id="355"/>
      <w:bookmarkStart w:id="356" w:name="_Toc184314427"/>
      <w:bookmarkEnd w:id="356"/>
      <w:bookmarkStart w:id="357" w:name="_Toc184310274"/>
      <w:bookmarkEnd w:id="357"/>
      <w:bookmarkStart w:id="358" w:name="_Toc184313270"/>
      <w:bookmarkEnd w:id="358"/>
      <w:bookmarkStart w:id="359" w:name="_Toc184308079"/>
      <w:bookmarkEnd w:id="359"/>
      <w:bookmarkStart w:id="360" w:name="_Toc184308052"/>
      <w:bookmarkEnd w:id="360"/>
      <w:bookmarkStart w:id="361" w:name="_Toc184308042"/>
      <w:bookmarkEnd w:id="361"/>
      <w:bookmarkStart w:id="362" w:name="_Toc184314415"/>
      <w:bookmarkEnd w:id="362"/>
      <w:bookmarkStart w:id="363" w:name="_Toc184313266"/>
      <w:bookmarkEnd w:id="363"/>
      <w:bookmarkStart w:id="364" w:name="_Toc184313284"/>
      <w:bookmarkEnd w:id="364"/>
      <w:r>
        <w:rPr>
          <w:rFonts w:hint="eastAsia" w:ascii="宋体" w:hAnsi="宋体" w:cs="宋体"/>
          <w:b/>
          <w:color w:val="auto"/>
          <w:sz w:val="36"/>
          <w:szCs w:val="36"/>
          <w:highlight w:val="none"/>
        </w:rPr>
        <w:t xml:space="preserve"> 评标办法</w:t>
      </w:r>
      <w:r>
        <w:rPr>
          <w:rFonts w:hint="eastAsia" w:ascii="宋体" w:hAnsi="宋体" w:cs="宋体"/>
          <w:b/>
          <w:color w:val="auto"/>
          <w:sz w:val="36"/>
          <w:szCs w:val="36"/>
          <w:highlight w:val="none"/>
          <w:lang w:eastAsia="zh-CN"/>
        </w:rPr>
        <w:t>（变更后）</w:t>
      </w:r>
    </w:p>
    <w:tbl>
      <w:tblPr>
        <w:tblStyle w:val="6"/>
        <w:tblW w:w="94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8"/>
        <w:gridCol w:w="1575"/>
        <w:gridCol w:w="645"/>
        <w:gridCol w:w="6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序号</w:t>
            </w:r>
          </w:p>
        </w:tc>
        <w:tc>
          <w:tcPr>
            <w:tcW w:w="2220" w:type="dxa"/>
            <w:gridSpan w:val="2"/>
            <w:vAlign w:val="center"/>
          </w:tcPr>
          <w:p>
            <w:pPr>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评审因素</w:t>
            </w:r>
          </w:p>
        </w:tc>
        <w:tc>
          <w:tcPr>
            <w:tcW w:w="6585" w:type="dxa"/>
            <w:vAlign w:val="center"/>
          </w:tcPr>
          <w:p>
            <w:pPr>
              <w:spacing w:line="360" w:lineRule="auto"/>
              <w:jc w:val="center"/>
              <w:textAlignment w:val="baseline"/>
              <w:rPr>
                <w:rFonts w:ascii="宋体" w:hAnsi="宋体" w:cs="宋体"/>
                <w:b/>
                <w:color w:val="auto"/>
                <w:szCs w:val="21"/>
                <w:highlight w:val="none"/>
              </w:rPr>
            </w:pPr>
            <w:r>
              <w:rPr>
                <w:rFonts w:hint="eastAsia" w:ascii="宋体" w:hAnsi="宋体" w:cs="宋体"/>
                <w:b/>
                <w:color w:val="auto"/>
                <w:szCs w:val="21"/>
                <w:highlight w:val="none"/>
              </w:rPr>
              <w:t>评标标准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1</w:t>
            </w:r>
          </w:p>
        </w:tc>
        <w:tc>
          <w:tcPr>
            <w:tcW w:w="1575" w:type="dxa"/>
            <w:vAlign w:val="center"/>
          </w:tcPr>
          <w:p>
            <w:pPr>
              <w:pStyle w:val="8"/>
              <w:spacing w:before="0" w:after="0" w:line="360" w:lineRule="auto"/>
              <w:jc w:val="center"/>
              <w:rPr>
                <w:rFonts w:ascii="宋体" w:hAnsi="宋体" w:cs="宋体"/>
                <w:b/>
                <w:bCs/>
                <w:color w:val="auto"/>
                <w:sz w:val="21"/>
                <w:szCs w:val="21"/>
                <w:highlight w:val="none"/>
              </w:rPr>
            </w:pPr>
            <w:r>
              <w:rPr>
                <w:rFonts w:hint="eastAsia" w:ascii="宋体" w:hAnsi="宋体" w:cs="宋体"/>
                <w:b/>
                <w:bCs/>
                <w:color w:val="auto"/>
                <w:spacing w:val="-2"/>
                <w:sz w:val="21"/>
                <w:szCs w:val="21"/>
                <w:highlight w:val="none"/>
                <w14:textOutline w14:w="3835" w14:cap="flat" w14:cmpd="sng" w14:algn="ctr">
                  <w14:solidFill>
                    <w14:srgbClr w14:val="000000"/>
                  </w14:solidFill>
                  <w14:prstDash w14:val="solid"/>
                  <w14:miter w14:val="0"/>
                </w14:textOutline>
              </w:rPr>
              <w:t>价格分</w:t>
            </w:r>
          </w:p>
          <w:p>
            <w:pPr>
              <w:pStyle w:val="8"/>
              <w:spacing w:before="0" w:after="0" w:line="360" w:lineRule="auto"/>
              <w:jc w:val="both"/>
              <w:rPr>
                <w:rFonts w:ascii="宋体" w:hAnsi="宋体" w:cs="宋体"/>
                <w:b/>
                <w:bCs/>
                <w:snapToGrid w:val="0"/>
                <w:color w:val="auto"/>
                <w:sz w:val="21"/>
                <w:szCs w:val="21"/>
                <w:highlight w:val="none"/>
              </w:rPr>
            </w:pPr>
          </w:p>
        </w:tc>
        <w:tc>
          <w:tcPr>
            <w:tcW w:w="645" w:type="dxa"/>
            <w:vAlign w:val="center"/>
          </w:tcPr>
          <w:p>
            <w:pPr>
              <w:pStyle w:val="8"/>
              <w:spacing w:before="0" w:after="0" w:line="360" w:lineRule="auto"/>
              <w:jc w:val="center"/>
              <w:rPr>
                <w:rFonts w:ascii="宋体" w:hAnsi="宋体" w:cs="宋体"/>
                <w:b/>
                <w:bCs/>
                <w:snapToGrid w:val="0"/>
                <w:color w:val="auto"/>
                <w:sz w:val="21"/>
                <w:szCs w:val="21"/>
                <w:highlight w:val="none"/>
              </w:rPr>
            </w:pPr>
            <w:r>
              <w:rPr>
                <w:rFonts w:hint="eastAsia" w:ascii="宋体" w:hAnsi="宋体" w:cs="宋体"/>
                <w:b/>
                <w:bCs/>
                <w:color w:val="auto"/>
                <w:spacing w:val="-8"/>
                <w:sz w:val="21"/>
                <w:szCs w:val="21"/>
                <w:highlight w:val="none"/>
                <w14:textOutline w14:w="3835" w14:cap="flat" w14:cmpd="sng" w14:algn="ctr">
                  <w14:solidFill>
                    <w14:srgbClr w14:val="000000"/>
                  </w14:solidFill>
                  <w14:prstDash w14:val="solid"/>
                  <w14:miter w14:val="0"/>
                </w14:textOutline>
              </w:rPr>
              <w:t>10</w:t>
            </w:r>
          </w:p>
        </w:tc>
        <w:tc>
          <w:tcPr>
            <w:tcW w:w="6585" w:type="dxa"/>
          </w:tcPr>
          <w:p>
            <w:pPr>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有效投标报价的最低价作为评标基准价，其最低报价为满分；按［投标报价得分=（评标基准价/投标报价）*10］的计算公式计算。</w:t>
            </w:r>
          </w:p>
          <w:p>
            <w:pPr>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评标过程中，不得去掉报价中的最高报价和最低报价。</w:t>
            </w:r>
          </w:p>
          <w:p>
            <w:pPr>
              <w:snapToGrid w:val="0"/>
              <w:spacing w:line="360" w:lineRule="auto"/>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对小型和微型企业的投标报价给予20%的扣除，用扣除后的价格参与评审。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w:t>
            </w:r>
          </w:p>
          <w:p>
            <w:pPr>
              <w:snapToGrid w:val="0"/>
              <w:spacing w:line="360" w:lineRule="auto"/>
              <w:ind w:firstLine="420" w:firstLineChars="200"/>
              <w:jc w:val="left"/>
              <w:rPr>
                <w:rFonts w:ascii="宋体" w:hAnsi="宋体" w:cs="宋体"/>
                <w:color w:val="auto"/>
                <w:szCs w:val="21"/>
                <w:highlight w:val="none"/>
              </w:rPr>
            </w:pPr>
            <w:r>
              <w:rPr>
                <w:rFonts w:hint="eastAsia" w:ascii="宋体" w:hAnsi="宋体" w:cs="宋体"/>
                <w:bCs/>
                <w:color w:val="auto"/>
                <w:szCs w:val="21"/>
                <w:highlight w:val="none"/>
              </w:rPr>
              <w:t>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2</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重要指标性能分</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12</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kern w:val="0"/>
                <w:szCs w:val="21"/>
                <w:highlight w:val="none"/>
                <w:lang w:bidi="ar"/>
              </w:rPr>
              <w:t>采购需求一览表中标注“★”的技术参数为重要技术指标、功能项，提供标注“★”的技术参数相关证明材料，每提供1项得2分，满分12分。</w:t>
            </w:r>
            <w:r>
              <w:rPr>
                <w:rFonts w:hint="eastAsia" w:ascii="宋体" w:hAnsi="宋体" w:cs="宋体"/>
                <w:kern w:val="0"/>
                <w:szCs w:val="21"/>
                <w:highlight w:val="none"/>
                <w:lang w:val="en-US" w:eastAsia="zh-CN" w:bidi="ar"/>
              </w:rPr>
              <w:t xml:space="preserve">  </w:t>
            </w:r>
            <w:bookmarkStart w:id="366" w:name="_GoBack"/>
            <w:bookmarkEnd w:id="366"/>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证明材料包括但不限于产品功能截图</w:t>
            </w:r>
            <w:r>
              <w:rPr>
                <w:rFonts w:hint="eastAsia" w:ascii="宋体" w:hAnsi="宋体" w:cs="宋体"/>
                <w:kern w:val="0"/>
                <w:szCs w:val="21"/>
                <w:highlight w:val="none"/>
                <w:lang w:eastAsia="zh-CN" w:bidi="ar"/>
              </w:rPr>
              <w:t>、</w:t>
            </w:r>
            <w:r>
              <w:rPr>
                <w:rFonts w:hint="eastAsia" w:ascii="宋体" w:hAnsi="宋体" w:cs="宋体"/>
                <w:color w:val="auto"/>
                <w:szCs w:val="21"/>
                <w:highlight w:val="none"/>
              </w:rPr>
              <w:t>厂家产品说明书</w:t>
            </w:r>
            <w:r>
              <w:rPr>
                <w:rFonts w:hint="eastAsia" w:ascii="宋体" w:hAnsi="宋体" w:cs="宋体"/>
                <w:kern w:val="0"/>
                <w:szCs w:val="21"/>
                <w:highlight w:val="none"/>
                <w:lang w:bidi="ar"/>
              </w:rPr>
              <w:t>或国家认可的第三方检测（验）机构出具的检测（验）报告复印件等，同时，加盖投标供应商公章。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3</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技术</w:t>
            </w:r>
            <w:r>
              <w:rPr>
                <w:rFonts w:hint="eastAsia" w:ascii="宋体" w:hAnsi="宋体" w:cs="宋体"/>
                <w:b/>
                <w:bCs/>
                <w:color w:val="auto"/>
                <w:szCs w:val="21"/>
                <w:highlight w:val="none"/>
              </w:rPr>
              <w:t>服务方案分</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14</w:t>
            </w:r>
          </w:p>
        </w:tc>
        <w:tc>
          <w:tcPr>
            <w:tcW w:w="6585" w:type="dxa"/>
            <w:vAlign w:val="center"/>
          </w:tcPr>
          <w:p>
            <w:pPr>
              <w:widowControl/>
              <w:snapToGrid w:val="0"/>
              <w:spacing w:line="360" w:lineRule="auto"/>
              <w:textAlignment w:val="center"/>
              <w:rPr>
                <w:rFonts w:ascii="宋体" w:hAnsi="宋体" w:cs="宋体"/>
                <w:color w:val="auto"/>
                <w:szCs w:val="21"/>
                <w:highlight w:val="none"/>
              </w:rPr>
            </w:pPr>
            <w:bookmarkStart w:id="365" w:name="OLE_LINK8"/>
            <w:r>
              <w:rPr>
                <w:rStyle w:val="9"/>
                <w:rFonts w:hint="default" w:cs="宋体"/>
                <w:color w:val="auto"/>
                <w:sz w:val="21"/>
                <w:szCs w:val="21"/>
                <w:highlight w:val="none"/>
                <w:lang w:bidi="ar"/>
              </w:rPr>
              <w:t>一档（0分）：未提供技术服务方案或方案不满足以下评分项的不得分。</w:t>
            </w:r>
            <w:r>
              <w:rPr>
                <w:rStyle w:val="9"/>
                <w:rFonts w:hint="default" w:cs="宋体"/>
                <w:color w:val="auto"/>
                <w:sz w:val="21"/>
                <w:szCs w:val="21"/>
                <w:highlight w:val="none"/>
                <w:lang w:bidi="ar"/>
              </w:rPr>
              <w:br w:type="textWrapping"/>
            </w:r>
            <w:r>
              <w:rPr>
                <w:rStyle w:val="9"/>
                <w:rFonts w:hint="default" w:cs="宋体"/>
                <w:color w:val="auto"/>
                <w:sz w:val="21"/>
                <w:szCs w:val="21"/>
                <w:highlight w:val="none"/>
                <w:lang w:bidi="ar"/>
              </w:rPr>
              <w:t>二档（4分）：供应商提供接入技术和运行维护方案，方案满足采购需求；方案满足项目实际需求且被评标委员会认可的，得4分。</w:t>
            </w:r>
            <w:r>
              <w:rPr>
                <w:rStyle w:val="9"/>
                <w:rFonts w:hint="default" w:cs="宋体"/>
                <w:color w:val="auto"/>
                <w:sz w:val="21"/>
                <w:szCs w:val="21"/>
                <w:highlight w:val="none"/>
                <w:lang w:bidi="ar"/>
              </w:rPr>
              <w:br w:type="textWrapping"/>
            </w:r>
            <w:r>
              <w:rPr>
                <w:rStyle w:val="9"/>
                <w:rFonts w:hint="default" w:cs="宋体"/>
                <w:color w:val="auto"/>
                <w:sz w:val="21"/>
                <w:szCs w:val="21"/>
                <w:highlight w:val="none"/>
                <w:lang w:bidi="ar"/>
              </w:rPr>
              <w:t>三档（8分）：在满足上一档的基础上，方案包括网络架构、组网技术应用，专网的实现方式，符合项目实际情况，</w:t>
            </w:r>
            <w:r>
              <w:rPr>
                <w:rStyle w:val="10"/>
                <w:rFonts w:hint="default" w:ascii="宋体" w:hAnsi="宋体" w:eastAsia="宋体" w:cs="宋体"/>
                <w:color w:val="auto"/>
                <w:sz w:val="21"/>
                <w:szCs w:val="21"/>
                <w:highlight w:val="none"/>
                <w:lang w:bidi="ar"/>
              </w:rPr>
              <w:t>拟投入1名本项目技术负责人具有中级工程师（计算机网络工程）或以上职称证书的</w:t>
            </w:r>
            <w:r>
              <w:rPr>
                <w:rStyle w:val="9"/>
                <w:rFonts w:hint="default" w:cs="宋体"/>
                <w:color w:val="auto"/>
                <w:sz w:val="21"/>
                <w:szCs w:val="21"/>
                <w:highlight w:val="none"/>
                <w:lang w:bidi="ar"/>
              </w:rPr>
              <w:t>；方案满足项目实际需求且被评标委员会认可的，得8分。</w:t>
            </w:r>
            <w:r>
              <w:rPr>
                <w:rStyle w:val="9"/>
                <w:rFonts w:hint="default" w:cs="宋体"/>
                <w:color w:val="auto"/>
                <w:sz w:val="21"/>
                <w:szCs w:val="21"/>
                <w:highlight w:val="none"/>
                <w:lang w:bidi="ar"/>
              </w:rPr>
              <w:br w:type="textWrapping"/>
            </w:r>
            <w:r>
              <w:rPr>
                <w:rStyle w:val="9"/>
                <w:rFonts w:hint="default" w:cs="宋体"/>
                <w:color w:val="auto"/>
                <w:sz w:val="21"/>
                <w:szCs w:val="21"/>
                <w:highlight w:val="none"/>
                <w:lang w:bidi="ar"/>
              </w:rPr>
              <w:t>四档（14分）：在满足上一档的基础上，方案能够详细描述安全防护功能实现方式并提供运行维护服务方案的。因突发事件造成网络可能长时间中断，有能力做出替代服务决策让网络尽快恢复，最大限度降低采购人损失。</w:t>
            </w:r>
            <w:r>
              <w:rPr>
                <w:rStyle w:val="10"/>
                <w:rFonts w:hint="default" w:ascii="宋体" w:hAnsi="宋体" w:eastAsia="宋体" w:cs="宋体"/>
                <w:color w:val="auto"/>
                <w:sz w:val="21"/>
                <w:szCs w:val="21"/>
                <w:highlight w:val="none"/>
                <w:lang w:bidi="ar"/>
              </w:rPr>
              <w:t>拟投入1名本项目技术负责人具有网络规划设计师（高级）证书、互联网技术工程师证书、中级工程师（计算机网络工程）或以上职称证书的</w:t>
            </w:r>
            <w:r>
              <w:rPr>
                <w:rStyle w:val="9"/>
                <w:rFonts w:hint="default" w:cs="宋体"/>
                <w:color w:val="auto"/>
                <w:sz w:val="21"/>
                <w:szCs w:val="21"/>
                <w:highlight w:val="none"/>
                <w:lang w:bidi="ar"/>
              </w:rPr>
              <w:t>，方案满足项目实际需求且被评标委员会认可的，得14分。</w:t>
            </w:r>
            <w:r>
              <w:rPr>
                <w:rStyle w:val="9"/>
                <w:rFonts w:hint="default" w:cs="宋体"/>
                <w:color w:val="auto"/>
                <w:sz w:val="21"/>
                <w:szCs w:val="21"/>
                <w:highlight w:val="none"/>
                <w:lang w:bidi="ar"/>
              </w:rPr>
              <w:br w:type="textWrapping"/>
            </w:r>
            <w:r>
              <w:rPr>
                <w:rStyle w:val="10"/>
                <w:rFonts w:hint="default" w:ascii="宋体" w:hAnsi="宋体" w:eastAsia="宋体" w:cs="宋体"/>
                <w:color w:val="auto"/>
                <w:sz w:val="21"/>
                <w:szCs w:val="21"/>
                <w:highlight w:val="none"/>
                <w:lang w:bidi="ar"/>
              </w:rPr>
              <w:t>投标文件中须提供：1）满足加对应项分值的人员证书复印件；2）以上人员必须提供投标截止日期前半年内其中一个月的社保证明或劳动/聘用合同等有效证明材料。</w:t>
            </w:r>
            <w:bookmarkEnd w:id="36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4</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实施方案</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16</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一档（0分）：未提供方案或方案不满足以下评分项的不得分。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二档（6分）：供应商提供组织实施方案，方案包含实施方法及保障措施、形成项目管理文档计划等。方案满足项目实际需求且被评标委员会认可的，得6分。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三档（10分）：在满足上一档的基础上，方案有项目管理组织机构图、工作安排能说明人员安排及施工进度安排；方案满足项目实际需求且被评标委员会认可的，得10分。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四档（16分）：在满足上一档的基础上，方案有完备的质量管理体系和安全保障措施，指明项目重点难点及解决办法，确保项目在计划工期内完成；方案满足项目实际需求且被评标委员会认可的，得16分。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5</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实施人员配备及保障措施</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8</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一档（0分）：未提供实施人员配备方案及保障措施或方案不满足以下评分项的不得分。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二档（4分）：提供本项目实施人员配备方案，方案满足项目实际需求且被评标委员会认可的，得3分。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三档（8分）：在满足上一档的基础上，方案包含人员分工、具体保障措施等，确保本项目按时开通服务。方案满足项目实际需求且被评标委员会认可的，得8分。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6</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售后服务方案</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20</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一档（0分）：未提供方案或方案不满足以下评分项的不得分。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二档（10分）：供应商提供售后服务保障方案，方案包含售后服务内容，光缆故障处理预案、传输设备故障处理预案等，</w:t>
            </w:r>
            <w:r>
              <w:rPr>
                <w:rStyle w:val="10"/>
                <w:rFonts w:hint="default" w:ascii="宋体" w:hAnsi="宋体" w:eastAsia="宋体" w:cs="宋体"/>
                <w:color w:val="auto"/>
                <w:sz w:val="21"/>
                <w:szCs w:val="21"/>
                <w:highlight w:val="none"/>
                <w:lang w:bidi="ar"/>
              </w:rPr>
              <w:t>拟投入1名售后负责人具有中级工程师（通信工程）或以上职称证书、移动通信网络优化维护师(初级或以上)证书；且拟投入本项目售后服务人员至少6人，</w:t>
            </w:r>
            <w:r>
              <w:rPr>
                <w:rStyle w:val="9"/>
                <w:rFonts w:hint="default" w:cs="宋体"/>
                <w:color w:val="auto"/>
                <w:sz w:val="21"/>
                <w:szCs w:val="21"/>
                <w:highlight w:val="none"/>
                <w:lang w:bidi="ar"/>
              </w:rPr>
              <w:t>方案满足项目实际需求且被评标委员会认可的，得10分。</w:t>
            </w:r>
            <w:r>
              <w:rPr>
                <w:rStyle w:val="9"/>
                <w:rFonts w:hint="default" w:cs="宋体"/>
                <w:color w:val="auto"/>
                <w:sz w:val="21"/>
                <w:szCs w:val="21"/>
                <w:highlight w:val="none"/>
                <w:lang w:bidi="ar"/>
              </w:rPr>
              <w:br w:type="textWrapping"/>
            </w:r>
            <w:r>
              <w:rPr>
                <w:rStyle w:val="9"/>
                <w:rFonts w:hint="default" w:cs="宋体"/>
                <w:color w:val="auto"/>
                <w:sz w:val="21"/>
                <w:szCs w:val="21"/>
                <w:highlight w:val="none"/>
                <w:lang w:bidi="ar"/>
              </w:rPr>
              <w:t>三档（20分）：在满足上一档的基础上，方案包含售后服务流程、故障等级与处理时限，有本地化服务支撑能力、应急响应方案、故障申告途径及绿色通道，根据项目情况和具体维修内容，</w:t>
            </w:r>
            <w:r>
              <w:rPr>
                <w:rStyle w:val="10"/>
                <w:rFonts w:hint="default" w:ascii="宋体" w:hAnsi="宋体" w:eastAsia="宋体" w:cs="宋体"/>
                <w:color w:val="auto"/>
                <w:sz w:val="21"/>
                <w:szCs w:val="21"/>
                <w:highlight w:val="none"/>
                <w:lang w:bidi="ar"/>
              </w:rPr>
              <w:t>拟投入1名售后负责人具有高级工程师（通信工程）或以上职称证书、移动通信网络优化维护师(中级或以上)证书；且拟投入本项目售后服务人员至少6人，其中至少2人具备网络工程师证书，至少2人具备信息安全管理(高级)证书</w:t>
            </w:r>
            <w:r>
              <w:rPr>
                <w:rStyle w:val="9"/>
                <w:rFonts w:hint="default" w:cs="宋体"/>
                <w:color w:val="auto"/>
                <w:sz w:val="21"/>
                <w:szCs w:val="21"/>
                <w:highlight w:val="none"/>
                <w:lang w:bidi="ar"/>
              </w:rPr>
              <w:t>，承诺一般故障能够在30分钟内响应，6小时内完成故障处理。（注：以上服务人员标准情况为采购单位根据过往服务情况对应各档次明确的服务标准情况测算所得。）方案满足项目实际需求且被评标委员会认可的，得</w:t>
            </w:r>
            <w:r>
              <w:rPr>
                <w:rStyle w:val="9"/>
                <w:rFonts w:hint="eastAsia" w:cs="宋体"/>
                <w:color w:val="auto"/>
                <w:sz w:val="21"/>
                <w:szCs w:val="21"/>
                <w:highlight w:val="none"/>
                <w:lang w:val="en-US" w:bidi="ar"/>
              </w:rPr>
              <w:t>20</w:t>
            </w:r>
            <w:r>
              <w:rPr>
                <w:rStyle w:val="9"/>
                <w:rFonts w:hint="default" w:cs="宋体"/>
                <w:color w:val="auto"/>
                <w:sz w:val="21"/>
                <w:szCs w:val="21"/>
                <w:highlight w:val="none"/>
                <w:lang w:bidi="ar"/>
              </w:rPr>
              <w:t>分。</w:t>
            </w:r>
            <w:r>
              <w:rPr>
                <w:rStyle w:val="9"/>
                <w:rFonts w:hint="default" w:cs="宋体"/>
                <w:color w:val="auto"/>
                <w:sz w:val="21"/>
                <w:szCs w:val="21"/>
                <w:highlight w:val="none"/>
                <w:lang w:bidi="ar"/>
              </w:rPr>
              <w:br w:type="textWrapping"/>
            </w:r>
            <w:r>
              <w:rPr>
                <w:rStyle w:val="10"/>
                <w:rFonts w:hint="default" w:ascii="宋体" w:hAnsi="宋体" w:eastAsia="宋体" w:cs="宋体"/>
                <w:color w:val="auto"/>
                <w:sz w:val="21"/>
                <w:szCs w:val="21"/>
                <w:highlight w:val="none"/>
                <w:lang w:bidi="ar"/>
              </w:rPr>
              <w:t>投标文件中须提供：1）满足加对应项分值的人员证书复印件；2）以上人员必须提供投标截止日期前半年内其中一个月的社保证明或劳动/聘用合同等有效证明材料。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7</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培训方案</w:t>
            </w:r>
          </w:p>
        </w:tc>
        <w:tc>
          <w:tcPr>
            <w:tcW w:w="645" w:type="dxa"/>
            <w:vAlign w:val="center"/>
          </w:tcPr>
          <w:p>
            <w:pPr>
              <w:widowControl/>
              <w:snapToGrid w:val="0"/>
              <w:spacing w:line="360" w:lineRule="auto"/>
              <w:jc w:val="center"/>
              <w:textAlignment w:val="center"/>
              <w:rPr>
                <w:rFonts w:hint="eastAsia" w:ascii="宋体" w:hAnsi="宋体" w:eastAsia="宋体" w:cs="宋体"/>
                <w:b/>
                <w:bCs/>
                <w:color w:val="auto"/>
                <w:szCs w:val="21"/>
                <w:highlight w:val="none"/>
                <w:lang w:eastAsia="zh-CN"/>
              </w:rPr>
            </w:pPr>
            <w:r>
              <w:rPr>
                <w:rFonts w:hint="eastAsia" w:ascii="宋体" w:hAnsi="宋体" w:cs="宋体"/>
                <w:b/>
                <w:bCs/>
                <w:color w:val="auto"/>
                <w:kern w:val="0"/>
                <w:szCs w:val="21"/>
                <w:highlight w:val="none"/>
                <w:lang w:val="en-US" w:eastAsia="zh-CN" w:bidi="ar"/>
              </w:rPr>
              <w:t>5</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kern w:val="0"/>
                <w:szCs w:val="21"/>
                <w:highlight w:val="none"/>
                <w:lang w:bidi="ar"/>
              </w:rPr>
              <w:t>一档（0分）：未提供培训方案或培训方案不满足以下评分项的不得分。</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二档（2分）：提供本项目培训方案，方案满足项目实际需求且被评标委员会认可的，得2分。</w:t>
            </w:r>
            <w:r>
              <w:rPr>
                <w:rFonts w:hint="eastAsia" w:ascii="宋体" w:hAnsi="宋体" w:cs="宋体"/>
                <w:kern w:val="0"/>
                <w:szCs w:val="21"/>
                <w:highlight w:val="none"/>
                <w:lang w:bidi="ar"/>
              </w:rPr>
              <w:br w:type="textWrapping"/>
            </w:r>
            <w:r>
              <w:rPr>
                <w:rFonts w:hint="eastAsia" w:ascii="宋体" w:hAnsi="宋体" w:cs="宋体"/>
                <w:kern w:val="0"/>
                <w:szCs w:val="21"/>
                <w:highlight w:val="none"/>
                <w:lang w:bidi="ar"/>
              </w:rPr>
              <w:t>三档（</w:t>
            </w:r>
            <w:r>
              <w:rPr>
                <w:rFonts w:hint="eastAsia" w:ascii="宋体" w:hAnsi="宋体" w:cs="宋体"/>
                <w:kern w:val="0"/>
                <w:szCs w:val="21"/>
                <w:highlight w:val="none"/>
                <w:lang w:val="en-US" w:eastAsia="zh-CN" w:bidi="ar"/>
              </w:rPr>
              <w:t>5</w:t>
            </w:r>
            <w:r>
              <w:rPr>
                <w:rFonts w:hint="eastAsia" w:ascii="宋体" w:hAnsi="宋体" w:cs="宋体"/>
                <w:kern w:val="0"/>
                <w:szCs w:val="21"/>
                <w:highlight w:val="none"/>
                <w:lang w:bidi="ar"/>
              </w:rPr>
              <w:t>分）：在满足上一档的基础上，方案包含培训优势、培训目的、培训原则、培训内容等。方案满足项目实际需求且被评标委员会认可的，得</w:t>
            </w:r>
            <w:r>
              <w:rPr>
                <w:rFonts w:hint="eastAsia" w:ascii="宋体" w:hAnsi="宋体" w:cs="宋体"/>
                <w:kern w:val="0"/>
                <w:szCs w:val="21"/>
                <w:highlight w:val="none"/>
                <w:lang w:val="en-US" w:eastAsia="zh-CN" w:bidi="ar"/>
              </w:rPr>
              <w:t>5</w:t>
            </w:r>
            <w:r>
              <w:rPr>
                <w:rFonts w:hint="eastAsia" w:ascii="宋体" w:hAnsi="宋体" w:cs="宋体"/>
                <w:kern w:val="0"/>
                <w:szCs w:val="21"/>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8</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实施人员配备能力</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7</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color w:val="auto"/>
                <w:kern w:val="0"/>
                <w:szCs w:val="21"/>
                <w:highlight w:val="none"/>
                <w:lang w:bidi="ar"/>
              </w:rPr>
              <w:t>1、供应商拟投入1名项目负责人同时具有信息系统项目管理师（高级）证书、信息安全管理(高级)证书、网络工程师证书的，</w:t>
            </w:r>
            <w:r>
              <w:rPr>
                <w:rFonts w:hint="eastAsia" w:ascii="宋体" w:hAnsi="宋体" w:cs="宋体"/>
                <w:color w:val="auto"/>
                <w:szCs w:val="21"/>
                <w:highlight w:val="none"/>
              </w:rPr>
              <w:t>具有一个证得1分</w:t>
            </w:r>
            <w:r>
              <w:rPr>
                <w:rFonts w:hint="eastAsia" w:ascii="宋体" w:hAnsi="宋体" w:cs="宋体"/>
                <w:color w:val="auto"/>
                <w:kern w:val="0"/>
                <w:szCs w:val="21"/>
                <w:highlight w:val="none"/>
                <w:lang w:bidi="ar"/>
              </w:rPr>
              <w:t>。满分3分。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2、项目实施团队人员资质分（4分）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①具备互联网技术工程师证书，每具备1名得1分，满分2分；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②具有中级工程师（通信工程）或以上职称证书，每具备1名得1分，满分2分；</w:t>
            </w:r>
            <w:r>
              <w:rPr>
                <w:rFonts w:hint="eastAsia" w:ascii="宋体" w:hAnsi="宋体" w:cs="宋体"/>
                <w:color w:val="auto"/>
                <w:kern w:val="0"/>
                <w:szCs w:val="21"/>
                <w:highlight w:val="none"/>
                <w:lang w:bidi="ar"/>
              </w:rPr>
              <w:br w:type="textWrapping"/>
            </w:r>
            <w:r>
              <w:rPr>
                <w:rFonts w:hint="eastAsia" w:ascii="宋体" w:hAnsi="宋体" w:cs="宋体"/>
                <w:color w:val="auto"/>
                <w:kern w:val="0"/>
                <w:szCs w:val="21"/>
                <w:highlight w:val="none"/>
                <w:lang w:bidi="ar"/>
              </w:rPr>
              <w:t>投标文件中须提供：1）满足加对应项分值的人员证书复印件；2）以上人员必须提供投标截止日期前半年内其中一个月的社保证明或劳动/聘用合同等有效证明材料。3）项目负责人、项目实施团队人员不能为同一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9</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实力信誉分</w:t>
            </w:r>
          </w:p>
          <w:p>
            <w:pPr>
              <w:spacing w:line="360" w:lineRule="auto"/>
              <w:jc w:val="center"/>
              <w:rPr>
                <w:rFonts w:ascii="宋体" w:hAnsi="宋体" w:cs="宋体"/>
                <w:b/>
                <w:bCs/>
                <w:color w:val="auto"/>
                <w:spacing w:val="-1"/>
                <w:szCs w:val="21"/>
                <w:highlight w:val="none"/>
              </w:rPr>
            </w:pPr>
          </w:p>
        </w:tc>
        <w:tc>
          <w:tcPr>
            <w:tcW w:w="645" w:type="dxa"/>
            <w:vAlign w:val="center"/>
          </w:tcPr>
          <w:p>
            <w:pPr>
              <w:pStyle w:val="8"/>
              <w:spacing w:before="0" w:after="0" w:line="360" w:lineRule="auto"/>
              <w:jc w:val="center"/>
              <w:rPr>
                <w:rFonts w:ascii="宋体" w:hAnsi="宋体" w:cs="宋体"/>
                <w:b/>
                <w:bCs/>
                <w:color w:val="auto"/>
                <w:spacing w:val="-2"/>
                <w:sz w:val="21"/>
                <w:szCs w:val="21"/>
                <w:highlight w:val="none"/>
                <w14:textOutline w14:w="3835" w14:cap="flat" w14:cmpd="sng" w14:algn="ctr">
                  <w14:solidFill>
                    <w14:srgbClr w14:val="000000"/>
                  </w14:solidFill>
                  <w14:prstDash w14:val="solid"/>
                  <w14:miter w14:val="0"/>
                </w14:textOutline>
              </w:rPr>
            </w:pPr>
            <w:r>
              <w:rPr>
                <w:rFonts w:hint="eastAsia" w:ascii="宋体" w:hAnsi="宋体" w:cs="宋体"/>
                <w:b/>
                <w:bCs/>
                <w:kern w:val="0"/>
                <w:szCs w:val="21"/>
                <w:highlight w:val="none"/>
                <w:lang w:val="en-US" w:eastAsia="zh-CN" w:bidi="ar"/>
              </w:rPr>
              <w:t>4</w:t>
            </w:r>
          </w:p>
        </w:tc>
        <w:tc>
          <w:tcPr>
            <w:tcW w:w="6585" w:type="dxa"/>
            <w:tcBorders/>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kern w:val="0"/>
                <w:szCs w:val="21"/>
                <w:highlight w:val="none"/>
                <w:lang w:bidi="ar"/>
              </w:rPr>
              <w:t>①投标人或其总公司获得投标人通过项目质量管理体系认证证书、组织履约能力管理体系认证证书，每提供1项得</w:t>
            </w:r>
            <w:r>
              <w:rPr>
                <w:rFonts w:hint="eastAsia" w:ascii="宋体" w:hAnsi="宋体" w:cs="宋体"/>
                <w:kern w:val="0"/>
                <w:szCs w:val="21"/>
                <w:highlight w:val="none"/>
                <w:lang w:val="en-US" w:eastAsia="zh-CN" w:bidi="ar"/>
              </w:rPr>
              <w:t>2</w:t>
            </w:r>
            <w:r>
              <w:rPr>
                <w:rFonts w:hint="eastAsia" w:ascii="宋体" w:hAnsi="宋体" w:cs="宋体"/>
                <w:kern w:val="0"/>
                <w:szCs w:val="21"/>
                <w:highlight w:val="none"/>
                <w:lang w:bidi="ar"/>
              </w:rPr>
              <w:t>分，最多得</w:t>
            </w:r>
            <w:r>
              <w:rPr>
                <w:rFonts w:hint="eastAsia" w:ascii="宋体" w:hAnsi="宋体" w:cs="宋体"/>
                <w:kern w:val="0"/>
                <w:szCs w:val="21"/>
                <w:highlight w:val="none"/>
                <w:lang w:val="en-US" w:eastAsia="zh-CN" w:bidi="ar"/>
              </w:rPr>
              <w:t>4</w:t>
            </w:r>
            <w:r>
              <w:rPr>
                <w:rFonts w:hint="eastAsia" w:ascii="宋体" w:hAnsi="宋体" w:cs="宋体"/>
                <w:kern w:val="0"/>
                <w:szCs w:val="21"/>
                <w:highlight w:val="none"/>
                <w:lang w:bidi="ar"/>
              </w:rPr>
              <w:t>分。（需提供相应有效的认证证书复印件，并加盖单位公章）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8" w:type="dxa"/>
            <w:vAlign w:val="center"/>
          </w:tcPr>
          <w:p>
            <w:pPr>
              <w:spacing w:line="360" w:lineRule="auto"/>
              <w:jc w:val="center"/>
              <w:rPr>
                <w:rFonts w:ascii="宋体" w:hAnsi="宋体" w:cs="宋体"/>
                <w:b/>
                <w:bCs/>
                <w:color w:val="auto"/>
                <w:spacing w:val="-1"/>
                <w:szCs w:val="21"/>
                <w:highlight w:val="none"/>
              </w:rPr>
            </w:pPr>
            <w:r>
              <w:rPr>
                <w:rFonts w:hint="eastAsia" w:ascii="宋体" w:hAnsi="宋体" w:cs="宋体"/>
                <w:b/>
                <w:bCs/>
                <w:color w:val="auto"/>
                <w:spacing w:val="-1"/>
                <w:szCs w:val="21"/>
                <w:highlight w:val="none"/>
              </w:rPr>
              <w:t>10</w:t>
            </w:r>
          </w:p>
        </w:tc>
        <w:tc>
          <w:tcPr>
            <w:tcW w:w="157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color w:val="auto"/>
                <w:kern w:val="0"/>
                <w:szCs w:val="21"/>
                <w:highlight w:val="none"/>
                <w:lang w:bidi="ar"/>
              </w:rPr>
              <w:t>业绩分</w:t>
            </w:r>
          </w:p>
        </w:tc>
        <w:tc>
          <w:tcPr>
            <w:tcW w:w="645" w:type="dxa"/>
            <w:vAlign w:val="center"/>
          </w:tcPr>
          <w:p>
            <w:pPr>
              <w:widowControl/>
              <w:snapToGrid w:val="0"/>
              <w:spacing w:line="360" w:lineRule="auto"/>
              <w:jc w:val="center"/>
              <w:textAlignment w:val="center"/>
              <w:rPr>
                <w:rFonts w:ascii="宋体" w:hAnsi="宋体" w:cs="宋体"/>
                <w:b/>
                <w:bCs/>
                <w:color w:val="auto"/>
                <w:szCs w:val="21"/>
                <w:highlight w:val="none"/>
              </w:rPr>
            </w:pPr>
            <w:r>
              <w:rPr>
                <w:rFonts w:hint="eastAsia" w:ascii="宋体" w:hAnsi="宋体" w:cs="宋体"/>
                <w:b/>
                <w:bCs/>
                <w:kern w:val="0"/>
                <w:szCs w:val="21"/>
                <w:highlight w:val="none"/>
                <w:lang w:val="en-US" w:eastAsia="zh-CN" w:bidi="ar"/>
              </w:rPr>
              <w:t>4</w:t>
            </w:r>
          </w:p>
        </w:tc>
        <w:tc>
          <w:tcPr>
            <w:tcW w:w="6585" w:type="dxa"/>
            <w:vAlign w:val="center"/>
          </w:tcPr>
          <w:p>
            <w:pPr>
              <w:widowControl/>
              <w:snapToGrid w:val="0"/>
              <w:spacing w:line="360" w:lineRule="auto"/>
              <w:textAlignment w:val="center"/>
              <w:rPr>
                <w:rFonts w:ascii="宋体" w:hAnsi="宋体" w:cs="宋体"/>
                <w:color w:val="auto"/>
                <w:szCs w:val="21"/>
                <w:highlight w:val="none"/>
              </w:rPr>
            </w:pPr>
            <w:r>
              <w:rPr>
                <w:rFonts w:hint="eastAsia" w:ascii="宋体" w:hAnsi="宋体" w:cs="宋体"/>
                <w:kern w:val="0"/>
                <w:szCs w:val="21"/>
                <w:highlight w:val="none"/>
                <w:lang w:bidi="ar"/>
              </w:rPr>
              <w:t>投标人具有同类或类似项目案例，提供中标/成交通知书或其对应的合同复印件并加盖供应商公章。提供1个得1分，本项满分</w:t>
            </w:r>
            <w:r>
              <w:rPr>
                <w:rFonts w:hint="eastAsia" w:ascii="宋体" w:hAnsi="宋体" w:cs="宋体"/>
                <w:kern w:val="0"/>
                <w:szCs w:val="21"/>
                <w:highlight w:val="none"/>
                <w:lang w:val="en-US" w:eastAsia="zh-CN" w:bidi="ar"/>
              </w:rPr>
              <w:t>4</w:t>
            </w:r>
            <w:r>
              <w:rPr>
                <w:rFonts w:hint="eastAsia" w:ascii="宋体" w:hAnsi="宋体" w:cs="宋体"/>
                <w:kern w:val="0"/>
                <w:szCs w:val="21"/>
                <w:highlight w:val="none"/>
                <w:lang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3" w:type="dxa"/>
            <w:gridSpan w:val="4"/>
          </w:tcPr>
          <w:p>
            <w:pPr>
              <w:spacing w:line="360" w:lineRule="auto"/>
              <w:rPr>
                <w:rFonts w:ascii="宋体" w:hAnsi="宋体" w:cs="宋体"/>
                <w:color w:val="auto"/>
                <w:spacing w:val="-1"/>
                <w:szCs w:val="21"/>
                <w:highlight w:val="none"/>
              </w:rPr>
            </w:pPr>
            <w:r>
              <w:rPr>
                <w:rFonts w:hint="eastAsia" w:ascii="宋体" w:hAnsi="宋体" w:cs="宋体"/>
                <w:color w:val="auto"/>
                <w:spacing w:val="-2"/>
                <w:szCs w:val="21"/>
                <w:highlight w:val="none"/>
                <w14:textOutline w14:w="3835" w14:cap="flat" w14:cmpd="sng" w14:algn="ctr">
                  <w14:solidFill>
                    <w14:srgbClr w14:val="000000"/>
                  </w14:solidFill>
                  <w14:prstDash w14:val="solid"/>
                  <w14:miter w14:val="0"/>
                </w14:textOutline>
              </w:rPr>
              <w:t>总分=1+2+3+4+5+6+7+8+9+10</w:t>
            </w:r>
          </w:p>
        </w:tc>
      </w:tr>
    </w:tbl>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F95643"/>
    <w:rsid w:val="09F95643"/>
    <w:rsid w:val="37BB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adjustRightInd/>
      <w:spacing w:after="120" w:line="240" w:lineRule="auto"/>
      <w:ind w:left="420" w:leftChars="200" w:firstLine="210"/>
    </w:pPr>
    <w:rPr>
      <w:sz w:val="21"/>
    </w:rPr>
  </w:style>
  <w:style w:type="paragraph" w:styleId="3">
    <w:name w:val="Body Text Indent"/>
    <w:basedOn w:val="1"/>
    <w:next w:val="4"/>
    <w:qFormat/>
    <w:uiPriority w:val="0"/>
    <w:pPr>
      <w:spacing w:line="480" w:lineRule="exact"/>
      <w:ind w:firstLine="480" w:firstLineChars="200"/>
    </w:pPr>
    <w:rPr>
      <w:rFonts w:ascii="宋体" w:hAnsi="宋体"/>
      <w:sz w:val="24"/>
    </w:rPr>
  </w:style>
  <w:style w:type="paragraph" w:styleId="4">
    <w:name w:val="Normal Indent"/>
    <w:basedOn w:val="1"/>
    <w:next w:val="3"/>
    <w:qFormat/>
    <w:uiPriority w:val="0"/>
    <w:pPr>
      <w:widowControl/>
      <w:snapToGrid w:val="0"/>
      <w:spacing w:line="480" w:lineRule="exact"/>
      <w:ind w:firstLine="567"/>
    </w:pPr>
    <w:rPr>
      <w:rFonts w:ascii="宋体"/>
      <w:snapToGrid w:val="0"/>
      <w:color w:val="000000"/>
      <w:kern w:val="28"/>
      <w:sz w:val="28"/>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Table Text"/>
    <w:basedOn w:val="1"/>
    <w:qFormat/>
    <w:uiPriority w:val="0"/>
    <w:pPr>
      <w:widowControl/>
      <w:spacing w:before="60" w:after="60"/>
      <w:jc w:val="left"/>
    </w:pPr>
    <w:rPr>
      <w:kern w:val="0"/>
      <w:sz w:val="24"/>
    </w:rPr>
  </w:style>
  <w:style w:type="character" w:customStyle="1" w:styleId="9">
    <w:name w:val="font21"/>
    <w:qFormat/>
    <w:uiPriority w:val="0"/>
    <w:rPr>
      <w:rFonts w:hint="eastAsia" w:ascii="宋体" w:hAnsi="宋体" w:eastAsia="宋体"/>
      <w:kern w:val="2"/>
      <w:sz w:val="28"/>
      <w:szCs w:val="28"/>
      <w:lang w:val="en-US" w:eastAsia="zh-CN" w:bidi="ar-SA"/>
    </w:rPr>
  </w:style>
  <w:style w:type="character" w:customStyle="1" w:styleId="10">
    <w:name w:val="font31"/>
    <w:basedOn w:val="7"/>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84</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2026-07-22T08:09:00Z</dcterms:created>
  <dc:creator>wwwww</dc:creator>
  <cp:lastModifiedBy>wwwww</cp:lastModifiedBy>
  <dcterms:modified xsi:type="dcterms:W3CDTF">2026-07-22T09:39:55Z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