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color w:val="auto"/>
          <w:sz w:val="24"/>
          <w:highlight w:val="none"/>
        </w:rPr>
      </w:pPr>
    </w:p>
    <w:p>
      <w:pPr>
        <w:spacing w:line="360" w:lineRule="auto"/>
        <w:jc w:val="center"/>
        <w:rPr>
          <w:rFonts w:ascii="宋体" w:hAnsi="宋体" w:cs="宋体"/>
          <w:b/>
          <w:color w:val="auto"/>
          <w:sz w:val="24"/>
          <w:highlight w:val="none"/>
        </w:rPr>
      </w:pPr>
    </w:p>
    <w:p>
      <w:pPr>
        <w:spacing w:line="360" w:lineRule="auto"/>
        <w:jc w:val="center"/>
        <w:rPr>
          <w:rFonts w:ascii="宋体" w:hAnsi="宋体" w:cs="宋体"/>
          <w:b/>
          <w:color w:val="auto"/>
          <w:sz w:val="44"/>
          <w:szCs w:val="44"/>
          <w:highlight w:val="none"/>
        </w:rPr>
      </w:pPr>
    </w:p>
    <w:p>
      <w:pPr>
        <w:adjustRightInd/>
        <w:spacing w:line="360" w:lineRule="auto"/>
        <w:jc w:val="center"/>
        <w:rPr>
          <w:rFonts w:ascii="宋体" w:hAnsi="宋体" w:cs="宋体"/>
          <w:b/>
          <w:color w:val="auto"/>
          <w:sz w:val="48"/>
          <w:szCs w:val="48"/>
          <w:highlight w:val="none"/>
        </w:rPr>
      </w:pPr>
    </w:p>
    <w:p>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fldChar w:fldCharType="begin"/>
      </w:r>
      <w:r>
        <w:rPr>
          <w:rFonts w:ascii="宋体" w:hAnsi="宋体" w:cs="宋体"/>
          <w:color w:val="auto"/>
          <w:sz w:val="48"/>
          <w:szCs w:val="48"/>
          <w:highlight w:val="none"/>
        </w:rPr>
        <w:instrText xml:space="preserve"> HYPERLINK "https://www.gcy.zfcg.gxzf.gov.cn/delegation-order/_procurement_/order/orderInfo/detail/6821773913934694803" \t "https://www.gcy.zfcg.gxzf.gov.cn/delegation-order/_procurement_/order/_blank" </w:instrText>
      </w:r>
      <w:r>
        <w:rPr>
          <w:rFonts w:hint="eastAsia" w:ascii="宋体" w:hAnsi="宋体" w:cs="宋体"/>
          <w:color w:val="auto"/>
          <w:sz w:val="48"/>
          <w:szCs w:val="48"/>
          <w:highlight w:val="none"/>
        </w:rPr>
        <w:fldChar w:fldCharType="separate"/>
      </w:r>
    </w:p>
    <w:p>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来宾市电子政务外网三期服务采购</w:t>
      </w:r>
    </w:p>
    <w:p>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fldChar w:fldCharType="end"/>
      </w:r>
    </w:p>
    <w:p>
      <w:pPr>
        <w:adjustRightInd/>
        <w:spacing w:line="480" w:lineRule="auto"/>
        <w:jc w:val="center"/>
        <w:rPr>
          <w:rFonts w:ascii="宋体" w:hAnsi="宋体" w:cs="宋体"/>
          <w:color w:val="auto"/>
          <w:sz w:val="48"/>
          <w:szCs w:val="48"/>
          <w:highlight w:val="none"/>
        </w:rPr>
      </w:pPr>
    </w:p>
    <w:p>
      <w:pPr>
        <w:adjustRightInd/>
        <w:spacing w:line="48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 xml:space="preserve">招标文件 </w:t>
      </w:r>
    </w:p>
    <w:p>
      <w:pPr>
        <w:adjustRightInd/>
        <w:spacing w:line="48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（电子招投标）</w:t>
      </w:r>
    </w:p>
    <w:p>
      <w:pPr>
        <w:snapToGrid w:val="0"/>
        <w:spacing w:line="48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编号:（</w:t>
      </w:r>
      <w:r>
        <w:rPr>
          <w:rFonts w:hint="eastAsia" w:ascii="宋体" w:hAnsi="宋体" w:cs="宋体"/>
          <w:color w:val="auto"/>
          <w:sz w:val="30"/>
          <w:szCs w:val="30"/>
          <w:highlight w:val="none"/>
          <w:lang w:eastAsia="zh-CN"/>
        </w:rPr>
        <w:t>LBZC2026-G3-990063-CGZX</w:t>
      </w:r>
      <w:r>
        <w:rPr>
          <w:rFonts w:hint="eastAsia" w:ascii="宋体" w:hAnsi="宋体" w:cs="宋体"/>
          <w:color w:val="auto"/>
          <w:sz w:val="30"/>
          <w:szCs w:val="30"/>
          <w:highlight w:val="none"/>
        </w:rPr>
        <w:t>）</w:t>
      </w:r>
    </w:p>
    <w:p>
      <w:pPr>
        <w:adjustRightInd/>
        <w:spacing w:line="360" w:lineRule="auto"/>
        <w:rPr>
          <w:rFonts w:ascii="宋体" w:hAnsi="宋体" w:cs="宋体"/>
          <w:color w:val="auto"/>
          <w:sz w:val="28"/>
          <w:szCs w:val="20"/>
          <w:highlight w:val="none"/>
        </w:rPr>
      </w:pPr>
    </w:p>
    <w:p>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pPr>
        <w:spacing w:line="360" w:lineRule="auto"/>
        <w:jc w:val="center"/>
        <w:rPr>
          <w:rFonts w:ascii="宋体" w:hAnsi="宋体" w:cs="宋体"/>
          <w:b/>
          <w:color w:val="auto"/>
          <w:sz w:val="44"/>
          <w:szCs w:val="44"/>
          <w:highlight w:val="none"/>
        </w:rPr>
      </w:pPr>
    </w:p>
    <w:p>
      <w:pPr>
        <w:spacing w:line="360" w:lineRule="auto"/>
        <w:jc w:val="center"/>
        <w:rPr>
          <w:rFonts w:ascii="宋体" w:hAnsi="宋体" w:cs="宋体"/>
          <w:color w:val="auto"/>
          <w:sz w:val="24"/>
          <w:highlight w:val="none"/>
        </w:rPr>
      </w:pPr>
    </w:p>
    <w:p>
      <w:pPr>
        <w:pStyle w:val="2"/>
        <w:ind w:firstLine="480"/>
        <w:rPr>
          <w:rFonts w:cs="宋体"/>
          <w:color w:val="auto"/>
          <w:sz w:val="24"/>
          <w:highlight w:val="none"/>
        </w:rPr>
      </w:pPr>
    </w:p>
    <w:p>
      <w:pPr>
        <w:rPr>
          <w:rFonts w:ascii="宋体" w:hAnsi="宋体" w:cs="宋体"/>
          <w:color w:val="auto"/>
          <w:sz w:val="24"/>
          <w:highlight w:val="none"/>
        </w:rPr>
      </w:pPr>
    </w:p>
    <w:p>
      <w:pPr>
        <w:pStyle w:val="2"/>
        <w:ind w:firstLine="420"/>
        <w:rPr>
          <w:color w:val="auto"/>
          <w:highlight w:val="none"/>
        </w:rPr>
      </w:pPr>
    </w:p>
    <w:p>
      <w:pPr>
        <w:spacing w:line="360" w:lineRule="auto"/>
        <w:rPr>
          <w:rFonts w:ascii="宋体" w:hAnsi="宋体" w:cs="宋体"/>
          <w:color w:val="auto"/>
          <w:sz w:val="32"/>
          <w:szCs w:val="32"/>
          <w:highlight w:val="none"/>
        </w:rPr>
      </w:pPr>
    </w:p>
    <w:p>
      <w:pPr>
        <w:snapToGrid w:val="0"/>
        <w:spacing w:line="360" w:lineRule="auto"/>
        <w:jc w:val="center"/>
        <w:rPr>
          <w:rFonts w:ascii="宋体" w:hAnsi="宋体" w:cs="宋体"/>
          <w:color w:val="auto"/>
          <w:sz w:val="32"/>
          <w:szCs w:val="32"/>
          <w:highlight w:val="none"/>
        </w:rPr>
      </w:pPr>
      <w:bookmarkStart w:id="0" w:name="OLE_LINK12"/>
      <w:bookmarkStart w:id="1" w:name="OLE_LINK11"/>
      <w:r>
        <w:rPr>
          <w:rFonts w:hint="eastAsia" w:ascii="宋体" w:hAnsi="宋体" w:cs="宋体"/>
          <w:color w:val="auto"/>
          <w:sz w:val="32"/>
          <w:szCs w:val="32"/>
          <w:highlight w:val="none"/>
        </w:rPr>
        <w:t>来宾市政务服务和大数据发展局</w:t>
      </w:r>
    </w:p>
    <w:bookmarkEnd w:id="0"/>
    <w:bookmarkEnd w:id="1"/>
    <w:p>
      <w:pPr>
        <w:spacing w:line="360" w:lineRule="auto"/>
        <w:jc w:val="center"/>
        <w:rPr>
          <w:rFonts w:ascii="宋体" w:hAnsi="宋体" w:cs="宋体"/>
          <w:bCs/>
          <w:color w:val="auto"/>
          <w:sz w:val="32"/>
          <w:szCs w:val="32"/>
          <w:highlight w:val="none"/>
        </w:rPr>
      </w:pPr>
      <w:r>
        <w:rPr>
          <w:rFonts w:ascii="宋体" w:hAnsi="宋体" w:cs="宋体"/>
          <w:bCs/>
          <w:color w:val="auto"/>
          <w:sz w:val="32"/>
          <w:szCs w:val="32"/>
          <w:highlight w:val="none"/>
        </w:rPr>
        <w:t>北海市政府采购中心</w:t>
      </w:r>
    </w:p>
    <w:p>
      <w:pPr>
        <w:spacing w:line="360" w:lineRule="auto"/>
        <w:jc w:val="center"/>
        <w:rPr>
          <w:rFonts w:ascii="宋体" w:hAnsi="宋体" w:cs="宋体"/>
          <w:color w:val="auto"/>
          <w:sz w:val="24"/>
          <w:highlight w:val="none"/>
        </w:rPr>
      </w:pPr>
      <w:r>
        <w:rPr>
          <w:rFonts w:hint="eastAsia" w:ascii="宋体" w:hAnsi="宋体" w:cs="宋体"/>
          <w:bCs/>
          <w:color w:val="auto"/>
          <w:sz w:val="32"/>
          <w:szCs w:val="32"/>
          <w:highlight w:val="none"/>
        </w:rPr>
        <w:t>2026年</w:t>
      </w:r>
      <w:r>
        <w:rPr>
          <w:rFonts w:hint="eastAsia" w:ascii="宋体" w:hAnsi="宋体" w:cs="宋体"/>
          <w:bCs/>
          <w:color w:val="auto"/>
          <w:sz w:val="32"/>
          <w:szCs w:val="32"/>
          <w:highlight w:val="none"/>
          <w:lang w:val="en-US" w:eastAsia="zh-CN"/>
        </w:rPr>
        <w:t>7</w:t>
      </w:r>
      <w:r>
        <w:rPr>
          <w:rFonts w:hint="eastAsia" w:ascii="宋体" w:hAnsi="宋体" w:cs="宋体"/>
          <w:bCs/>
          <w:color w:val="auto"/>
          <w:sz w:val="32"/>
          <w:szCs w:val="32"/>
          <w:highlight w:val="none"/>
        </w:rPr>
        <w:t>月</w:t>
      </w:r>
      <w:r>
        <w:rPr>
          <w:rFonts w:hint="eastAsia" w:ascii="宋体" w:hAnsi="宋体" w:cs="宋体"/>
          <w:bCs/>
          <w:color w:val="auto"/>
          <w:sz w:val="32"/>
          <w:szCs w:val="32"/>
          <w:highlight w:val="none"/>
          <w:lang w:val="en-US" w:eastAsia="zh-CN"/>
        </w:rPr>
        <w:t>10</w:t>
      </w:r>
      <w:r>
        <w:rPr>
          <w:rFonts w:hint="eastAsia" w:ascii="宋体" w:hAnsi="宋体" w:cs="宋体"/>
          <w:bCs/>
          <w:color w:val="auto"/>
          <w:sz w:val="32"/>
          <w:szCs w:val="32"/>
          <w:highlight w:val="none"/>
        </w:rPr>
        <w:t>日</w:t>
      </w:r>
      <w:r>
        <w:rPr>
          <w:rFonts w:hint="eastAsia" w:ascii="宋体" w:hAnsi="宋体" w:cs="宋体"/>
          <w:color w:val="auto"/>
          <w:sz w:val="24"/>
          <w:highlight w:val="none"/>
        </w:rPr>
        <w:br w:type="page"/>
      </w:r>
      <w:bookmarkStart w:id="2" w:name="_Hlt67893495"/>
      <w:bookmarkEnd w:id="2"/>
    </w:p>
    <w:p>
      <w:pPr>
        <w:pStyle w:val="634"/>
        <w:outlineLvl w:val="9"/>
        <w:rPr>
          <w:color w:val="auto"/>
          <w:highlight w:val="none"/>
        </w:rPr>
      </w:pPr>
    </w:p>
    <w:p>
      <w:pPr>
        <w:spacing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目  录</w:t>
      </w:r>
    </w:p>
    <w:p>
      <w:pPr>
        <w:spacing w:line="360" w:lineRule="auto"/>
        <w:rPr>
          <w:rFonts w:ascii="宋体" w:hAnsi="宋体" w:cs="宋体"/>
          <w:color w:val="auto"/>
          <w:sz w:val="32"/>
          <w:szCs w:val="32"/>
          <w:highlight w:val="none"/>
        </w:rPr>
      </w:pPr>
    </w:p>
    <w:sdt>
      <w:sdtPr>
        <w:rPr>
          <w:rFonts w:ascii="宋体" w:hAnsi="宋体"/>
          <w:color w:val="auto"/>
          <w:highlight w:val="none"/>
        </w:rPr>
        <w:id w:val="147479748"/>
      </w:sdtPr>
      <w:sdtEndPr>
        <w:rPr>
          <w:rFonts w:ascii="宋体" w:hAnsi="宋体" w:cs="宋体"/>
          <w:color w:val="auto"/>
          <w:highlight w:val="none"/>
        </w:rPr>
      </w:sdtEndPr>
      <w:sdtContent>
        <w:p>
          <w:pPr>
            <w:jc w:val="center"/>
            <w:rPr>
              <w:color w:val="auto"/>
              <w:highlight w:val="none"/>
            </w:rPr>
          </w:pPr>
          <w:bookmarkStart w:id="3" w:name="_Hlt91233176"/>
          <w:bookmarkEnd w:id="3"/>
          <w:bookmarkStart w:id="4" w:name="_Toc91899869"/>
        </w:p>
        <w:p>
          <w:pPr>
            <w:pStyle w:val="43"/>
            <w:tabs>
              <w:tab w:val="right" w:leader="dot" w:pos="9638"/>
            </w:tabs>
            <w:rPr>
              <w:rFonts w:ascii="宋体" w:hAnsi="宋体" w:cs="宋体"/>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TOC \o "1-1" \h \u </w:instrText>
          </w:r>
          <w:r>
            <w:rPr>
              <w:rFonts w:hint="eastAsia" w:ascii="宋体" w:hAnsi="宋体" w:cs="宋体"/>
              <w:color w:val="auto"/>
              <w:sz w:val="28"/>
              <w:szCs w:val="28"/>
              <w:highlight w:val="none"/>
            </w:rPr>
            <w:fldChar w:fldCharType="separate"/>
          </w:r>
          <w:r>
            <w:rPr>
              <w:color w:val="auto"/>
              <w:highlight w:val="none"/>
            </w:rPr>
            <w:fldChar w:fldCharType="begin"/>
          </w:r>
          <w:r>
            <w:rPr>
              <w:color w:val="auto"/>
              <w:highlight w:val="none"/>
            </w:rPr>
            <w:instrText xml:space="preserve"> HYPERLINK \l "_Toc12366" </w:instrText>
          </w:r>
          <w:r>
            <w:rPr>
              <w:color w:val="auto"/>
              <w:highlight w:val="none"/>
            </w:rPr>
            <w:fldChar w:fldCharType="separate"/>
          </w:r>
          <w:r>
            <w:rPr>
              <w:rFonts w:hint="eastAsia" w:ascii="宋体" w:hAnsi="宋体" w:cs="宋体"/>
              <w:color w:val="auto"/>
              <w:sz w:val="28"/>
              <w:szCs w:val="28"/>
              <w:highlight w:val="none"/>
            </w:rPr>
            <w:t>第一部分 招标公告</w:t>
          </w:r>
          <w:r>
            <w:rPr>
              <w:rFonts w:hint="eastAsia" w:ascii="宋体" w:hAnsi="宋体" w:cs="宋体"/>
              <w:color w:val="auto"/>
              <w:sz w:val="28"/>
              <w:szCs w:val="28"/>
              <w:highlight w:val="none"/>
              <w:lang w:val="en-US" w:eastAsia="zh-CN"/>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_Toc12366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pPr>
            <w:pStyle w:val="43"/>
            <w:tabs>
              <w:tab w:val="right" w:leader="dot" w:pos="9638"/>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"_Toc24634" </w:instrText>
          </w:r>
          <w:r>
            <w:rPr>
              <w:color w:val="auto"/>
              <w:highlight w:val="none"/>
            </w:rPr>
            <w:fldChar w:fldCharType="separate"/>
          </w:r>
          <w:r>
            <w:rPr>
              <w:rFonts w:hint="eastAsia" w:ascii="宋体" w:hAnsi="宋体" w:cs="宋体"/>
              <w:color w:val="auto"/>
              <w:sz w:val="28"/>
              <w:szCs w:val="28"/>
              <w:highlight w:val="none"/>
            </w:rPr>
            <w:t>第二部分 投标人须知</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_Toc24634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5</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pPr>
            <w:pStyle w:val="43"/>
            <w:tabs>
              <w:tab w:val="right" w:leader="dot" w:pos="9638"/>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"_Toc29010" </w:instrText>
          </w:r>
          <w:r>
            <w:rPr>
              <w:color w:val="auto"/>
              <w:highlight w:val="none"/>
            </w:rPr>
            <w:fldChar w:fldCharType="separate"/>
          </w:r>
          <w:r>
            <w:rPr>
              <w:rFonts w:hint="eastAsia" w:ascii="宋体" w:hAnsi="宋体" w:cs="宋体"/>
              <w:color w:val="auto"/>
              <w:sz w:val="28"/>
              <w:szCs w:val="28"/>
              <w:highlight w:val="none"/>
            </w:rPr>
            <w:t>第三部分 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_Toc29010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25</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pPr>
            <w:pStyle w:val="43"/>
            <w:tabs>
              <w:tab w:val="right" w:leader="dot" w:pos="9638"/>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"_Toc11298" </w:instrText>
          </w:r>
          <w:r>
            <w:rPr>
              <w:color w:val="auto"/>
              <w:highlight w:val="none"/>
            </w:rPr>
            <w:fldChar w:fldCharType="separate"/>
          </w:r>
          <w:r>
            <w:rPr>
              <w:rFonts w:hint="eastAsia" w:ascii="宋体" w:hAnsi="宋体" w:cs="宋体"/>
              <w:color w:val="auto"/>
              <w:sz w:val="28"/>
              <w:szCs w:val="28"/>
              <w:highlight w:val="none"/>
            </w:rPr>
            <w:t>第四部分 评标办法</w:t>
          </w:r>
          <w:r>
            <w:rPr>
              <w:rFonts w:hint="eastAsia" w:ascii="宋体" w:hAnsi="宋体" w:cs="宋体"/>
              <w:color w:val="auto"/>
              <w:sz w:val="28"/>
              <w:szCs w:val="28"/>
              <w:highlight w:val="none"/>
            </w:rPr>
            <w:tab/>
          </w:r>
          <w:r>
            <w:rPr>
              <w:rFonts w:hint="eastAsia" w:ascii="宋体" w:hAnsi="宋体" w:cs="宋体"/>
              <w:color w:val="auto"/>
              <w:sz w:val="28"/>
              <w:szCs w:val="28"/>
              <w:highlight w:val="none"/>
            </w:rPr>
            <w:t>52</w:t>
          </w:r>
          <w:r>
            <w:rPr>
              <w:rFonts w:hint="eastAsia" w:ascii="宋体" w:hAnsi="宋体" w:cs="宋体"/>
              <w:color w:val="auto"/>
              <w:sz w:val="28"/>
              <w:szCs w:val="28"/>
              <w:highlight w:val="none"/>
            </w:rPr>
            <w:fldChar w:fldCharType="end"/>
          </w:r>
        </w:p>
        <w:p>
          <w:pPr>
            <w:pStyle w:val="43"/>
            <w:tabs>
              <w:tab w:val="right" w:leader="dot" w:pos="9638"/>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"_Toc32594" </w:instrText>
          </w:r>
          <w:r>
            <w:rPr>
              <w:color w:val="auto"/>
              <w:highlight w:val="none"/>
            </w:rPr>
            <w:fldChar w:fldCharType="separate"/>
          </w:r>
          <w:r>
            <w:rPr>
              <w:rFonts w:hint="eastAsia" w:ascii="宋体" w:hAnsi="宋体" w:cs="宋体"/>
              <w:color w:val="auto"/>
              <w:sz w:val="28"/>
              <w:szCs w:val="28"/>
              <w:highlight w:val="none"/>
            </w:rPr>
            <w:t>第五部分 拟签订的合同文本</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_Toc32594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39</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pPr>
            <w:pStyle w:val="43"/>
            <w:tabs>
              <w:tab w:val="right" w:leader="dot" w:pos="9638"/>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"_Toc20755" </w:instrText>
          </w:r>
          <w:r>
            <w:rPr>
              <w:color w:val="auto"/>
              <w:highlight w:val="none"/>
            </w:rPr>
            <w:fldChar w:fldCharType="separate"/>
          </w:r>
          <w:r>
            <w:rPr>
              <w:rFonts w:hint="eastAsia" w:ascii="宋体" w:hAnsi="宋体" w:cs="宋体"/>
              <w:color w:val="auto"/>
              <w:sz w:val="28"/>
              <w:szCs w:val="28"/>
              <w:highlight w:val="none"/>
            </w:rPr>
            <w:t>第六部分 应提交的有关格式范例</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_Toc20755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44</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pPr>
            <w:spacing w:line="360" w:lineRule="auto"/>
            <w:ind w:firstLine="641" w:firstLineChars="229"/>
            <w:rPr>
              <w:rFonts w:ascii="宋体" w:hAnsi="宋体" w:cs="宋体"/>
              <w:color w:val="auto"/>
              <w:highlight w:val="none"/>
            </w:rPr>
          </w:pPr>
          <w:r>
            <w:rPr>
              <w:rFonts w:hint="eastAsia" w:ascii="宋体" w:hAnsi="宋体" w:cs="宋体"/>
              <w:color w:val="auto"/>
              <w:sz w:val="28"/>
              <w:szCs w:val="28"/>
              <w:highlight w:val="none"/>
            </w:rPr>
            <w:fldChar w:fldCharType="end"/>
          </w:r>
        </w:p>
      </w:sdtContent>
    </w:sdt>
    <w:p>
      <w:pPr>
        <w:pStyle w:val="79"/>
        <w:ind w:firstLine="460"/>
        <w:rPr>
          <w:color w:val="auto"/>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rPr>
          <w:rFonts w:ascii="宋体" w:hAnsi="宋体" w:cs="宋体"/>
          <w:color w:val="auto"/>
          <w:sz w:val="24"/>
          <w:highlight w:val="none"/>
        </w:rPr>
      </w:pPr>
    </w:p>
    <w:bookmarkEnd w:id="4"/>
    <w:p>
      <w:pPr>
        <w:numPr>
          <w:ilvl w:val="0"/>
          <w:numId w:val="1"/>
        </w:numPr>
        <w:adjustRightInd/>
        <w:spacing w:line="360" w:lineRule="auto"/>
        <w:jc w:val="center"/>
        <w:outlineLvl w:val="0"/>
        <w:rPr>
          <w:rFonts w:ascii="宋体" w:hAnsi="宋体" w:cs="宋体"/>
          <w:b/>
          <w:color w:val="auto"/>
          <w:sz w:val="36"/>
          <w:szCs w:val="20"/>
          <w:highlight w:val="none"/>
        </w:rPr>
        <w:sectPr>
          <w:headerReference r:id="rId4" w:type="first"/>
          <w:headerReference r:id="rId3" w:type="default"/>
          <w:footerReference r:id="rId5" w:type="even"/>
          <w:pgSz w:w="11906" w:h="16838"/>
          <w:pgMar w:top="1134" w:right="1134" w:bottom="1134" w:left="1134" w:header="567" w:footer="680" w:gutter="0"/>
          <w:pgNumType w:start="1"/>
          <w:cols w:space="720" w:num="1"/>
          <w:titlePg/>
          <w:docGrid w:type="lines" w:linePitch="312" w:charSpace="0"/>
        </w:sectPr>
      </w:pPr>
      <w:bookmarkStart w:id="5" w:name="_Hlt74707423"/>
      <w:bookmarkEnd w:id="5"/>
      <w:bookmarkStart w:id="6" w:name="_Hlt74649545"/>
      <w:bookmarkEnd w:id="6"/>
      <w:bookmarkStart w:id="7" w:name="_Hlt74729822"/>
      <w:bookmarkEnd w:id="7"/>
      <w:bookmarkStart w:id="8" w:name="_Hlt74728647"/>
      <w:bookmarkEnd w:id="8"/>
      <w:bookmarkStart w:id="9" w:name="_Toc12366"/>
      <w:bookmarkStart w:id="10" w:name="_Toc176343848"/>
      <w:bookmarkStart w:id="11" w:name="_Toc176185119"/>
      <w:bookmarkStart w:id="12" w:name="第二部分"/>
      <w:bookmarkStart w:id="13" w:name="_Toc91899870"/>
      <w:bookmarkStart w:id="14" w:name="_Toc91899871"/>
    </w:p>
    <w:p>
      <w:pPr>
        <w:numPr>
          <w:ilvl w:val="0"/>
          <w:numId w:val="1"/>
        </w:numPr>
        <w:adjustRightInd/>
        <w:spacing w:line="360" w:lineRule="auto"/>
        <w:jc w:val="center"/>
        <w:outlineLvl w:val="0"/>
        <w:rPr>
          <w:rFonts w:ascii="宋体" w:hAnsi="宋体" w:cs="宋体"/>
          <w:b/>
          <w:color w:val="auto"/>
          <w:sz w:val="36"/>
          <w:szCs w:val="20"/>
          <w:highlight w:val="none"/>
        </w:rPr>
      </w:pPr>
      <w:r>
        <w:rPr>
          <w:rFonts w:hint="eastAsia" w:ascii="宋体" w:hAnsi="宋体" w:cs="宋体"/>
          <w:b/>
          <w:color w:val="auto"/>
          <w:sz w:val="36"/>
          <w:szCs w:val="20"/>
          <w:highlight w:val="none"/>
        </w:rPr>
        <w:t xml:space="preserve"> 招标公告</w:t>
      </w:r>
      <w:bookmarkEnd w:id="9"/>
      <w:bookmarkEnd w:id="10"/>
      <w:bookmarkEnd w:id="11"/>
    </w:p>
    <w:p>
      <w:pPr>
        <w:pStyle w:val="41"/>
        <w:rPr>
          <w:rFonts w:ascii="宋体" w:hAnsi="宋体" w:cs="宋体"/>
          <w:b/>
          <w:color w:val="auto"/>
          <w:sz w:val="36"/>
          <w:szCs w:val="20"/>
          <w:highlight w:val="none"/>
        </w:rPr>
      </w:pPr>
      <w:r>
        <w:rPr>
          <w:rFonts w:hint="eastAsia" w:ascii="宋体" w:hAnsi="宋体" w:cs="宋体"/>
          <w:b/>
          <w:color w:val="auto"/>
          <w:sz w:val="32"/>
          <w:szCs w:val="32"/>
          <w:highlight w:val="none"/>
        </w:rPr>
        <w:t>北海市政府采购中心关于</w:t>
      </w:r>
      <w:bookmarkStart w:id="15" w:name="OLE_LINK32"/>
      <w:bookmarkStart w:id="16" w:name="OLE_LINK31"/>
      <w:bookmarkStart w:id="17" w:name="OLE_LINK26"/>
      <w:bookmarkStart w:id="18" w:name="OLE_LINK27"/>
      <w:bookmarkStart w:id="19" w:name="OLE_LINK28"/>
      <w:r>
        <w:rPr>
          <w:rFonts w:hint="eastAsia" w:ascii="宋体" w:hAnsi="宋体" w:cs="宋体"/>
          <w:b/>
          <w:color w:val="auto"/>
          <w:sz w:val="32"/>
          <w:szCs w:val="32"/>
          <w:highlight w:val="none"/>
        </w:rPr>
        <w:t>来宾市政务服务和大数据发展局</w:t>
      </w:r>
      <w:bookmarkEnd w:id="15"/>
      <w:bookmarkEnd w:id="16"/>
      <w:r>
        <w:rPr>
          <w:rFonts w:hint="eastAsia" w:ascii="宋体" w:hAnsi="宋体" w:cs="宋体"/>
          <w:b/>
          <w:color w:val="auto"/>
          <w:sz w:val="32"/>
          <w:szCs w:val="32"/>
          <w:highlight w:val="none"/>
        </w:rPr>
        <w:t>来宾市电子政务外网三期服务采购</w:t>
      </w:r>
      <w:bookmarkEnd w:id="17"/>
      <w:r>
        <w:rPr>
          <w:rFonts w:hint="eastAsia" w:ascii="宋体" w:hAnsi="宋体" w:cs="宋体"/>
          <w:b/>
          <w:color w:val="auto"/>
          <w:sz w:val="32"/>
          <w:szCs w:val="32"/>
          <w:highlight w:val="none"/>
        </w:rPr>
        <w:t>(</w:t>
      </w:r>
      <w:r>
        <w:rPr>
          <w:rFonts w:hint="eastAsia" w:ascii="宋体" w:hAnsi="宋体" w:cs="宋体"/>
          <w:b/>
          <w:color w:val="auto"/>
          <w:sz w:val="32"/>
          <w:szCs w:val="32"/>
          <w:highlight w:val="none"/>
          <w:lang w:eastAsia="zh-CN"/>
        </w:rPr>
        <w:t>LBZC2026-G3-990063-CGZX</w:t>
      </w:r>
      <w:r>
        <w:rPr>
          <w:rFonts w:hint="eastAsia" w:ascii="宋体" w:hAnsi="宋体" w:cs="宋体"/>
          <w:b/>
          <w:color w:val="auto"/>
          <w:sz w:val="32"/>
          <w:szCs w:val="32"/>
          <w:highlight w:val="none"/>
        </w:rPr>
        <w:t>)</w:t>
      </w:r>
      <w:r>
        <w:rPr>
          <w:rFonts w:hint="eastAsia" w:ascii="宋体" w:hAnsi="宋体" w:cs="宋体"/>
          <w:b/>
          <w:color w:val="auto"/>
          <w:sz w:val="32"/>
          <w:szCs w:val="32"/>
          <w:highlight w:val="none"/>
        </w:rPr>
        <w:t>公开招标</w:t>
      </w:r>
      <w:bookmarkEnd w:id="18"/>
      <w:bookmarkEnd w:id="19"/>
      <w:r>
        <w:rPr>
          <w:rFonts w:hint="eastAsia" w:ascii="宋体" w:hAnsi="宋体" w:cs="宋体"/>
          <w:b/>
          <w:color w:val="auto"/>
          <w:sz w:val="32"/>
          <w:szCs w:val="32"/>
          <w:highlight w:val="none"/>
        </w:rPr>
        <w:t>公告（远程异地评标）</w:t>
      </w:r>
    </w:p>
    <w:p>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项目概况</w:t>
      </w:r>
    </w:p>
    <w:p>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u w:val="single"/>
        </w:rPr>
        <w:t>来宾市电子政务外网三期服务采购</w:t>
      </w:r>
      <w:r>
        <w:rPr>
          <w:rFonts w:hint="eastAsia" w:asciiTheme="minorEastAsia" w:hAnsiTheme="minorEastAsia" w:eastAsiaTheme="minorEastAsia"/>
          <w:color w:val="auto"/>
          <w:sz w:val="24"/>
          <w:highlight w:val="none"/>
        </w:rPr>
        <w:t>招标项目的潜在投标人应在</w:t>
      </w:r>
      <w:r>
        <w:rPr>
          <w:rFonts w:hint="eastAsia" w:ascii="宋体" w:hAnsi="宋体" w:cs="宋体"/>
          <w:color w:val="auto"/>
          <w:sz w:val="24"/>
          <w:highlight w:val="none"/>
        </w:rPr>
        <w:t>广西政府采购云平台（https://www.gcy.zfcg.gxzf.gov.cn/）</w:t>
      </w:r>
      <w:r>
        <w:rPr>
          <w:rFonts w:asciiTheme="minorEastAsia" w:hAnsiTheme="minorEastAsia" w:eastAsiaTheme="minorEastAsia"/>
          <w:color w:val="auto"/>
          <w:sz w:val="24"/>
          <w:highlight w:val="none"/>
        </w:rPr>
        <w:t>获取（下载）招标文件，并于</w:t>
      </w:r>
      <w:r>
        <w:rPr>
          <w:rFonts w:hint="eastAsia" w:asciiTheme="minorEastAsia" w:hAnsiTheme="minorEastAsia" w:eastAsiaTheme="minorEastAsia"/>
          <w:color w:val="auto"/>
          <w:sz w:val="24"/>
          <w:highlight w:val="none"/>
        </w:rPr>
        <w:t>2026年</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lang w:val="en-US" w:eastAsia="zh-CN"/>
        </w:rPr>
        <w:t>31</w:t>
      </w:r>
      <w:r>
        <w:rPr>
          <w:rFonts w:hint="eastAsia" w:asciiTheme="minorEastAsia" w:hAnsiTheme="minorEastAsia" w:eastAsiaTheme="minorEastAsia"/>
          <w:color w:val="auto"/>
          <w:sz w:val="24"/>
          <w:highlight w:val="none"/>
        </w:rPr>
        <w:t>日9</w:t>
      </w:r>
      <w:r>
        <w:rPr>
          <w:rFonts w:hint="eastAsia" w:asciiTheme="minorEastAsia" w:hAnsiTheme="minorEastAsia" w:eastAsiaTheme="minorEastAsia"/>
          <w:color w:val="auto"/>
          <w:sz w:val="24"/>
          <w:highlight w:val="none"/>
        </w:rPr>
        <w:t>点0分00秒</w:t>
      </w:r>
      <w:r>
        <w:rPr>
          <w:rFonts w:hint="eastAsia" w:asciiTheme="minorEastAsia" w:hAnsiTheme="minorEastAsia" w:eastAsiaTheme="minorEastAsia"/>
          <w:bCs/>
          <w:color w:val="auto"/>
          <w:sz w:val="24"/>
          <w:highlight w:val="none"/>
        </w:rPr>
        <w:t>（北京时间）前</w:t>
      </w:r>
      <w:r>
        <w:rPr>
          <w:rFonts w:hint="eastAsia" w:asciiTheme="minorEastAsia" w:hAnsiTheme="minorEastAsia" w:eastAsiaTheme="minorEastAsia"/>
          <w:color w:val="auto"/>
          <w:sz w:val="24"/>
          <w:highlight w:val="none"/>
        </w:rPr>
        <w:t>递交（上传）投标文件。</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一、项目基本情况</w:t>
      </w:r>
    </w:p>
    <w:p>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项目编号：</w:t>
      </w:r>
      <w:r>
        <w:rPr>
          <w:rFonts w:hint="eastAsia" w:ascii="宋体" w:hAnsi="宋体" w:cs="宋体"/>
          <w:color w:val="auto"/>
          <w:sz w:val="24"/>
          <w:highlight w:val="none"/>
          <w:lang w:eastAsia="zh-CN"/>
        </w:rPr>
        <w:t>LBZC2026-G3-990063-CGZX</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项目名称：</w:t>
      </w:r>
      <w:bookmarkStart w:id="20" w:name="OLE_LINK17"/>
      <w:bookmarkStart w:id="21" w:name="OLE_LINK16"/>
      <w:bookmarkStart w:id="22" w:name="OLE_LINK15"/>
      <w:bookmarkStart w:id="23" w:name="OLE_LINK33"/>
      <w:r>
        <w:rPr>
          <w:rFonts w:hint="eastAsia" w:ascii="宋体" w:hAnsi="宋体" w:cs="宋体"/>
          <w:color w:val="auto"/>
          <w:sz w:val="24"/>
          <w:highlight w:val="none"/>
        </w:rPr>
        <w:t>来宾市电子政务外网三期服务采购</w:t>
      </w:r>
      <w:bookmarkEnd w:id="20"/>
      <w:bookmarkEnd w:id="21"/>
      <w:bookmarkEnd w:id="22"/>
      <w:bookmarkEnd w:id="23"/>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预算金额（元）：</w:t>
      </w:r>
      <w:bookmarkStart w:id="24" w:name="OLE_LINK18"/>
      <w:bookmarkStart w:id="25" w:name="OLE_LINK19"/>
      <w:r>
        <w:rPr>
          <w:rFonts w:hint="eastAsia" w:ascii="宋体" w:hAnsi="宋体" w:cs="宋体"/>
          <w:color w:val="auto"/>
          <w:sz w:val="24"/>
          <w:highlight w:val="none"/>
        </w:rPr>
        <w:t xml:space="preserve"> </w:t>
      </w:r>
      <w:bookmarkEnd w:id="24"/>
      <w:bookmarkEnd w:id="25"/>
      <w:bookmarkStart w:id="26" w:name="OLE_LINK21"/>
      <w:bookmarkStart w:id="27" w:name="OLE_LINK20"/>
      <w:r>
        <w:rPr>
          <w:rFonts w:hint="eastAsia" w:ascii="宋体" w:hAnsi="宋体" w:cs="宋体"/>
          <w:color w:val="auto"/>
          <w:sz w:val="24"/>
          <w:highlight w:val="none"/>
        </w:rPr>
        <w:t>742400.00</w:t>
      </w:r>
    </w:p>
    <w:bookmarkEnd w:id="26"/>
    <w:bookmarkEnd w:id="27"/>
    <w:p>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采购需求：</w:t>
      </w:r>
    </w:p>
    <w:p>
      <w:pPr>
        <w:pStyle w:val="4"/>
        <w:spacing w:line="360" w:lineRule="auto"/>
        <w:ind w:firstLine="480"/>
        <w:rPr>
          <w:rFonts w:hAnsi="宋体" w:cs="宋体"/>
          <w:color w:val="auto"/>
          <w:kern w:val="0"/>
          <w:sz w:val="24"/>
          <w:highlight w:val="none"/>
        </w:rPr>
      </w:pPr>
    </w:p>
    <w:p>
      <w:pPr>
        <w:pStyle w:val="4"/>
        <w:spacing w:line="360" w:lineRule="auto"/>
        <w:ind w:firstLine="480"/>
        <w:rPr>
          <w:rFonts w:hAnsi="宋体" w:cs="宋体"/>
          <w:color w:val="auto"/>
          <w:kern w:val="0"/>
          <w:sz w:val="24"/>
          <w:highlight w:val="none"/>
        </w:rPr>
      </w:pPr>
      <w:r>
        <w:rPr>
          <w:rFonts w:hint="eastAsia" w:hAnsi="宋体" w:cs="宋体"/>
          <w:color w:val="auto"/>
          <w:kern w:val="0"/>
          <w:sz w:val="24"/>
          <w:highlight w:val="none"/>
        </w:rPr>
        <w:t>标项1</w:t>
      </w:r>
    </w:p>
    <w:p>
      <w:pPr>
        <w:pStyle w:val="4"/>
        <w:spacing w:line="360" w:lineRule="auto"/>
        <w:ind w:firstLine="480"/>
        <w:rPr>
          <w:rFonts w:hAnsi="宋体" w:cs="宋体"/>
          <w:color w:val="auto"/>
          <w:kern w:val="0"/>
          <w:sz w:val="24"/>
          <w:highlight w:val="none"/>
        </w:rPr>
      </w:pPr>
      <w:r>
        <w:rPr>
          <w:rFonts w:hint="eastAsia" w:hAnsi="宋体" w:cs="宋体"/>
          <w:color w:val="auto"/>
          <w:kern w:val="0"/>
          <w:sz w:val="24"/>
          <w:highlight w:val="none"/>
        </w:rPr>
        <w:t>标项名称:信息技术服务（备用链路服务）</w:t>
      </w:r>
    </w:p>
    <w:p>
      <w:pPr>
        <w:pStyle w:val="4"/>
        <w:spacing w:line="360" w:lineRule="auto"/>
        <w:ind w:firstLine="480"/>
        <w:rPr>
          <w:rFonts w:hAnsi="宋体" w:cs="宋体"/>
          <w:color w:val="auto"/>
          <w:kern w:val="0"/>
          <w:sz w:val="24"/>
          <w:highlight w:val="none"/>
        </w:rPr>
      </w:pPr>
      <w:r>
        <w:rPr>
          <w:rFonts w:hint="eastAsia" w:hAnsi="宋体" w:cs="宋体"/>
          <w:color w:val="auto"/>
          <w:kern w:val="0"/>
          <w:sz w:val="24"/>
          <w:highlight w:val="none"/>
        </w:rPr>
        <w:t>数量:1项</w:t>
      </w:r>
    </w:p>
    <w:p>
      <w:pPr>
        <w:pStyle w:val="4"/>
        <w:spacing w:line="360" w:lineRule="auto"/>
        <w:ind w:firstLine="480"/>
        <w:rPr>
          <w:rFonts w:hAnsi="宋体" w:cs="宋体"/>
          <w:color w:val="auto"/>
          <w:kern w:val="0"/>
          <w:sz w:val="24"/>
          <w:highlight w:val="none"/>
        </w:rPr>
      </w:pPr>
      <w:r>
        <w:rPr>
          <w:rFonts w:hint="eastAsia" w:hAnsi="宋体" w:cs="宋体"/>
          <w:color w:val="auto"/>
          <w:kern w:val="0"/>
          <w:sz w:val="24"/>
          <w:highlight w:val="none"/>
        </w:rPr>
        <w:t>预算金额（元）:</w:t>
      </w:r>
      <w:bookmarkStart w:id="28" w:name="OLE_LINK1"/>
      <w:r>
        <w:rPr>
          <w:rFonts w:hint="eastAsia" w:hAnsi="宋体" w:cs="宋体"/>
          <w:color w:val="auto"/>
          <w:kern w:val="0"/>
          <w:sz w:val="24"/>
          <w:highlight w:val="none"/>
        </w:rPr>
        <w:t>742400.00</w:t>
      </w:r>
      <w:bookmarkEnd w:id="28"/>
    </w:p>
    <w:p>
      <w:pPr>
        <w:pStyle w:val="4"/>
        <w:spacing w:line="360" w:lineRule="auto"/>
        <w:ind w:firstLine="480"/>
        <w:rPr>
          <w:rFonts w:hAnsi="宋体" w:cs="宋体"/>
          <w:color w:val="auto"/>
          <w:kern w:val="0"/>
          <w:sz w:val="24"/>
          <w:highlight w:val="none"/>
        </w:rPr>
      </w:pPr>
      <w:r>
        <w:rPr>
          <w:rFonts w:hint="eastAsia" w:hAnsi="宋体" w:cs="宋体"/>
          <w:color w:val="auto"/>
          <w:kern w:val="0"/>
          <w:sz w:val="24"/>
          <w:highlight w:val="none"/>
        </w:rPr>
        <w:t>简要规格描述或项目基本概况介绍、用途：通过购买服务的方式保障来宾市电子政务外网的正常运行，服务期3年，服务内容包括：网络服务、运维管理服务、安全服务、密码服务、线路及机柜租赁服务。具体详见招标文件。</w:t>
      </w:r>
    </w:p>
    <w:p>
      <w:pPr>
        <w:pStyle w:val="4"/>
        <w:spacing w:line="360" w:lineRule="auto"/>
        <w:ind w:firstLine="480"/>
        <w:rPr>
          <w:rFonts w:hAnsi="宋体" w:cs="宋体"/>
          <w:color w:val="auto"/>
          <w:kern w:val="0"/>
          <w:sz w:val="24"/>
          <w:highlight w:val="none"/>
        </w:rPr>
      </w:pPr>
      <w:r>
        <w:rPr>
          <w:rFonts w:hint="eastAsia" w:hAnsi="宋体" w:cs="宋体"/>
          <w:color w:val="auto"/>
          <w:kern w:val="0"/>
          <w:sz w:val="24"/>
          <w:highlight w:val="none"/>
        </w:rPr>
        <w:t>最高限价（如有）：742400.00</w:t>
      </w:r>
    </w:p>
    <w:p>
      <w:pPr>
        <w:pStyle w:val="4"/>
        <w:spacing w:line="360" w:lineRule="auto"/>
        <w:ind w:firstLine="480"/>
        <w:rPr>
          <w:rFonts w:hAnsi="宋体" w:cs="宋体"/>
          <w:color w:val="auto"/>
          <w:kern w:val="0"/>
          <w:sz w:val="24"/>
          <w:highlight w:val="none"/>
        </w:rPr>
      </w:pPr>
      <w:r>
        <w:rPr>
          <w:rFonts w:hint="eastAsia" w:hAnsi="宋体" w:cs="宋体"/>
          <w:color w:val="auto"/>
          <w:kern w:val="0"/>
          <w:sz w:val="24"/>
          <w:highlight w:val="none"/>
        </w:rPr>
        <w:t>合同履约期限：自签订合同之日起60天内完成安装调试并通过验收交付使用，服务期限为3年。</w:t>
      </w:r>
    </w:p>
    <w:p>
      <w:pPr>
        <w:pStyle w:val="4"/>
        <w:spacing w:line="360" w:lineRule="auto"/>
        <w:ind w:firstLine="480"/>
        <w:rPr>
          <w:rFonts w:hAnsi="宋体" w:cs="宋体"/>
          <w:color w:val="auto"/>
          <w:kern w:val="0"/>
          <w:sz w:val="24"/>
          <w:highlight w:val="none"/>
        </w:rPr>
      </w:pPr>
      <w:r>
        <w:rPr>
          <w:rFonts w:hint="eastAsia" w:hAnsi="宋体" w:cs="宋体"/>
          <w:color w:val="auto"/>
          <w:kern w:val="0"/>
          <w:sz w:val="24"/>
          <w:highlight w:val="none"/>
        </w:rPr>
        <w:t>本标项（是）接受联合体投标</w:t>
      </w:r>
    </w:p>
    <w:p>
      <w:pPr>
        <w:ind w:firstLine="480" w:firstLineChars="200"/>
        <w:rPr>
          <w:color w:val="auto"/>
          <w:highlight w:val="none"/>
        </w:rPr>
      </w:pPr>
      <w:r>
        <w:rPr>
          <w:rFonts w:hint="eastAsia" w:hAnsi="宋体" w:cs="宋体"/>
          <w:color w:val="auto"/>
          <w:kern w:val="0"/>
          <w:sz w:val="24"/>
          <w:highlight w:val="none"/>
        </w:rPr>
        <w:t>备注：</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二、</w:t>
      </w:r>
      <w:bookmarkStart w:id="29" w:name="_Hlk101132948"/>
      <w:r>
        <w:rPr>
          <w:rFonts w:hint="eastAsia" w:ascii="宋体" w:hAnsi="宋体" w:cs="宋体"/>
          <w:b/>
          <w:color w:val="auto"/>
          <w:sz w:val="24"/>
          <w:highlight w:val="none"/>
        </w:rPr>
        <w:t>申请人的资格要求</w:t>
      </w:r>
      <w:bookmarkEnd w:id="29"/>
      <w:r>
        <w:rPr>
          <w:rFonts w:hint="eastAsia" w:ascii="宋体" w:hAnsi="宋体" w:cs="宋体"/>
          <w:b/>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2.落实政府采购政策需满足的资格要求：无；</w:t>
      </w:r>
    </w:p>
    <w:p>
      <w:pPr>
        <w:pStyle w:val="4"/>
        <w:spacing w:line="360" w:lineRule="auto"/>
        <w:ind w:firstLine="480"/>
        <w:rPr>
          <w:rFonts w:hAnsi="宋体" w:cs="宋体"/>
          <w:color w:val="auto"/>
          <w:sz w:val="24"/>
          <w:highlight w:val="none"/>
        </w:rPr>
      </w:pPr>
      <w:r>
        <w:rPr>
          <w:rFonts w:hint="eastAsia" w:hAnsi="宋体" w:cs="宋体"/>
          <w:color w:val="auto"/>
          <w:sz w:val="24"/>
          <w:highlight w:val="none"/>
        </w:rPr>
        <w:t>3.本项目的特定资格要求：无。</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三、获取招标文件</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s="宋体"/>
          <w:color w:val="auto"/>
          <w:sz w:val="24"/>
          <w:highlight w:val="none"/>
          <w:u w:val="single"/>
        </w:rPr>
        <w:t>2026年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10</w:t>
      </w:r>
      <w:r>
        <w:rPr>
          <w:rFonts w:hint="eastAsia" w:ascii="宋体" w:hAnsi="宋体" w:cs="宋体"/>
          <w:color w:val="auto"/>
          <w:sz w:val="24"/>
          <w:highlight w:val="none"/>
          <w:u w:val="single"/>
        </w:rPr>
        <w:t>日</w:t>
      </w:r>
      <w:r>
        <w:rPr>
          <w:rFonts w:hint="eastAsia" w:ascii="宋体" w:hAnsi="宋体" w:cs="宋体"/>
          <w:color w:val="auto"/>
          <w:sz w:val="24"/>
          <w:highlight w:val="none"/>
        </w:rPr>
        <w:t>至</w:t>
      </w:r>
      <w:r>
        <w:rPr>
          <w:rFonts w:hint="eastAsia" w:ascii="宋体" w:hAnsi="宋体" w:cs="宋体"/>
          <w:color w:val="auto"/>
          <w:sz w:val="24"/>
          <w:highlight w:val="none"/>
          <w:u w:val="single"/>
        </w:rPr>
        <w:t>2026年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17</w:t>
      </w:r>
      <w:r>
        <w:rPr>
          <w:rFonts w:hint="eastAsia" w:ascii="宋体" w:hAnsi="宋体" w:cs="宋体"/>
          <w:color w:val="auto"/>
          <w:sz w:val="24"/>
          <w:highlight w:val="none"/>
          <w:u w:val="single"/>
        </w:rPr>
        <w:t>日</w:t>
      </w:r>
      <w:r>
        <w:rPr>
          <w:rFonts w:hint="eastAsia" w:ascii="宋体" w:hAnsi="宋体" w:cs="宋体"/>
          <w:color w:val="auto"/>
          <w:sz w:val="24"/>
          <w:highlight w:val="none"/>
        </w:rPr>
        <w:t>，</w:t>
      </w:r>
      <w:r>
        <w:rPr>
          <w:rFonts w:hint="eastAsia" w:ascii="宋体" w:hAnsi="宋体" w:cs="宋体"/>
          <w:color w:val="auto"/>
          <w:sz w:val="24"/>
          <w:highlight w:val="none"/>
        </w:rPr>
        <w:t>每天上午00:00至12:00 ，下午12:00至23:59（北京时间，法定节假日除外）</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地点（网址）：广西政府采购云平台（https://www.gcy.zfcg.gxzf.gov.cn/）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方式：供应商登录广西政府采购云平台（https://www.gcy.zfcg.gxzf.gov.cn/）在线申请获取采购文件（进入“项目采购”应用，在获取采购文件菜单中选择项目，申请获取采购文件）。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售价（元）：0</w:t>
      </w:r>
      <w:bookmarkStart w:id="426" w:name="_GoBack"/>
      <w:bookmarkEnd w:id="426"/>
    </w:p>
    <w:p>
      <w:pPr>
        <w:spacing w:line="360" w:lineRule="auto"/>
        <w:rPr>
          <w:rFonts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提交投标文件截止时间：</w:t>
      </w:r>
      <w:r>
        <w:rPr>
          <w:rFonts w:hint="eastAsia" w:ascii="宋体" w:hAnsi="宋体" w:cs="宋体"/>
          <w:color w:val="auto"/>
          <w:sz w:val="24"/>
          <w:highlight w:val="none"/>
          <w:u w:val="single"/>
        </w:rPr>
        <w:t xml:space="preserve"> 2026年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31</w:t>
      </w:r>
      <w:r>
        <w:rPr>
          <w:rFonts w:hint="eastAsia" w:ascii="宋体" w:hAnsi="宋体" w:cs="宋体"/>
          <w:color w:val="auto"/>
          <w:sz w:val="24"/>
          <w:highlight w:val="none"/>
          <w:u w:val="single"/>
        </w:rPr>
        <w:t>日9点0分00</w:t>
      </w:r>
      <w:r>
        <w:rPr>
          <w:rFonts w:hint="eastAsia" w:ascii="宋体" w:hAnsi="宋体" w:cs="宋体"/>
          <w:color w:val="auto"/>
          <w:sz w:val="24"/>
          <w:highlight w:val="none"/>
          <w:u w:val="single"/>
        </w:rPr>
        <w:t>秒</w:t>
      </w:r>
      <w:r>
        <w:rPr>
          <w:rFonts w:hint="eastAsia" w:ascii="宋体" w:hAnsi="宋体" w:cs="宋体"/>
          <w:color w:val="auto"/>
          <w:sz w:val="24"/>
          <w:highlight w:val="none"/>
        </w:rPr>
        <w:t>（北京时间）</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投标地点（网址）：广西政府采购云平台（https://www.gcy.zfcg.gxzf.gov.cn/） </w:t>
      </w:r>
    </w:p>
    <w:p>
      <w:pPr>
        <w:spacing w:line="360" w:lineRule="auto"/>
        <w:ind w:firstLine="480" w:firstLineChars="200"/>
        <w:rPr>
          <w:rFonts w:ascii="宋体" w:hAnsi="宋体" w:cs="宋体"/>
          <w:bCs/>
          <w:color w:val="auto"/>
          <w:sz w:val="24"/>
          <w:highlight w:val="none"/>
          <w:u w:val="single"/>
        </w:rPr>
      </w:pPr>
      <w:r>
        <w:rPr>
          <w:rFonts w:hint="eastAsia" w:ascii="宋体" w:hAnsi="宋体" w:cs="宋体"/>
          <w:color w:val="auto"/>
          <w:sz w:val="24"/>
          <w:highlight w:val="none"/>
        </w:rPr>
        <w:t>开标时间：</w:t>
      </w:r>
      <w:r>
        <w:rPr>
          <w:rFonts w:hint="eastAsia" w:ascii="宋体" w:hAnsi="宋体" w:cs="宋体"/>
          <w:color w:val="auto"/>
          <w:sz w:val="24"/>
          <w:highlight w:val="none"/>
          <w:u w:val="single"/>
        </w:rPr>
        <w:t>2026年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31</w:t>
      </w:r>
      <w:r>
        <w:rPr>
          <w:rFonts w:hint="eastAsia" w:ascii="宋体" w:hAnsi="宋体" w:cs="宋体"/>
          <w:color w:val="auto"/>
          <w:sz w:val="24"/>
          <w:highlight w:val="none"/>
          <w:u w:val="single"/>
        </w:rPr>
        <w:t>日9点0分00秒</w:t>
      </w:r>
      <w:r>
        <w:rPr>
          <w:rFonts w:hint="eastAsia" w:ascii="宋体" w:hAnsi="宋体" w:cs="宋体"/>
          <w:color w:val="auto"/>
          <w:sz w:val="24"/>
          <w:highlight w:val="none"/>
        </w:rPr>
        <w:t>（北京时</w:t>
      </w:r>
      <w:r>
        <w:rPr>
          <w:rFonts w:hint="eastAsia" w:ascii="宋体" w:hAnsi="宋体" w:cs="宋体"/>
          <w:color w:val="auto"/>
          <w:sz w:val="24"/>
          <w:highlight w:val="none"/>
        </w:rPr>
        <w:t>间）</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开标地点（网址）：广西政府采购云平台（https://www.gcy.zfcg.gxzf.gov.cn/）</w:t>
      </w:r>
    </w:p>
    <w:p>
      <w:pPr>
        <w:spacing w:line="360" w:lineRule="auto"/>
        <w:rPr>
          <w:rFonts w:ascii="宋体" w:hAnsi="宋体" w:cs="宋体"/>
          <w:color w:val="auto"/>
          <w:sz w:val="24"/>
          <w:highlight w:val="none"/>
        </w:rPr>
      </w:pPr>
      <w:r>
        <w:rPr>
          <w:rFonts w:hint="eastAsia" w:ascii="宋体" w:hAnsi="宋体" w:cs="宋体"/>
          <w:b/>
          <w:color w:val="auto"/>
          <w:sz w:val="24"/>
          <w:highlight w:val="none"/>
        </w:rPr>
        <w:t xml:space="preserve">五、公告期限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六、其他补充事宜</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1.本项目不收取投标保证金。</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对小型和微型企业的投标报价给予20%的扣除，用扣除后的价格参与评审。（5）支持监狱企业、残疾人福利性单位发展：监狱企业、残疾人福利性单位视同小型和微型企业。（6）平等对待内外资企业和符合条件的破产重整企业。</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4.网上公告媒体查询：中国政府采购网、广西政府采购网、全国公共资源交易平台（广西·北海）、北海市人民政府网-北海市政府采购中心网站。</w:t>
      </w:r>
    </w:p>
    <w:p>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7.本项目采用远程异地评标。</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七、对本次采购提出询问、质疑、投诉，请按以下方式联系</w:t>
      </w:r>
    </w:p>
    <w:p>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1.采购人信息</w:t>
      </w:r>
    </w:p>
    <w:p>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名    称：来宾市政务服务和大数据发展局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    址：来宾市红水河大道336号</w:t>
      </w:r>
    </w:p>
    <w:p>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项目联系人：覃彦婷</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项目联系方式：0772-4271316</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2.采购代理机构信息</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名    称：北海市政府采购中心</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    址：</w:t>
      </w:r>
      <w:bookmarkStart w:id="30" w:name="OLE_LINK37"/>
      <w:bookmarkStart w:id="31" w:name="OLE_LINK36"/>
      <w:r>
        <w:rPr>
          <w:rFonts w:hint="eastAsia" w:ascii="宋体" w:hAnsi="宋体" w:cs="宋体"/>
          <w:color w:val="auto"/>
          <w:sz w:val="24"/>
          <w:highlight w:val="none"/>
        </w:rPr>
        <w:t>北海市海城区陈文村北路7号市直机关第三办公区2号楼一层</w:t>
      </w:r>
      <w:bookmarkEnd w:id="30"/>
      <w:bookmarkEnd w:id="31"/>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项目联系人(询问)：欧呈东</w:t>
      </w:r>
    </w:p>
    <w:p>
      <w:pPr>
        <w:spacing w:line="360" w:lineRule="auto"/>
        <w:ind w:firstLine="480" w:firstLineChars="200"/>
        <w:outlineLvl w:val="0"/>
        <w:rPr>
          <w:rFonts w:ascii="宋体" w:hAnsi="宋体" w:cs="宋体"/>
          <w:color w:val="auto"/>
          <w:sz w:val="24"/>
          <w:highlight w:val="none"/>
        </w:rPr>
      </w:pPr>
      <w:bookmarkStart w:id="32" w:name="_Toc6543"/>
      <w:r>
        <w:rPr>
          <w:rFonts w:hint="eastAsia" w:ascii="宋体" w:hAnsi="宋体" w:cs="宋体"/>
          <w:color w:val="auto"/>
          <w:sz w:val="24"/>
          <w:highlight w:val="none"/>
        </w:rPr>
        <w:t>项目联系方式(询问)：0779-3071101</w:t>
      </w:r>
      <w:bookmarkEnd w:id="32"/>
    </w:p>
    <w:p>
      <w:pPr>
        <w:spacing w:line="360" w:lineRule="auto"/>
        <w:rPr>
          <w:rFonts w:ascii="宋体" w:hAnsi="宋体" w:cs="宋体"/>
          <w:color w:val="auto"/>
          <w:sz w:val="24"/>
          <w:highlight w:val="none"/>
        </w:rPr>
      </w:pP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p>
    <w:p>
      <w:pPr>
        <w:widowControl/>
        <w:adjustRightInd/>
        <w:jc w:val="left"/>
        <w:rPr>
          <w:rFonts w:ascii="宋体" w:hAnsi="宋体" w:cs="宋体"/>
          <w:b/>
          <w:color w:val="auto"/>
          <w:sz w:val="36"/>
          <w:szCs w:val="20"/>
          <w:highlight w:val="none"/>
        </w:rPr>
      </w:pPr>
      <w:r>
        <w:rPr>
          <w:rFonts w:ascii="宋体" w:hAnsi="宋体" w:cs="宋体"/>
          <w:b/>
          <w:color w:val="auto"/>
          <w:sz w:val="36"/>
          <w:szCs w:val="20"/>
          <w:highlight w:val="none"/>
        </w:rPr>
        <w:br w:type="page"/>
      </w:r>
    </w:p>
    <w:p>
      <w:pPr>
        <w:adjustRightInd/>
        <w:spacing w:line="360" w:lineRule="auto"/>
        <w:jc w:val="center"/>
        <w:outlineLvl w:val="0"/>
        <w:rPr>
          <w:rFonts w:ascii="宋体" w:hAnsi="宋体" w:cs="宋体"/>
          <w:b/>
          <w:color w:val="auto"/>
          <w:sz w:val="36"/>
          <w:szCs w:val="20"/>
          <w:highlight w:val="none"/>
        </w:rPr>
      </w:pPr>
      <w:bookmarkStart w:id="33" w:name="_Toc176368903"/>
      <w:bookmarkStart w:id="34" w:name="_Toc24634"/>
      <w:r>
        <w:rPr>
          <w:rFonts w:hint="eastAsia" w:ascii="宋体" w:hAnsi="宋体" w:cs="宋体"/>
          <w:b/>
          <w:color w:val="auto"/>
          <w:sz w:val="36"/>
          <w:szCs w:val="20"/>
          <w:highlight w:val="none"/>
        </w:rPr>
        <w:t>第二部分</w:t>
      </w:r>
      <w:bookmarkEnd w:id="12"/>
      <w:r>
        <w:rPr>
          <w:rFonts w:hint="eastAsia" w:ascii="宋体" w:hAnsi="宋体" w:cs="宋体"/>
          <w:b/>
          <w:color w:val="auto"/>
          <w:sz w:val="36"/>
          <w:szCs w:val="20"/>
          <w:highlight w:val="none"/>
        </w:rPr>
        <w:t xml:space="preserve"> 投标人须知</w:t>
      </w:r>
      <w:bookmarkEnd w:id="13"/>
      <w:bookmarkEnd w:id="33"/>
      <w:bookmarkEnd w:id="34"/>
    </w:p>
    <w:p>
      <w:pPr>
        <w:adjustRightInd/>
        <w:spacing w:line="360" w:lineRule="auto"/>
        <w:jc w:val="center"/>
        <w:outlineLvl w:val="1"/>
        <w:rPr>
          <w:rFonts w:ascii="宋体" w:hAnsi="宋体" w:cs="宋体"/>
          <w:b/>
          <w:color w:val="auto"/>
          <w:sz w:val="32"/>
          <w:szCs w:val="20"/>
          <w:highlight w:val="none"/>
        </w:rPr>
      </w:pPr>
      <w:r>
        <w:rPr>
          <w:rFonts w:hint="eastAsia" w:ascii="宋体" w:hAnsi="宋体" w:cs="宋体"/>
          <w:b/>
          <w:color w:val="auto"/>
          <w:sz w:val="32"/>
          <w:szCs w:val="20"/>
          <w:highlight w:val="none"/>
        </w:rPr>
        <w:t>前附表</w:t>
      </w:r>
    </w:p>
    <w:tbl>
      <w:tblPr>
        <w:tblStyle w:val="62"/>
        <w:tblW w:w="981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2182"/>
        <w:gridCol w:w="700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2182"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700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182"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w:t>
            </w:r>
          </w:p>
        </w:tc>
        <w:tc>
          <w:tcPr>
            <w:tcW w:w="70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182"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700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color w:val="auto"/>
                <w:highlight w:val="none"/>
              </w:rPr>
            </w:pPr>
            <w:r>
              <w:rPr>
                <w:rFonts w:hint="eastAsia" w:ascii="宋体" w:hAnsi="宋体" w:cs="宋体"/>
                <w:color w:val="auto"/>
                <w:kern w:val="0"/>
                <w:sz w:val="24"/>
                <w:highlight w:val="none"/>
              </w:rPr>
              <w:t>标的：</w:t>
            </w:r>
            <w:r>
              <w:rPr>
                <w:rFonts w:hint="eastAsia" w:ascii="宋体" w:hAnsi="宋体" w:cs="宋体"/>
                <w:color w:val="auto"/>
                <w:kern w:val="0"/>
                <w:sz w:val="24"/>
                <w:highlight w:val="none"/>
                <w:u w:val="single"/>
              </w:rPr>
              <w:t>信息技术服务（备用链路服务）</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 xml:space="preserve"> 软件和信息技术服务业 </w:t>
            </w:r>
            <w:r>
              <w:rPr>
                <w:rFonts w:hint="eastAsia" w:ascii="宋体" w:hAnsi="宋体" w:cs="宋体"/>
                <w:color w:val="auto"/>
                <w:kern w:val="0"/>
                <w:sz w:val="24"/>
                <w:highlight w:val="none"/>
              </w:rPr>
              <w:t>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182"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70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82842570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本项目不允许采购进口产品。</w:t>
            </w:r>
          </w:p>
          <w:p>
            <w:pPr>
              <w:spacing w:line="360" w:lineRule="auto"/>
              <w:rPr>
                <w:rFonts w:ascii="宋体" w:hAnsi="宋体" w:cs="宋体"/>
                <w:color w:val="auto"/>
                <w:highlight w:val="none"/>
              </w:rPr>
            </w:pPr>
            <w:sdt>
              <w:sdtPr>
                <w:rPr>
                  <w:rFonts w:hint="eastAsia" w:ascii="宋体" w:hAnsi="宋体" w:cs="宋体"/>
                  <w:color w:val="auto"/>
                  <w:kern w:val="0"/>
                  <w:sz w:val="24"/>
                  <w:highlight w:val="none"/>
                </w:rPr>
                <w:id w:val="-5285282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2182"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分包</w:t>
            </w:r>
          </w:p>
        </w:tc>
        <w:tc>
          <w:tcPr>
            <w:tcW w:w="70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47728692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 xml:space="preserve"> A</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w:t>
            </w:r>
          </w:p>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7633135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pPr>
              <w:spacing w:line="360" w:lineRule="auto"/>
              <w:rPr>
                <w:rFonts w:ascii="宋体" w:hAnsi="宋体" w:cs="宋体"/>
                <w:color w:val="auto"/>
                <w:sz w:val="24"/>
                <w:highlight w:val="none"/>
              </w:rPr>
            </w:pPr>
            <w:r>
              <w:rPr>
                <w:rFonts w:hint="eastAsia" w:ascii="宋体" w:hAnsi="宋体" w:cs="宋体"/>
                <w:color w:val="auto"/>
                <w:sz w:val="24"/>
                <w:highlight w:val="none"/>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2182"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70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21296641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pPr>
              <w:spacing w:line="360" w:lineRule="auto"/>
              <w:rPr>
                <w:rFonts w:ascii="宋体" w:hAnsi="宋体" w:cs="宋体"/>
                <w:color w:val="auto"/>
                <w:sz w:val="24"/>
                <w:szCs w:val="20"/>
                <w:highlight w:val="none"/>
              </w:rPr>
            </w:pPr>
            <w:sdt>
              <w:sdtPr>
                <w:rPr>
                  <w:rFonts w:hint="eastAsia" w:ascii="宋体" w:hAnsi="宋体" w:cs="宋体"/>
                  <w:color w:val="auto"/>
                  <w:kern w:val="0"/>
                  <w:sz w:val="24"/>
                  <w:highlight w:val="none"/>
                </w:rPr>
                <w:id w:val="-99980297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2182"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70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63994648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02683198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B要求提供，</w:t>
            </w:r>
          </w:p>
          <w:p>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snapToGrid w:val="0"/>
                <w:color w:val="auto"/>
                <w:kern w:val="28"/>
                <w:sz w:val="24"/>
                <w:highlight w:val="none"/>
              </w:rPr>
              <w:t>样品：</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snapToGrid w:val="0"/>
                <w:color w:val="auto"/>
                <w:kern w:val="28"/>
                <w:sz w:val="24"/>
                <w:highlight w:val="none"/>
              </w:rPr>
              <w:t>样品制作的标准和要求：</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（3）样品的评审方法以及评审标准</w:t>
            </w:r>
            <w:r>
              <w:rPr>
                <w:rFonts w:hint="eastAsia" w:ascii="宋体" w:hAnsi="宋体" w:cs="宋体"/>
                <w:snapToGrid w:val="0"/>
                <w:color w:val="auto"/>
                <w:kern w:val="28"/>
                <w:sz w:val="24"/>
                <w:highlight w:val="none"/>
              </w:rPr>
              <w:t>：详见</w:t>
            </w:r>
            <w:r>
              <w:rPr>
                <w:rFonts w:hint="eastAsia" w:ascii="宋体" w:hAnsi="宋体" w:cs="宋体"/>
                <w:color w:val="auto"/>
                <w:sz w:val="24"/>
                <w:highlight w:val="none"/>
                <w:u w:val="single"/>
              </w:rPr>
              <w:t>评标办法</w:t>
            </w:r>
            <w:r>
              <w:rPr>
                <w:rFonts w:hint="eastAsia" w:ascii="宋体" w:hAnsi="宋体" w:cs="宋体"/>
                <w:color w:val="auto"/>
                <w:kern w:val="0"/>
                <w:sz w:val="24"/>
                <w:highlight w:val="none"/>
              </w:rPr>
              <w:t>；</w:t>
            </w:r>
          </w:p>
          <w:p>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（4）是否需要随样品提交检测报告：</w:t>
            </w:r>
            <w:sdt>
              <w:sdtPr>
                <w:rPr>
                  <w:rFonts w:hint="eastAsia" w:ascii="宋体" w:hAnsi="宋体" w:cs="宋体"/>
                  <w:color w:val="auto"/>
                  <w:kern w:val="0"/>
                  <w:sz w:val="24"/>
                  <w:highlight w:val="none"/>
                </w:rPr>
                <w:id w:val="130342145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否；</w:t>
            </w:r>
            <w:sdt>
              <w:sdtPr>
                <w:rPr>
                  <w:rFonts w:hint="eastAsia" w:ascii="宋体" w:hAnsi="宋体" w:cs="宋体"/>
                  <w:color w:val="auto"/>
                  <w:kern w:val="0"/>
                  <w:sz w:val="24"/>
                  <w:highlight w:val="none"/>
                </w:rPr>
                <w:id w:val="162172843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pPr>
              <w:spacing w:line="360" w:lineRule="auto"/>
              <w:rPr>
                <w:rFonts w:ascii="宋体" w:hAnsi="宋体" w:cs="宋体"/>
                <w:color w:val="auto"/>
                <w:sz w:val="24"/>
                <w:highlight w:val="none"/>
              </w:rPr>
            </w:pPr>
            <w:r>
              <w:rPr>
                <w:rFonts w:hint="eastAsia" w:ascii="宋体" w:hAnsi="宋体" w:cs="宋体"/>
                <w:color w:val="auto"/>
                <w:sz w:val="24"/>
                <w:highlight w:val="none"/>
              </w:rPr>
              <w:t>（5）提供样品的时间：</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；联系人</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28"/>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。请投标人在上述时间内提供样品并按规定位置安装完毕。超过截止时间的，采购人或采购代理机构将不予接收，并将清场并封闭样品现场。</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pPr>
              <w:spacing w:line="360" w:lineRule="auto"/>
              <w:rPr>
                <w:rFonts w:ascii="宋体" w:hAnsi="宋体" w:cs="宋体"/>
                <w:b/>
                <w:color w:val="auto"/>
                <w:sz w:val="24"/>
                <w:highlight w:val="none"/>
              </w:rPr>
            </w:pPr>
            <w:r>
              <w:rPr>
                <w:rFonts w:hint="eastAsia" w:ascii="宋体" w:hAnsi="宋体" w:cs="宋体"/>
                <w:color w:val="auto"/>
                <w:sz w:val="24"/>
                <w:highlight w:val="none"/>
              </w:rPr>
              <w:t>（7）制作、运输、安装和保管样品所发生的一切费用由投标人自理。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2182"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70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85934854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17407171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（1）在评标时安排每个投标人进行方案讲解演示。每个投标人时间不超过</w:t>
            </w:r>
            <w:r>
              <w:rPr>
                <w:rFonts w:hint="eastAsia" w:ascii="宋体" w:hAnsi="宋体" w:cs="宋体"/>
                <w:color w:val="auto"/>
                <w:kern w:val="0"/>
                <w:sz w:val="24"/>
                <w:highlight w:val="none"/>
                <w:u w:val="single"/>
              </w:rPr>
              <w:t>20（编制时可根据项目情况进行调整）</w:t>
            </w:r>
            <w:r>
              <w:rPr>
                <w:rFonts w:hint="eastAsia" w:ascii="宋体" w:hAnsi="宋体" w:cs="宋体"/>
                <w:color w:val="auto"/>
                <w:kern w:val="0"/>
                <w:sz w:val="24"/>
                <w:highlight w:val="none"/>
              </w:rPr>
              <w:t>分钟，讲解次序以投标文件解密时间先后次序为准，讲解演示人员不超过</w:t>
            </w:r>
            <w:r>
              <w:rPr>
                <w:rFonts w:hint="eastAsia" w:ascii="宋体" w:hAnsi="宋体" w:cs="宋体"/>
                <w:color w:val="auto"/>
                <w:kern w:val="0"/>
                <w:sz w:val="24"/>
                <w:highlight w:val="none"/>
                <w:u w:val="single"/>
              </w:rPr>
              <w:t>3（编制时可根据项目情况进行调整）</w:t>
            </w:r>
            <w:r>
              <w:rPr>
                <w:rFonts w:hint="eastAsia" w:ascii="宋体" w:hAnsi="宋体" w:cs="宋体"/>
                <w:color w:val="auto"/>
                <w:kern w:val="0"/>
                <w:sz w:val="24"/>
                <w:highlight w:val="none"/>
              </w:rPr>
              <w:t>人。讲解演示结束后按要求解答评标委员会提问。</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（2）方案讲解演示可选择以下其中一种方式：</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方式一：广西政府采购云平台在线讲解演示。广西政府采购云平台在线讲解需投标人根据广西政府采购云平台操作要求做好准备工作，提前完善软硬件配置环境。</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方式二：评审现场讲解演示。现场讲解地点为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，讲解演示所用电脑等设备由投标人自备。现场讲解演示人员进场时提供讲解人员名单（加盖公章或授权代表签名）及身份证明，否则不得讲解演示。</w:t>
            </w:r>
          </w:p>
          <w:p>
            <w:pPr>
              <w:snapToGrid w:val="0"/>
              <w:spacing w:line="360" w:lineRule="auto"/>
              <w:rPr>
                <w:rFonts w:ascii="宋体" w:hAnsi="宋体" w:cs="宋体"/>
                <w:b/>
                <w:color w:val="auto"/>
                <w:kern w:val="0"/>
                <w:sz w:val="24"/>
                <w:highlight w:val="none"/>
                <w:lang w:val="zh-CN"/>
              </w:rPr>
            </w:pPr>
            <w:r>
              <w:rPr>
                <w:rFonts w:hint="eastAsia" w:ascii="宋体" w:hAnsi="宋体" w:cs="宋体"/>
                <w:color w:val="auto"/>
                <w:kern w:val="0"/>
                <w:sz w:val="24"/>
                <w:highlight w:val="none"/>
              </w:rPr>
              <w:t>注：因投标人自身原因导致无法演示或者演示效果不理想的，责任自负。因平台原因导致本项目方案讲解演示环节无法顺利开展，按照相关规定执行。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1" w:hRule="atLeast"/>
        </w:trPr>
        <w:tc>
          <w:tcPr>
            <w:tcW w:w="629" w:type="dxa"/>
            <w:vMerge w:val="restart"/>
            <w:tcBorders>
              <w:top w:val="single" w:color="auto" w:sz="4" w:space="0"/>
              <w:left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2182" w:type="dxa"/>
            <w:vMerge w:val="restart"/>
            <w:tcBorders>
              <w:top w:val="single" w:color="000000" w:sz="8" w:space="0"/>
              <w:left w:val="single" w:color="auto" w:sz="4"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投标人应当提供的资格、资信证明文件</w:t>
            </w:r>
          </w:p>
        </w:tc>
        <w:tc>
          <w:tcPr>
            <w:tcW w:w="700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（1）资格证明文件：见招标文件第二部分11.1。</w:t>
            </w:r>
          </w:p>
          <w:p>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投标人未提供有效的资格证明文件的，视为投标人不具备招标文件中规定的资格要求，投标无效。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54" w:hRule="atLeast"/>
        </w:trPr>
        <w:tc>
          <w:tcPr>
            <w:tcW w:w="629" w:type="dxa"/>
            <w:vMerge w:val="continue"/>
            <w:tcBorders>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2182" w:type="dxa"/>
            <w:vMerge w:val="continue"/>
            <w:tcBorders>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p>
        </w:tc>
        <w:tc>
          <w:tcPr>
            <w:tcW w:w="7005"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（2）资信证明文件：根据招标文件第三部分采购需求及第四部分评标标准的要求提供。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218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w:t>
            </w:r>
          </w:p>
        </w:tc>
        <w:tc>
          <w:tcPr>
            <w:tcW w:w="700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color w:val="auto"/>
                <w:highlight w:val="none"/>
              </w:rPr>
            </w:pPr>
            <w:r>
              <w:rPr>
                <w:rFonts w:hint="eastAsia" w:ascii="宋体" w:hAnsi="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10</w:t>
            </w:r>
          </w:p>
        </w:tc>
        <w:tc>
          <w:tcPr>
            <w:tcW w:w="218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700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有关本项目实施所需的所有费用（含税费）均计入报价。</w:t>
            </w:r>
            <w:r>
              <w:rPr>
                <w:rFonts w:hint="eastAsia" w:ascii="宋体" w:hAnsi="宋体" w:cs="宋体"/>
                <w:bCs/>
                <w:color w:val="auto"/>
                <w:kern w:val="0"/>
                <w:sz w:val="24"/>
                <w:highlight w:val="none"/>
                <w:lang w:val="zh-CN"/>
              </w:rPr>
              <w:t>投标文件</w:t>
            </w:r>
            <w:r>
              <w:rPr>
                <w:rFonts w:hint="eastAsia" w:ascii="宋体" w:hAnsi="宋体" w:cs="宋体"/>
                <w:bCs/>
                <w:color w:val="auto"/>
                <w:sz w:val="24"/>
                <w:highlight w:val="none"/>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color w:val="auto"/>
                <w:kern w:val="0"/>
                <w:sz w:val="24"/>
                <w:highlight w:val="none"/>
                <w:lang w:val="zh-CN"/>
              </w:rPr>
              <w:t>投标文件中价格全部采用人民币报价。招标文件未列明，而投标人认为必需的费用也需列入报价。提醒：验收时检测费用由采购人承担，不包含在投标总价中。</w:t>
            </w:r>
          </w:p>
          <w:p>
            <w:pPr>
              <w:snapToGrid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投标报价出现下列情形的，投标无效：</w:t>
            </w:r>
          </w:p>
          <w:p>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投标文件出现不是唯一的、有选择性投标报价的；</w:t>
            </w:r>
          </w:p>
          <w:p>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投标报价超过招标文件中规定的预算金额或者最高限价的;</w:t>
            </w:r>
          </w:p>
          <w:p>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投标报价属于招标文件规定的政府采购异常低价情形之一，且投标人不能提供书面说明、证明材料，或者提供的书面说明、证明材料不能证明其报价合理性的；</w:t>
            </w:r>
          </w:p>
          <w:p>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投标人对根据修正原则修正后的报价不确认的</w:t>
            </w:r>
            <w:r>
              <w:rPr>
                <w:rFonts w:hint="eastAsia" w:ascii="宋体" w:hAnsi="宋体" w:cs="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2182" w:type="dxa"/>
            <w:tcBorders>
              <w:top w:val="single" w:color="000000" w:sz="8" w:space="0"/>
              <w:left w:val="single" w:color="000000" w:sz="2"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中小企业信用融资</w:t>
            </w:r>
          </w:p>
        </w:tc>
        <w:tc>
          <w:tcPr>
            <w:tcW w:w="7005" w:type="dxa"/>
            <w:tcBorders>
              <w:top w:val="single" w:color="000000" w:sz="8" w:space="0"/>
              <w:left w:val="single" w:color="000000" w:sz="2" w:space="0"/>
              <w:right w:val="single" w:color="000000" w:sz="8" w:space="0"/>
            </w:tcBorders>
            <w:vAlign w:val="center"/>
          </w:tcPr>
          <w:p>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218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 xml:space="preserve">备份投标文件送达地点和签收人员 </w:t>
            </w:r>
          </w:p>
        </w:tc>
        <w:tc>
          <w:tcPr>
            <w:tcW w:w="700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9772492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不接受。</w:t>
            </w:r>
          </w:p>
          <w:p>
            <w:pPr>
              <w:pStyle w:val="33"/>
              <w:spacing w:line="360" w:lineRule="auto"/>
              <w:rPr>
                <w:rFonts w:hAnsi="宋体" w:cs="宋体"/>
                <w:color w:val="auto"/>
                <w:kern w:val="28"/>
                <w:sz w:val="24"/>
                <w:highlight w:val="none"/>
              </w:rPr>
            </w:pPr>
            <w:sdt>
              <w:sdtPr>
                <w:rPr>
                  <w:rFonts w:hint="eastAsia" w:hAnsi="宋体" w:cs="宋体"/>
                  <w:color w:val="auto"/>
                  <w:kern w:val="0"/>
                  <w:sz w:val="24"/>
                  <w:highlight w:val="none"/>
                </w:rPr>
                <w:id w:val="1206604863"/>
                <w14:checkbox>
                  <w14:checked w14:val="0"/>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hAnsi="宋体" w:cs="宋体"/>
                <w:color w:val="auto"/>
                <w:kern w:val="0"/>
                <w:sz w:val="24"/>
                <w:highlight w:val="none"/>
              </w:rPr>
              <w:t>B</w:t>
            </w:r>
            <w:r>
              <w:rPr>
                <w:rFonts w:hint="eastAsia" w:hAnsi="宋体" w:cs="宋体"/>
                <w:color w:val="auto"/>
                <w:sz w:val="24"/>
                <w:highlight w:val="none"/>
              </w:rPr>
              <w:t>接受</w:t>
            </w:r>
            <w:r>
              <w:rPr>
                <w:rFonts w:hint="eastAsia" w:hAnsi="宋体" w:cs="宋体"/>
                <w:color w:val="auto"/>
                <w:kern w:val="0"/>
                <w:sz w:val="24"/>
                <w:highlight w:val="none"/>
              </w:rPr>
              <w:t>：</w:t>
            </w:r>
            <w:r>
              <w:rPr>
                <w:rFonts w:hint="eastAsia" w:hAnsi="宋体" w:cs="宋体"/>
                <w:color w:val="auto"/>
                <w:kern w:val="28"/>
                <w:sz w:val="24"/>
                <w:highlight w:val="none"/>
              </w:rPr>
              <w:t>备份投标文件送达地点：</w:t>
            </w:r>
            <w:r>
              <w:rPr>
                <w:rFonts w:hint="eastAsia" w:hAnsi="宋体" w:cs="宋体"/>
                <w:color w:val="auto"/>
                <w:sz w:val="24"/>
                <w:highlight w:val="none"/>
                <w:u w:val="single"/>
              </w:rPr>
              <w:t xml:space="preserve">         </w:t>
            </w:r>
            <w:r>
              <w:rPr>
                <w:rFonts w:hint="eastAsia" w:hAnsi="宋体" w:cs="宋体"/>
                <w:color w:val="auto"/>
                <w:kern w:val="28"/>
                <w:sz w:val="24"/>
                <w:highlight w:val="none"/>
              </w:rPr>
              <w:t>；备份投标文件签收人员联系电话：</w:t>
            </w:r>
            <w:r>
              <w:rPr>
                <w:rFonts w:hint="eastAsia" w:hAnsi="宋体" w:cs="宋体"/>
                <w:color w:val="auto"/>
                <w:sz w:val="24"/>
                <w:highlight w:val="none"/>
                <w:u w:val="single"/>
              </w:rPr>
              <w:t xml:space="preserve">        </w:t>
            </w:r>
            <w:r>
              <w:rPr>
                <w:rFonts w:hint="eastAsia" w:hAnsi="宋体" w:cs="宋体"/>
                <w:color w:val="auto"/>
                <w:sz w:val="24"/>
                <w:highlight w:val="none"/>
              </w:rPr>
              <w:t>。</w:t>
            </w:r>
            <w:r>
              <w:rPr>
                <w:rFonts w:hint="eastAsia" w:hAnsi="宋体" w:cs="宋体"/>
                <w:b/>
                <w:color w:val="auto"/>
                <w:sz w:val="24"/>
                <w:highlight w:val="none"/>
              </w:rPr>
              <w:t>采购人、采购代理机构不强制或变相强制投标人提交备份投标文件。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289" w:hRule="atLeast"/>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2182" w:type="dxa"/>
            <w:tcBorders>
              <w:top w:val="single" w:color="000000" w:sz="8" w:space="0"/>
              <w:left w:val="single" w:color="000000" w:sz="2"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rPr>
              <w:t>特别说明</w:t>
            </w:r>
          </w:p>
        </w:tc>
        <w:tc>
          <w:tcPr>
            <w:tcW w:w="700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w:t>
            </w:r>
          </w:p>
          <w:p>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232311894"/>
                <w14:checkbox>
                  <w14:checked w14:val="1"/>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Wingdings" w:hAnsi="Wingdings" w:eastAsia="MS Gothic" w:cs="Arial"/>
                    <w:color w:val="auto"/>
                    <w:kern w:val="0"/>
                    <w:sz w:val="24"/>
                    <w:szCs w:val="24"/>
                    <w:highlight w:val="none"/>
                    <w:lang w:val="en-US" w:eastAsia="zh-CN" w:bidi="ar-SA"/>
                  </w:rPr>
                  <w:t>þ</w:t>
                </w:r>
              </w:sdtContent>
            </w:sdt>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71"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14</w:t>
            </w:r>
          </w:p>
        </w:tc>
        <w:tc>
          <w:tcPr>
            <w:tcW w:w="218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700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本招标文件解释权属采购人及代理机构。</w:t>
            </w:r>
          </w:p>
        </w:tc>
      </w:tr>
    </w:tbl>
    <w:p>
      <w:pPr>
        <w:snapToGrid w:val="0"/>
        <w:spacing w:line="360" w:lineRule="auto"/>
        <w:jc w:val="center"/>
        <w:rPr>
          <w:rFonts w:ascii="宋体" w:hAnsi="宋体" w:cs="宋体"/>
          <w:b/>
          <w:color w:val="auto"/>
          <w:sz w:val="32"/>
          <w:szCs w:val="20"/>
          <w:highlight w:val="none"/>
        </w:rPr>
      </w:pPr>
    </w:p>
    <w:bookmarkEnd w:id="14"/>
    <w:p>
      <w:pPr>
        <w:adjustRightInd/>
        <w:spacing w:line="360" w:lineRule="auto"/>
        <w:ind w:firstLine="3845" w:firstLineChars="1197"/>
        <w:outlineLvl w:val="1"/>
        <w:rPr>
          <w:rFonts w:ascii="宋体" w:hAnsi="宋体" w:cs="宋体"/>
          <w:b/>
          <w:color w:val="auto"/>
          <w:sz w:val="32"/>
          <w:szCs w:val="20"/>
          <w:highlight w:val="none"/>
        </w:rPr>
      </w:pPr>
      <w:bookmarkStart w:id="35" w:name="第三部分"/>
      <w:bookmarkStart w:id="36" w:name="_Toc164416483"/>
      <w:r>
        <w:rPr>
          <w:rFonts w:hint="eastAsia" w:ascii="宋体" w:hAnsi="宋体" w:cs="宋体"/>
          <w:b/>
          <w:color w:val="auto"/>
          <w:sz w:val="32"/>
          <w:szCs w:val="20"/>
          <w:highlight w:val="none"/>
        </w:rPr>
        <w:t>一、总则</w:t>
      </w:r>
    </w:p>
    <w:p>
      <w:pPr>
        <w:snapToGrid w:val="0"/>
        <w:spacing w:line="360" w:lineRule="auto"/>
        <w:ind w:firstLine="361" w:firstLineChars="150"/>
        <w:jc w:val="left"/>
        <w:rPr>
          <w:rFonts w:ascii="宋体" w:hAnsi="宋体" w:cs="宋体"/>
          <w:b/>
          <w:color w:val="auto"/>
          <w:sz w:val="24"/>
          <w:highlight w:val="none"/>
        </w:rPr>
      </w:pPr>
      <w:r>
        <w:rPr>
          <w:rFonts w:hint="eastAsia" w:ascii="宋体" w:hAnsi="宋体" w:cs="宋体"/>
          <w:b/>
          <w:color w:val="auto"/>
          <w:sz w:val="24"/>
          <w:highlight w:val="none"/>
        </w:rPr>
        <w:t>1. 适用范围</w:t>
      </w:r>
    </w:p>
    <w:p>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pPr>
        <w:adjustRightInd/>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   2.定义</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 “采购人”系指招标公告中载明的本项目的采购人。</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“采购代理机构”系指招标公告中载明的本项目的采购代理机构。</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“投标人”系指是指响应招标、参加投标竞争的法人、其他组织或者自然人。</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 “法定代表人（负责人）”系指法人企业的法定负责人，或其他组织为法律、行政法规规定代表单位行使职权的主要负责人，或自然人本人。</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2.6“电子交易平台”系指本项目政府采购活动所依托的广西政府采购云平台（https://www.gcy.zfcg.gxzf.gov.cn/）。</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 “▲” 系指实质性要求条款，“</w:t>
      </w:r>
      <w:r>
        <w:rPr>
          <w:rFonts w:hint="eastAsia" w:ascii="宋体" w:hAnsi="宋体" w:cs="宋体"/>
          <w:color w:val="auto"/>
          <w:kern w:val="0"/>
          <w:sz w:val="24"/>
          <w:highlight w:val="none"/>
        </w:rPr>
        <w:sym w:font="Wingdings" w:char="F0FE"/>
      </w:r>
      <w:r>
        <w:rPr>
          <w:rFonts w:ascii="宋体" w:hAnsi="宋体" w:cs="宋体"/>
          <w:color w:val="auto"/>
          <w:kern w:val="0"/>
          <w:sz w:val="24"/>
          <w:highlight w:val="none"/>
        </w:rPr>
        <w:t>”</w:t>
      </w:r>
      <w:r>
        <w:rPr>
          <w:rFonts w:hint="eastAsia" w:ascii="宋体" w:hAnsi="宋体" w:cs="宋体"/>
          <w:color w:val="auto"/>
          <w:sz w:val="24"/>
          <w:highlight w:val="none"/>
        </w:rPr>
        <w:t>系指适用本项目的要求，“</w:t>
      </w:r>
      <w:r>
        <w:rPr>
          <w:rFonts w:hint="eastAsia" w:ascii="宋体" w:hAnsi="宋体" w:cs="宋体"/>
          <w:color w:val="auto"/>
          <w:kern w:val="0"/>
          <w:sz w:val="24"/>
          <w:highlight w:val="none"/>
        </w:rPr>
        <w:t>□</w:t>
      </w:r>
      <w:r>
        <w:rPr>
          <w:rFonts w:ascii="宋体" w:hAnsi="宋体" w:cs="宋体"/>
          <w:color w:val="auto"/>
          <w:kern w:val="0"/>
          <w:sz w:val="24"/>
          <w:highlight w:val="none"/>
        </w:rPr>
        <w:t>”</w:t>
      </w:r>
      <w:r>
        <w:rPr>
          <w:rFonts w:hint="eastAsia" w:ascii="宋体" w:hAnsi="宋体" w:cs="宋体"/>
          <w:color w:val="auto"/>
          <w:sz w:val="24"/>
          <w:highlight w:val="none"/>
        </w:rPr>
        <w:t>系指不适用本项目的要求。</w:t>
      </w:r>
    </w:p>
    <w:p>
      <w:pPr>
        <w:spacing w:line="360" w:lineRule="auto"/>
        <w:ind w:firstLine="241" w:firstLineChars="100"/>
        <w:rPr>
          <w:rFonts w:ascii="宋体" w:hAnsi="宋体" w:cs="宋体"/>
          <w:b/>
          <w:color w:val="auto"/>
          <w:sz w:val="24"/>
          <w:highlight w:val="none"/>
        </w:rPr>
      </w:pPr>
      <w:r>
        <w:rPr>
          <w:rFonts w:hint="eastAsia" w:ascii="宋体" w:hAnsi="宋体" w:cs="宋体"/>
          <w:b/>
          <w:color w:val="auto"/>
          <w:sz w:val="24"/>
          <w:highlight w:val="none"/>
        </w:rPr>
        <w:t>3.</w:t>
      </w:r>
      <w:r>
        <w:rPr>
          <w:rFonts w:hint="eastAsia" w:ascii="宋体" w:hAnsi="宋体" w:cs="宋体"/>
          <w:color w:val="auto"/>
          <w:highlight w:val="none"/>
        </w:rPr>
        <w:t xml:space="preserve"> </w:t>
      </w:r>
      <w:r>
        <w:rPr>
          <w:rFonts w:hint="eastAsia" w:ascii="宋体" w:hAnsi="宋体" w:cs="宋体"/>
          <w:b/>
          <w:color w:val="auto"/>
          <w:sz w:val="24"/>
          <w:highlight w:val="none"/>
        </w:rPr>
        <w:t>采购项目需要落实的政府采购政策</w:t>
      </w:r>
    </w:p>
    <w:p>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pPr>
        <w:spacing w:line="360" w:lineRule="auto"/>
        <w:ind w:firstLine="480" w:firstLineChars="200"/>
        <w:rPr>
          <w:rFonts w:ascii="宋体" w:hAnsi="宋体" w:cs="宋体"/>
          <w:color w:val="auto"/>
          <w:sz w:val="24"/>
          <w:highlight w:val="none"/>
        </w:rPr>
      </w:pPr>
      <w:bookmarkStart w:id="37" w:name="OLE_LINK3"/>
      <w:bookmarkStart w:id="38" w:name="OLE_LINK4"/>
      <w:r>
        <w:rPr>
          <w:rFonts w:hint="eastAsia" w:ascii="宋体" w:hAnsi="宋体" w:cs="宋体"/>
          <w:color w:val="auto"/>
          <w:sz w:val="24"/>
          <w:highlight w:val="none"/>
        </w:rPr>
        <w:t>3.2 实施本国产品标准及相关政策</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3.2.1 本国产品应当符合以下条件：（一）在中国境内生产；（二）在中国境内生产的组件成本占比达到规定比例；（三）特定产品的关键组件、关键工序符合相关要求。</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3.2.6中标供应商提供的《声明函》或有关证明文件应当随成交结果同时公告。其他未尽事宜按照《国务院办公厅关于在政府采购中实施本国产品标准及相关政策的通知》（国办发〔2025〕34号）执行。</w:t>
      </w:r>
    </w:p>
    <w:bookmarkEnd w:id="37"/>
    <w:bookmarkEnd w:id="38"/>
    <w:p>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3.3 支持绿色发展</w:t>
      </w:r>
    </w:p>
    <w:p>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sz w:val="24"/>
          <w:highlight w:val="none"/>
        </w:rPr>
        <w:t>▲采购人拟采购的产品属于政府强制采购的节能产品品目清单范围的，投标人相应的投标产品未获得国家确定的认证机构出具的、处于有效期之内的节能产品认证证书的，投标无效。</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 修缮、装修类项目采购建材的，采购人应将绿色建筑和绿色建材性能、指标等作为实质性条件纳入招标文件和合同。</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3.2.4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3.3支持中小企业发展</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pPr>
        <w:widowControl/>
        <w:spacing w:line="360" w:lineRule="auto"/>
        <w:ind w:firstLine="480" w:firstLineChars="200"/>
        <w:jc w:val="left"/>
        <w:rPr>
          <w:rFonts w:ascii="宋体" w:hAnsi="宋体" w:cs="宋体"/>
          <w:color w:val="auto"/>
          <w:kern w:val="0"/>
          <w:sz w:val="24"/>
          <w:highlight w:val="none"/>
        </w:rPr>
      </w:pPr>
      <w:r>
        <w:rPr>
          <w:rFonts w:ascii="宋体" w:hAnsi="宋体" w:cs="宋体"/>
          <w:bCs/>
          <w:color w:val="auto"/>
          <w:sz w:val="24"/>
          <w:highlight w:val="none"/>
        </w:rPr>
        <w:t>3.3.2</w:t>
      </w:r>
      <w:r>
        <w:rPr>
          <w:rFonts w:hint="eastAsia" w:ascii="宋体" w:hAnsi="宋体" w:cs="宋体"/>
          <w:color w:val="auto"/>
          <w:kern w:val="0"/>
          <w:sz w:val="24"/>
          <w:highlight w:val="none"/>
        </w:rPr>
        <w:t>在政府采购活动中，投标人提供的货物、工程或者服务符合下列情形的，享受中小企业扶持政策：在服务采购项目中，服务由中小企业承接，即提供服务的人员为中小企业依照《中华人民共和国劳动合同法》订立劳动合同的从业人员。</w:t>
      </w:r>
    </w:p>
    <w:p>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cs="宋体" w:asciiTheme="minorEastAsia" w:hAnsiTheme="minorEastAsia" w:eastAsiaTheme="minorEastAsia"/>
          <w:color w:val="auto"/>
          <w:sz w:val="24"/>
          <w:highlight w:val="none"/>
        </w:rPr>
      </w:pPr>
      <w:r>
        <w:rPr>
          <w:rFonts w:hint="eastAsia" w:ascii="宋体" w:hAnsi="宋体" w:cs="宋体"/>
          <w:color w:val="auto"/>
          <w:sz w:val="24"/>
          <w:highlight w:val="none"/>
        </w:rPr>
        <w:t>3.3.3对于未预留份额专门面向中小企业采购的政府采购项目，以及预留份额政府采购项目中的非预留部分标项，对小型和微型企业的投标报价给予</w:t>
      </w:r>
      <w:r>
        <w:rPr>
          <w:rFonts w:ascii="宋体" w:hAnsi="宋体" w:cs="宋体"/>
          <w:color w:val="auto"/>
          <w:sz w:val="24"/>
          <w:highlight w:val="none"/>
        </w:rPr>
        <w:t>20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%的扣除，用扣除后的价格参与评审。接受大中型企业与小微企业组成联合体或者允许大中型企业向一家或者多家小微企业分包的政府采购项目，对于</w:t>
      </w:r>
      <w:bookmarkStart w:id="39" w:name="_Hlk101132181"/>
      <w:r>
        <w:rPr>
          <w:rFonts w:hint="eastAsia" w:ascii="宋体" w:hAnsi="宋体" w:cs="宋体"/>
          <w:color w:val="auto"/>
          <w:sz w:val="24"/>
          <w:highlight w:val="none"/>
        </w:rPr>
        <w:t>联合协议或者分包意向协议约定小微企业的合同份额占到合同总金额30%以上的</w:t>
      </w:r>
      <w:bookmarkEnd w:id="39"/>
      <w:r>
        <w:rPr>
          <w:rFonts w:hint="eastAsia" w:ascii="宋体" w:hAnsi="宋体" w:cs="宋体"/>
          <w:color w:val="auto"/>
          <w:sz w:val="24"/>
          <w:highlight w:val="none"/>
        </w:rPr>
        <w:t>，对联合体或者大中型企业的报价给予</w:t>
      </w:r>
      <w:r>
        <w:rPr>
          <w:rFonts w:ascii="宋体" w:hAnsi="宋体" w:cs="宋体"/>
          <w:color w:val="auto"/>
          <w:sz w:val="24"/>
          <w:highlight w:val="none"/>
        </w:rPr>
        <w:t>6</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%的扣除，用扣除后的价格参加评审。组成联合体或者接受分包的小微企业与联合体内其他企业、分包企业之间存在直接控股、管理关系的，不享受价格扣除优惠政策。专门</w:t>
      </w:r>
      <w:r>
        <w:rPr>
          <w:rFonts w:hint="eastAsia" w:cs="宋体" w:asciiTheme="minorEastAsia" w:hAnsiTheme="minorEastAsia" w:eastAsiaTheme="minorEastAsia"/>
          <w:color w:val="auto"/>
          <w:sz w:val="24"/>
          <w:highlight w:val="none"/>
        </w:rPr>
        <w:t>面向中小企业采购的政府采购项目或者采购包不再执行价格扣除政策。</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3.3.4符合《关于促进残疾人就业政府采购政策的通知》（财库〔2017〕141号）规定的条件并提供《残疾人福利性单位声明函》（附件1）的残疾人福利性单位视同小型、微型企业；</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3.3.7中小企业享受扶持政策获得政府采购合同的，小微企业不得将合同分包给大中型企业，中型企业不得将合同分包给大型企业。</w:t>
      </w:r>
    </w:p>
    <w:p>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3.4</w:t>
      </w:r>
      <w:r>
        <w:rPr>
          <w:rFonts w:hint="eastAsia" w:ascii="宋体" w:hAnsi="宋体" w:cs="宋体"/>
          <w:bCs/>
          <w:color w:val="auto"/>
          <w:sz w:val="24"/>
          <w:highlight w:val="none"/>
        </w:rPr>
        <w:t>支持创新发展</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3.4.1 采购人优先采购被认定为首台套产品和“制造精品”的自主创新产品。</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3.4.2首台套产品被纳入《首台套产品推广应用指导目录》之日起</w:t>
      </w:r>
      <w:r>
        <w:rPr>
          <w:rFonts w:ascii="宋体" w:hAnsi="宋体" w:cs="宋体"/>
          <w:color w:val="auto"/>
          <w:sz w:val="24"/>
          <w:highlight w:val="none"/>
        </w:rPr>
        <w:t>3</w:t>
      </w:r>
      <w:r>
        <w:rPr>
          <w:rFonts w:hint="eastAsia" w:ascii="宋体" w:hAnsi="宋体" w:cs="宋体"/>
          <w:color w:val="auto"/>
          <w:sz w:val="24"/>
          <w:highlight w:val="none"/>
        </w:rPr>
        <w:t>年内，以及产品核心技术高于国内领先水平，并具有明晰自主知识产权的“制造精品”产品，自认定之日起2年内视同已具备相应销售业绩，参加政府采购活动时业绩分值为满分。</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3.5平等对待内外资企业</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83"/>
        <w:rPr>
          <w:bCs/>
          <w:color w:val="auto"/>
          <w:highlight w:val="none"/>
        </w:rPr>
      </w:pPr>
      <w:r>
        <w:rPr>
          <w:rFonts w:hint="eastAsia"/>
          <w:color w:val="auto"/>
          <w:highlight w:val="none"/>
        </w:rPr>
        <w:t>3.6平等对待符合条件的破产重整企业</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平等对待符合条件的破产重整企业，切实保障企业公平竞争，平等维护企业的合法利益。</w:t>
      </w:r>
    </w:p>
    <w:p>
      <w:pPr>
        <w:spacing w:line="360" w:lineRule="auto"/>
        <w:ind w:firstLine="241" w:firstLineChars="100"/>
        <w:rPr>
          <w:rFonts w:ascii="宋体" w:hAnsi="宋体" w:cs="宋体"/>
          <w:b/>
          <w:color w:val="auto"/>
          <w:sz w:val="24"/>
          <w:highlight w:val="none"/>
        </w:rPr>
      </w:pPr>
      <w:r>
        <w:rPr>
          <w:rFonts w:hint="eastAsia" w:ascii="宋体" w:hAnsi="宋体" w:cs="宋体"/>
          <w:b/>
          <w:color w:val="auto"/>
          <w:sz w:val="24"/>
          <w:highlight w:val="none"/>
        </w:rPr>
        <w:t>4. 询问、质疑、投诉</w:t>
      </w:r>
    </w:p>
    <w:p>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4.1在线询问、质疑、投诉。</w:t>
      </w:r>
    </w:p>
    <w:p>
      <w:pPr>
        <w:spacing w:line="360" w:lineRule="auto"/>
        <w:ind w:firstLine="480" w:firstLineChars="200"/>
        <w:rPr>
          <w:rFonts w:hint="eastAsia" w:ascii="宋体" w:hAnsi="宋体" w:eastAsia="宋体" w:cs="宋体"/>
          <w:color w:val="auto"/>
          <w:sz w:val="24"/>
          <w:highlight w:val="none"/>
          <w:lang w:val="zh-CN"/>
        </w:rPr>
      </w:pPr>
      <w:r>
        <w:rPr>
          <w:rFonts w:hint="eastAsia" w:asciiTheme="minorEastAsia" w:hAnsiTheme="minorEastAsia" w:eastAsiaTheme="minorEastAsia"/>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广西政府采购云平台”进入“项目采购-询问质疑投诉”栏目在线提起询问、质疑，对质疑答复不满意或者未收到答复的可以向监督部门在线提起投诉。内外资企业在政府采购活动中，凡认为采购文件、采购过程、中标结果使自身权益受到损害的，均可依照相关规定提起质疑和投诉</w:t>
      </w:r>
      <w:r>
        <w:rPr>
          <w:rFonts w:hint="eastAsia" w:ascii="宋体" w:hAnsi="宋体" w:eastAsia="宋体" w:cs="宋体"/>
          <w:color w:val="auto"/>
          <w:sz w:val="24"/>
          <w:highlight w:val="none"/>
          <w:lang w:val="zh-CN"/>
        </w:rPr>
        <w:t>。</w:t>
      </w:r>
    </w:p>
    <w:p>
      <w:pPr>
        <w:autoSpaceDE w:val="0"/>
        <w:autoSpaceDN w:val="0"/>
        <w:spacing w:line="360" w:lineRule="auto"/>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询问联系部门：北海市政府采购中心采购一科   联系电话：0779-3071101  地址：北海市海城区陈文村北路7号市直机关第三办公区</w:t>
      </w:r>
    </w:p>
    <w:p>
      <w:pPr>
        <w:autoSpaceDE w:val="0"/>
        <w:autoSpaceDN w:val="0"/>
        <w:spacing w:line="360" w:lineRule="auto"/>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质疑联系部门：北海市政府采购中心监督科   联系电话：0779-3960826    地址：北海市海城区陈文村北路7号市直机关第三办公区</w:t>
      </w:r>
    </w:p>
    <w:p>
      <w:pPr>
        <w:autoSpaceDE w:val="0"/>
        <w:autoSpaceDN w:val="0"/>
        <w:spacing w:line="360" w:lineRule="auto"/>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投诉联系部门：</w:t>
      </w:r>
      <w:bookmarkStart w:id="40" w:name="OLE_LINK2"/>
      <w:r>
        <w:rPr>
          <w:rFonts w:hint="eastAsia" w:ascii="宋体" w:hAnsi="宋体" w:eastAsia="宋体" w:cs="宋体"/>
          <w:color w:val="auto"/>
          <w:kern w:val="0"/>
          <w:sz w:val="24"/>
          <w:szCs w:val="20"/>
          <w:highlight w:val="none"/>
        </w:rPr>
        <w:t>来宾市财政局</w:t>
      </w:r>
      <w:bookmarkEnd w:id="40"/>
      <w:r>
        <w:rPr>
          <w:rFonts w:hint="eastAsia" w:ascii="宋体" w:hAnsi="宋体" w:eastAsia="宋体" w:cs="宋体"/>
          <w:color w:val="auto"/>
          <w:kern w:val="0"/>
          <w:sz w:val="24"/>
          <w:szCs w:val="20"/>
          <w:highlight w:val="none"/>
        </w:rPr>
        <w:t xml:space="preserve">        联系电话：</w:t>
      </w:r>
      <w:r>
        <w:rPr>
          <w:rFonts w:hint="eastAsia" w:ascii="宋体" w:hAnsi="宋体" w:eastAsia="宋体" w:cs="宋体"/>
          <w:color w:val="auto"/>
          <w:sz w:val="24"/>
          <w:highlight w:val="none"/>
        </w:rPr>
        <w:t>0772-6015268</w:t>
      </w:r>
      <w:r>
        <w:rPr>
          <w:rFonts w:hint="eastAsia" w:ascii="宋体" w:hAnsi="宋体" w:eastAsia="宋体" w:cs="宋体"/>
          <w:color w:val="auto"/>
          <w:kern w:val="0"/>
          <w:sz w:val="24"/>
          <w:szCs w:val="20"/>
          <w:highlight w:val="none"/>
        </w:rPr>
        <w:t>‌        地址：‌来宾市兴宾区盘古大道西69号‌</w:t>
      </w:r>
    </w:p>
    <w:p>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4.2供应商询问</w:t>
      </w:r>
    </w:p>
    <w:p>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autoSpaceDE w:val="0"/>
        <w:autoSpaceDN w:val="0"/>
        <w:spacing w:line="360" w:lineRule="auto"/>
        <w:ind w:firstLine="240" w:firstLineChars="1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pPr>
        <w:pStyle w:val="33"/>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pPr>
        <w:pStyle w:val="33"/>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pPr>
        <w:pStyle w:val="4"/>
        <w:spacing w:line="360" w:lineRule="auto"/>
        <w:ind w:firstLine="480" w:firstLineChars="200"/>
        <w:rPr>
          <w:rFonts w:hAnsi="宋体" w:cs="宋体"/>
          <w:color w:val="auto"/>
          <w:kern w:val="2"/>
          <w:sz w:val="24"/>
          <w:highlight w:val="none"/>
        </w:rPr>
      </w:pPr>
      <w:r>
        <w:rPr>
          <w:rFonts w:hint="eastAsia" w:hAnsi="宋体" w:cs="宋体"/>
          <w:color w:val="auto"/>
          <w:kern w:val="2"/>
          <w:sz w:val="24"/>
          <w:highlight w:val="none"/>
        </w:rPr>
        <w:t>4.3.2.1对招标文件提出质疑的，质疑期限为供应商获得招标文件之日或者招标文件公告期限届满之日起计算。</w:t>
      </w:r>
    </w:p>
    <w:p>
      <w:pPr>
        <w:pStyle w:val="33"/>
        <w:spacing w:line="360" w:lineRule="auto"/>
        <w:ind w:left="479" w:leftChars="228"/>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w:t>
      </w:r>
    </w:p>
    <w:p>
      <w:pPr>
        <w:pStyle w:val="33"/>
        <w:spacing w:line="360" w:lineRule="auto"/>
        <w:ind w:left="479" w:leftChars="228"/>
        <w:rPr>
          <w:rFonts w:hAnsi="宋体" w:cs="宋体"/>
          <w:color w:val="auto"/>
          <w:sz w:val="24"/>
          <w:highlight w:val="none"/>
        </w:rPr>
      </w:pPr>
      <w:r>
        <w:rPr>
          <w:rFonts w:hint="eastAsia" w:hAnsi="宋体" w:cs="宋体"/>
          <w:color w:val="auto"/>
          <w:sz w:val="24"/>
          <w:highlight w:val="none"/>
        </w:rPr>
        <w:t>4.3.2.3对采购结果提出质疑的，质疑期限自采购结果公告期限届满之日起计算。</w:t>
      </w:r>
    </w:p>
    <w:p>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供应商提出质疑应当提交质疑函和必要的证明材料。质疑函应当包括下列内容：</w:t>
      </w:r>
    </w:p>
    <w:p>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4.3.3.1供应商的姓名或者名称、地址、邮编、联系人及联系电话；</w:t>
      </w:r>
    </w:p>
    <w:p>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4.3.3.2质疑项目的名称、编号；</w:t>
      </w:r>
    </w:p>
    <w:p>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4.3.3.3具体、明确的质疑事项和与质疑事项相关的请求；</w:t>
      </w:r>
    </w:p>
    <w:p>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4.3.3.4事实依据；</w:t>
      </w:r>
    </w:p>
    <w:p>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4.3.3.5必要的法律依据；</w:t>
      </w:r>
    </w:p>
    <w:p>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4.3.3.6提出质疑的日期。</w:t>
      </w:r>
    </w:p>
    <w:p>
      <w:pPr>
        <w:pStyle w:val="886"/>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供应商提交的质疑函需一式三份。供应商为自然人的，应当由本人签字；供应商为法人或者其他组织的，应当由法定代表人、主要负责人，或者其授权代表签字或者盖章，并加盖公章。</w:t>
      </w:r>
    </w:p>
    <w:p>
      <w:pPr>
        <w:pStyle w:val="886"/>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质疑函范本及制作说明详见附件2。</w:t>
      </w:r>
    </w:p>
    <w:p>
      <w:pPr>
        <w:pStyle w:val="886"/>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4.3.4对同一采购程序环节的质疑，供应商须在法定质疑期内一次性提出。</w:t>
      </w:r>
    </w:p>
    <w:p>
      <w:pPr>
        <w:pStyle w:val="886"/>
        <w:shd w:val="clear" w:color="auto" w:fill="FFFFFF"/>
        <w:snapToGrid w:val="0"/>
        <w:spacing w:before="0" w:beforeAutospacing="0" w:after="0" w:afterAutospacing="0" w:line="360" w:lineRule="auto"/>
        <w:ind w:firstLine="480" w:firstLineChars="200"/>
        <w:contextualSpacing/>
        <w:rPr>
          <w:color w:val="auto"/>
          <w:highlight w:val="none"/>
        </w:rPr>
      </w:pPr>
      <w:r>
        <w:rPr>
          <w:rFonts w:hint="eastAsia"/>
          <w:color w:val="auto"/>
          <w:highlight w:val="none"/>
          <w:lang w:val="zh-CN"/>
        </w:rPr>
        <w:t>4.3</w:t>
      </w:r>
      <w:r>
        <w:rPr>
          <w:rFonts w:hint="eastAsia"/>
          <w:color w:val="auto"/>
          <w:highlight w:val="none"/>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pStyle w:val="33"/>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4.3.6根据采购人与采购代理机构签订的采购委托协议，质疑答复责任主体如下：</w:t>
      </w:r>
      <w:r>
        <w:rPr>
          <w:rFonts w:asciiTheme="minorEastAsia" w:hAnsiTheme="minorEastAsia" w:eastAsiaTheme="minorEastAsia"/>
          <w:color w:val="auto"/>
          <w:sz w:val="24"/>
          <w:highlight w:val="none"/>
        </w:rPr>
        <w:t xml:space="preserve"> </w:t>
      </w:r>
    </w:p>
    <w:p>
      <w:pPr>
        <w:widowControl/>
        <w:adjustRightInd/>
        <w:spacing w:line="360" w:lineRule="auto"/>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4536"/>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Borders>
              <w:top w:val="single" w:color="auto" w:sz="4" w:space="0"/>
              <w:left w:val="single" w:color="auto" w:sz="4" w:space="0"/>
              <w:bottom w:val="single" w:color="auto" w:sz="4" w:space="0"/>
              <w:right w:val="single" w:color="auto" w:sz="4" w:space="0"/>
            </w:tcBorders>
            <w:vAlign w:val="center"/>
          </w:tcPr>
          <w:p>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heme="minorEastAsia" w:hAnsiTheme="minorEastAsia" w:eastAsiaTheme="minorEastAsia"/>
                <w:color w:val="auto"/>
                <w:sz w:val="24"/>
                <w:szCs w:val="20"/>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heme="minorEastAsia" w:hAnsiTheme="minorEastAsia" w:eastAsiaTheme="minorEastAsia"/>
                <w:color w:val="auto"/>
                <w:sz w:val="24"/>
                <w:szCs w:val="20"/>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pPr>
        <w:pStyle w:val="886"/>
        <w:shd w:val="clear" w:color="auto" w:fill="FFFFFF"/>
        <w:snapToGrid w:val="0"/>
        <w:spacing w:before="0" w:beforeAutospacing="0" w:after="0" w:afterAutospacing="0" w:line="360" w:lineRule="auto"/>
        <w:ind w:firstLine="480" w:firstLineChars="200"/>
        <w:contextualSpacing/>
        <w:rPr>
          <w:color w:val="auto"/>
          <w:highlight w:val="none"/>
          <w:lang w:val="zh-CN"/>
        </w:rPr>
      </w:pPr>
      <w:r>
        <w:rPr>
          <w:rFonts w:hint="eastAsia"/>
          <w:color w:val="auto"/>
          <w:highlight w:val="none"/>
          <w:lang w:val="zh-CN"/>
        </w:rPr>
        <w:t>注：</w:t>
      </w:r>
      <w:r>
        <w:rPr>
          <w:rFonts w:hint="eastAsia" w:asciiTheme="minorEastAsia" w:hAnsiTheme="minorEastAsia" w:eastAsiaTheme="minorEastAsia"/>
          <w:color w:val="auto"/>
          <w:highlight w:val="none"/>
        </w:rPr>
        <w:t>采购人或代理机构或应当协助质疑答复责任主体及时答复</w:t>
      </w:r>
      <w:r>
        <w:rPr>
          <w:rFonts w:hint="eastAsia"/>
          <w:color w:val="auto"/>
          <w:highlight w:val="none"/>
        </w:rPr>
        <w:t>供应商的书面质疑。</w:t>
      </w:r>
    </w:p>
    <w:p>
      <w:pPr>
        <w:pStyle w:val="886"/>
        <w:shd w:val="clear" w:color="auto" w:fill="FFFFFF"/>
        <w:snapToGrid w:val="0"/>
        <w:spacing w:before="0" w:beforeAutospacing="0" w:after="0" w:afterAutospacing="0" w:line="360" w:lineRule="auto"/>
        <w:ind w:firstLine="480" w:firstLineChars="200"/>
        <w:contextualSpacing/>
        <w:rPr>
          <w:color w:val="auto"/>
          <w:highlight w:val="none"/>
        </w:rPr>
      </w:pPr>
      <w:r>
        <w:rPr>
          <w:rFonts w:hint="eastAsia"/>
          <w:color w:val="auto"/>
          <w:highlight w:val="none"/>
          <w:lang w:val="zh-CN"/>
        </w:rPr>
        <w:t>4.3</w:t>
      </w:r>
      <w:r>
        <w:rPr>
          <w:rFonts w:hint="eastAsia"/>
          <w:color w:val="auto"/>
          <w:highlight w:val="none"/>
        </w:rPr>
        <w:t>.7询问或者质疑事项可能影响采购结果的，采购人应当暂停签订合同，已经签订合同的，应当中止履行合同。</w:t>
      </w:r>
    </w:p>
    <w:p>
      <w:pPr>
        <w:pStyle w:val="886"/>
        <w:shd w:val="clear" w:color="auto" w:fill="FFFFFF"/>
        <w:snapToGrid w:val="0"/>
        <w:spacing w:after="240" w:afterAutospacing="0" w:line="360" w:lineRule="auto"/>
        <w:ind w:firstLine="480" w:firstLineChars="200"/>
        <w:contextualSpacing/>
        <w:rPr>
          <w:color w:val="auto"/>
          <w:highlight w:val="none"/>
          <w:lang w:val="zh-CN"/>
        </w:rPr>
      </w:pPr>
      <w:r>
        <w:rPr>
          <w:rFonts w:hint="eastAsia"/>
          <w:color w:val="auto"/>
          <w:highlight w:val="none"/>
          <w:lang w:val="zh-CN"/>
        </w:rPr>
        <w:t>4.4供应商投诉</w:t>
      </w:r>
    </w:p>
    <w:p>
      <w:pPr>
        <w:pStyle w:val="886"/>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4.4.1质疑供应商对采购人、采购代理机构的答复不满意或者采购人、采购代理机构未在规定的时间内作出答复的，可以在答复期满后十五个工作日内向同级政府采购监督管理部门提出投诉。</w:t>
      </w:r>
    </w:p>
    <w:p>
      <w:pPr>
        <w:pStyle w:val="886"/>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w:t>
      </w:r>
      <w:r>
        <w:rPr>
          <w:rFonts w:hint="eastAsia"/>
          <w:color w:val="auto"/>
          <w:highlight w:val="none"/>
          <w:lang w:val="zh-CN"/>
        </w:rPr>
        <w:t>2</w:t>
      </w:r>
      <w:r>
        <w:rPr>
          <w:rFonts w:hint="eastAsia"/>
          <w:color w:val="auto"/>
          <w:highlight w:val="none"/>
        </w:rPr>
        <w:t>供应商投诉的事项不得超出已质疑事项的范围，基于质疑答复内容提出的投诉事项除外。</w:t>
      </w:r>
    </w:p>
    <w:p>
      <w:pPr>
        <w:pStyle w:val="886"/>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4.4.3供应商投诉应当有明确的请求和必要的证明材料。</w:t>
      </w:r>
    </w:p>
    <w:p>
      <w:pPr>
        <w:pStyle w:val="886"/>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4.4.4以联合体形式参加政府采购活动的，其投诉应当由组成联合体的所有供应商共同提出。</w:t>
      </w:r>
    </w:p>
    <w:p>
      <w:pPr>
        <w:pStyle w:val="886"/>
        <w:shd w:val="clear" w:color="auto" w:fill="FFFFFF"/>
        <w:snapToGrid w:val="0"/>
        <w:spacing w:after="240" w:afterAutospacing="0" w:line="360" w:lineRule="auto"/>
        <w:ind w:firstLine="400"/>
        <w:contextualSpacing/>
        <w:rPr>
          <w:color w:val="auto"/>
          <w:highlight w:val="none"/>
        </w:rPr>
      </w:pPr>
    </w:p>
    <w:p>
      <w:pPr>
        <w:pStyle w:val="129"/>
        <w:snapToGrid w:val="0"/>
        <w:spacing w:before="0"/>
        <w:ind w:firstLine="360"/>
        <w:rPr>
          <w:rFonts w:ascii="宋体" w:hAnsi="宋体" w:cs="宋体"/>
          <w:color w:val="auto"/>
          <w:sz w:val="18"/>
          <w:szCs w:val="18"/>
          <w:highlight w:val="none"/>
        </w:rPr>
      </w:pPr>
    </w:p>
    <w:p>
      <w:pPr>
        <w:adjustRightInd/>
        <w:spacing w:line="360" w:lineRule="auto"/>
        <w:jc w:val="center"/>
        <w:outlineLvl w:val="1"/>
        <w:rPr>
          <w:rFonts w:ascii="宋体" w:hAnsi="宋体" w:cs="宋体"/>
          <w:b/>
          <w:color w:val="auto"/>
          <w:sz w:val="32"/>
          <w:szCs w:val="20"/>
          <w:highlight w:val="none"/>
        </w:rPr>
      </w:pPr>
      <w:r>
        <w:rPr>
          <w:rFonts w:hint="eastAsia" w:ascii="宋体" w:hAnsi="宋体" w:cs="宋体"/>
          <w:b/>
          <w:color w:val="auto"/>
          <w:sz w:val="32"/>
          <w:szCs w:val="20"/>
          <w:highlight w:val="none"/>
        </w:rPr>
        <w:t>二、招标文件的构成、澄清、修改</w:t>
      </w:r>
    </w:p>
    <w:p>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5．招标文件的构成</w:t>
      </w:r>
    </w:p>
    <w:p>
      <w:pPr>
        <w:pStyle w:val="33"/>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 招标文件包括下列文件及附件：</w:t>
      </w:r>
    </w:p>
    <w:p>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5.1.1招标公告；</w:t>
      </w:r>
    </w:p>
    <w:p>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5.1.2投标人须知；</w:t>
      </w:r>
    </w:p>
    <w:p>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5.1.3采购需求；</w:t>
      </w:r>
    </w:p>
    <w:p>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5.1.4评标办法；</w:t>
      </w:r>
    </w:p>
    <w:p>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5.1.5拟签订的合同文本；</w:t>
      </w:r>
    </w:p>
    <w:p>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5.1.6</w:t>
      </w:r>
      <w:r>
        <w:rPr>
          <w:rFonts w:hint="eastAsia" w:hAnsi="宋体" w:cs="宋体"/>
          <w:color w:val="auto"/>
          <w:sz w:val="24"/>
          <w:szCs w:val="24"/>
          <w:highlight w:val="none"/>
        </w:rPr>
        <w:t>应提交的有关格式范例。</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5.2与本项目有关的</w:t>
      </w:r>
      <w:r>
        <w:rPr>
          <w:rFonts w:hint="eastAsia" w:ascii="宋体" w:hAnsi="宋体" w:cs="宋体"/>
          <w:bCs/>
          <w:color w:val="auto"/>
          <w:sz w:val="24"/>
          <w:highlight w:val="none"/>
        </w:rPr>
        <w:t>澄清或者修改的内容为招标文件的组成部分</w:t>
      </w:r>
      <w:r>
        <w:rPr>
          <w:rFonts w:hint="eastAsia" w:ascii="宋体" w:hAnsi="宋体" w:cs="宋体"/>
          <w:color w:val="auto"/>
          <w:sz w:val="24"/>
          <w:highlight w:val="none"/>
        </w:rPr>
        <w:t>。</w:t>
      </w:r>
    </w:p>
    <w:p>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6. 招标文件的澄清、修改</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6.1已获取招标文件的潜在投标人，若有问题需要澄清，应于投标截止时间前，以书面形式向采购代理机构提出。</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pPr>
        <w:pStyle w:val="25"/>
        <w:rPr>
          <w:rFonts w:hAnsi="宋体" w:cs="宋体"/>
          <w:color w:val="auto"/>
          <w:sz w:val="18"/>
          <w:szCs w:val="18"/>
          <w:highlight w:val="none"/>
          <w:lang w:val="en-US"/>
        </w:rPr>
      </w:pPr>
      <w:r>
        <w:rPr>
          <w:rFonts w:hint="eastAsia" w:hAnsi="宋体" w:cs="宋体"/>
          <w:color w:val="auto"/>
          <w:szCs w:val="24"/>
          <w:highlight w:val="none"/>
          <w:lang w:val="en-US"/>
        </w:rPr>
        <w:t xml:space="preserve">    </w:t>
      </w:r>
    </w:p>
    <w:p>
      <w:pPr>
        <w:adjustRightInd/>
        <w:spacing w:line="360" w:lineRule="auto"/>
        <w:jc w:val="center"/>
        <w:outlineLvl w:val="1"/>
        <w:rPr>
          <w:rFonts w:ascii="宋体" w:hAnsi="宋体" w:cs="宋体"/>
          <w:b/>
          <w:color w:val="auto"/>
          <w:sz w:val="30"/>
          <w:szCs w:val="20"/>
          <w:highlight w:val="none"/>
        </w:rPr>
      </w:pPr>
      <w:r>
        <w:rPr>
          <w:rFonts w:hint="eastAsia" w:ascii="宋体" w:hAnsi="宋体" w:cs="宋体"/>
          <w:b/>
          <w:color w:val="auto"/>
          <w:sz w:val="30"/>
          <w:szCs w:val="20"/>
          <w:highlight w:val="none"/>
        </w:rPr>
        <w:t>三、投标</w:t>
      </w:r>
    </w:p>
    <w:p>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7. 招标文件的获取</w:t>
      </w:r>
    </w:p>
    <w:p>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详见招标公告中获取招标文件的时间期限、地点、方式及招标文件售价。</w:t>
      </w:r>
    </w:p>
    <w:p>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8.开标前答疑会或现场考察</w:t>
      </w:r>
    </w:p>
    <w:p>
      <w:pPr>
        <w:pStyle w:val="33"/>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采购人组织潜在投标人现场考察或者召开开标前答疑会的，潜在投标人按第二部分投标人须知前附表的规定参加现场考察或者开标前答疑会。</w:t>
      </w:r>
    </w:p>
    <w:p>
      <w:pPr>
        <w:pStyle w:val="33"/>
        <w:spacing w:line="360" w:lineRule="auto"/>
        <w:rPr>
          <w:rFonts w:hAnsi="宋体" w:cs="宋体"/>
          <w:b/>
          <w:color w:val="auto"/>
          <w:szCs w:val="24"/>
          <w:highlight w:val="none"/>
        </w:rPr>
      </w:pPr>
      <w:r>
        <w:rPr>
          <w:rFonts w:hint="eastAsia" w:hAnsi="宋体" w:cs="宋体"/>
          <w:b/>
          <w:color w:val="auto"/>
          <w:kern w:val="28"/>
          <w:sz w:val="24"/>
          <w:szCs w:val="24"/>
          <w:highlight w:val="none"/>
        </w:rPr>
        <w:t>9.投标保证金</w:t>
      </w:r>
    </w:p>
    <w:p>
      <w:pPr>
        <w:pStyle w:val="4"/>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本项目不收取投标保证金。</w:t>
      </w:r>
    </w:p>
    <w:p>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10. 投标文件的语言</w:t>
      </w:r>
    </w:p>
    <w:p>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投标文件及投标人与采购有关的来往通知、函件和文件均应使用中文。</w:t>
      </w:r>
    </w:p>
    <w:p>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11. 投标文件的组成（标注“▲”为实质性要求，供应商必须提供，否则投标无效，具体标注由采购人根据项目需要确定。相关格式见招标文件第六部分）</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hint="eastAsia" w:ascii="宋体" w:hAnsi="宋体" w:cs="宋体"/>
          <w:b/>
          <w:color w:val="auto"/>
          <w:sz w:val="24"/>
          <w:highlight w:val="none"/>
        </w:rPr>
        <w:t>资格文件</w:t>
      </w:r>
      <w:r>
        <w:rPr>
          <w:rFonts w:hint="eastAsia" w:ascii="宋体" w:hAnsi="宋体" w:cs="宋体"/>
          <w:color w:val="auto"/>
          <w:sz w:val="24"/>
          <w:highlight w:val="none"/>
        </w:rPr>
        <w:t>：</w:t>
      </w:r>
    </w:p>
    <w:p>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11.1.1符合参加政府采购活动应当具备的一般条件的承诺函；</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r>
        <w:rPr>
          <w:rFonts w:hint="eastAsia" w:ascii="宋体" w:hAnsi="宋体" w:cs="宋体"/>
          <w:snapToGrid w:val="0"/>
          <w:color w:val="auto"/>
          <w:kern w:val="28"/>
          <w:sz w:val="24"/>
          <w:szCs w:val="20"/>
          <w:highlight w:val="none"/>
        </w:rPr>
        <w:t>联合协议（如果有)；</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firstLine="482" w:firstLineChars="200"/>
        <w:rPr>
          <w:rFonts w:ascii="宋体" w:hAnsi="宋体" w:cs="宋体"/>
          <w:b/>
          <w:color w:val="auto"/>
          <w:sz w:val="24"/>
          <w:highlight w:val="none"/>
          <w:lang w:val="zh-CN"/>
        </w:rPr>
      </w:pPr>
      <w:r>
        <w:rPr>
          <w:rFonts w:hint="eastAsia" w:ascii="宋体" w:hAnsi="宋体" w:cs="宋体"/>
          <w:b/>
          <w:color w:val="auto"/>
          <w:sz w:val="24"/>
          <w:highlight w:val="none"/>
          <w:lang w:val="zh-CN"/>
        </w:rPr>
        <w:t>11.</w:t>
      </w:r>
      <w:r>
        <w:rPr>
          <w:rFonts w:hint="eastAsia" w:ascii="宋体" w:hAnsi="宋体" w:cs="宋体"/>
          <w:b/>
          <w:color w:val="auto"/>
          <w:sz w:val="24"/>
          <w:highlight w:val="none"/>
        </w:rPr>
        <w:t>2</w:t>
      </w:r>
      <w:r>
        <w:rPr>
          <w:rFonts w:hint="eastAsia" w:ascii="宋体" w:hAnsi="宋体" w:cs="宋体"/>
          <w:b/>
          <w:color w:val="auto"/>
          <w:sz w:val="24"/>
          <w:highlight w:val="none"/>
          <w:lang w:val="zh-CN"/>
        </w:rPr>
        <w:t xml:space="preserve">  </w:t>
      </w:r>
      <w:r>
        <w:rPr>
          <w:rFonts w:hint="eastAsia" w:ascii="宋体" w:hAnsi="宋体" w:cs="宋体"/>
          <w:b/>
          <w:color w:val="auto"/>
          <w:sz w:val="24"/>
          <w:highlight w:val="none"/>
        </w:rPr>
        <w:t>商务技术</w:t>
      </w:r>
      <w:r>
        <w:rPr>
          <w:rFonts w:hint="eastAsia" w:ascii="宋体" w:hAnsi="宋体" w:cs="宋体"/>
          <w:b/>
          <w:color w:val="auto"/>
          <w:sz w:val="24"/>
          <w:highlight w:val="none"/>
          <w:lang w:val="zh-CN"/>
        </w:rPr>
        <w:t>文件：</w:t>
      </w:r>
    </w:p>
    <w:p>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11.2.1投标函；</w:t>
      </w:r>
      <w:r>
        <w:rPr>
          <w:rFonts w:hint="eastAsia" w:ascii="宋体" w:hAnsi="宋体" w:cs="宋体"/>
          <w:color w:val="auto"/>
          <w:sz w:val="24"/>
          <w:highlight w:val="none"/>
          <w:lang w:val="zh-CN"/>
        </w:rPr>
        <w:t xml:space="preserve"> </w:t>
      </w:r>
    </w:p>
    <w:p>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11.2.2授权委托书或法定代表人（单位负责人、自然人本人）身份证明；</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w:t>
      </w:r>
      <w:r>
        <w:rPr>
          <w:rFonts w:ascii="宋体" w:hAnsi="宋体" w:cs="宋体"/>
          <w:color w:val="auto"/>
          <w:sz w:val="24"/>
          <w:highlight w:val="none"/>
        </w:rPr>
        <w:t>7</w:t>
      </w:r>
      <w:r>
        <w:rPr>
          <w:rFonts w:hint="eastAsia" w:ascii="宋体" w:hAnsi="宋体" w:cs="宋体"/>
          <w:color w:val="auto"/>
          <w:sz w:val="24"/>
          <w:highlight w:val="none"/>
        </w:rPr>
        <w:t>商务技术偏离表；</w:t>
      </w:r>
    </w:p>
    <w:p>
      <w:pPr>
        <w:snapToGrid w:val="0"/>
        <w:spacing w:line="360" w:lineRule="auto"/>
        <w:ind w:firstLine="482" w:firstLineChars="200"/>
        <w:rPr>
          <w:rFonts w:ascii="宋体" w:hAnsi="宋体" w:cs="宋体"/>
          <w:color w:val="auto"/>
          <w:sz w:val="24"/>
          <w:highlight w:val="none"/>
          <w:lang w:val="zh-CN"/>
        </w:rPr>
      </w:pPr>
      <w:r>
        <w:rPr>
          <w:rFonts w:hint="eastAsia" w:hAnsi="宋体" w:cs="宋体"/>
          <w:b/>
          <w:color w:val="auto"/>
          <w:sz w:val="24"/>
          <w:highlight w:val="none"/>
        </w:rPr>
        <w:t>▲</w:t>
      </w: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pPr>
        <w:pStyle w:val="83"/>
        <w:rPr>
          <w:color w:val="auto"/>
          <w:highlight w:val="none"/>
        </w:rPr>
      </w:pPr>
      <w:r>
        <w:rPr>
          <w:rFonts w:hint="eastAsia" w:cs="宋体"/>
          <w:b/>
          <w:color w:val="auto"/>
          <w:szCs w:val="24"/>
          <w:highlight w:val="none"/>
        </w:rPr>
        <w:t>▲</w:t>
      </w:r>
      <w:r>
        <w:rPr>
          <w:rFonts w:hint="eastAsia"/>
          <w:color w:val="auto"/>
          <w:highlight w:val="none"/>
        </w:rPr>
        <w:t>11.2.9承诺函；</w:t>
      </w:r>
    </w:p>
    <w:p>
      <w:pPr>
        <w:pStyle w:val="83"/>
        <w:rPr>
          <w:color w:val="auto"/>
          <w:highlight w:val="none"/>
        </w:rPr>
      </w:pPr>
      <w:r>
        <w:rPr>
          <w:rFonts w:hint="eastAsia"/>
          <w:color w:val="auto"/>
          <w:highlight w:val="none"/>
        </w:rPr>
        <w:t>11.2.10技术解决方案</w:t>
      </w:r>
      <w:r>
        <w:rPr>
          <w:rFonts w:hint="eastAsia" w:cs="宋体"/>
          <w:snapToGrid w:val="0"/>
          <w:color w:val="auto"/>
          <w:kern w:val="28"/>
          <w:highlight w:val="none"/>
        </w:rPr>
        <w:t>（如果有)</w:t>
      </w:r>
      <w:r>
        <w:rPr>
          <w:rFonts w:hint="eastAsia"/>
          <w:color w:val="auto"/>
          <w:highlight w:val="none"/>
        </w:rPr>
        <w:t>。可以是针对本项目的完整技术解决方案和实施方案；详细阐述项目方案的实现思路及关键技术；符合本项目对当前和未来发展的要求；以及对功能设计和实施计划的建议；</w:t>
      </w:r>
    </w:p>
    <w:p>
      <w:pPr>
        <w:pStyle w:val="83"/>
        <w:rPr>
          <w:color w:val="auto"/>
          <w:highlight w:val="none"/>
        </w:rPr>
      </w:pPr>
      <w:r>
        <w:rPr>
          <w:rFonts w:hint="eastAsia"/>
          <w:color w:val="auto"/>
          <w:highlight w:val="none"/>
        </w:rPr>
        <w:t>11.2.11组织实施方案</w:t>
      </w:r>
      <w:r>
        <w:rPr>
          <w:rFonts w:hint="eastAsia" w:cs="宋体"/>
          <w:snapToGrid w:val="0"/>
          <w:color w:val="auto"/>
          <w:kern w:val="28"/>
          <w:highlight w:val="none"/>
        </w:rPr>
        <w:t>（如果有)</w:t>
      </w:r>
      <w:r>
        <w:rPr>
          <w:rFonts w:hint="eastAsia"/>
          <w:color w:val="auto"/>
          <w:highlight w:val="none"/>
        </w:rPr>
        <w:t>。可以是本项目详细工作实施组织方案，包括(但不限于)以下内容：组织机构、工作时间进度表、工作程序和步骤、管理和协调方法、关键步骤的思路和要点；</w:t>
      </w:r>
    </w:p>
    <w:p>
      <w:pPr>
        <w:pStyle w:val="83"/>
        <w:rPr>
          <w:color w:val="auto"/>
          <w:highlight w:val="none"/>
        </w:rPr>
      </w:pPr>
      <w:r>
        <w:rPr>
          <w:rFonts w:hint="eastAsia"/>
          <w:color w:val="auto"/>
          <w:highlight w:val="none"/>
        </w:rPr>
        <w:t>11.2.12运维服务方案</w:t>
      </w:r>
      <w:r>
        <w:rPr>
          <w:rFonts w:hint="eastAsia" w:cs="宋体"/>
          <w:snapToGrid w:val="0"/>
          <w:color w:val="auto"/>
          <w:kern w:val="28"/>
          <w:highlight w:val="none"/>
        </w:rPr>
        <w:t>（如果有)</w:t>
      </w:r>
      <w:r>
        <w:rPr>
          <w:rFonts w:hint="eastAsia"/>
          <w:color w:val="auto"/>
          <w:highlight w:val="none"/>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snapToGrid w:val="0"/>
        <w:spacing w:line="360" w:lineRule="auto"/>
        <w:ind w:firstLine="482" w:firstLineChars="200"/>
        <w:rPr>
          <w:rFonts w:ascii="宋体" w:hAnsi="宋体" w:cs="宋体"/>
          <w:b/>
          <w:color w:val="auto"/>
          <w:sz w:val="24"/>
          <w:highlight w:val="none"/>
          <w:u w:val="single"/>
          <w:lang w:val="zh-CN"/>
        </w:rPr>
      </w:pPr>
      <w:r>
        <w:rPr>
          <w:rFonts w:hint="eastAsia" w:ascii="宋体" w:hAnsi="宋体" w:cs="宋体"/>
          <w:b/>
          <w:color w:val="auto"/>
          <w:kern w:val="0"/>
          <w:sz w:val="24"/>
          <w:highlight w:val="none"/>
          <w:lang w:val="zh-CN"/>
        </w:rPr>
        <w:t>11.</w:t>
      </w:r>
      <w:r>
        <w:rPr>
          <w:rFonts w:hint="eastAsia" w:ascii="宋体" w:hAnsi="宋体" w:cs="宋体"/>
          <w:b/>
          <w:color w:val="auto"/>
          <w:kern w:val="0"/>
          <w:sz w:val="24"/>
          <w:highlight w:val="none"/>
        </w:rPr>
        <w:t>3</w:t>
      </w:r>
      <w:r>
        <w:rPr>
          <w:rFonts w:hint="eastAsia" w:ascii="宋体" w:hAnsi="宋体" w:cs="宋体"/>
          <w:b/>
          <w:color w:val="auto"/>
          <w:sz w:val="24"/>
          <w:highlight w:val="none"/>
        </w:rPr>
        <w:t xml:space="preserve">报价文件： </w:t>
      </w:r>
    </w:p>
    <w:p>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11.3.1开标一览表（报价表）；</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11.3.2中小企业声明函。</w:t>
      </w:r>
    </w:p>
    <w:p>
      <w:pPr>
        <w:snapToGrid w:val="0"/>
        <w:spacing w:line="360" w:lineRule="auto"/>
        <w:ind w:firstLine="480" w:firstLineChars="200"/>
        <w:rPr>
          <w:rFonts w:ascii="宋体" w:hAnsi="宋体" w:cs="宋体"/>
          <w:color w:val="auto"/>
          <w:sz w:val="24"/>
          <w:highlight w:val="none"/>
        </w:rPr>
      </w:pPr>
      <w:bookmarkStart w:id="41" w:name="OLE_LINK6"/>
      <w:r>
        <w:rPr>
          <w:rFonts w:hint="eastAsia" w:ascii="宋体" w:hAnsi="宋体" w:cs="宋体"/>
          <w:color w:val="auto"/>
          <w:sz w:val="24"/>
          <w:highlight w:val="none"/>
        </w:rPr>
        <w:t>11.3.3关于符合本国产品标准的声明函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 xml:space="preserve"> ；</w:t>
      </w:r>
    </w:p>
    <w:p>
      <w:pPr>
        <w:snapToGrid w:val="0"/>
        <w:spacing w:line="360" w:lineRule="auto"/>
        <w:ind w:firstLine="480" w:firstLineChars="200"/>
        <w:rPr>
          <w:color w:val="auto"/>
          <w:highlight w:val="none"/>
        </w:rPr>
      </w:pPr>
      <w:r>
        <w:rPr>
          <w:rFonts w:hint="eastAsia" w:ascii="宋体" w:hAnsi="宋体" w:cs="宋体"/>
          <w:color w:val="auto"/>
          <w:sz w:val="24"/>
          <w:highlight w:val="none"/>
        </w:rPr>
        <w:t>11.3.4关于符合本国产品标准的产品成本之和占所提供的全部产品成本之和的比例达到80%以上的声明函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bookmarkEnd w:id="41"/>
    <w:p>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pPr>
        <w:spacing w:line="360" w:lineRule="auto"/>
        <w:ind w:firstLine="482" w:firstLineChars="200"/>
        <w:rPr>
          <w:rFonts w:ascii="宋体" w:hAnsi="宋体" w:cs="宋体"/>
          <w:b/>
          <w:color w:val="auto"/>
          <w:sz w:val="24"/>
          <w:szCs w:val="21"/>
          <w:highlight w:val="none"/>
        </w:rPr>
      </w:pPr>
      <w:r>
        <w:rPr>
          <w:rFonts w:hint="eastAsia" w:ascii="宋体" w:hAnsi="宋体" w:cs="宋体"/>
          <w:b/>
          <w:color w:val="auto"/>
          <w:sz w:val="24"/>
          <w:highlight w:val="none"/>
        </w:rPr>
        <w:t>投标人提供虚假材料投标的，投标无效。</w:t>
      </w:r>
    </w:p>
    <w:p>
      <w:pPr>
        <w:pStyle w:val="129"/>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 xml:space="preserve">. </w:t>
      </w:r>
      <w:r>
        <w:rPr>
          <w:rFonts w:hint="eastAsia" w:ascii="宋体" w:hAnsi="宋体" w:cs="宋体"/>
          <w:b/>
          <w:color w:val="auto"/>
          <w:szCs w:val="24"/>
          <w:highlight w:val="none"/>
        </w:rPr>
        <w:t>投标文件的编制</w:t>
      </w:r>
    </w:p>
    <w:p>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pPr>
        <w:pStyle w:val="129"/>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13.2为确保网上操作合法、有效和安全，投标人应当在投标截止时间前完成在“广西政府采购云平台”的身份认证，确保在电子投标过程中能够对相关数据电文进行加密和使用电子签名。</w:t>
      </w:r>
    </w:p>
    <w:p>
      <w:pPr>
        <w:pStyle w:val="129"/>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13.3招标文件对投标文件签署、盖章的要求适用于电子签名、CA签章以及招标文件明确允许的其他方式。</w:t>
      </w:r>
    </w:p>
    <w:p>
      <w:pPr>
        <w:pStyle w:val="12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14. 投标文件的提交、补充、修改、撤回</w:t>
      </w:r>
    </w:p>
    <w:p>
      <w:pPr>
        <w:pStyle w:val="129"/>
        <w:spacing w:before="0"/>
        <w:ind w:firstLine="480"/>
        <w:rPr>
          <w:rFonts w:ascii="宋体" w:hAnsi="宋体" w:cs="宋体"/>
          <w:color w:val="auto"/>
          <w:szCs w:val="24"/>
          <w:highlight w:val="none"/>
        </w:rPr>
      </w:pPr>
      <w:r>
        <w:rPr>
          <w:rFonts w:hint="eastAsia" w:ascii="宋体" w:hAnsi="宋体" w:cs="宋体"/>
          <w:color w:val="auto"/>
          <w:szCs w:val="24"/>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pStyle w:val="129"/>
        <w:spacing w:before="0"/>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pPr>
        <w:pStyle w:val="129"/>
        <w:spacing w:before="0"/>
        <w:ind w:firstLine="480"/>
        <w:rPr>
          <w:rFonts w:ascii="宋体" w:hAnsi="宋体" w:cs="宋体"/>
          <w:color w:val="auto"/>
          <w:szCs w:val="24"/>
          <w:highlight w:val="none"/>
        </w:rPr>
      </w:pPr>
      <w:r>
        <w:rPr>
          <w:rFonts w:hint="eastAsia" w:ascii="宋体" w:hAnsi="宋体" w:cs="宋体"/>
          <w:color w:val="auto"/>
          <w:szCs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pPr>
        <w:pStyle w:val="33"/>
        <w:spacing w:line="360" w:lineRule="auto"/>
        <w:ind w:firstLine="360" w:firstLineChars="150"/>
        <w:rPr>
          <w:rFonts w:hAnsi="宋体" w:cs="宋体"/>
          <w:b/>
          <w:color w:val="auto"/>
          <w:sz w:val="24"/>
          <w:szCs w:val="24"/>
          <w:highlight w:val="none"/>
        </w:rPr>
      </w:pPr>
      <w:r>
        <w:rPr>
          <w:rFonts w:hint="eastAsia" w:hAnsi="宋体" w:cs="宋体"/>
          <w:color w:val="auto"/>
          <w:sz w:val="24"/>
          <w:szCs w:val="24"/>
          <w:highlight w:val="none"/>
        </w:rPr>
        <w:t xml:space="preserve"> 15.1投标人在电子交易平台传输递交投标文件后，还可以在投标截止时间前直接提交或者以邮政快递方式递交备份投标文件1份，</w:t>
      </w:r>
      <w:r>
        <w:rPr>
          <w:rFonts w:hint="eastAsia" w:hAnsi="宋体" w:cs="宋体"/>
          <w:b/>
          <w:color w:val="auto"/>
          <w:sz w:val="24"/>
          <w:szCs w:val="24"/>
          <w:highlight w:val="none"/>
        </w:rPr>
        <w:t>但采购人、采购代理机构不强制或变相强制投标人提交备份投标文件。</w:t>
      </w:r>
    </w:p>
    <w:p>
      <w:pPr>
        <w:pStyle w:val="33"/>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rPr>
        <w:t>15.2备份投标文件须在“</w:t>
      </w:r>
      <w:r>
        <w:rPr>
          <w:rFonts w:hint="eastAsia" w:hAnsi="宋体" w:cs="宋体"/>
          <w:color w:val="auto"/>
          <w:sz w:val="24"/>
          <w:highlight w:val="none"/>
        </w:rPr>
        <w:t>广西政府采购云平台</w:t>
      </w:r>
      <w:r>
        <w:rPr>
          <w:rFonts w:hint="eastAsia" w:hAnsi="宋体" w:cs="宋体"/>
          <w:color w:val="auto"/>
          <w:sz w:val="24"/>
          <w:szCs w:val="24"/>
          <w:highlight w:val="none"/>
        </w:rPr>
        <w:t>投标客户端”制作生成，并储存在</w:t>
      </w:r>
      <w:r>
        <w:rPr>
          <w:rFonts w:hint="eastAsia" w:hAnsi="宋体" w:cs="宋体"/>
          <w:color w:val="auto"/>
          <w:sz w:val="24"/>
          <w:highlight w:val="none"/>
        </w:rPr>
        <w:t>DVD光盘等存储介质</w:t>
      </w:r>
      <w:r>
        <w:rPr>
          <w:rFonts w:hint="eastAsia" w:hAnsi="宋体" w:cs="宋体"/>
          <w:color w:val="auto"/>
          <w:sz w:val="24"/>
          <w:szCs w:val="24"/>
          <w:highlight w:val="none"/>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color w:val="auto"/>
          <w:sz w:val="24"/>
          <w:highlight w:val="none"/>
        </w:rPr>
        <w:t>不符合上述制作、</w:t>
      </w:r>
      <w:r>
        <w:rPr>
          <w:rFonts w:hint="eastAsia" w:hAnsi="宋体" w:cs="宋体"/>
          <w:b/>
          <w:color w:val="auto"/>
          <w:sz w:val="24"/>
          <w:szCs w:val="24"/>
          <w:highlight w:val="none"/>
        </w:rPr>
        <w:t>存储、密封规定的备份投标文件将被视为无效或者被拒绝接收。</w:t>
      </w:r>
    </w:p>
    <w:p>
      <w:pPr>
        <w:pStyle w:val="33"/>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15.3直接提交备份投标文件的，投标人应于投标截止时间前在招标公告中载明的开标地点将备份投标文件提交给采购代理机构，采购代理机构将拒绝接受逾期送达的备份投标文件。</w:t>
      </w:r>
    </w:p>
    <w:p>
      <w:pPr>
        <w:pStyle w:val="33"/>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15.4以邮政快递方式递交备份投标文件的，投标人应先将备份投标文件按要求密封和标记，再进行邮政快递包装后邮寄。备份投标文件须在投标截止时间之前送达招标文件第二部分投标人须知前附表规定的备份投标文件送达地点；送达时间以签收人签收时间为准。采购代理机构将拒绝接受逾期送达的备份投标文件。邮寄过程中，电子备份投标文件发生泄露、遗失、损坏或延期送达等情况的，由投标人自行负责。</w:t>
      </w:r>
    </w:p>
    <w:p>
      <w:pPr>
        <w:pStyle w:val="33"/>
        <w:spacing w:line="360" w:lineRule="auto"/>
        <w:ind w:firstLine="479" w:firstLineChars="199"/>
        <w:rPr>
          <w:rFonts w:hAnsi="宋体" w:cs="宋体"/>
          <w:b/>
          <w:color w:val="auto"/>
          <w:sz w:val="24"/>
          <w:szCs w:val="24"/>
          <w:highlight w:val="none"/>
        </w:rPr>
      </w:pPr>
      <w:r>
        <w:rPr>
          <w:rFonts w:hint="eastAsia" w:hAnsi="宋体" w:cs="宋体"/>
          <w:b/>
          <w:color w:val="auto"/>
          <w:sz w:val="24"/>
          <w:szCs w:val="24"/>
          <w:highlight w:val="none"/>
        </w:rPr>
        <w:t>15.5投标人仅提交备份投标文件，未在电子交易平台传输递交投标文件的，投标无效。</w:t>
      </w:r>
    </w:p>
    <w:p>
      <w:pPr>
        <w:pStyle w:val="12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pPr>
        <w:pStyle w:val="3"/>
        <w:spacing w:line="360" w:lineRule="auto"/>
        <w:ind w:firstLine="360" w:firstLineChars="150"/>
        <w:rPr>
          <w:rFonts w:cs="宋体"/>
          <w:color w:val="auto"/>
          <w:szCs w:val="21"/>
          <w:highlight w:val="none"/>
        </w:rPr>
      </w:pPr>
      <w:r>
        <w:rPr>
          <w:rFonts w:hint="eastAsia" w:cs="宋体"/>
          <w:color w:val="auto"/>
          <w:szCs w:val="21"/>
          <w:highlight w:val="none"/>
        </w:rPr>
        <w:t>有招标文件第四部分</w:t>
      </w:r>
      <w:r>
        <w:rPr>
          <w:rFonts w:cs="宋体"/>
          <w:color w:val="auto"/>
          <w:szCs w:val="21"/>
          <w:highlight w:val="none"/>
        </w:rPr>
        <w:t>4.2规定</w:t>
      </w:r>
      <w:r>
        <w:rPr>
          <w:rFonts w:hint="eastAsia" w:cs="宋体"/>
          <w:color w:val="auto"/>
          <w:szCs w:val="21"/>
          <w:highlight w:val="none"/>
        </w:rPr>
        <w:t>的情形之一的，投标无效：</w:t>
      </w:r>
    </w:p>
    <w:p>
      <w:pPr>
        <w:pStyle w:val="12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17.1投标有效期为从提交投标文件的截止之日起60天。▲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pPr>
        <w:pStyle w:val="129"/>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pPr>
        <w:pStyle w:val="129"/>
        <w:spacing w:before="0"/>
        <w:ind w:firstLine="480"/>
        <w:rPr>
          <w:rFonts w:ascii="宋体" w:hAnsi="宋体" w:cs="宋体"/>
          <w:color w:val="auto"/>
          <w:highlight w:val="none"/>
        </w:rPr>
      </w:pPr>
      <w:r>
        <w:rPr>
          <w:rFonts w:hint="eastAsia" w:ascii="宋体" w:hAnsi="宋体" w:cs="宋体"/>
          <w:color w:val="auto"/>
          <w:highlight w:val="none"/>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pPr>
        <w:pStyle w:val="129"/>
        <w:spacing w:before="0"/>
        <w:ind w:firstLine="643"/>
        <w:rPr>
          <w:rFonts w:ascii="宋体" w:hAnsi="宋体" w:cs="宋体"/>
          <w:b/>
          <w:color w:val="auto"/>
          <w:sz w:val="32"/>
          <w:highlight w:val="none"/>
        </w:rPr>
      </w:pPr>
    </w:p>
    <w:p>
      <w:pPr>
        <w:pStyle w:val="129"/>
        <w:spacing w:before="0"/>
        <w:ind w:firstLine="0" w:firstLineChars="0"/>
        <w:jc w:val="center"/>
        <w:outlineLvl w:val="1"/>
        <w:rPr>
          <w:rFonts w:ascii="宋体" w:hAnsi="宋体" w:cs="宋体"/>
          <w:b/>
          <w:color w:val="auto"/>
          <w:sz w:val="32"/>
          <w:highlight w:val="none"/>
        </w:rPr>
      </w:pPr>
      <w:r>
        <w:rPr>
          <w:rFonts w:hint="eastAsia" w:ascii="宋体" w:hAnsi="宋体" w:cs="宋体"/>
          <w:b/>
          <w:color w:val="auto"/>
          <w:sz w:val="32"/>
          <w:highlight w:val="none"/>
        </w:rPr>
        <w:t>四、开标、资格审查与信用信息查询</w:t>
      </w:r>
    </w:p>
    <w:p>
      <w:pPr>
        <w:pStyle w:val="554"/>
        <w:spacing w:before="0" w:line="360" w:lineRule="auto"/>
        <w:ind w:left="0" w:firstLine="241" w:firstLineChars="100"/>
        <w:contextualSpacing/>
        <w:rPr>
          <w:rFonts w:ascii="宋体" w:hAnsi="宋体" w:cs="宋体"/>
          <w:color w:val="auto"/>
          <w:sz w:val="24"/>
          <w:highlight w:val="none"/>
        </w:rPr>
      </w:pPr>
      <w:r>
        <w:rPr>
          <w:rFonts w:hint="eastAsia" w:ascii="宋体" w:hAnsi="宋体" w:cs="宋体"/>
          <w:b/>
          <w:color w:val="auto"/>
          <w:sz w:val="24"/>
          <w:szCs w:val="24"/>
          <w:highlight w:val="none"/>
        </w:rPr>
        <w:t>18</w:t>
      </w:r>
      <w:bookmarkStart w:id="42" w:name="OLE_LINK5"/>
      <w:r>
        <w:rPr>
          <w:rFonts w:hint="eastAsia" w:ascii="宋体" w:hAnsi="宋体" w:cs="宋体"/>
          <w:b/>
          <w:color w:val="auto"/>
          <w:sz w:val="24"/>
          <w:szCs w:val="24"/>
          <w:highlight w:val="none"/>
        </w:rPr>
        <w:t>.</w:t>
      </w:r>
      <w:bookmarkEnd w:id="42"/>
      <w:r>
        <w:rPr>
          <w:rFonts w:hint="eastAsia" w:ascii="宋体" w:hAnsi="宋体" w:cs="宋体"/>
          <w:b/>
          <w:color w:val="auto"/>
          <w:sz w:val="24"/>
          <w:szCs w:val="24"/>
          <w:highlight w:val="none"/>
        </w:rPr>
        <w:t>开标</w:t>
      </w:r>
      <w:r>
        <w:rPr>
          <w:rFonts w:hint="eastAsia" w:ascii="宋体" w:hAnsi="宋体" w:cs="宋体"/>
          <w:color w:val="auto"/>
          <w:sz w:val="24"/>
          <w:highlight w:val="none"/>
        </w:rPr>
        <w:t xml:space="preserve"> </w:t>
      </w:r>
    </w:p>
    <w:p>
      <w:pPr>
        <w:pStyle w:val="554"/>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18.1采购代理机构按照招标文件规定的时间通过电子交易平台组织开标，所有投标人均应当准时在线参加。投标人不足3家的，不得开标。</w:t>
      </w:r>
    </w:p>
    <w:p>
      <w:pPr>
        <w:pStyle w:val="554"/>
        <w:spacing w:before="0" w:line="360" w:lineRule="auto"/>
        <w:ind w:left="0" w:firstLine="240" w:firstLineChars="100"/>
        <w:contextualSpacing/>
        <w:rPr>
          <w:rFonts w:ascii="宋体" w:hAnsi="宋体" w:cs="宋体"/>
          <w:color w:val="auto"/>
          <w:sz w:val="24"/>
          <w:highlight w:val="none"/>
        </w:rPr>
      </w:pPr>
      <w:r>
        <w:rPr>
          <w:rFonts w:hint="eastAsia" w:ascii="宋体" w:hAnsi="宋体" w:cs="宋体"/>
          <w:color w:val="auto"/>
          <w:sz w:val="24"/>
          <w:highlight w:val="none"/>
        </w:rPr>
        <w:t>　18.2开标时，电子交易平台按开标时间自动提取所有投标文件。采购代理机构依托电子交易平台发起开始解密指令，投标人按照平台提示和招标文件的规定在半小时内完成在线解密。</w:t>
      </w:r>
    </w:p>
    <w:p>
      <w:pPr>
        <w:pStyle w:val="554"/>
        <w:spacing w:before="0" w:line="360" w:lineRule="auto"/>
        <w:ind w:left="0" w:firstLine="240" w:firstLineChars="100"/>
        <w:contextualSpacing/>
        <w:rPr>
          <w:rFonts w:ascii="宋体" w:hAnsi="宋体" w:cs="宋体"/>
          <w:b/>
          <w:color w:val="auto"/>
          <w:sz w:val="24"/>
          <w:highlight w:val="none"/>
        </w:rPr>
      </w:pPr>
      <w:r>
        <w:rPr>
          <w:rFonts w:hint="eastAsia" w:ascii="宋体" w:hAnsi="宋体" w:cs="宋体"/>
          <w:color w:val="auto"/>
          <w:sz w:val="24"/>
          <w:highlight w:val="none"/>
        </w:rPr>
        <w:t>　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pPr>
        <w:widowControl/>
        <w:spacing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　19</w:t>
      </w:r>
      <w:r>
        <w:rPr>
          <w:rFonts w:hint="eastAsia" w:ascii="宋体" w:hAnsi="宋体" w:cs="宋体"/>
          <w:b/>
          <w:color w:val="auto"/>
          <w:sz w:val="24"/>
          <w:highlight w:val="none"/>
        </w:rPr>
        <w:t>.</w:t>
      </w:r>
      <w:r>
        <w:rPr>
          <w:rFonts w:hint="eastAsia" w:ascii="宋体" w:hAnsi="宋体" w:cs="宋体"/>
          <w:b/>
          <w:color w:val="auto"/>
          <w:sz w:val="24"/>
          <w:szCs w:val="20"/>
          <w:highlight w:val="none"/>
        </w:rPr>
        <w:t>资格审查</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19.1</w:t>
      </w:r>
      <w:r>
        <w:rPr>
          <w:rFonts w:hint="eastAsia" w:ascii="宋体" w:hAnsi="宋体" w:cs="宋体"/>
          <w:color w:val="auto"/>
          <w:sz w:val="24"/>
          <w:highlight w:val="none"/>
        </w:rPr>
        <w:t>采购人或采购代理机构依据法律法规和招标文件的规定，对投标人的资格进行审查。</w:t>
      </w:r>
    </w:p>
    <w:p>
      <w:pPr>
        <w:pStyle w:val="129"/>
        <w:spacing w:before="0"/>
        <w:ind w:firstLine="480"/>
        <w:rPr>
          <w:rFonts w:ascii="宋体" w:hAnsi="宋体" w:cs="宋体"/>
          <w:color w:val="auto"/>
          <w:highlight w:val="none"/>
        </w:rPr>
      </w:pPr>
      <w:r>
        <w:rPr>
          <w:rFonts w:hint="eastAsia" w:ascii="宋体" w:hAnsi="宋体" w:cs="宋体"/>
          <w:color w:val="auto"/>
          <w:kern w:val="0"/>
          <w:szCs w:val="24"/>
          <w:highlight w:val="none"/>
        </w:rPr>
        <w:t>19.2投标人未按照招标文件要求提供与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pPr>
        <w:pStyle w:val="129"/>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3对未通过资格审查的投标人，采购人或采购代理机构告知其未通过的原因。</w:t>
      </w:r>
    </w:p>
    <w:p>
      <w:pPr>
        <w:pStyle w:val="129"/>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4合格投标人不足3家的，不再评标。</w:t>
      </w:r>
    </w:p>
    <w:p>
      <w:pPr>
        <w:pStyle w:val="12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20.信用信息查询</w:t>
      </w:r>
    </w:p>
    <w:p>
      <w:pPr>
        <w:pStyle w:val="129"/>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20.1信用信息查询渠道及截止时间：采购人或采购代理机构将在资格审查时通过“信用中国”网站(www.creditchina.gov.cn)、中国政府采购网(www.ccgp.gov.cn)渠道查询投标人接受资格时的信用记录。</w:t>
      </w:r>
    </w:p>
    <w:p>
      <w:pPr>
        <w:pStyle w:val="129"/>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pPr>
        <w:pStyle w:val="129"/>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pPr>
        <w:pStyle w:val="129"/>
        <w:spacing w:before="0"/>
        <w:ind w:firstLine="480"/>
        <w:rPr>
          <w:rFonts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pPr>
        <w:pStyle w:val="129"/>
        <w:spacing w:before="0"/>
        <w:ind w:firstLine="0" w:firstLineChars="0"/>
        <w:rPr>
          <w:rFonts w:ascii="宋体" w:hAnsi="宋体" w:cs="宋体"/>
          <w:color w:val="auto"/>
          <w:kern w:val="0"/>
          <w:szCs w:val="24"/>
          <w:highlight w:val="none"/>
        </w:rPr>
      </w:pPr>
    </w:p>
    <w:p>
      <w:pPr>
        <w:snapToGrid w:val="0"/>
        <w:spacing w:line="360" w:lineRule="auto"/>
        <w:jc w:val="center"/>
        <w:outlineLvl w:val="1"/>
        <w:rPr>
          <w:rFonts w:ascii="宋体" w:hAnsi="宋体" w:cs="宋体"/>
          <w:b/>
          <w:color w:val="auto"/>
          <w:sz w:val="36"/>
          <w:szCs w:val="36"/>
          <w:highlight w:val="none"/>
        </w:rPr>
      </w:pPr>
      <w:r>
        <w:rPr>
          <w:rFonts w:hint="eastAsia" w:ascii="宋体" w:hAnsi="宋体" w:cs="宋体"/>
          <w:b/>
          <w:color w:val="auto"/>
          <w:sz w:val="36"/>
          <w:szCs w:val="36"/>
          <w:highlight w:val="none"/>
        </w:rPr>
        <w:t>五、评标</w:t>
      </w:r>
    </w:p>
    <w:p>
      <w:pPr>
        <w:spacing w:line="360" w:lineRule="auto"/>
        <w:rPr>
          <w:rFonts w:ascii="宋体" w:hAnsi="宋体" w:cs="宋体"/>
          <w:b/>
          <w:color w:val="auto"/>
          <w:sz w:val="24"/>
          <w:highlight w:val="none"/>
        </w:rPr>
      </w:pPr>
      <w:bookmarkStart w:id="43" w:name="_Toc91899903"/>
      <w:r>
        <w:rPr>
          <w:rFonts w:hint="eastAsia" w:ascii="宋体" w:hAnsi="宋体" w:cs="宋体"/>
          <w:b/>
          <w:color w:val="auto"/>
          <w:sz w:val="24"/>
          <w:highlight w:val="none"/>
        </w:rPr>
        <w:t>21.评标</w:t>
      </w:r>
    </w:p>
    <w:p>
      <w:pPr>
        <w:pStyle w:val="83"/>
        <w:rPr>
          <w:color w:val="auto"/>
          <w:highlight w:val="none"/>
        </w:rPr>
      </w:pPr>
      <w:r>
        <w:rPr>
          <w:rFonts w:hint="eastAsia"/>
          <w:color w:val="auto"/>
          <w:highlight w:val="none"/>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pPr>
        <w:spacing w:line="360" w:lineRule="auto"/>
        <w:ind w:firstLine="480" w:firstLineChars="200"/>
        <w:rPr>
          <w:rFonts w:cs="宋体" w:asciiTheme="minorEastAsia" w:hAnsiTheme="minorEastAsia" w:eastAsiaTheme="minorEastAsia"/>
          <w:b/>
          <w:color w:val="auto"/>
          <w:sz w:val="24"/>
          <w:highlight w:val="none"/>
        </w:rPr>
      </w:pPr>
      <w:r>
        <w:rPr>
          <w:rFonts w:hint="eastAsia" w:ascii="宋体" w:hAnsi="宋体" w:cs="宋体"/>
          <w:bCs/>
          <w:color w:val="auto"/>
          <w:sz w:val="24"/>
          <w:highlight w:val="none"/>
        </w:rPr>
        <w:t>21.2</w:t>
      </w:r>
      <w:r>
        <w:rPr>
          <w:rFonts w:hint="eastAsia" w:cs="宋体" w:asciiTheme="minorEastAsia" w:hAnsiTheme="minorEastAsia" w:eastAsiaTheme="minorEastAsia"/>
          <w:color w:val="auto"/>
          <w:sz w:val="24"/>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cs="宋体" w:asciiTheme="minorEastAsia" w:hAnsiTheme="minorEastAsia" w:eastAsiaTheme="minorEastAsia"/>
          <w:b/>
          <w:color w:val="auto"/>
          <w:sz w:val="24"/>
          <w:highlight w:val="none"/>
        </w:rPr>
        <w:t>详见招标文件第四部分评标办法。</w:t>
      </w:r>
    </w:p>
    <w:p>
      <w:pPr>
        <w:spacing w:line="360" w:lineRule="auto"/>
        <w:rPr>
          <w:rFonts w:ascii="宋体" w:hAnsi="宋体" w:cs="宋体"/>
          <w:b/>
          <w:color w:val="auto"/>
          <w:sz w:val="24"/>
          <w:highlight w:val="none"/>
        </w:rPr>
      </w:pPr>
    </w:p>
    <w:p>
      <w:pPr>
        <w:snapToGrid w:val="0"/>
        <w:spacing w:line="360" w:lineRule="auto"/>
        <w:jc w:val="center"/>
        <w:outlineLvl w:val="1"/>
        <w:rPr>
          <w:rFonts w:ascii="宋体" w:hAnsi="宋体" w:cs="宋体"/>
          <w:b/>
          <w:color w:val="auto"/>
          <w:sz w:val="36"/>
          <w:szCs w:val="36"/>
          <w:highlight w:val="none"/>
        </w:rPr>
      </w:pPr>
      <w:r>
        <w:rPr>
          <w:rFonts w:hint="eastAsia" w:ascii="宋体" w:hAnsi="宋体" w:cs="宋体"/>
          <w:b/>
          <w:color w:val="auto"/>
          <w:sz w:val="36"/>
          <w:szCs w:val="36"/>
          <w:highlight w:val="none"/>
        </w:rPr>
        <w:t>六、定 标</w:t>
      </w:r>
    </w:p>
    <w:p>
      <w:pPr>
        <w:pStyle w:val="3"/>
        <w:spacing w:line="360" w:lineRule="auto"/>
        <w:ind w:left="479" w:hanging="479" w:hangingChars="199"/>
        <w:rPr>
          <w:rFonts w:cs="宋体"/>
          <w:b/>
          <w:color w:val="auto"/>
          <w:highlight w:val="none"/>
        </w:rPr>
      </w:pPr>
      <w:r>
        <w:rPr>
          <w:rFonts w:hint="eastAsia" w:cs="宋体"/>
          <w:b/>
          <w:color w:val="auto"/>
          <w:highlight w:val="none"/>
        </w:rPr>
        <w:t>22.确定中标供应商</w:t>
      </w:r>
    </w:p>
    <w:p>
      <w:pPr>
        <w:pStyle w:val="129"/>
        <w:snapToGrid w:val="0"/>
        <w:spacing w:before="0"/>
        <w:ind w:firstLine="480"/>
        <w:rPr>
          <w:rFonts w:ascii="宋体" w:hAnsi="宋体" w:cs="宋体"/>
          <w:b/>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pPr>
        <w:pStyle w:val="129"/>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23.中标通知与中标结果公告</w:t>
      </w:r>
    </w:p>
    <w:p>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23.1自中标人确定之日起2个工作日内，采购代理机构通过电子交易平台向中标人发出中标通知书，同时编制发布采购结果公告。采购代理机构也可以以纸质形式进行中标通知。</w:t>
      </w:r>
    </w:p>
    <w:p>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23.3公告期限为1个工作日。</w:t>
      </w:r>
    </w:p>
    <w:p>
      <w:pPr>
        <w:snapToGrid w:val="0"/>
        <w:spacing w:line="360" w:lineRule="auto"/>
        <w:ind w:left="120" w:leftChars="57" w:firstLine="482" w:firstLineChars="150"/>
        <w:jc w:val="center"/>
        <w:rPr>
          <w:rFonts w:ascii="宋体" w:hAnsi="宋体" w:cs="宋体"/>
          <w:b/>
          <w:color w:val="auto"/>
          <w:sz w:val="32"/>
          <w:highlight w:val="none"/>
        </w:rPr>
      </w:pPr>
    </w:p>
    <w:p>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七、合同授予</w:t>
      </w:r>
    </w:p>
    <w:p>
      <w:pPr>
        <w:pStyle w:val="3"/>
        <w:spacing w:line="360" w:lineRule="auto"/>
        <w:ind w:left="479" w:hanging="479" w:hangingChars="199"/>
        <w:rPr>
          <w:rFonts w:cs="宋体"/>
          <w:b/>
          <w:color w:val="auto"/>
          <w:highlight w:val="none"/>
        </w:rPr>
      </w:pPr>
      <w:r>
        <w:rPr>
          <w:rFonts w:hint="eastAsia" w:cs="宋体"/>
          <w:b/>
          <w:color w:val="auto"/>
          <w:highlight w:val="none"/>
        </w:rPr>
        <w:t>24.</w:t>
      </w:r>
      <w:r>
        <w:rPr>
          <w:rFonts w:hint="eastAsia" w:cs="宋体"/>
          <w:color w:val="auto"/>
          <w:highlight w:val="none"/>
        </w:rPr>
        <w:t>合同主要条款详见第五部分拟签订的合同文本。</w:t>
      </w:r>
    </w:p>
    <w:p>
      <w:pPr>
        <w:pStyle w:val="3"/>
        <w:spacing w:line="360" w:lineRule="auto"/>
        <w:ind w:left="479" w:hanging="479" w:hangingChars="199"/>
        <w:rPr>
          <w:rFonts w:cs="宋体"/>
          <w:b/>
          <w:color w:val="auto"/>
          <w:highlight w:val="none"/>
        </w:rPr>
      </w:pPr>
      <w:r>
        <w:rPr>
          <w:rFonts w:hint="eastAsia" w:cs="宋体"/>
          <w:b/>
          <w:color w:val="auto"/>
          <w:highlight w:val="none"/>
        </w:rPr>
        <w:t>25.合同的签订</w:t>
      </w:r>
    </w:p>
    <w:p>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sz w:val="24"/>
          <w:highlight w:val="none"/>
        </w:rPr>
        <w:t>25.1</w:t>
      </w:r>
      <w:r>
        <w:rPr>
          <w:rFonts w:hint="eastAsia" w:ascii="宋体" w:hAnsi="宋体" w:cs="宋体"/>
          <w:color w:val="auto"/>
          <w:kern w:val="0"/>
          <w:sz w:val="24"/>
          <w:highlight w:val="none"/>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129"/>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25.2中标人按规定的日期、时间、地点，由法定代表人或其授权代表与采购人代表签订合同。如中标人为联合体的，由联合体成员各方法定代表人或其授权代表与采购人代表签订合同。</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25.3如签订合同并生效后，供应商无故拒绝或延期，除按照合同条款处理外，列入不良行为记录一次，并给予通报。</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25.4中标供应商拒绝与采购人签订合同的，采购人可以按照评审报告推荐的中标候选人名单排序，确定下一候选人为中标供应商，也可以重新开展政府采购活动。</w:t>
      </w:r>
    </w:p>
    <w:p>
      <w:pPr>
        <w:pStyle w:val="129"/>
        <w:snapToGrid w:val="0"/>
        <w:spacing w:before="0" w:after="120"/>
        <w:ind w:firstLine="480"/>
        <w:rPr>
          <w:rFonts w:ascii="宋体" w:hAnsi="宋体" w:cs="宋体"/>
          <w:color w:val="auto"/>
          <w:highlight w:val="none"/>
        </w:rPr>
      </w:pPr>
      <w:r>
        <w:rPr>
          <w:rFonts w:hint="eastAsia" w:ascii="宋体" w:hAnsi="宋体" w:cs="宋体"/>
          <w:color w:val="auto"/>
          <w:highlight w:val="none"/>
        </w:rPr>
        <w:t>25.5采购合同由采购人与中标供应商根据招标文件、投标文件等内容通过政府采购电子交易平台在线签订，自动备案。</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25.6政采贷</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一）融资申请。有融资需求的供应商取得《中标通知书》后，在签订采购合同前，向贷款金融机构递交融资申请表。中标供应商可以根据贷款需求等实际情况选择是否需要北海市小微企业融资担保有限公司提供担保增信，如需要提供担保增信则同时向北海市小微企业融资担保有限公司递交融资申请表。</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（四）贷款发放。贷款金融机构根据贷款协议向供应商发放贷款。</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（五）按期还款。供应商获得贷款后应自觉履行政府采购合同，合同履行完毕后，采购单位根据合同约定时间和账户信息，严格按照财政资金管理的相关规定，及时将资金支付到采购合同收款账户。</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（六）业务终止。贷款偿清后，贷款金融机构或北海市小微企业融资担保有限公司及时办理应收账款质押注销登记，业务终止。</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注：相关合作银行的具体操作流程详见北海市政府采购中心首页“政采贷”板块。</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供应商中标后可在“广西政府采购云”平台申请政采贷：操作路径：登录广西政府采购云平台-金融服务中心-【融资服务】，可在热门申请中选择产品直接申请。详见如下：</w:t>
      </w:r>
    </w:p>
    <w:p>
      <w:pPr>
        <w:pStyle w:val="83"/>
        <w:rPr>
          <w:color w:val="auto"/>
          <w:highlight w:val="none"/>
        </w:rPr>
      </w:pPr>
      <w:r>
        <w:rPr>
          <w:rFonts w:hint="eastAsia"/>
          <w:color w:val="auto"/>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Style w:val="76"/>
          <w:rFonts w:ascii="宋体" w:hAnsi="宋体" w:eastAsia="宋体" w:cs="Times New Roman"/>
          <w:color w:val="auto"/>
          <w:sz w:val="24"/>
          <w:szCs w:val="20"/>
          <w:highlight w:val="none"/>
        </w:rPr>
        <w:t>https://jinrong.gcy.zfcg.gxzf.gov.cn/finance/loan/gx</w:t>
      </w:r>
      <w:r>
        <w:rPr>
          <w:rStyle w:val="76"/>
          <w:rFonts w:ascii="宋体" w:hAnsi="宋体" w:eastAsia="宋体" w:cs="Times New Roman"/>
          <w:color w:val="auto"/>
          <w:sz w:val="24"/>
          <w:szCs w:val="20"/>
          <w:highlight w:val="none"/>
        </w:rPr>
        <w:fldChar w:fldCharType="end"/>
      </w:r>
      <w:r>
        <w:rPr>
          <w:rFonts w:hint="eastAsia"/>
          <w:color w:val="auto"/>
          <w:highlight w:val="none"/>
        </w:rPr>
        <w:t>）</w:t>
      </w:r>
    </w:p>
    <w:p>
      <w:pPr>
        <w:pStyle w:val="83"/>
        <w:rPr>
          <w:color w:val="auto"/>
          <w:highlight w:val="none"/>
        </w:rPr>
      </w:pPr>
      <w:r>
        <w:rPr>
          <w:rFonts w:hint="eastAsia"/>
          <w:color w:val="auto"/>
          <w:highlight w:val="none"/>
        </w:rPr>
        <w:t>2.合作银行咨询办理</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3"/>
              <w:ind w:firstLine="0"/>
              <w:jc w:val="center"/>
              <w:rPr>
                <w:color w:val="auto"/>
                <w:highlight w:val="none"/>
              </w:rPr>
            </w:pPr>
            <w:r>
              <w:rPr>
                <w:rFonts w:hint="eastAsia"/>
                <w:color w:val="auto"/>
                <w:highlight w:val="none"/>
              </w:rPr>
              <w:t>银行名称</w:t>
            </w:r>
          </w:p>
        </w:tc>
        <w:tc>
          <w:tcPr>
            <w:tcW w:w="1134" w:type="dxa"/>
            <w:vAlign w:val="center"/>
          </w:tcPr>
          <w:p>
            <w:pPr>
              <w:pStyle w:val="83"/>
              <w:ind w:firstLine="0"/>
              <w:jc w:val="center"/>
              <w:rPr>
                <w:color w:val="auto"/>
                <w:highlight w:val="none"/>
              </w:rPr>
            </w:pPr>
            <w:r>
              <w:rPr>
                <w:rFonts w:hint="eastAsia"/>
                <w:color w:val="auto"/>
                <w:highlight w:val="none"/>
              </w:rPr>
              <w:t>联系电话</w:t>
            </w:r>
          </w:p>
        </w:tc>
        <w:tc>
          <w:tcPr>
            <w:tcW w:w="1701" w:type="dxa"/>
            <w:vAlign w:val="center"/>
          </w:tcPr>
          <w:p>
            <w:pPr>
              <w:pStyle w:val="83"/>
              <w:ind w:firstLine="0"/>
              <w:jc w:val="center"/>
              <w:rPr>
                <w:color w:val="auto"/>
                <w:highlight w:val="none"/>
              </w:rPr>
            </w:pPr>
            <w:r>
              <w:rPr>
                <w:rFonts w:hint="eastAsia"/>
                <w:color w:val="auto"/>
                <w:highlight w:val="none"/>
              </w:rPr>
              <w:t>最高授信金额</w:t>
            </w:r>
          </w:p>
        </w:tc>
        <w:tc>
          <w:tcPr>
            <w:tcW w:w="993" w:type="dxa"/>
            <w:vAlign w:val="center"/>
          </w:tcPr>
          <w:p>
            <w:pPr>
              <w:pStyle w:val="83"/>
              <w:ind w:firstLine="0"/>
              <w:jc w:val="center"/>
              <w:rPr>
                <w:color w:val="auto"/>
                <w:highlight w:val="none"/>
              </w:rPr>
            </w:pPr>
            <w:r>
              <w:rPr>
                <w:rFonts w:hint="eastAsia"/>
                <w:color w:val="auto"/>
                <w:highlight w:val="none"/>
              </w:rPr>
              <w:t>最长授信期限</w:t>
            </w:r>
          </w:p>
        </w:tc>
        <w:tc>
          <w:tcPr>
            <w:tcW w:w="850" w:type="dxa"/>
            <w:vAlign w:val="center"/>
          </w:tcPr>
          <w:p>
            <w:pPr>
              <w:pStyle w:val="83"/>
              <w:ind w:firstLine="0"/>
              <w:jc w:val="center"/>
              <w:rPr>
                <w:color w:val="auto"/>
                <w:highlight w:val="none"/>
              </w:rPr>
            </w:pPr>
            <w:r>
              <w:rPr>
                <w:rFonts w:hint="eastAsia"/>
                <w:color w:val="auto"/>
                <w:highlight w:val="none"/>
              </w:rPr>
              <w:t>最低利率</w:t>
            </w:r>
          </w:p>
        </w:tc>
        <w:tc>
          <w:tcPr>
            <w:tcW w:w="3366" w:type="dxa"/>
            <w:vAlign w:val="center"/>
          </w:tcPr>
          <w:p>
            <w:pPr>
              <w:pStyle w:val="83"/>
              <w:ind w:firstLine="0"/>
              <w:jc w:val="center"/>
              <w:rPr>
                <w:color w:val="auto"/>
                <w:highlight w:val="none"/>
              </w:rPr>
            </w:pPr>
            <w:r>
              <w:rPr>
                <w:rFonts w:hint="eastAsia"/>
                <w:color w:val="auto"/>
                <w:highlight w:val="none"/>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3"/>
              <w:ind w:firstLine="0"/>
              <w:jc w:val="center"/>
              <w:rPr>
                <w:color w:val="auto"/>
                <w:highlight w:val="none"/>
              </w:rPr>
            </w:pPr>
            <w:r>
              <w:rPr>
                <w:rFonts w:hint="eastAsia"/>
                <w:color w:val="auto"/>
                <w:highlight w:val="none"/>
              </w:rPr>
              <w:t>建设银行</w:t>
            </w:r>
          </w:p>
        </w:tc>
        <w:tc>
          <w:tcPr>
            <w:tcW w:w="1134" w:type="dxa"/>
            <w:vAlign w:val="center"/>
          </w:tcPr>
          <w:p>
            <w:pPr>
              <w:pStyle w:val="83"/>
              <w:ind w:firstLine="0"/>
              <w:jc w:val="center"/>
              <w:rPr>
                <w:color w:val="auto"/>
                <w:highlight w:val="none"/>
              </w:rPr>
            </w:pPr>
            <w:r>
              <w:rPr>
                <w:rFonts w:hint="eastAsia"/>
                <w:color w:val="auto"/>
                <w:highlight w:val="none"/>
              </w:rPr>
              <w:t>13077729988</w:t>
            </w:r>
          </w:p>
        </w:tc>
        <w:tc>
          <w:tcPr>
            <w:tcW w:w="1701" w:type="dxa"/>
            <w:vAlign w:val="center"/>
          </w:tcPr>
          <w:p>
            <w:pPr>
              <w:pStyle w:val="83"/>
              <w:ind w:firstLine="0"/>
              <w:rPr>
                <w:color w:val="auto"/>
                <w:highlight w:val="none"/>
              </w:rPr>
            </w:pPr>
            <w:r>
              <w:rPr>
                <w:rFonts w:hint="eastAsia"/>
                <w:color w:val="auto"/>
                <w:highlight w:val="none"/>
              </w:rPr>
              <w:t>最高3千万</w:t>
            </w:r>
          </w:p>
        </w:tc>
        <w:tc>
          <w:tcPr>
            <w:tcW w:w="993" w:type="dxa"/>
            <w:vAlign w:val="center"/>
          </w:tcPr>
          <w:p>
            <w:pPr>
              <w:pStyle w:val="83"/>
              <w:ind w:firstLine="0"/>
              <w:jc w:val="center"/>
              <w:rPr>
                <w:color w:val="auto"/>
                <w:highlight w:val="none"/>
              </w:rPr>
            </w:pPr>
            <w:r>
              <w:rPr>
                <w:rFonts w:hint="eastAsia"/>
                <w:color w:val="auto"/>
                <w:highlight w:val="none"/>
              </w:rPr>
              <w:t>1年</w:t>
            </w:r>
          </w:p>
        </w:tc>
        <w:tc>
          <w:tcPr>
            <w:tcW w:w="850" w:type="dxa"/>
            <w:vAlign w:val="center"/>
          </w:tcPr>
          <w:p>
            <w:pPr>
              <w:pStyle w:val="83"/>
              <w:ind w:firstLine="0"/>
              <w:jc w:val="center"/>
              <w:rPr>
                <w:color w:val="auto"/>
                <w:highlight w:val="none"/>
              </w:rPr>
            </w:pPr>
            <w:r>
              <w:rPr>
                <w:rFonts w:hint="eastAsia"/>
                <w:color w:val="auto"/>
                <w:highlight w:val="none"/>
              </w:rPr>
              <w:t>4%</w:t>
            </w:r>
          </w:p>
        </w:tc>
        <w:tc>
          <w:tcPr>
            <w:tcW w:w="3366" w:type="dxa"/>
            <w:vAlign w:val="center"/>
          </w:tcPr>
          <w:p>
            <w:pPr>
              <w:pStyle w:val="83"/>
              <w:ind w:firstLine="0"/>
              <w:rPr>
                <w:color w:val="auto"/>
                <w:highlight w:val="none"/>
              </w:rPr>
            </w:pPr>
            <w:r>
              <w:rPr>
                <w:rFonts w:hint="eastAsia"/>
                <w:color w:val="auto"/>
                <w:highlight w:val="none"/>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3"/>
              <w:ind w:firstLine="0"/>
              <w:jc w:val="center"/>
              <w:rPr>
                <w:color w:val="auto"/>
                <w:highlight w:val="none"/>
              </w:rPr>
            </w:pPr>
            <w:r>
              <w:rPr>
                <w:rFonts w:hint="eastAsia"/>
                <w:color w:val="auto"/>
                <w:highlight w:val="none"/>
              </w:rPr>
              <w:t>中国银行</w:t>
            </w:r>
          </w:p>
        </w:tc>
        <w:tc>
          <w:tcPr>
            <w:tcW w:w="1134" w:type="dxa"/>
            <w:vAlign w:val="center"/>
          </w:tcPr>
          <w:p>
            <w:pPr>
              <w:pStyle w:val="83"/>
              <w:ind w:firstLine="0"/>
              <w:jc w:val="center"/>
              <w:rPr>
                <w:color w:val="auto"/>
                <w:highlight w:val="none"/>
              </w:rPr>
            </w:pPr>
            <w:r>
              <w:rPr>
                <w:rFonts w:hint="eastAsia"/>
                <w:color w:val="auto"/>
                <w:highlight w:val="none"/>
              </w:rPr>
              <w:t>0779-3997084</w:t>
            </w:r>
          </w:p>
        </w:tc>
        <w:tc>
          <w:tcPr>
            <w:tcW w:w="1701" w:type="dxa"/>
            <w:vAlign w:val="center"/>
          </w:tcPr>
          <w:p>
            <w:pPr>
              <w:pStyle w:val="83"/>
              <w:ind w:firstLine="0"/>
              <w:rPr>
                <w:color w:val="auto"/>
                <w:highlight w:val="none"/>
              </w:rPr>
            </w:pPr>
            <w:r>
              <w:rPr>
                <w:rFonts w:hint="eastAsia"/>
                <w:color w:val="auto"/>
                <w:highlight w:val="none"/>
              </w:rPr>
              <w:t>最高1千万</w:t>
            </w:r>
          </w:p>
        </w:tc>
        <w:tc>
          <w:tcPr>
            <w:tcW w:w="993" w:type="dxa"/>
            <w:vAlign w:val="center"/>
          </w:tcPr>
          <w:p>
            <w:pPr>
              <w:pStyle w:val="83"/>
              <w:ind w:firstLine="0"/>
              <w:jc w:val="center"/>
              <w:rPr>
                <w:color w:val="auto"/>
                <w:highlight w:val="none"/>
              </w:rPr>
            </w:pPr>
            <w:r>
              <w:rPr>
                <w:rFonts w:hint="eastAsia"/>
                <w:color w:val="auto"/>
                <w:highlight w:val="none"/>
              </w:rPr>
              <w:t>3年</w:t>
            </w:r>
          </w:p>
        </w:tc>
        <w:tc>
          <w:tcPr>
            <w:tcW w:w="850" w:type="dxa"/>
            <w:vAlign w:val="center"/>
          </w:tcPr>
          <w:p>
            <w:pPr>
              <w:pStyle w:val="83"/>
              <w:ind w:firstLine="0"/>
              <w:jc w:val="center"/>
              <w:rPr>
                <w:color w:val="auto"/>
                <w:highlight w:val="none"/>
              </w:rPr>
            </w:pPr>
            <w:r>
              <w:rPr>
                <w:rFonts w:hint="eastAsia"/>
                <w:color w:val="auto"/>
                <w:highlight w:val="none"/>
              </w:rPr>
              <w:t>1.93%</w:t>
            </w:r>
          </w:p>
        </w:tc>
        <w:tc>
          <w:tcPr>
            <w:tcW w:w="3366" w:type="dxa"/>
            <w:vAlign w:val="center"/>
          </w:tcPr>
          <w:p>
            <w:pPr>
              <w:pStyle w:val="83"/>
              <w:ind w:firstLine="0"/>
              <w:rPr>
                <w:color w:val="auto"/>
                <w:highlight w:val="none"/>
              </w:rPr>
            </w:pPr>
            <w:r>
              <w:rPr>
                <w:rFonts w:hint="eastAsia"/>
                <w:color w:val="auto"/>
                <w:highlight w:val="none"/>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3"/>
              <w:ind w:firstLine="0"/>
              <w:jc w:val="center"/>
              <w:rPr>
                <w:color w:val="auto"/>
                <w:highlight w:val="none"/>
              </w:rPr>
            </w:pPr>
            <w:r>
              <w:rPr>
                <w:rFonts w:hint="eastAsia"/>
                <w:color w:val="auto"/>
                <w:highlight w:val="none"/>
              </w:rPr>
              <w:t>兴业银行</w:t>
            </w:r>
          </w:p>
        </w:tc>
        <w:tc>
          <w:tcPr>
            <w:tcW w:w="1134" w:type="dxa"/>
            <w:vAlign w:val="center"/>
          </w:tcPr>
          <w:p>
            <w:pPr>
              <w:pStyle w:val="83"/>
              <w:ind w:firstLine="0"/>
              <w:jc w:val="center"/>
              <w:rPr>
                <w:color w:val="auto"/>
                <w:highlight w:val="none"/>
              </w:rPr>
            </w:pPr>
            <w:r>
              <w:rPr>
                <w:rFonts w:hint="eastAsia"/>
                <w:color w:val="auto"/>
                <w:highlight w:val="none"/>
              </w:rPr>
              <w:t>0779-3158330</w:t>
            </w:r>
          </w:p>
        </w:tc>
        <w:tc>
          <w:tcPr>
            <w:tcW w:w="1701" w:type="dxa"/>
            <w:vAlign w:val="center"/>
          </w:tcPr>
          <w:p>
            <w:pPr>
              <w:pStyle w:val="83"/>
              <w:ind w:firstLine="0"/>
              <w:rPr>
                <w:color w:val="auto"/>
                <w:highlight w:val="none"/>
              </w:rPr>
            </w:pPr>
            <w:r>
              <w:rPr>
                <w:rFonts w:hint="eastAsia"/>
                <w:color w:val="auto"/>
                <w:highlight w:val="none"/>
              </w:rPr>
              <w:t>最高1千万（单笔提款金额达合同金额70%）</w:t>
            </w:r>
          </w:p>
        </w:tc>
        <w:tc>
          <w:tcPr>
            <w:tcW w:w="993" w:type="dxa"/>
            <w:vAlign w:val="center"/>
          </w:tcPr>
          <w:p>
            <w:pPr>
              <w:pStyle w:val="83"/>
              <w:ind w:firstLine="0"/>
              <w:jc w:val="center"/>
              <w:rPr>
                <w:color w:val="auto"/>
                <w:highlight w:val="none"/>
              </w:rPr>
            </w:pPr>
            <w:r>
              <w:rPr>
                <w:rFonts w:hint="eastAsia"/>
                <w:color w:val="auto"/>
                <w:highlight w:val="none"/>
              </w:rPr>
              <w:t>1年</w:t>
            </w:r>
          </w:p>
        </w:tc>
        <w:tc>
          <w:tcPr>
            <w:tcW w:w="850" w:type="dxa"/>
            <w:vAlign w:val="center"/>
          </w:tcPr>
          <w:p>
            <w:pPr>
              <w:pStyle w:val="83"/>
              <w:ind w:firstLine="0"/>
              <w:jc w:val="center"/>
              <w:rPr>
                <w:color w:val="auto"/>
                <w:highlight w:val="none"/>
              </w:rPr>
            </w:pPr>
            <w:r>
              <w:rPr>
                <w:rFonts w:hint="eastAsia"/>
                <w:color w:val="auto"/>
                <w:highlight w:val="none"/>
              </w:rPr>
              <w:t>3.70%</w:t>
            </w:r>
          </w:p>
        </w:tc>
        <w:tc>
          <w:tcPr>
            <w:tcW w:w="3366" w:type="dxa"/>
            <w:vAlign w:val="center"/>
          </w:tcPr>
          <w:p>
            <w:pPr>
              <w:pStyle w:val="83"/>
              <w:ind w:firstLine="0"/>
              <w:rPr>
                <w:color w:val="auto"/>
                <w:highlight w:val="none"/>
              </w:rPr>
            </w:pPr>
            <w:r>
              <w:rPr>
                <w:rFonts w:hint="eastAsia"/>
                <w:color w:val="auto"/>
                <w:highlight w:val="none"/>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3"/>
              <w:ind w:firstLine="0"/>
              <w:jc w:val="center"/>
              <w:rPr>
                <w:color w:val="auto"/>
                <w:highlight w:val="none"/>
              </w:rPr>
            </w:pPr>
            <w:r>
              <w:rPr>
                <w:rFonts w:hint="eastAsia"/>
                <w:color w:val="auto"/>
                <w:highlight w:val="none"/>
              </w:rPr>
              <w:t>工商银行</w:t>
            </w:r>
          </w:p>
        </w:tc>
        <w:tc>
          <w:tcPr>
            <w:tcW w:w="1134" w:type="dxa"/>
            <w:vAlign w:val="center"/>
          </w:tcPr>
          <w:p>
            <w:pPr>
              <w:pStyle w:val="83"/>
              <w:ind w:firstLine="0"/>
              <w:jc w:val="center"/>
              <w:rPr>
                <w:color w:val="auto"/>
                <w:highlight w:val="none"/>
              </w:rPr>
            </w:pPr>
            <w:r>
              <w:rPr>
                <w:rFonts w:hint="eastAsia"/>
                <w:color w:val="auto"/>
                <w:highlight w:val="none"/>
              </w:rPr>
              <w:t>0779-3050645</w:t>
            </w:r>
          </w:p>
        </w:tc>
        <w:tc>
          <w:tcPr>
            <w:tcW w:w="1701" w:type="dxa"/>
            <w:vAlign w:val="center"/>
          </w:tcPr>
          <w:p>
            <w:pPr>
              <w:pStyle w:val="83"/>
              <w:ind w:firstLine="0"/>
              <w:rPr>
                <w:color w:val="auto"/>
                <w:highlight w:val="none"/>
              </w:rPr>
            </w:pPr>
            <w:r>
              <w:rPr>
                <w:rFonts w:hint="eastAsia"/>
                <w:color w:val="auto"/>
                <w:highlight w:val="none"/>
              </w:rPr>
              <w:t>最高1千万且不超过合同金额70%</w:t>
            </w:r>
          </w:p>
        </w:tc>
        <w:tc>
          <w:tcPr>
            <w:tcW w:w="993" w:type="dxa"/>
            <w:vAlign w:val="center"/>
          </w:tcPr>
          <w:p>
            <w:pPr>
              <w:pStyle w:val="83"/>
              <w:ind w:firstLine="0"/>
              <w:jc w:val="center"/>
              <w:rPr>
                <w:color w:val="auto"/>
                <w:highlight w:val="none"/>
              </w:rPr>
            </w:pPr>
            <w:r>
              <w:rPr>
                <w:rFonts w:hint="eastAsia"/>
                <w:color w:val="auto"/>
                <w:highlight w:val="none"/>
              </w:rPr>
              <w:t>货物类1年</w:t>
            </w:r>
          </w:p>
          <w:p>
            <w:pPr>
              <w:pStyle w:val="83"/>
              <w:ind w:firstLine="0"/>
              <w:jc w:val="center"/>
              <w:rPr>
                <w:color w:val="auto"/>
                <w:highlight w:val="none"/>
              </w:rPr>
            </w:pPr>
            <w:r>
              <w:rPr>
                <w:rFonts w:hint="eastAsia"/>
                <w:color w:val="auto"/>
                <w:highlight w:val="none"/>
              </w:rPr>
              <w:t>服务类3年</w:t>
            </w:r>
          </w:p>
          <w:p>
            <w:pPr>
              <w:pStyle w:val="83"/>
              <w:ind w:firstLine="0"/>
              <w:jc w:val="center"/>
              <w:rPr>
                <w:color w:val="auto"/>
                <w:highlight w:val="none"/>
              </w:rPr>
            </w:pPr>
            <w:r>
              <w:rPr>
                <w:rFonts w:hint="eastAsia"/>
                <w:color w:val="auto"/>
                <w:highlight w:val="none"/>
              </w:rPr>
              <w:t>工程类5年</w:t>
            </w:r>
          </w:p>
        </w:tc>
        <w:tc>
          <w:tcPr>
            <w:tcW w:w="850" w:type="dxa"/>
            <w:vAlign w:val="center"/>
          </w:tcPr>
          <w:p>
            <w:pPr>
              <w:pStyle w:val="83"/>
              <w:ind w:firstLine="0"/>
              <w:jc w:val="center"/>
              <w:rPr>
                <w:color w:val="auto"/>
                <w:highlight w:val="none"/>
              </w:rPr>
            </w:pPr>
            <w:r>
              <w:rPr>
                <w:rFonts w:hint="eastAsia"/>
                <w:color w:val="auto"/>
                <w:highlight w:val="none"/>
              </w:rPr>
              <w:t>3.45%</w:t>
            </w:r>
          </w:p>
        </w:tc>
        <w:tc>
          <w:tcPr>
            <w:tcW w:w="3366" w:type="dxa"/>
            <w:vAlign w:val="center"/>
          </w:tcPr>
          <w:p>
            <w:pPr>
              <w:pStyle w:val="83"/>
              <w:ind w:firstLine="0"/>
              <w:rPr>
                <w:color w:val="auto"/>
                <w:highlight w:val="none"/>
              </w:rPr>
            </w:pPr>
            <w:r>
              <w:rPr>
                <w:rFonts w:hint="eastAsia"/>
                <w:color w:val="auto"/>
                <w:highlight w:val="none"/>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3"/>
              <w:ind w:firstLine="0"/>
              <w:jc w:val="center"/>
              <w:rPr>
                <w:color w:val="auto"/>
                <w:highlight w:val="none"/>
              </w:rPr>
            </w:pPr>
            <w:r>
              <w:rPr>
                <w:rFonts w:hint="eastAsia"/>
                <w:color w:val="auto"/>
                <w:highlight w:val="none"/>
              </w:rPr>
              <w:t>国民村镇银行</w:t>
            </w:r>
          </w:p>
        </w:tc>
        <w:tc>
          <w:tcPr>
            <w:tcW w:w="1134" w:type="dxa"/>
            <w:vAlign w:val="center"/>
          </w:tcPr>
          <w:p>
            <w:pPr>
              <w:pStyle w:val="83"/>
              <w:ind w:firstLine="0"/>
              <w:jc w:val="center"/>
              <w:rPr>
                <w:color w:val="auto"/>
                <w:highlight w:val="none"/>
              </w:rPr>
            </w:pPr>
            <w:r>
              <w:rPr>
                <w:rFonts w:hint="eastAsia"/>
                <w:color w:val="auto"/>
                <w:highlight w:val="none"/>
              </w:rPr>
              <w:t>0779-2668801</w:t>
            </w:r>
          </w:p>
        </w:tc>
        <w:tc>
          <w:tcPr>
            <w:tcW w:w="1701" w:type="dxa"/>
            <w:vAlign w:val="center"/>
          </w:tcPr>
          <w:p>
            <w:pPr>
              <w:pStyle w:val="83"/>
              <w:ind w:firstLine="0"/>
              <w:rPr>
                <w:color w:val="auto"/>
                <w:highlight w:val="none"/>
              </w:rPr>
            </w:pPr>
            <w:r>
              <w:rPr>
                <w:rFonts w:hint="eastAsia"/>
                <w:color w:val="auto"/>
                <w:highlight w:val="none"/>
              </w:rPr>
              <w:t>最高500万</w:t>
            </w:r>
          </w:p>
        </w:tc>
        <w:tc>
          <w:tcPr>
            <w:tcW w:w="993" w:type="dxa"/>
            <w:vAlign w:val="center"/>
          </w:tcPr>
          <w:p>
            <w:pPr>
              <w:pStyle w:val="83"/>
              <w:ind w:firstLine="0"/>
              <w:jc w:val="center"/>
              <w:rPr>
                <w:color w:val="auto"/>
                <w:highlight w:val="none"/>
              </w:rPr>
            </w:pPr>
            <w:r>
              <w:rPr>
                <w:rFonts w:hint="eastAsia"/>
                <w:color w:val="auto"/>
                <w:highlight w:val="none"/>
              </w:rPr>
              <w:t>5年</w:t>
            </w:r>
          </w:p>
        </w:tc>
        <w:tc>
          <w:tcPr>
            <w:tcW w:w="850" w:type="dxa"/>
            <w:vAlign w:val="center"/>
          </w:tcPr>
          <w:p>
            <w:pPr>
              <w:pStyle w:val="83"/>
              <w:ind w:firstLine="0"/>
              <w:jc w:val="center"/>
              <w:rPr>
                <w:color w:val="auto"/>
                <w:highlight w:val="none"/>
              </w:rPr>
            </w:pPr>
            <w:r>
              <w:rPr>
                <w:rFonts w:hint="eastAsia"/>
                <w:color w:val="auto"/>
                <w:highlight w:val="none"/>
              </w:rPr>
              <w:t>2.80%</w:t>
            </w:r>
          </w:p>
        </w:tc>
        <w:tc>
          <w:tcPr>
            <w:tcW w:w="3366" w:type="dxa"/>
            <w:vAlign w:val="center"/>
          </w:tcPr>
          <w:p>
            <w:pPr>
              <w:pStyle w:val="83"/>
              <w:ind w:firstLine="0"/>
              <w:rPr>
                <w:color w:val="auto"/>
                <w:highlight w:val="none"/>
              </w:rPr>
            </w:pPr>
            <w:r>
              <w:rPr>
                <w:rFonts w:hint="eastAsia"/>
                <w:color w:val="auto"/>
                <w:highlight w:val="none"/>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3"/>
              <w:ind w:firstLine="0"/>
              <w:jc w:val="center"/>
              <w:rPr>
                <w:color w:val="auto"/>
                <w:highlight w:val="none"/>
              </w:rPr>
            </w:pPr>
            <w:r>
              <w:rPr>
                <w:rFonts w:hint="eastAsia"/>
                <w:color w:val="auto"/>
                <w:highlight w:val="none"/>
              </w:rPr>
              <w:t>桂林银行</w:t>
            </w:r>
          </w:p>
        </w:tc>
        <w:tc>
          <w:tcPr>
            <w:tcW w:w="1134" w:type="dxa"/>
            <w:vAlign w:val="center"/>
          </w:tcPr>
          <w:p>
            <w:pPr>
              <w:pStyle w:val="83"/>
              <w:ind w:firstLine="0"/>
              <w:jc w:val="center"/>
              <w:rPr>
                <w:color w:val="auto"/>
                <w:highlight w:val="none"/>
              </w:rPr>
            </w:pPr>
            <w:r>
              <w:rPr>
                <w:rFonts w:hint="eastAsia"/>
                <w:color w:val="auto"/>
                <w:highlight w:val="none"/>
              </w:rPr>
              <w:t>18577993959</w:t>
            </w:r>
          </w:p>
        </w:tc>
        <w:tc>
          <w:tcPr>
            <w:tcW w:w="1701" w:type="dxa"/>
            <w:vAlign w:val="center"/>
          </w:tcPr>
          <w:p>
            <w:pPr>
              <w:pStyle w:val="83"/>
              <w:ind w:firstLine="0"/>
              <w:rPr>
                <w:color w:val="auto"/>
                <w:highlight w:val="none"/>
              </w:rPr>
            </w:pPr>
            <w:r>
              <w:rPr>
                <w:rFonts w:hint="eastAsia"/>
                <w:color w:val="auto"/>
                <w:highlight w:val="none"/>
              </w:rPr>
              <w:t>最高1千万</w:t>
            </w:r>
          </w:p>
        </w:tc>
        <w:tc>
          <w:tcPr>
            <w:tcW w:w="993" w:type="dxa"/>
            <w:vAlign w:val="center"/>
          </w:tcPr>
          <w:p>
            <w:pPr>
              <w:pStyle w:val="83"/>
              <w:ind w:firstLine="0"/>
              <w:jc w:val="center"/>
              <w:rPr>
                <w:color w:val="auto"/>
                <w:highlight w:val="none"/>
              </w:rPr>
            </w:pPr>
            <w:r>
              <w:rPr>
                <w:rFonts w:hint="eastAsia"/>
                <w:color w:val="auto"/>
                <w:highlight w:val="none"/>
              </w:rPr>
              <w:t>1年</w:t>
            </w:r>
          </w:p>
        </w:tc>
        <w:tc>
          <w:tcPr>
            <w:tcW w:w="850" w:type="dxa"/>
            <w:vAlign w:val="center"/>
          </w:tcPr>
          <w:p>
            <w:pPr>
              <w:pStyle w:val="83"/>
              <w:ind w:firstLine="0"/>
              <w:jc w:val="center"/>
              <w:rPr>
                <w:color w:val="auto"/>
                <w:highlight w:val="none"/>
              </w:rPr>
            </w:pPr>
            <w:r>
              <w:rPr>
                <w:rFonts w:hint="eastAsia"/>
                <w:color w:val="auto"/>
                <w:highlight w:val="none"/>
              </w:rPr>
              <w:t>3.45%</w:t>
            </w:r>
          </w:p>
        </w:tc>
        <w:tc>
          <w:tcPr>
            <w:tcW w:w="3366" w:type="dxa"/>
            <w:vAlign w:val="center"/>
          </w:tcPr>
          <w:p>
            <w:pPr>
              <w:pStyle w:val="83"/>
              <w:ind w:firstLine="0"/>
              <w:rPr>
                <w:color w:val="auto"/>
                <w:highlight w:val="none"/>
              </w:rPr>
            </w:pPr>
            <w:r>
              <w:rPr>
                <w:rFonts w:hint="eastAsia"/>
                <w:color w:val="auto"/>
                <w:highlight w:val="none"/>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3"/>
              <w:ind w:firstLine="0"/>
              <w:jc w:val="center"/>
              <w:rPr>
                <w:color w:val="auto"/>
                <w:highlight w:val="none"/>
              </w:rPr>
            </w:pPr>
            <w:r>
              <w:rPr>
                <w:rFonts w:hint="eastAsia"/>
                <w:color w:val="auto"/>
                <w:highlight w:val="none"/>
              </w:rPr>
              <w:t>中小微商务服务公司</w:t>
            </w:r>
          </w:p>
        </w:tc>
        <w:tc>
          <w:tcPr>
            <w:tcW w:w="1134" w:type="dxa"/>
            <w:vAlign w:val="center"/>
          </w:tcPr>
          <w:p>
            <w:pPr>
              <w:pStyle w:val="83"/>
              <w:ind w:firstLine="0"/>
              <w:jc w:val="center"/>
              <w:rPr>
                <w:color w:val="auto"/>
                <w:highlight w:val="none"/>
              </w:rPr>
            </w:pPr>
            <w:r>
              <w:rPr>
                <w:rFonts w:hint="eastAsia"/>
                <w:color w:val="auto"/>
                <w:highlight w:val="none"/>
              </w:rPr>
              <w:t>19907799988</w:t>
            </w:r>
          </w:p>
        </w:tc>
        <w:tc>
          <w:tcPr>
            <w:tcW w:w="1701" w:type="dxa"/>
            <w:vAlign w:val="center"/>
          </w:tcPr>
          <w:p>
            <w:pPr>
              <w:pStyle w:val="83"/>
              <w:ind w:firstLine="0"/>
              <w:rPr>
                <w:color w:val="auto"/>
                <w:highlight w:val="none"/>
              </w:rPr>
            </w:pPr>
          </w:p>
        </w:tc>
        <w:tc>
          <w:tcPr>
            <w:tcW w:w="993" w:type="dxa"/>
            <w:vAlign w:val="center"/>
          </w:tcPr>
          <w:p>
            <w:pPr>
              <w:pStyle w:val="83"/>
              <w:ind w:firstLine="0"/>
              <w:jc w:val="center"/>
              <w:rPr>
                <w:color w:val="auto"/>
                <w:highlight w:val="none"/>
              </w:rPr>
            </w:pPr>
          </w:p>
        </w:tc>
        <w:tc>
          <w:tcPr>
            <w:tcW w:w="850" w:type="dxa"/>
            <w:vAlign w:val="center"/>
          </w:tcPr>
          <w:p>
            <w:pPr>
              <w:pStyle w:val="83"/>
              <w:ind w:firstLine="0"/>
              <w:jc w:val="center"/>
              <w:rPr>
                <w:color w:val="auto"/>
                <w:highlight w:val="none"/>
              </w:rPr>
            </w:pPr>
          </w:p>
        </w:tc>
        <w:tc>
          <w:tcPr>
            <w:tcW w:w="3366" w:type="dxa"/>
            <w:vAlign w:val="center"/>
          </w:tcPr>
          <w:p>
            <w:pPr>
              <w:pStyle w:val="83"/>
              <w:ind w:firstLine="0"/>
              <w:rPr>
                <w:color w:val="auto"/>
                <w:highlight w:val="none"/>
              </w:rPr>
            </w:pPr>
            <w:r>
              <w:rPr>
                <w:rFonts w:hint="eastAsia"/>
                <w:color w:val="auto"/>
                <w:highlight w:val="none"/>
              </w:rPr>
              <w:t>具体业务可电话咨询。</w:t>
            </w:r>
          </w:p>
        </w:tc>
      </w:tr>
    </w:tbl>
    <w:p>
      <w:pPr>
        <w:pStyle w:val="83"/>
        <w:rPr>
          <w:color w:val="auto"/>
          <w:highlight w:val="none"/>
        </w:rPr>
      </w:pPr>
      <w:r>
        <w:rPr>
          <w:rFonts w:hint="eastAsia"/>
          <w:color w:val="auto"/>
          <w:highlight w:val="none"/>
        </w:rPr>
        <w:t>注：表中联系电话、授信金额、授信期限、最低利率等信息可能动态更新，仅供参考，具体以办理时相关银行公布的为准。</w:t>
      </w:r>
    </w:p>
    <w:p>
      <w:pPr>
        <w:pStyle w:val="129"/>
        <w:snapToGrid w:val="0"/>
        <w:spacing w:before="0"/>
        <w:ind w:firstLine="480"/>
        <w:rPr>
          <w:rFonts w:ascii="宋体" w:hAnsi="宋体" w:cs="宋体"/>
          <w:color w:val="auto"/>
          <w:highlight w:val="none"/>
        </w:rPr>
      </w:pPr>
    </w:p>
    <w:p>
      <w:pPr>
        <w:pStyle w:val="3"/>
        <w:spacing w:line="360" w:lineRule="auto"/>
        <w:ind w:left="479" w:hanging="479" w:hangingChars="199"/>
        <w:rPr>
          <w:rFonts w:cs="宋体"/>
          <w:b/>
          <w:color w:val="auto"/>
          <w:highlight w:val="none"/>
        </w:rPr>
      </w:pPr>
      <w:r>
        <w:rPr>
          <w:rFonts w:hint="eastAsia" w:cs="宋体"/>
          <w:b/>
          <w:color w:val="auto"/>
          <w:highlight w:val="none"/>
        </w:rPr>
        <w:t>26.履约保证金</w:t>
      </w:r>
    </w:p>
    <w:p>
      <w:pPr>
        <w:pStyle w:val="83"/>
        <w:rPr>
          <w:color w:val="auto"/>
          <w:highlight w:val="none"/>
        </w:rPr>
      </w:pPr>
      <w:r>
        <w:rPr>
          <w:rFonts w:hint="eastAsia" w:cs="宋体"/>
          <w:color w:val="auto"/>
          <w:highlight w:val="none"/>
        </w:rPr>
        <w:t>本项目不收取履约保证金。</w:t>
      </w:r>
    </w:p>
    <w:p>
      <w:pPr>
        <w:pStyle w:val="83"/>
        <w:ind w:firstLine="0"/>
        <w:rPr>
          <w:b/>
          <w:bCs/>
          <w:color w:val="auto"/>
          <w:highlight w:val="none"/>
        </w:rPr>
      </w:pPr>
      <w:r>
        <w:rPr>
          <w:b/>
          <w:bCs/>
          <w:color w:val="auto"/>
          <w:highlight w:val="none"/>
        </w:rPr>
        <w:t>27</w:t>
      </w:r>
      <w:r>
        <w:rPr>
          <w:rFonts w:hint="eastAsia" w:cs="宋体"/>
          <w:b/>
          <w:color w:val="auto"/>
          <w:highlight w:val="none"/>
        </w:rPr>
        <w:t>.</w:t>
      </w:r>
      <w:r>
        <w:rPr>
          <w:b/>
          <w:bCs/>
          <w:color w:val="auto"/>
          <w:highlight w:val="none"/>
        </w:rPr>
        <w:t>预付款</w:t>
      </w:r>
    </w:p>
    <w:p>
      <w:pPr>
        <w:adjustRightInd/>
        <w:spacing w:line="360" w:lineRule="auto"/>
        <w:ind w:firstLine="480" w:firstLineChars="200"/>
        <w:rPr>
          <w:color w:val="auto"/>
          <w:highlight w:val="none"/>
        </w:rPr>
      </w:pPr>
      <w:r>
        <w:rPr>
          <w:rFonts w:hint="eastAsia" w:ascii="宋体" w:hAnsi="宋体"/>
          <w:color w:val="auto"/>
          <w:sz w:val="24"/>
          <w:highlight w:val="none"/>
        </w:rPr>
        <w:t>本项目无预付款。</w:t>
      </w:r>
    </w:p>
    <w:p>
      <w:pPr>
        <w:rPr>
          <w:color w:val="auto"/>
          <w:highlight w:val="none"/>
        </w:rPr>
      </w:pPr>
    </w:p>
    <w:p>
      <w:pPr>
        <w:snapToGrid w:val="0"/>
        <w:spacing w:line="360" w:lineRule="auto"/>
        <w:ind w:firstLine="3357" w:firstLineChars="1045"/>
        <w:rPr>
          <w:rFonts w:ascii="宋体" w:hAnsi="宋体" w:cs="宋体"/>
          <w:b/>
          <w:color w:val="auto"/>
          <w:sz w:val="32"/>
          <w:highlight w:val="none"/>
        </w:rPr>
      </w:pPr>
    </w:p>
    <w:p>
      <w:pPr>
        <w:snapToGrid w:val="0"/>
        <w:spacing w:line="360" w:lineRule="auto"/>
        <w:ind w:firstLine="3357" w:firstLineChars="1045"/>
        <w:outlineLvl w:val="1"/>
        <w:rPr>
          <w:rFonts w:ascii="宋体" w:hAnsi="宋体" w:cs="宋体"/>
          <w:b/>
          <w:color w:val="auto"/>
          <w:sz w:val="24"/>
          <w:highlight w:val="none"/>
        </w:rPr>
      </w:pPr>
      <w:r>
        <w:rPr>
          <w:rFonts w:hint="eastAsia" w:ascii="宋体" w:hAnsi="宋体" w:cs="宋体"/>
          <w:b/>
          <w:color w:val="auto"/>
          <w:sz w:val="32"/>
          <w:highlight w:val="none"/>
        </w:rPr>
        <w:t>八、电子交易活动的中止</w:t>
      </w:r>
    </w:p>
    <w:p>
      <w:pPr>
        <w:pStyle w:val="129"/>
        <w:snapToGrid w:val="0"/>
        <w:spacing w:before="0"/>
        <w:ind w:firstLine="0" w:firstLineChars="0"/>
        <w:rPr>
          <w:rFonts w:ascii="宋体" w:hAnsi="宋体" w:cs="宋体"/>
          <w:color w:val="auto"/>
          <w:highlight w:val="none"/>
        </w:rPr>
      </w:pPr>
      <w:r>
        <w:rPr>
          <w:rFonts w:ascii="宋体" w:hAnsi="宋体" w:cs="宋体"/>
          <w:b/>
          <w:bCs/>
          <w:color w:val="auto"/>
          <w:highlight w:val="none"/>
        </w:rPr>
        <w:t>2</w:t>
      </w:r>
      <w:r>
        <w:rPr>
          <w:rFonts w:ascii="宋体" w:hAnsi="宋体" w:cs="宋体"/>
          <w:b/>
          <w:bCs/>
          <w:color w:val="auto"/>
          <w:szCs w:val="24"/>
          <w:highlight w:val="none"/>
        </w:rPr>
        <w:t>8</w:t>
      </w:r>
      <w:r>
        <w:rPr>
          <w:rFonts w:hint="eastAsia" w:ascii="宋体" w:hAnsi="宋体" w:cs="宋体"/>
          <w:b/>
          <w:color w:val="auto"/>
          <w:szCs w:val="24"/>
          <w:highlight w:val="none"/>
        </w:rPr>
        <w:t>.电子交易活动的中止。</w:t>
      </w:r>
      <w:r>
        <w:rPr>
          <w:rFonts w:hint="eastAsia" w:ascii="宋体" w:hAnsi="宋体" w:cs="宋体"/>
          <w:color w:val="auto"/>
          <w:highlight w:val="none"/>
        </w:rPr>
        <w:t>采购过程中出现以下情形，导致电子交易平台无法正常运行，或者无法保证电子交易的公平、公正和安全时，采购代理机构可中止电子交易活动：</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 xml:space="preserve">28.1电子交易平台发生故障而无法登录访问的； </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28.2电子交易平台应用或数据库出现错误，不能进行正常操作的；</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28.3电子交易平台发现严重安全漏洞，有潜在泄密危险的；</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 xml:space="preserve">28.4病毒发作导致不能进行正常操作的； </w:t>
      </w:r>
    </w:p>
    <w:p>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28.5其他无法保证电子交易的公平、公正和安全的情况。</w:t>
      </w:r>
    </w:p>
    <w:p>
      <w:pPr>
        <w:pStyle w:val="129"/>
        <w:snapToGrid w:val="0"/>
        <w:spacing w:before="0"/>
        <w:ind w:firstLine="0" w:firstLineChars="0"/>
        <w:rPr>
          <w:rFonts w:ascii="宋体" w:hAnsi="宋体" w:cs="宋体"/>
          <w:color w:val="auto"/>
          <w:highlight w:val="none"/>
        </w:rPr>
      </w:pPr>
      <w:r>
        <w:rPr>
          <w:rFonts w:hint="eastAsia" w:ascii="宋体" w:hAnsi="宋体" w:cs="宋体"/>
          <w:color w:val="auto"/>
          <w:highlight w:val="none"/>
        </w:rPr>
        <w:t>29</w:t>
      </w:r>
      <w:r>
        <w:rPr>
          <w:rFonts w:hint="eastAsia" w:cs="宋体"/>
          <w:color w:val="auto"/>
          <w:highlight w:val="none"/>
        </w:rPr>
        <w:t xml:space="preserve">. </w:t>
      </w:r>
      <w:r>
        <w:rPr>
          <w:rFonts w:hint="eastAsia" w:ascii="宋体" w:hAnsi="宋体" w:cs="宋体"/>
          <w:color w:val="auto"/>
          <w:highlight w:val="none"/>
        </w:rPr>
        <w:t>出现以上情形，不影响采购公平、公正性的，采购组织机构可以待上述情形消除后继续组织电子交易活动，也可以决定某些环节以纸质形式进行；影响或可能影响采购公平、公正性的，应当重新采购。</w:t>
      </w:r>
    </w:p>
    <w:p>
      <w:pPr>
        <w:tabs>
          <w:tab w:val="left" w:pos="0"/>
        </w:tabs>
        <w:spacing w:line="360" w:lineRule="auto"/>
        <w:ind w:firstLine="480"/>
        <w:rPr>
          <w:rFonts w:ascii="宋体" w:hAnsi="宋体" w:cs="宋体"/>
          <w:color w:val="auto"/>
          <w:sz w:val="24"/>
          <w:highlight w:val="none"/>
        </w:rPr>
      </w:pPr>
    </w:p>
    <w:p>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九、验收</w:t>
      </w:r>
    </w:p>
    <w:p>
      <w:pPr>
        <w:pStyle w:val="3"/>
        <w:spacing w:line="360" w:lineRule="auto"/>
        <w:ind w:firstLine="0" w:firstLineChars="0"/>
        <w:rPr>
          <w:rFonts w:cs="宋体"/>
          <w:b/>
          <w:color w:val="auto"/>
          <w:highlight w:val="none"/>
        </w:rPr>
      </w:pPr>
      <w:r>
        <w:rPr>
          <w:rFonts w:hint="eastAsia" w:cs="宋体"/>
          <w:b/>
          <w:color w:val="auto"/>
          <w:highlight w:val="none"/>
        </w:rPr>
        <w:t>30.验收</w:t>
      </w:r>
    </w:p>
    <w:p>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30.2采购人可以邀请参加本项目的其他投标人或者第三方机构参与验收。参与验收的投标人或者第三方机构的意见作为验收书的参考资料一并存档。</w:t>
      </w:r>
    </w:p>
    <w:p>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tabs>
          <w:tab w:val="left" w:pos="0"/>
        </w:tabs>
        <w:spacing w:line="360" w:lineRule="auto"/>
        <w:ind w:firstLine="480"/>
        <w:rPr>
          <w:rFonts w:ascii="宋体" w:hAnsi="宋体" w:cs="宋体"/>
          <w:color w:val="auto"/>
          <w:kern w:val="0"/>
          <w:sz w:val="24"/>
          <w:highlight w:val="none"/>
        </w:rPr>
      </w:pPr>
    </w:p>
    <w:p>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十、代理费用的收取标准和方式</w:t>
      </w:r>
    </w:p>
    <w:p>
      <w:pPr>
        <w:pStyle w:val="3"/>
        <w:spacing w:line="360" w:lineRule="auto"/>
        <w:ind w:firstLine="0" w:firstLineChars="0"/>
        <w:rPr>
          <w:rFonts w:cs="宋体"/>
          <w:b/>
          <w:color w:val="auto"/>
          <w:highlight w:val="none"/>
        </w:rPr>
      </w:pPr>
      <w:r>
        <w:rPr>
          <w:rFonts w:hint="eastAsia" w:cs="宋体"/>
          <w:b/>
          <w:color w:val="auto"/>
          <w:highlight w:val="none"/>
        </w:rPr>
        <w:t>31.代理费用的收取标准和方式（适用于有权收取代理费用的采购代理机构）</w:t>
      </w:r>
    </w:p>
    <w:bookmarkEnd w:id="35"/>
    <w:bookmarkEnd w:id="36"/>
    <w:bookmarkEnd w:id="43"/>
    <w:p>
      <w:pPr>
        <w:snapToGrid w:val="0"/>
        <w:spacing w:line="360" w:lineRule="auto"/>
        <w:ind w:firstLine="420" w:firstLineChars="200"/>
        <w:rPr>
          <w:rFonts w:ascii="宋体" w:hAnsi="宋体" w:cs="宋体"/>
          <w:b/>
          <w:color w:val="auto"/>
          <w:sz w:val="36"/>
          <w:szCs w:val="36"/>
          <w:highlight w:val="none"/>
        </w:rPr>
      </w:pPr>
      <w:bookmarkStart w:id="44" w:name="_Toc176368904"/>
      <w:bookmarkStart w:id="45" w:name="第四部分"/>
      <w:r>
        <w:rPr>
          <w:rFonts w:hint="eastAsia" w:cs="宋体"/>
          <w:color w:val="auto"/>
          <w:highlight w:val="none"/>
        </w:rPr>
        <w:t>本项目不收取代理服务费。</w:t>
      </w:r>
      <w:r>
        <w:rPr>
          <w:rFonts w:ascii="宋体" w:hAnsi="宋体" w:cs="宋体"/>
          <w:b/>
          <w:color w:val="auto"/>
          <w:sz w:val="36"/>
          <w:szCs w:val="36"/>
          <w:highlight w:val="none"/>
        </w:rPr>
        <w:br w:type="page"/>
      </w:r>
    </w:p>
    <w:p>
      <w:pPr>
        <w:spacing w:line="360" w:lineRule="auto"/>
        <w:jc w:val="center"/>
        <w:outlineLvl w:val="0"/>
        <w:rPr>
          <w:rFonts w:ascii="宋体" w:hAnsi="宋体" w:cs="宋体"/>
          <w:b/>
          <w:color w:val="auto"/>
          <w:sz w:val="36"/>
          <w:szCs w:val="36"/>
          <w:highlight w:val="none"/>
        </w:rPr>
      </w:pPr>
      <w:bookmarkStart w:id="46" w:name="_Toc29010"/>
      <w:r>
        <w:rPr>
          <w:rFonts w:hint="eastAsia" w:ascii="宋体" w:hAnsi="宋体" w:cs="宋体"/>
          <w:b/>
          <w:color w:val="auto"/>
          <w:sz w:val="36"/>
          <w:szCs w:val="36"/>
          <w:highlight w:val="none"/>
        </w:rPr>
        <w:t>第三部分 采购需求</w:t>
      </w:r>
      <w:bookmarkEnd w:id="44"/>
      <w:bookmarkEnd w:id="46"/>
    </w:p>
    <w:p>
      <w:pPr>
        <w:spacing w:line="360" w:lineRule="auto"/>
        <w:ind w:firstLine="482" w:firstLineChars="200"/>
        <w:jc w:val="left"/>
        <w:rPr>
          <w:rFonts w:cs="宋体" w:asciiTheme="minorEastAsia" w:hAnsiTheme="minorEastAsia" w:eastAsiaTheme="minorEastAsia"/>
          <w:color w:val="auto"/>
          <w:szCs w:val="21"/>
          <w:highlight w:val="none"/>
        </w:rPr>
      </w:pPr>
      <w:bookmarkStart w:id="47" w:name="_Toc176368905"/>
      <w:bookmarkStart w:id="48" w:name="_Toc11298"/>
      <w:r>
        <w:rPr>
          <w:rFonts w:hint="eastAsia" w:asciiTheme="minorEastAsia" w:hAnsiTheme="minorEastAsia" w:eastAsiaTheme="minorEastAsia"/>
          <w:b/>
          <w:bCs/>
          <w:color w:val="auto"/>
          <w:sz w:val="24"/>
          <w:highlight w:val="none"/>
          <w:u w:val="single"/>
        </w:rPr>
        <w:t>注：“▲” 系指实质性要求条款。标注“★”的技术参数为重要指标参数。</w:t>
      </w:r>
    </w:p>
    <w:p>
      <w:pPr>
        <w:spacing w:line="380" w:lineRule="exact"/>
        <w:ind w:firstLine="420" w:firstLineChars="200"/>
        <w:jc w:val="left"/>
        <w:rPr>
          <w:rFonts w:cs="宋体" w:asciiTheme="minorEastAsia" w:hAnsiTheme="minorEastAsia" w:eastAsiaTheme="minorEastAsia"/>
          <w:color w:val="auto"/>
          <w:szCs w:val="21"/>
          <w:highlight w:val="none"/>
        </w:rPr>
      </w:pPr>
    </w:p>
    <w:tbl>
      <w:tblPr>
        <w:tblStyle w:val="62"/>
        <w:tblW w:w="4997" w:type="pct"/>
        <w:tblInd w:w="0" w:type="dxa"/>
        <w:tblLayout w:type="fixed"/>
        <w:tblCellMar>
          <w:top w:w="0" w:type="dxa"/>
          <w:left w:w="108" w:type="dxa"/>
          <w:bottom w:w="0" w:type="dxa"/>
          <w:right w:w="108" w:type="dxa"/>
        </w:tblCellMar>
      </w:tblPr>
      <w:tblGrid>
        <w:gridCol w:w="965"/>
        <w:gridCol w:w="1257"/>
        <w:gridCol w:w="5580"/>
        <w:gridCol w:w="1023"/>
        <w:gridCol w:w="1023"/>
      </w:tblGrid>
      <w:tr>
        <w:tblPrEx>
          <w:tblCellMar>
            <w:top w:w="0" w:type="dxa"/>
            <w:left w:w="108" w:type="dxa"/>
            <w:bottom w:w="0" w:type="dxa"/>
            <w:right w:w="108" w:type="dxa"/>
          </w:tblCellMar>
        </w:tblPrEx>
        <w:trPr>
          <w:trHeight w:val="288"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序号</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服务名称</w:t>
            </w:r>
          </w:p>
        </w:tc>
        <w:tc>
          <w:tcPr>
            <w:tcW w:w="5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主要性能指标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单位</w:t>
            </w:r>
          </w:p>
        </w:tc>
      </w:tr>
      <w:tr>
        <w:tblPrEx>
          <w:tblCellMar>
            <w:top w:w="0" w:type="dxa"/>
            <w:left w:w="108" w:type="dxa"/>
            <w:bottom w:w="0" w:type="dxa"/>
            <w:right w:w="108" w:type="dxa"/>
          </w:tblCellMar>
        </w:tblPrEx>
        <w:trPr>
          <w:trHeight w:val="288"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（一）</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安全服务</w:t>
            </w:r>
          </w:p>
        </w:tc>
        <w:tc>
          <w:tcPr>
            <w:tcW w:w="5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采购安全服务，要求提供至少以下配置的设备，保障电子政务外网的稳定运行。</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宋体" w:hAnsi="宋体" w:cs="宋体"/>
                <w:color w:val="auto"/>
                <w:szCs w:val="21"/>
                <w:highlight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宋体" w:hAnsi="宋体" w:cs="宋体"/>
                <w:color w:val="auto"/>
                <w:szCs w:val="21"/>
                <w:highlight w:val="none"/>
              </w:rPr>
            </w:pPr>
          </w:p>
        </w:tc>
      </w:tr>
      <w:tr>
        <w:tblPrEx>
          <w:tblCellMar>
            <w:top w:w="0" w:type="dxa"/>
            <w:left w:w="108" w:type="dxa"/>
            <w:bottom w:w="0" w:type="dxa"/>
            <w:right w:w="108" w:type="dxa"/>
          </w:tblCellMar>
        </w:tblPrEx>
        <w:trPr>
          <w:trHeight w:val="2004"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安全准入系统</w:t>
            </w:r>
          </w:p>
        </w:tc>
        <w:tc>
          <w:tcPr>
            <w:tcW w:w="5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服务要求提供1套安全准入系统，安全准入系统应满足如下配置要求：</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准入认证系统包含2台控制中心和2台网关设备，采用国产化处理器和国产化操作系统，设备内置符合中国商用密码标准的加密卡，采用国家密码管理局颁布的SM1、SM2、SM3、SM4密码算法及其协议，支持多种身份认证方式、细粒度访问权限控制等主要功能，另外可选配扩展支持UEM功能，保证远程系统接入的用户身份安全、终端/数据安全、传输安全、应用权限安全和审计安全，符合国家商用密码标准。需提供不少于12000个的用户接入授权，满足参数如下。</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一、控制中心设备性能参数</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1、单台性能参数：最大并发用户数（个）≥6000。</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2、单台硬件参数：规格：2U，内存大小≥16G，硬盘容量≥480G SSD，冗余电源，接口≥6千兆电口+4千兆光口SFP+2万兆光口SFP+。</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二、网关设备性能参数</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★1、单台性能参数：最大SSL理论加密流量（Mbps）≥600，理论并发隧道数（Tunnel）≥3500。（提供设备厂家产品说明书等证明材料或国家认可的第三方测评报告）</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2、单台硬件参数：规格：2U，内存大小≥16G，硬盘容量≥480G SSD，冗余电源，接口≥6千兆电口+4千兆光口SFP+2万兆光口SFP+。</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三、功能参数</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为了提高系统可靠性，保障单台设备故障时系统仍可正常运行，代理网关应支持本地集群部署，且最少2台设备即可组建集群，单集群的最大节点数量最少4台；本地集群组建时，集群中的节点可承载工作负载功能，不需要依赖其它外置设备；</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2、为充分利用设备的网络性能，控制中心设备部署时支持配置聚合网口，并支持将聚合网口作为控制中心的网络部署IP，聚合网口支持通过哈希或802.3ad等标准对闲置网口进行网口绑定，支持通过ARP探测机制对聚合网口进行健康检查；</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★3、为了使系统资源利用最大化，本地集群与分布式集群下各节点的零信任授权数均可共享使用，集群的总接入授权数是各节点授权数的总和；（提供产品功能截图作为证明材料）</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4、集群故障切换时间优化，被动故障不超过60S，主动故障不超过100S恢复；</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5、通过隧道模式，可以支持基于TCP、UDP、ICMP等协议代理访问业务资源，支持发布IP、IP范围、IP段、具体域名及通配符域名等形式的服务器地址，满足常见办公业务的代理，收缩业务暴露面；</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6、支持配置点击工作台的业务应用即可直接拉起对应的CS程序进行访问，包括但不限于浏览器、远程桌面或其他指定程序，支持Windows、macOS、统信UOS、麒麟kylin、中科方德、Ubuntu等主流操作系统；针对Windows系统，还应支持拉起CS应用时携带启动参数，自动访问管理员设定的地址；（提供产品功能截图作为证明材料）</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★7、当客户端通过CDN加速等代理方式接入访问业务系统时，支持获取CDN加速前的访问IP，并在日志中记录此IP为客户端IP；（提供产品功能截图作为证明材料）</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8、为满足单位多样化安全便捷认证需求，支持以下认证方式：本地账号密码认证、LDAP/AD认证、OAuth2.0标准协议的票据认证、CAS标准协议的票据认证、Radius账号认证、HTTPS帐号认证、证书主认证、证书辅认证、短信主认证、短信辅认证、标准Radius令牌认证、第三方令牌认证、TOTP动态令牌认证等认证方式，并可与企业微信、阿里钉钉、飞书结合实现扫码认证，支持飞书用户或个人微信企业号通过H5接入；</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9、支持管理员自行配置单位的弱密码库，可配置不少于10万行的弱密码；</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10、为方便管理员统筹查看管理零信任系统的整体运行状态，支持对设备自身的安全状态和策略配置进行巡检，对设备的整体状态进行打分，统计所有检查的正常项、异常项和告警项，并输出巡检报告；（提供产品功能截图作为证明材料）</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★11、可扩展支持文件加密功能，支持“一文一密”即每个文件独立密钥，以确保沙箱组件被卸载、模块驱动被摘除的情况下，终端用户仍无法明文取出文件；（提供产品功能截图作为证明材料）</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12、监控中心扩展支持管理员直接在控制台查看接入系统的安全概览，包括但不限于TOP5 的风险IP、风险账号、风险终端等风险实体，以及设备、账号、终端相关的风险事件分布、风险事件趋势、TOP5风险事件类型等展示；</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13、支持对客户端的工作台标签、欢迎语标题、接入按钮、办公提示语等信息进行自定义配置；</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14、可扩展支持行为洞察分析能力，系统支持通过还原用户接入系统后的会话信息，对用户访问行为进行自动分析并智能生成分析报告，支持展示整个访问过程（包含涉及的用户、终端、IP等实体，登录过程，访问过程等），支持对关联的终端进行整体分析；</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15、支持对政务用户PC终端的出站、入站网络规则划分虚拟网络域进行管控，以实现用户登录认证后,在特定的网络域下只能主动访问政务网络对应的IPv4/IPv6地址/范围，不能访问互联网；</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16、为保障设备兼容性与使用效果，要求控制中心产品与代理网关为同一品牌；</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17、提供三年服务。</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w:t>
            </w:r>
          </w:p>
        </w:tc>
      </w:tr>
      <w:tr>
        <w:tblPrEx>
          <w:tblCellMar>
            <w:top w:w="0" w:type="dxa"/>
            <w:left w:w="108" w:type="dxa"/>
            <w:bottom w:w="0" w:type="dxa"/>
            <w:right w:w="108" w:type="dxa"/>
          </w:tblCellMar>
        </w:tblPrEx>
        <w:trPr>
          <w:trHeight w:val="480" w:hRule="atLeast"/>
        </w:trPr>
        <w:tc>
          <w:tcPr>
            <w:tcW w:w="96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（二）</w:t>
            </w:r>
          </w:p>
        </w:tc>
        <w:tc>
          <w:tcPr>
            <w:tcW w:w="125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60" w:lineRule="auto"/>
              <w:jc w:val="left"/>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线路租用服务</w:t>
            </w:r>
          </w:p>
        </w:tc>
        <w:tc>
          <w:tcPr>
            <w:tcW w:w="558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line="360" w:lineRule="auto"/>
              <w:jc w:val="left"/>
              <w:rPr>
                <w:rFonts w:ascii="宋体" w:hAnsi="宋体" w:cs="宋体"/>
                <w:color w:val="auto"/>
                <w:szCs w:val="21"/>
                <w:highlight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宋体" w:hAnsi="宋体" w:cs="宋体"/>
                <w:color w:val="auto"/>
                <w:szCs w:val="21"/>
                <w:highlight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宋体" w:hAnsi="宋体" w:cs="宋体"/>
                <w:color w:val="auto"/>
                <w:szCs w:val="21"/>
                <w:highlight w:val="none"/>
              </w:rPr>
            </w:pPr>
          </w:p>
        </w:tc>
      </w:tr>
      <w:tr>
        <w:tblPrEx>
          <w:tblCellMar>
            <w:top w:w="0" w:type="dxa"/>
            <w:left w:w="108" w:type="dxa"/>
            <w:bottom w:w="0" w:type="dxa"/>
            <w:right w:w="108" w:type="dxa"/>
          </w:tblCellMar>
        </w:tblPrEx>
        <w:trPr>
          <w:trHeight w:val="765" w:hRule="atLeast"/>
        </w:trPr>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电子政务外网专线接入服务</w:t>
            </w:r>
          </w:p>
        </w:tc>
        <w:tc>
          <w:tcPr>
            <w:tcW w:w="55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1.55家重点单位做备用线路服务；</w:t>
            </w:r>
          </w:p>
          <w:p>
            <w:pPr>
              <w:widowControl/>
              <w:spacing w:line="360" w:lineRule="auto"/>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2.优化电子政务外网接入，根据接入单位终端的使用数量合理分配带宽，1-50台的带宽不少于100M，51-100台的带宽不少于200M，100台以上的带宽不少于1000M；</w:t>
            </w:r>
          </w:p>
          <w:p>
            <w:pPr>
              <w:widowControl/>
              <w:spacing w:line="360" w:lineRule="auto"/>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3.接入线路应采用符合《广西电子政务外网市县节点技术规范》的线路技术；</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4.提供3年租用服务。</w:t>
            </w:r>
          </w:p>
        </w:tc>
        <w:tc>
          <w:tcPr>
            <w:tcW w:w="1023"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项</w:t>
            </w:r>
          </w:p>
        </w:tc>
      </w:tr>
      <w:tr>
        <w:tblPrEx>
          <w:tblCellMar>
            <w:top w:w="0" w:type="dxa"/>
            <w:left w:w="108" w:type="dxa"/>
            <w:bottom w:w="0" w:type="dxa"/>
            <w:right w:w="108" w:type="dxa"/>
          </w:tblCellMar>
        </w:tblPrEx>
        <w:trPr>
          <w:trHeight w:val="720" w:hRule="atLeast"/>
        </w:trPr>
        <w:tc>
          <w:tcPr>
            <w:tcW w:w="96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12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互联网出口专线（备）</w:t>
            </w:r>
          </w:p>
        </w:tc>
        <w:tc>
          <w:tcPr>
            <w:tcW w:w="558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1.2000Mbps带宽，2000M裸机互联网带宽裸机测试，上下行速率稳定在2000Mbit/s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2.公网ip地址56个</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3.3年租用服务</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r>
    </w:tbl>
    <w:p>
      <w:pPr>
        <w:spacing w:line="360" w:lineRule="auto"/>
        <w:ind w:firstLine="640" w:firstLineChars="200"/>
        <w:jc w:val="center"/>
        <w:rPr>
          <w:color w:val="auto"/>
          <w:sz w:val="32"/>
          <w:szCs w:val="32"/>
          <w:highlight w:val="none"/>
        </w:rPr>
      </w:pPr>
      <w:r>
        <w:rPr>
          <w:rFonts w:hint="eastAsia"/>
          <w:color w:val="auto"/>
          <w:sz w:val="32"/>
          <w:szCs w:val="32"/>
          <w:highlight w:val="none"/>
        </w:rPr>
        <w:t>▲商务要求</w:t>
      </w:r>
    </w:p>
    <w:p>
      <w:pPr>
        <w:spacing w:line="360" w:lineRule="auto"/>
        <w:ind w:firstLine="420" w:firstLineChars="200"/>
        <w:jc w:val="left"/>
        <w:rPr>
          <w:color w:val="auto"/>
          <w:szCs w:val="21"/>
          <w:highlight w:val="none"/>
        </w:rPr>
      </w:pPr>
      <w:r>
        <w:rPr>
          <w:rFonts w:hint="eastAsia"/>
          <w:color w:val="auto"/>
          <w:szCs w:val="21"/>
          <w:highlight w:val="none"/>
        </w:rPr>
        <w:t>1、交付的时间及服务期限：自签订合同之日起60天内完成安装调试并通过验收交付使用，服务期限为3年。</w:t>
      </w:r>
    </w:p>
    <w:p>
      <w:pPr>
        <w:spacing w:line="360" w:lineRule="auto"/>
        <w:ind w:firstLine="420" w:firstLineChars="200"/>
        <w:jc w:val="left"/>
        <w:rPr>
          <w:color w:val="auto"/>
          <w:szCs w:val="21"/>
          <w:highlight w:val="none"/>
        </w:rPr>
      </w:pPr>
      <w:r>
        <w:rPr>
          <w:rFonts w:hint="eastAsia"/>
          <w:color w:val="auto"/>
          <w:szCs w:val="21"/>
          <w:highlight w:val="none"/>
        </w:rPr>
        <w:t>2、交付的地点：来宾市各部门。</w:t>
      </w:r>
    </w:p>
    <w:p>
      <w:pPr>
        <w:spacing w:line="360" w:lineRule="auto"/>
        <w:ind w:firstLine="420" w:firstLineChars="200"/>
        <w:jc w:val="left"/>
        <w:rPr>
          <w:color w:val="auto"/>
          <w:szCs w:val="21"/>
          <w:highlight w:val="none"/>
        </w:rPr>
      </w:pPr>
      <w:r>
        <w:rPr>
          <w:rFonts w:hint="eastAsia"/>
          <w:color w:val="auto"/>
          <w:szCs w:val="21"/>
          <w:highlight w:val="none"/>
        </w:rPr>
        <w:t>3、合同签订时间：自中标通知书发出之日起10日内。</w:t>
      </w:r>
    </w:p>
    <w:p>
      <w:pPr>
        <w:spacing w:line="360" w:lineRule="auto"/>
        <w:ind w:firstLine="420" w:firstLineChars="200"/>
        <w:jc w:val="left"/>
        <w:rPr>
          <w:color w:val="auto"/>
          <w:szCs w:val="21"/>
          <w:highlight w:val="none"/>
        </w:rPr>
      </w:pPr>
      <w:r>
        <w:rPr>
          <w:rFonts w:hint="eastAsia"/>
          <w:color w:val="auto"/>
          <w:szCs w:val="21"/>
          <w:highlight w:val="none"/>
        </w:rPr>
        <w:t>4、付款条件：本项目分两个标段实施，服务期限共计3年。项目费用按季度分期支付，每季度服务期满后，经考核评定后，由中标人向采购人书面申请支付年度费用，支付前中标人开具合法发票给采购人，采购人向财政部门申请费用及时付款。如遇财政资金使用困难，服务费不能及时支付，中标人不能以此为由停止采购内容的服务工作。</w:t>
      </w:r>
    </w:p>
    <w:p>
      <w:pPr>
        <w:spacing w:line="360" w:lineRule="auto"/>
        <w:ind w:firstLine="420" w:firstLineChars="200"/>
        <w:jc w:val="left"/>
        <w:rPr>
          <w:color w:val="auto"/>
          <w:szCs w:val="21"/>
          <w:highlight w:val="none"/>
        </w:rPr>
      </w:pPr>
      <w:r>
        <w:rPr>
          <w:rFonts w:hint="eastAsia"/>
          <w:color w:val="auto"/>
          <w:szCs w:val="21"/>
          <w:highlight w:val="none"/>
        </w:rPr>
        <w:t>甲方在应支付给乙方每期应支付费中拿出10%作为考核乙方服务质量费，根据《电子政务外网运维考核方案》考核得分情况对应支付费用。考核得分90分（含）—100分的，支付给乙方服务质量费的100%；80分（含）—89分的，支付给乙方服务质量费的90%；70分（含）—79分的，支付给乙方服务质量费的80%；60分（含）—69分的，支付给乙方服务质量费的70%；60分以下的本年度不支付服务质量费。若乙方连续两年考核每年考核分都在60分以下的，第三年甲方将不再进行考核，直接扣除当年的服务质量费。</w:t>
      </w:r>
    </w:p>
    <w:p>
      <w:pPr>
        <w:pStyle w:val="798"/>
        <w:spacing w:line="360" w:lineRule="exact"/>
        <w:ind w:firstLine="0" w:firstLineChars="0"/>
        <w:rPr>
          <w:bCs/>
          <w:color w:val="auto"/>
          <w:sz w:val="21"/>
          <w:szCs w:val="21"/>
          <w:highlight w:val="none"/>
        </w:rPr>
      </w:pPr>
      <w:r>
        <w:rPr>
          <w:rFonts w:hint="eastAsia" w:hAnsi="宋体" w:cs="宋体"/>
          <w:bCs/>
          <w:color w:val="auto"/>
          <w:kern w:val="0"/>
          <w:sz w:val="21"/>
          <w:szCs w:val="21"/>
          <w:highlight w:val="none"/>
        </w:rPr>
        <w:t>电子政务外网运维考核方案：</w:t>
      </w:r>
    </w:p>
    <w:tbl>
      <w:tblPr>
        <w:tblStyle w:val="62"/>
        <w:tblpPr w:leftFromText="180" w:rightFromText="180" w:vertAnchor="text" w:horzAnchor="page" w:tblpX="1240" w:tblpY="33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4170"/>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755" w:type="dxa"/>
          </w:tcPr>
          <w:p>
            <w:pPr>
              <w:spacing w:line="360" w:lineRule="exact"/>
              <w:jc w:val="left"/>
              <w:rPr>
                <w:rFonts w:ascii="宋体" w:hAnsi="宋体" w:cs="宋体"/>
                <w:color w:val="auto"/>
                <w:szCs w:val="21"/>
                <w:highlight w:val="none"/>
              </w:rPr>
            </w:pPr>
            <w:r>
              <w:rPr>
                <w:rFonts w:hint="eastAsia" w:ascii="宋体" w:hAnsi="宋体" w:cs="宋体"/>
                <w:color w:val="auto"/>
                <w:szCs w:val="21"/>
                <w:highlight w:val="none"/>
              </w:rPr>
              <w:t>考核项目</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考核内容</w:t>
            </w: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扣分标准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1755" w:type="dxa"/>
          </w:tcPr>
          <w:p>
            <w:pPr>
              <w:spacing w:line="360" w:lineRule="exact"/>
              <w:jc w:val="left"/>
              <w:rPr>
                <w:rFonts w:ascii="宋体" w:hAnsi="宋体" w:cs="宋体"/>
                <w:color w:val="auto"/>
                <w:szCs w:val="21"/>
                <w:highlight w:val="none"/>
              </w:rPr>
            </w:pPr>
            <w:r>
              <w:rPr>
                <w:rFonts w:hint="eastAsia" w:ascii="宋体" w:hAnsi="宋体" w:cs="宋体"/>
                <w:color w:val="auto"/>
                <w:szCs w:val="21"/>
                <w:highlight w:val="none"/>
              </w:rPr>
              <w:t>巡检</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每周及重大节会前夕，对机房内IT硬件设备和运行环境设施进行一次全面巡检，对机房维护范围内公共，对机房维护范围内公共支撑软件和业务系统进行全面巡检和备份，并做好巡查记录。</w:t>
            </w: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未按要求进行巡检， 备份等工作，每次扣 0.5 分。 </w:t>
            </w:r>
          </w:p>
          <w:p>
            <w:pPr>
              <w:spacing w:line="360" w:lineRule="exac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755" w:type="dxa"/>
          </w:tcPr>
          <w:p>
            <w:pPr>
              <w:spacing w:line="360" w:lineRule="exact"/>
              <w:jc w:val="left"/>
              <w:rPr>
                <w:rFonts w:ascii="宋体" w:hAnsi="宋体" w:cs="宋体"/>
                <w:color w:val="auto"/>
                <w:szCs w:val="21"/>
                <w:highlight w:val="none"/>
              </w:rPr>
            </w:pPr>
            <w:r>
              <w:rPr>
                <w:rFonts w:hint="eastAsia" w:ascii="宋体" w:hAnsi="宋体" w:cs="宋体"/>
                <w:color w:val="auto"/>
                <w:szCs w:val="21"/>
                <w:highlight w:val="none"/>
              </w:rPr>
              <w:t>预防性维护</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每月对维护范围内的软、硬件设备进行一次预防性维护服务，包括元器件检查、易耗品更换、软件升级等，并做好维护记录。</w:t>
            </w: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未按要求进行预防性维护的，每次扣1分。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755" w:type="dxa"/>
          </w:tcPr>
          <w:p>
            <w:pPr>
              <w:spacing w:line="360" w:lineRule="exact"/>
              <w:jc w:val="left"/>
              <w:rPr>
                <w:rFonts w:ascii="宋体" w:hAnsi="宋体" w:cs="宋体"/>
                <w:color w:val="auto"/>
                <w:szCs w:val="21"/>
                <w:highlight w:val="none"/>
              </w:rPr>
            </w:pPr>
            <w:r>
              <w:rPr>
                <w:rFonts w:hint="eastAsia" w:ascii="宋体" w:hAnsi="宋体" w:cs="宋体"/>
                <w:color w:val="auto"/>
                <w:szCs w:val="21"/>
                <w:highlight w:val="none"/>
              </w:rPr>
              <w:t>备品备件</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对维护范围内关键设备建立备品、备件。</w:t>
            </w: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设备损坏后未能按要求及时提供备品、备件的，一次扣1分。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755" w:type="dxa"/>
          </w:tcPr>
          <w:p>
            <w:pPr>
              <w:spacing w:line="360" w:lineRule="exact"/>
              <w:jc w:val="left"/>
              <w:rPr>
                <w:rFonts w:ascii="宋体" w:hAnsi="宋体" w:cs="宋体"/>
                <w:color w:val="auto"/>
                <w:szCs w:val="21"/>
                <w:highlight w:val="none"/>
              </w:rPr>
            </w:pPr>
            <w:r>
              <w:rPr>
                <w:rFonts w:hint="eastAsia" w:ascii="宋体" w:hAnsi="宋体" w:cs="宋体"/>
                <w:color w:val="auto"/>
                <w:szCs w:val="21"/>
                <w:highlight w:val="none"/>
              </w:rPr>
              <w:t>工单处置</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按甲方要求完成工单任务处置，并提供相应证明材料</w:t>
            </w: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无正当理由未按甲方要求完成的，一次扣1分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1755"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常驻人员</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常驻人员应遵守甲方相关规定，不得工作时间擅离岗位，不得做与服务无关的事情，服务热情周到。</w:t>
            </w: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因服务质量被投诉的，经查实后一次扣 1 分；因违反法律法规、 工作纪律被有关部门通报或给甲方造成不良影响的，一次扣 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5"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运维报告</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根据甲方要求按期提交相关运维服务报告。 </w:t>
            </w: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未按期提交相关报告的每五次扣 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1755"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一级故障:全网瘫痪(网络或业务应用系统） </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汇聚层以上故障造成的大面积网络不通，或多个业务应用系统无法访问(50%以上)，及其他相当于此级别的故障。</w:t>
            </w: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实时响应并在 4小时内解决，超过4小时 ，故障每持续1小时扣除2分, 不足1小时按 照1小时计算.(不可抗力除外)。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755"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二级故障:局部网络瘫痪 (网络或业务  应用系统)  </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局部网络不通造成部分人员不能正常上网；或30%以上业务应用系统无法访问，及其他相当于此级别的故障。</w:t>
            </w: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在 4小内解决，超4 小时，故障每持续1小时扣除 1.5分,不足 1 小时按照1小时计算。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1755"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三级故障:全网性能降低(网络或业务应用系统速度明显降低)</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大面积网络性能下降，速度慢，多个业务应用系统运行速度慢(50%以上)，及其他相当于此级别的故障。</w:t>
            </w: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在4 小内解决，超过4小时，故障每持续1小时扣1分，不足1 小时按照 1小时计算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trPr>
        <w:tc>
          <w:tcPr>
            <w:tcW w:w="1755"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四级故障: 局部网络性能降低(网络或业务应用系统速度明显降低) </w:t>
            </w:r>
          </w:p>
        </w:tc>
        <w:tc>
          <w:tcPr>
            <w:tcW w:w="4170"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局部网络速度慢，或10%以上业务应用系统速度慢，一般告警1天内没有解决(特殊情况申请后可以延期，最长不超过5个工作日)及其他相 当于此级别的故障。</w:t>
            </w:r>
          </w:p>
          <w:p>
            <w:pPr>
              <w:spacing w:line="360" w:lineRule="exact"/>
              <w:rPr>
                <w:rFonts w:ascii="宋体" w:hAnsi="宋体" w:cs="宋体"/>
                <w:color w:val="auto"/>
                <w:szCs w:val="21"/>
                <w:highlight w:val="none"/>
              </w:rPr>
            </w:pPr>
          </w:p>
        </w:tc>
        <w:tc>
          <w:tcPr>
            <w:tcW w:w="3929" w:type="dxa"/>
          </w:tcPr>
          <w:p>
            <w:pPr>
              <w:spacing w:line="360" w:lineRule="exact"/>
              <w:rPr>
                <w:rFonts w:ascii="宋体" w:hAnsi="宋体" w:cs="宋体"/>
                <w:color w:val="auto"/>
                <w:szCs w:val="21"/>
                <w:highlight w:val="none"/>
              </w:rPr>
            </w:pPr>
            <w:r>
              <w:rPr>
                <w:rFonts w:hint="eastAsia" w:ascii="宋体" w:hAnsi="宋体" w:cs="宋体"/>
                <w:color w:val="auto"/>
                <w:szCs w:val="21"/>
                <w:highlight w:val="none"/>
              </w:rPr>
              <w:t>在4小内解决，超过4 小时，故障每持续1小时扣 0.5 分，不足1 小时按照1小时计算 。</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w:t>
            </w:r>
          </w:p>
        </w:tc>
      </w:tr>
    </w:tbl>
    <w:p>
      <w:pPr>
        <w:pStyle w:val="798"/>
        <w:spacing w:line="360" w:lineRule="exact"/>
        <w:ind w:firstLine="420"/>
        <w:rPr>
          <w:color w:val="auto"/>
          <w:sz w:val="21"/>
          <w:szCs w:val="21"/>
          <w:highlight w:val="none"/>
        </w:rPr>
      </w:pPr>
    </w:p>
    <w:p>
      <w:pPr>
        <w:pStyle w:val="798"/>
        <w:spacing w:line="360" w:lineRule="exact"/>
        <w:ind w:firstLine="420"/>
        <w:rPr>
          <w:color w:val="auto"/>
          <w:sz w:val="21"/>
          <w:szCs w:val="21"/>
          <w:highlight w:val="none"/>
        </w:rPr>
      </w:pPr>
      <w:r>
        <w:rPr>
          <w:rFonts w:hint="eastAsia" w:hAnsi="宋体" w:cs="宋体"/>
          <w:color w:val="auto"/>
          <w:sz w:val="21"/>
          <w:szCs w:val="21"/>
          <w:highlight w:val="none"/>
        </w:rPr>
        <w:t>若乙方连续两年考核每年考核分都在60分以下的，第三年甲方将不再进行考核，直接扣除当年的服务质量费。</w:t>
      </w:r>
    </w:p>
    <w:p>
      <w:pPr>
        <w:rPr>
          <w:rFonts w:ascii="宋体" w:hAnsi="宋体" w:cs="宋体"/>
          <w:b/>
          <w:color w:val="auto"/>
          <w:sz w:val="36"/>
          <w:szCs w:val="36"/>
          <w:highlight w:val="none"/>
        </w:rPr>
      </w:pPr>
      <w:r>
        <w:rPr>
          <w:rFonts w:hint="eastAsia" w:ascii="宋体" w:hAnsi="宋体" w:cs="宋体"/>
          <w:b/>
          <w:color w:val="auto"/>
          <w:sz w:val="36"/>
          <w:szCs w:val="36"/>
          <w:highlight w:val="none"/>
        </w:rPr>
        <w:br w:type="page"/>
      </w:r>
    </w:p>
    <w:p>
      <w:pPr>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t>第四部分</w:t>
      </w:r>
      <w:bookmarkStart w:id="49" w:name="_Toc184313284"/>
      <w:bookmarkEnd w:id="49"/>
      <w:bookmarkStart w:id="50" w:name="_Toc184312097"/>
      <w:bookmarkEnd w:id="50"/>
      <w:bookmarkStart w:id="51" w:name="_Toc184314454"/>
      <w:bookmarkEnd w:id="51"/>
      <w:bookmarkStart w:id="52" w:name="_Toc184308080"/>
      <w:bookmarkEnd w:id="52"/>
      <w:bookmarkStart w:id="53" w:name="_Toc184308099"/>
      <w:bookmarkEnd w:id="53"/>
      <w:bookmarkStart w:id="54" w:name="_Toc184312087"/>
      <w:bookmarkEnd w:id="54"/>
      <w:bookmarkStart w:id="55" w:name="_Toc184314472"/>
      <w:bookmarkEnd w:id="55"/>
      <w:bookmarkStart w:id="56" w:name="_Toc184312079"/>
      <w:bookmarkEnd w:id="56"/>
      <w:bookmarkStart w:id="57" w:name="_Toc184310336"/>
      <w:bookmarkEnd w:id="57"/>
      <w:bookmarkStart w:id="58" w:name="_Toc184312077"/>
      <w:bookmarkEnd w:id="58"/>
      <w:bookmarkStart w:id="59" w:name="_Toc184313260"/>
      <w:bookmarkEnd w:id="59"/>
      <w:bookmarkStart w:id="60" w:name="_Toc184314423"/>
      <w:bookmarkEnd w:id="60"/>
      <w:bookmarkStart w:id="61" w:name="_Toc184314478"/>
      <w:bookmarkEnd w:id="61"/>
      <w:bookmarkStart w:id="62" w:name="_Toc184313306"/>
      <w:bookmarkEnd w:id="62"/>
      <w:bookmarkStart w:id="63" w:name="_Toc184308085"/>
      <w:bookmarkEnd w:id="63"/>
      <w:bookmarkStart w:id="64" w:name="_Toc184312091"/>
      <w:bookmarkEnd w:id="64"/>
      <w:bookmarkStart w:id="65" w:name="_Toc184314460"/>
      <w:bookmarkEnd w:id="65"/>
      <w:bookmarkStart w:id="66" w:name="_Toc184313255"/>
      <w:bookmarkEnd w:id="66"/>
      <w:bookmarkStart w:id="67" w:name="_Toc184313254"/>
      <w:bookmarkEnd w:id="67"/>
      <w:bookmarkStart w:id="68" w:name="_Toc184310314"/>
      <w:bookmarkEnd w:id="68"/>
      <w:bookmarkStart w:id="69" w:name="_Toc184313279"/>
      <w:bookmarkEnd w:id="69"/>
      <w:bookmarkStart w:id="70" w:name="_Toc184310272"/>
      <w:bookmarkEnd w:id="70"/>
      <w:bookmarkStart w:id="71" w:name="_Toc184312124"/>
      <w:bookmarkEnd w:id="71"/>
      <w:bookmarkStart w:id="72" w:name="_Toc184308100"/>
      <w:bookmarkEnd w:id="72"/>
      <w:bookmarkStart w:id="73" w:name="_Toc184312083"/>
      <w:bookmarkEnd w:id="73"/>
      <w:bookmarkStart w:id="74" w:name="_Toc184312094"/>
      <w:bookmarkEnd w:id="74"/>
      <w:bookmarkStart w:id="75" w:name="_Toc184312112"/>
      <w:bookmarkEnd w:id="75"/>
      <w:bookmarkStart w:id="76" w:name="_Toc184310283"/>
      <w:bookmarkEnd w:id="76"/>
      <w:bookmarkStart w:id="77" w:name="_Toc184310329"/>
      <w:bookmarkEnd w:id="77"/>
      <w:bookmarkStart w:id="78" w:name="_Toc184313280"/>
      <w:bookmarkEnd w:id="78"/>
      <w:bookmarkStart w:id="79" w:name="_Toc184312090"/>
      <w:bookmarkEnd w:id="79"/>
      <w:bookmarkStart w:id="80" w:name="_Toc184312080"/>
      <w:bookmarkEnd w:id="80"/>
      <w:bookmarkStart w:id="81" w:name="_Toc184312119"/>
      <w:bookmarkEnd w:id="81"/>
      <w:bookmarkStart w:id="82" w:name="_Toc184314428"/>
      <w:bookmarkEnd w:id="82"/>
      <w:bookmarkStart w:id="83" w:name="_Toc184310334"/>
      <w:bookmarkEnd w:id="83"/>
      <w:bookmarkStart w:id="84" w:name="_Toc184310280"/>
      <w:bookmarkEnd w:id="84"/>
      <w:bookmarkStart w:id="85" w:name="_Toc184310323"/>
      <w:bookmarkEnd w:id="85"/>
      <w:bookmarkStart w:id="86" w:name="_Toc184312086"/>
      <w:bookmarkEnd w:id="86"/>
      <w:bookmarkStart w:id="87" w:name="_Toc184310340"/>
      <w:bookmarkEnd w:id="87"/>
      <w:bookmarkStart w:id="88" w:name="_Toc184313261"/>
      <w:bookmarkEnd w:id="88"/>
      <w:bookmarkStart w:id="89" w:name="_Toc184310303"/>
      <w:bookmarkEnd w:id="89"/>
      <w:bookmarkStart w:id="90" w:name="_Toc184310281"/>
      <w:bookmarkEnd w:id="90"/>
      <w:bookmarkStart w:id="91" w:name="_Toc184310306"/>
      <w:bookmarkEnd w:id="91"/>
      <w:bookmarkStart w:id="92" w:name="_Toc184310316"/>
      <w:bookmarkEnd w:id="92"/>
      <w:bookmarkStart w:id="93" w:name="_Toc184308084"/>
      <w:bookmarkEnd w:id="93"/>
      <w:bookmarkStart w:id="94" w:name="_Toc184314475"/>
      <w:bookmarkEnd w:id="94"/>
      <w:bookmarkStart w:id="95" w:name="_Toc184313296"/>
      <w:bookmarkEnd w:id="95"/>
      <w:bookmarkStart w:id="96" w:name="_Toc184308066"/>
      <w:bookmarkEnd w:id="96"/>
      <w:bookmarkStart w:id="97" w:name="_Toc184308047"/>
      <w:bookmarkEnd w:id="97"/>
      <w:bookmarkStart w:id="98" w:name="_Toc184314444"/>
      <w:bookmarkEnd w:id="98"/>
      <w:bookmarkStart w:id="99" w:name="_Toc184308049"/>
      <w:bookmarkEnd w:id="99"/>
      <w:bookmarkStart w:id="100" w:name="_Toc184310319"/>
      <w:bookmarkEnd w:id="100"/>
      <w:bookmarkStart w:id="101" w:name="_Toc184310327"/>
      <w:bookmarkEnd w:id="101"/>
      <w:bookmarkStart w:id="102" w:name="_Toc184310298"/>
      <w:bookmarkEnd w:id="102"/>
      <w:bookmarkStart w:id="103" w:name="_Toc184314437"/>
      <w:bookmarkEnd w:id="103"/>
      <w:bookmarkStart w:id="104" w:name="_Toc184314476"/>
      <w:bookmarkEnd w:id="104"/>
      <w:bookmarkStart w:id="105" w:name="_Toc184310338"/>
      <w:bookmarkEnd w:id="105"/>
      <w:bookmarkStart w:id="106" w:name="_Toc184312109"/>
      <w:bookmarkEnd w:id="106"/>
      <w:bookmarkStart w:id="107" w:name="_Toc184313302"/>
      <w:bookmarkEnd w:id="107"/>
      <w:bookmarkStart w:id="108" w:name="_Toc184310344"/>
      <w:bookmarkEnd w:id="108"/>
      <w:bookmarkStart w:id="109" w:name="_Toc184308096"/>
      <w:bookmarkEnd w:id="109"/>
      <w:bookmarkStart w:id="110" w:name="_Toc184313271"/>
      <w:bookmarkEnd w:id="110"/>
      <w:bookmarkStart w:id="111" w:name="_Toc184314435"/>
      <w:bookmarkEnd w:id="111"/>
      <w:bookmarkStart w:id="112" w:name="_Toc184312134"/>
      <w:bookmarkEnd w:id="112"/>
      <w:bookmarkStart w:id="113" w:name="_Toc184310343"/>
      <w:bookmarkEnd w:id="113"/>
      <w:bookmarkStart w:id="114" w:name="_Toc184310313"/>
      <w:bookmarkEnd w:id="114"/>
      <w:bookmarkStart w:id="115" w:name="_Toc184314467"/>
      <w:bookmarkEnd w:id="115"/>
      <w:bookmarkStart w:id="116" w:name="_Toc184313307"/>
      <w:bookmarkEnd w:id="116"/>
      <w:bookmarkStart w:id="117" w:name="_Toc184312067"/>
      <w:bookmarkEnd w:id="117"/>
      <w:bookmarkStart w:id="118" w:name="_Toc184308108"/>
      <w:bookmarkEnd w:id="118"/>
      <w:bookmarkStart w:id="119" w:name="_Toc184308059"/>
      <w:bookmarkEnd w:id="119"/>
      <w:bookmarkStart w:id="120" w:name="_Toc184314455"/>
      <w:bookmarkEnd w:id="120"/>
      <w:bookmarkStart w:id="121" w:name="_Toc184314410"/>
      <w:bookmarkEnd w:id="121"/>
      <w:bookmarkStart w:id="122" w:name="_Toc184313242"/>
      <w:bookmarkEnd w:id="122"/>
      <w:bookmarkStart w:id="123" w:name="_Toc184310305"/>
      <w:bookmarkEnd w:id="123"/>
      <w:bookmarkStart w:id="124" w:name="_Toc184312130"/>
      <w:bookmarkEnd w:id="124"/>
      <w:bookmarkStart w:id="125" w:name="_Toc184308104"/>
      <w:bookmarkEnd w:id="125"/>
      <w:bookmarkStart w:id="126" w:name="_Toc184308050"/>
      <w:bookmarkEnd w:id="126"/>
      <w:bookmarkStart w:id="127" w:name="_Toc184310295"/>
      <w:bookmarkEnd w:id="127"/>
      <w:bookmarkStart w:id="128" w:name="_Toc184312128"/>
      <w:bookmarkEnd w:id="128"/>
      <w:bookmarkStart w:id="129" w:name="_Toc184308040"/>
      <w:bookmarkEnd w:id="129"/>
      <w:bookmarkStart w:id="130" w:name="_Toc184312078"/>
      <w:bookmarkEnd w:id="130"/>
      <w:bookmarkStart w:id="131" w:name="_Toc184310328"/>
      <w:bookmarkEnd w:id="131"/>
      <w:bookmarkStart w:id="132" w:name="_Toc184310282"/>
      <w:bookmarkEnd w:id="132"/>
      <w:bookmarkStart w:id="133" w:name="_Toc184312089"/>
      <w:bookmarkEnd w:id="133"/>
      <w:bookmarkStart w:id="134" w:name="_Toc184312101"/>
      <w:bookmarkEnd w:id="134"/>
      <w:bookmarkStart w:id="135" w:name="_Toc184314482"/>
      <w:bookmarkEnd w:id="135"/>
      <w:bookmarkStart w:id="136" w:name="_Toc184310292"/>
      <w:bookmarkEnd w:id="136"/>
      <w:bookmarkStart w:id="137" w:name="_Toc184312114"/>
      <w:bookmarkEnd w:id="137"/>
      <w:bookmarkStart w:id="138" w:name="_Toc184314464"/>
      <w:bookmarkEnd w:id="138"/>
      <w:bookmarkStart w:id="139" w:name="_Toc184314441"/>
      <w:bookmarkEnd w:id="139"/>
      <w:bookmarkStart w:id="140" w:name="_Toc184308083"/>
      <w:bookmarkEnd w:id="140"/>
      <w:bookmarkStart w:id="141" w:name="_Toc184312096"/>
      <w:bookmarkEnd w:id="141"/>
      <w:bookmarkStart w:id="142" w:name="_Toc184313241"/>
      <w:bookmarkEnd w:id="142"/>
      <w:bookmarkStart w:id="143" w:name="_Toc184314465"/>
      <w:bookmarkEnd w:id="143"/>
      <w:bookmarkStart w:id="144" w:name="_Toc184308070"/>
      <w:bookmarkEnd w:id="144"/>
      <w:bookmarkStart w:id="145" w:name="_Toc184314462"/>
      <w:bookmarkEnd w:id="145"/>
      <w:bookmarkStart w:id="146" w:name="_Toc184308054"/>
      <w:bookmarkEnd w:id="146"/>
      <w:bookmarkStart w:id="147" w:name="_Toc184312135"/>
      <w:bookmarkEnd w:id="147"/>
      <w:bookmarkStart w:id="148" w:name="_Toc184314461"/>
      <w:bookmarkEnd w:id="148"/>
      <w:bookmarkStart w:id="149" w:name="_Toc184310297"/>
      <w:bookmarkEnd w:id="149"/>
      <w:bookmarkStart w:id="150" w:name="_Toc184308091"/>
      <w:bookmarkEnd w:id="150"/>
      <w:bookmarkStart w:id="151" w:name="_Toc184312107"/>
      <w:bookmarkEnd w:id="151"/>
      <w:bookmarkStart w:id="152" w:name="_Toc184312110"/>
      <w:bookmarkEnd w:id="152"/>
      <w:bookmarkStart w:id="153" w:name="_Toc184313253"/>
      <w:bookmarkEnd w:id="153"/>
      <w:bookmarkStart w:id="154" w:name="_Toc184308082"/>
      <w:bookmarkEnd w:id="154"/>
      <w:bookmarkStart w:id="155" w:name="_Toc184310286"/>
      <w:bookmarkEnd w:id="155"/>
      <w:bookmarkStart w:id="156" w:name="_Toc184314422"/>
      <w:bookmarkEnd w:id="156"/>
      <w:bookmarkStart w:id="157" w:name="_Toc184308045"/>
      <w:bookmarkEnd w:id="157"/>
      <w:bookmarkStart w:id="158" w:name="_Toc184313297"/>
      <w:bookmarkEnd w:id="158"/>
      <w:bookmarkStart w:id="159" w:name="_Toc184308055"/>
      <w:bookmarkEnd w:id="159"/>
      <w:bookmarkStart w:id="160" w:name="_Toc184310299"/>
      <w:bookmarkEnd w:id="160"/>
      <w:bookmarkStart w:id="161" w:name="_Toc184313239"/>
      <w:bookmarkEnd w:id="161"/>
      <w:bookmarkStart w:id="162" w:name="_Toc184313259"/>
      <w:bookmarkEnd w:id="162"/>
      <w:bookmarkStart w:id="163" w:name="_Toc184313272"/>
      <w:bookmarkEnd w:id="163"/>
      <w:bookmarkStart w:id="164" w:name="_Toc184312105"/>
      <w:bookmarkEnd w:id="164"/>
      <w:bookmarkStart w:id="165" w:name="_Toc184310308"/>
      <w:bookmarkEnd w:id="165"/>
      <w:bookmarkStart w:id="166" w:name="_Toc184312115"/>
      <w:bookmarkEnd w:id="166"/>
      <w:bookmarkStart w:id="167" w:name="_Toc184314412"/>
      <w:bookmarkEnd w:id="167"/>
      <w:bookmarkStart w:id="168" w:name="_Toc184313301"/>
      <w:bookmarkEnd w:id="168"/>
      <w:bookmarkStart w:id="169" w:name="_Toc184313285"/>
      <w:bookmarkEnd w:id="169"/>
      <w:bookmarkStart w:id="170" w:name="_Toc184314479"/>
      <w:bookmarkEnd w:id="170"/>
      <w:bookmarkStart w:id="171" w:name="_Toc184310277"/>
      <w:bookmarkEnd w:id="171"/>
      <w:bookmarkStart w:id="172" w:name="_Toc184314426"/>
      <w:bookmarkEnd w:id="172"/>
      <w:bookmarkStart w:id="173" w:name="_Toc184312123"/>
      <w:bookmarkEnd w:id="173"/>
      <w:bookmarkStart w:id="174" w:name="_Toc184314447"/>
      <w:bookmarkEnd w:id="174"/>
      <w:bookmarkStart w:id="175" w:name="_Toc184310276"/>
      <w:bookmarkEnd w:id="175"/>
      <w:bookmarkStart w:id="176" w:name="_Toc184312106"/>
      <w:bookmarkEnd w:id="176"/>
      <w:bookmarkStart w:id="177" w:name="_Toc184313299"/>
      <w:bookmarkEnd w:id="177"/>
      <w:bookmarkStart w:id="178" w:name="_Toc184312136"/>
      <w:bookmarkEnd w:id="178"/>
      <w:bookmarkStart w:id="179" w:name="_Toc184310300"/>
      <w:bookmarkEnd w:id="179"/>
      <w:bookmarkStart w:id="180" w:name="_Toc184312122"/>
      <w:bookmarkEnd w:id="180"/>
      <w:bookmarkStart w:id="181" w:name="_Toc184308068"/>
      <w:bookmarkEnd w:id="181"/>
      <w:bookmarkStart w:id="182" w:name="_Toc184312082"/>
      <w:bookmarkEnd w:id="182"/>
      <w:bookmarkStart w:id="183" w:name="_Toc184312111"/>
      <w:bookmarkEnd w:id="183"/>
      <w:bookmarkStart w:id="184" w:name="_Toc184314463"/>
      <w:bookmarkEnd w:id="184"/>
      <w:bookmarkStart w:id="185" w:name="_Toc184308102"/>
      <w:bookmarkEnd w:id="185"/>
      <w:bookmarkStart w:id="186" w:name="_Toc184314420"/>
      <w:bookmarkEnd w:id="186"/>
      <w:bookmarkStart w:id="187" w:name="_Toc184312121"/>
      <w:bookmarkEnd w:id="187"/>
      <w:bookmarkStart w:id="188" w:name="_Toc184310330"/>
      <w:bookmarkEnd w:id="188"/>
      <w:bookmarkStart w:id="189" w:name="_Toc184308037"/>
      <w:bookmarkEnd w:id="189"/>
      <w:bookmarkStart w:id="190" w:name="_Toc184314459"/>
      <w:bookmarkEnd w:id="190"/>
      <w:bookmarkStart w:id="191" w:name="_Toc184314466"/>
      <w:bookmarkEnd w:id="191"/>
      <w:bookmarkStart w:id="192" w:name="_Toc184308043"/>
      <w:bookmarkEnd w:id="192"/>
      <w:bookmarkStart w:id="193" w:name="_Toc184314458"/>
      <w:bookmarkEnd w:id="193"/>
      <w:bookmarkStart w:id="194" w:name="_Toc184314449"/>
      <w:bookmarkEnd w:id="194"/>
      <w:bookmarkStart w:id="195" w:name="_Toc184314443"/>
      <w:bookmarkEnd w:id="195"/>
      <w:bookmarkStart w:id="196" w:name="_Toc184310287"/>
      <w:bookmarkEnd w:id="196"/>
      <w:bookmarkStart w:id="197" w:name="_Toc184313251"/>
      <w:bookmarkEnd w:id="197"/>
      <w:bookmarkStart w:id="198" w:name="_Toc184308063"/>
      <w:bookmarkEnd w:id="198"/>
      <w:bookmarkStart w:id="199" w:name="_Toc184314446"/>
      <w:bookmarkEnd w:id="199"/>
      <w:bookmarkStart w:id="200" w:name="_Toc184312095"/>
      <w:bookmarkEnd w:id="200"/>
      <w:bookmarkStart w:id="201" w:name="_Toc184314434"/>
      <w:bookmarkEnd w:id="201"/>
      <w:bookmarkStart w:id="202" w:name="_Toc184312133"/>
      <w:bookmarkEnd w:id="202"/>
      <w:bookmarkStart w:id="203" w:name="_Toc184310317"/>
      <w:bookmarkEnd w:id="203"/>
      <w:bookmarkStart w:id="204" w:name="_Toc184313300"/>
      <w:bookmarkEnd w:id="204"/>
      <w:bookmarkStart w:id="205" w:name="_Toc184314456"/>
      <w:bookmarkEnd w:id="205"/>
      <w:bookmarkStart w:id="206" w:name="_Toc184312074"/>
      <w:bookmarkEnd w:id="206"/>
      <w:bookmarkStart w:id="207" w:name="_Toc184308087"/>
      <w:bookmarkEnd w:id="207"/>
      <w:bookmarkStart w:id="208" w:name="_Toc184312108"/>
      <w:bookmarkEnd w:id="208"/>
      <w:bookmarkStart w:id="209" w:name="_Toc184314442"/>
      <w:bookmarkEnd w:id="209"/>
      <w:bookmarkStart w:id="210" w:name="_Toc184312084"/>
      <w:bookmarkEnd w:id="210"/>
      <w:bookmarkStart w:id="211" w:name="_Toc184308090"/>
      <w:bookmarkEnd w:id="211"/>
      <w:bookmarkStart w:id="212" w:name="_Toc184313266"/>
      <w:bookmarkEnd w:id="212"/>
      <w:bookmarkStart w:id="213" w:name="_Toc184313240"/>
      <w:bookmarkEnd w:id="213"/>
      <w:bookmarkStart w:id="214" w:name="_Toc184308061"/>
      <w:bookmarkEnd w:id="214"/>
      <w:bookmarkStart w:id="215" w:name="_Toc184314431"/>
      <w:bookmarkEnd w:id="215"/>
      <w:bookmarkStart w:id="216" w:name="_Toc184308065"/>
      <w:bookmarkEnd w:id="216"/>
      <w:bookmarkStart w:id="217" w:name="_Toc184310315"/>
      <w:bookmarkEnd w:id="217"/>
      <w:bookmarkStart w:id="218" w:name="_Toc184310321"/>
      <w:bookmarkEnd w:id="218"/>
      <w:bookmarkStart w:id="219" w:name="_Toc184312075"/>
      <w:bookmarkEnd w:id="219"/>
      <w:bookmarkStart w:id="220" w:name="_Toc184308038"/>
      <w:bookmarkEnd w:id="220"/>
      <w:bookmarkStart w:id="221" w:name="_Toc184308069"/>
      <w:bookmarkEnd w:id="221"/>
      <w:bookmarkStart w:id="222" w:name="_Toc184310288"/>
      <w:bookmarkEnd w:id="222"/>
      <w:bookmarkStart w:id="223" w:name="_Toc184314473"/>
      <w:bookmarkEnd w:id="223"/>
      <w:bookmarkStart w:id="224" w:name="_Toc184312116"/>
      <w:bookmarkEnd w:id="224"/>
      <w:bookmarkStart w:id="225" w:name="_Toc184310333"/>
      <w:bookmarkEnd w:id="225"/>
      <w:bookmarkStart w:id="226" w:name="_Toc184312098"/>
      <w:bookmarkEnd w:id="226"/>
      <w:bookmarkStart w:id="227" w:name="_Toc184308092"/>
      <w:bookmarkEnd w:id="227"/>
      <w:bookmarkStart w:id="228" w:name="_Toc184314453"/>
      <w:bookmarkEnd w:id="228"/>
      <w:bookmarkStart w:id="229" w:name="_Toc184312071"/>
      <w:bookmarkEnd w:id="229"/>
      <w:bookmarkStart w:id="230" w:name="_Toc184313265"/>
      <w:bookmarkEnd w:id="230"/>
      <w:bookmarkStart w:id="231" w:name="_Toc184310309"/>
      <w:bookmarkEnd w:id="231"/>
      <w:bookmarkStart w:id="232" w:name="_Toc184313304"/>
      <w:bookmarkEnd w:id="232"/>
      <w:bookmarkStart w:id="233" w:name="_Toc184310339"/>
      <w:bookmarkEnd w:id="233"/>
      <w:bookmarkStart w:id="234" w:name="_Toc184314418"/>
      <w:bookmarkEnd w:id="234"/>
      <w:bookmarkStart w:id="235" w:name="_Toc184310318"/>
      <w:bookmarkEnd w:id="235"/>
      <w:bookmarkStart w:id="236" w:name="_Toc184313243"/>
      <w:bookmarkEnd w:id="236"/>
      <w:bookmarkStart w:id="237" w:name="_Toc184313245"/>
      <w:bookmarkEnd w:id="237"/>
      <w:bookmarkStart w:id="238" w:name="_Toc184313298"/>
      <w:bookmarkEnd w:id="238"/>
      <w:bookmarkStart w:id="239" w:name="_Toc184310279"/>
      <w:bookmarkEnd w:id="239"/>
      <w:bookmarkStart w:id="240" w:name="_Toc184312102"/>
      <w:bookmarkEnd w:id="240"/>
      <w:bookmarkStart w:id="241" w:name="_Toc184310289"/>
      <w:bookmarkEnd w:id="241"/>
      <w:bookmarkStart w:id="242" w:name="_Toc184314433"/>
      <w:bookmarkEnd w:id="242"/>
      <w:bookmarkStart w:id="243" w:name="_Toc184310296"/>
      <w:bookmarkEnd w:id="243"/>
      <w:bookmarkStart w:id="244" w:name="_Toc184312092"/>
      <w:bookmarkEnd w:id="244"/>
      <w:bookmarkStart w:id="245" w:name="_Toc184310341"/>
      <w:bookmarkEnd w:id="245"/>
      <w:bookmarkStart w:id="246" w:name="_Toc184308106"/>
      <w:bookmarkEnd w:id="246"/>
      <w:bookmarkStart w:id="247" w:name="_Toc184314438"/>
      <w:bookmarkEnd w:id="247"/>
      <w:bookmarkStart w:id="248" w:name="_Toc184312069"/>
      <w:bookmarkEnd w:id="248"/>
      <w:bookmarkStart w:id="249" w:name="_Toc184312073"/>
      <w:bookmarkEnd w:id="249"/>
      <w:bookmarkStart w:id="250" w:name="_Toc184312137"/>
      <w:bookmarkEnd w:id="250"/>
      <w:bookmarkStart w:id="251" w:name="_Toc184312072"/>
      <w:bookmarkEnd w:id="251"/>
      <w:bookmarkStart w:id="252" w:name="_Toc184314457"/>
      <w:bookmarkEnd w:id="252"/>
      <w:bookmarkStart w:id="253" w:name="_Toc184314417"/>
      <w:bookmarkEnd w:id="253"/>
      <w:bookmarkStart w:id="254" w:name="_Toc184308086"/>
      <w:bookmarkEnd w:id="254"/>
      <w:bookmarkStart w:id="255" w:name="_Toc184312085"/>
      <w:bookmarkEnd w:id="255"/>
      <w:bookmarkStart w:id="256" w:name="_Toc184312125"/>
      <w:bookmarkEnd w:id="256"/>
      <w:bookmarkStart w:id="257" w:name="_Toc184313238"/>
      <w:bookmarkEnd w:id="257"/>
      <w:bookmarkStart w:id="258" w:name="_Toc184313263"/>
      <w:bookmarkEnd w:id="258"/>
      <w:bookmarkStart w:id="259" w:name="_Toc184313274"/>
      <w:bookmarkEnd w:id="259"/>
      <w:bookmarkStart w:id="260" w:name="_Toc184308044"/>
      <w:bookmarkEnd w:id="260"/>
      <w:bookmarkStart w:id="261" w:name="_Toc184312068"/>
      <w:bookmarkEnd w:id="261"/>
      <w:bookmarkStart w:id="262" w:name="_Toc184312076"/>
      <w:bookmarkEnd w:id="262"/>
      <w:bookmarkStart w:id="263" w:name="_Toc184308103"/>
      <w:bookmarkEnd w:id="263"/>
      <w:bookmarkStart w:id="264" w:name="_Toc184314450"/>
      <w:bookmarkEnd w:id="264"/>
      <w:bookmarkStart w:id="265" w:name="_Toc184308088"/>
      <w:bookmarkEnd w:id="265"/>
      <w:bookmarkStart w:id="266" w:name="_Toc184314468"/>
      <w:bookmarkEnd w:id="266"/>
      <w:bookmarkStart w:id="267" w:name="_Toc184313248"/>
      <w:bookmarkEnd w:id="267"/>
      <w:bookmarkStart w:id="268" w:name="_Toc184310325"/>
      <w:bookmarkEnd w:id="268"/>
      <w:bookmarkStart w:id="269" w:name="_Toc184310307"/>
      <w:bookmarkEnd w:id="269"/>
      <w:bookmarkStart w:id="270" w:name="_Toc184308048"/>
      <w:bookmarkEnd w:id="270"/>
      <w:bookmarkStart w:id="271" w:name="_Toc184308051"/>
      <w:bookmarkEnd w:id="271"/>
      <w:bookmarkStart w:id="272" w:name="_Toc184312104"/>
      <w:bookmarkEnd w:id="272"/>
      <w:bookmarkStart w:id="273" w:name="_Toc184312113"/>
      <w:bookmarkEnd w:id="273"/>
      <w:bookmarkStart w:id="274" w:name="_Toc184313294"/>
      <w:bookmarkEnd w:id="274"/>
      <w:bookmarkStart w:id="275" w:name="_Toc184310337"/>
      <w:bookmarkEnd w:id="275"/>
      <w:bookmarkStart w:id="276" w:name="_Toc184312120"/>
      <w:bookmarkEnd w:id="276"/>
      <w:bookmarkStart w:id="277" w:name="_Toc184313262"/>
      <w:bookmarkEnd w:id="277"/>
      <w:bookmarkStart w:id="278" w:name="_Toc184312081"/>
      <w:bookmarkEnd w:id="278"/>
      <w:bookmarkStart w:id="279" w:name="_Toc184313264"/>
      <w:bookmarkEnd w:id="279"/>
      <w:bookmarkStart w:id="280" w:name="_Toc184313303"/>
      <w:bookmarkEnd w:id="280"/>
      <w:bookmarkStart w:id="281" w:name="_Toc184314439"/>
      <w:bookmarkEnd w:id="281"/>
      <w:bookmarkStart w:id="282" w:name="_Toc184314436"/>
      <w:bookmarkEnd w:id="282"/>
      <w:bookmarkStart w:id="283" w:name="_Toc184308057"/>
      <w:bookmarkEnd w:id="283"/>
      <w:bookmarkStart w:id="284" w:name="_Toc184310278"/>
      <w:bookmarkEnd w:id="284"/>
      <w:bookmarkStart w:id="285" w:name="_Toc184314481"/>
      <w:bookmarkEnd w:id="285"/>
      <w:bookmarkStart w:id="286" w:name="_Toc184313287"/>
      <w:bookmarkEnd w:id="286"/>
      <w:bookmarkStart w:id="287" w:name="_Toc184312139"/>
      <w:bookmarkEnd w:id="287"/>
      <w:bookmarkStart w:id="288" w:name="_Toc184314477"/>
      <w:bookmarkEnd w:id="288"/>
      <w:bookmarkStart w:id="289" w:name="_Toc184314474"/>
      <w:bookmarkEnd w:id="289"/>
      <w:bookmarkStart w:id="290" w:name="_Toc184313249"/>
      <w:bookmarkEnd w:id="290"/>
      <w:bookmarkStart w:id="291" w:name="_Toc184308097"/>
      <w:bookmarkEnd w:id="291"/>
      <w:bookmarkStart w:id="292" w:name="_Toc184312070"/>
      <w:bookmarkEnd w:id="292"/>
      <w:bookmarkStart w:id="293" w:name="_Toc184310293"/>
      <w:bookmarkEnd w:id="293"/>
      <w:bookmarkStart w:id="294" w:name="_Toc184310311"/>
      <w:bookmarkEnd w:id="294"/>
      <w:bookmarkStart w:id="295" w:name="_Toc184308062"/>
      <w:bookmarkEnd w:id="295"/>
      <w:bookmarkStart w:id="296" w:name="_Toc184313283"/>
      <w:bookmarkEnd w:id="296"/>
      <w:bookmarkStart w:id="297" w:name="_Toc184313276"/>
      <w:bookmarkEnd w:id="297"/>
      <w:bookmarkStart w:id="298" w:name="_Toc184308076"/>
      <w:bookmarkEnd w:id="298"/>
      <w:bookmarkStart w:id="299" w:name="_Toc184313268"/>
      <w:bookmarkEnd w:id="299"/>
      <w:bookmarkStart w:id="300" w:name="_Toc184308101"/>
      <w:bookmarkEnd w:id="300"/>
      <w:bookmarkStart w:id="301" w:name="_Toc184308053"/>
      <w:bookmarkEnd w:id="301"/>
      <w:bookmarkStart w:id="302" w:name="_Toc184314470"/>
      <w:bookmarkEnd w:id="302"/>
      <w:bookmarkStart w:id="303" w:name="_Toc184314471"/>
      <w:bookmarkEnd w:id="303"/>
      <w:bookmarkStart w:id="304" w:name="_Toc184308072"/>
      <w:bookmarkEnd w:id="304"/>
      <w:bookmarkStart w:id="305" w:name="_Toc184310320"/>
      <w:bookmarkEnd w:id="305"/>
      <w:bookmarkStart w:id="306" w:name="_Toc184313290"/>
      <w:bookmarkEnd w:id="306"/>
      <w:bookmarkStart w:id="307" w:name="_Toc184313247"/>
      <w:bookmarkEnd w:id="307"/>
      <w:bookmarkStart w:id="308" w:name="_Toc184313250"/>
      <w:bookmarkEnd w:id="308"/>
      <w:bookmarkStart w:id="309" w:name="_Toc184314448"/>
      <w:bookmarkEnd w:id="309"/>
      <w:bookmarkStart w:id="310" w:name="_Toc184313244"/>
      <w:bookmarkEnd w:id="310"/>
      <w:bookmarkStart w:id="311" w:name="_Toc184314480"/>
      <w:bookmarkEnd w:id="311"/>
      <w:bookmarkStart w:id="312" w:name="_Toc184313289"/>
      <w:bookmarkEnd w:id="312"/>
      <w:bookmarkStart w:id="313" w:name="_Toc184308041"/>
      <w:bookmarkEnd w:id="313"/>
      <w:bookmarkStart w:id="314" w:name="_Toc184310291"/>
      <w:bookmarkEnd w:id="314"/>
      <w:bookmarkStart w:id="315" w:name="_Toc184308071"/>
      <w:bookmarkEnd w:id="315"/>
      <w:bookmarkStart w:id="316" w:name="_Toc184313270"/>
      <w:bookmarkEnd w:id="316"/>
      <w:bookmarkStart w:id="317" w:name="_Toc184314440"/>
      <w:bookmarkEnd w:id="317"/>
      <w:bookmarkStart w:id="318" w:name="_Toc184308105"/>
      <w:bookmarkEnd w:id="318"/>
      <w:bookmarkStart w:id="319" w:name="_Toc184313309"/>
      <w:bookmarkEnd w:id="319"/>
      <w:bookmarkStart w:id="320" w:name="_Toc184313277"/>
      <w:bookmarkEnd w:id="320"/>
      <w:bookmarkStart w:id="321" w:name="_Toc184308107"/>
      <w:bookmarkEnd w:id="321"/>
      <w:bookmarkStart w:id="322" w:name="_Toc184314452"/>
      <w:bookmarkEnd w:id="322"/>
      <w:bookmarkStart w:id="323" w:name="_Toc184308036"/>
      <w:bookmarkEnd w:id="323"/>
      <w:bookmarkStart w:id="324" w:name="_Toc184313305"/>
      <w:bookmarkEnd w:id="324"/>
      <w:bookmarkStart w:id="325" w:name="_Toc184308067"/>
      <w:bookmarkEnd w:id="325"/>
      <w:bookmarkStart w:id="326" w:name="_Toc184314451"/>
      <w:bookmarkEnd w:id="326"/>
      <w:bookmarkStart w:id="327" w:name="_Toc184308074"/>
      <w:bookmarkEnd w:id="327"/>
      <w:bookmarkStart w:id="328" w:name="_Toc184308078"/>
      <w:bookmarkEnd w:id="328"/>
      <w:bookmarkStart w:id="329" w:name="_Toc184314416"/>
      <w:bookmarkEnd w:id="329"/>
      <w:bookmarkStart w:id="330" w:name="_Toc184314445"/>
      <w:bookmarkEnd w:id="330"/>
      <w:bookmarkStart w:id="331" w:name="_Toc184312093"/>
      <w:bookmarkEnd w:id="331"/>
      <w:bookmarkStart w:id="332" w:name="_Toc184308095"/>
      <w:bookmarkEnd w:id="332"/>
      <w:bookmarkStart w:id="333" w:name="_Toc184308098"/>
      <w:bookmarkEnd w:id="333"/>
      <w:bookmarkStart w:id="334" w:name="_Toc184308093"/>
      <w:bookmarkEnd w:id="334"/>
      <w:bookmarkStart w:id="335" w:name="_Toc184308077"/>
      <w:bookmarkEnd w:id="335"/>
      <w:bookmarkStart w:id="336" w:name="_Toc184310326"/>
      <w:bookmarkEnd w:id="336"/>
      <w:bookmarkStart w:id="337" w:name="_Toc184314424"/>
      <w:bookmarkEnd w:id="337"/>
      <w:bookmarkStart w:id="338" w:name="_Toc184310322"/>
      <w:bookmarkEnd w:id="338"/>
      <w:bookmarkStart w:id="339" w:name="_Toc184310294"/>
      <w:bookmarkEnd w:id="339"/>
      <w:bookmarkStart w:id="340" w:name="_Toc184313278"/>
      <w:bookmarkEnd w:id="340"/>
      <w:bookmarkStart w:id="341" w:name="_Toc184310332"/>
      <w:bookmarkEnd w:id="341"/>
      <w:bookmarkStart w:id="342" w:name="_Toc184308056"/>
      <w:bookmarkEnd w:id="342"/>
      <w:bookmarkStart w:id="343" w:name="_Toc184314427"/>
      <w:bookmarkEnd w:id="343"/>
      <w:bookmarkStart w:id="344" w:name="_Toc184310324"/>
      <w:bookmarkEnd w:id="344"/>
      <w:bookmarkStart w:id="345" w:name="_Toc184310342"/>
      <w:bookmarkEnd w:id="345"/>
      <w:bookmarkStart w:id="346" w:name="_Toc184308089"/>
      <w:bookmarkEnd w:id="346"/>
      <w:bookmarkStart w:id="347" w:name="_Toc184310331"/>
      <w:bookmarkEnd w:id="347"/>
      <w:bookmarkStart w:id="348" w:name="_Toc184312117"/>
      <w:bookmarkEnd w:id="348"/>
      <w:bookmarkStart w:id="349" w:name="_Toc184308060"/>
      <w:bookmarkEnd w:id="349"/>
      <w:bookmarkStart w:id="350" w:name="_Toc184308046"/>
      <w:bookmarkEnd w:id="350"/>
      <w:bookmarkStart w:id="351" w:name="_Toc184314429"/>
      <w:bookmarkEnd w:id="351"/>
      <w:bookmarkStart w:id="352" w:name="_Toc184308058"/>
      <w:bookmarkEnd w:id="352"/>
      <w:bookmarkStart w:id="353" w:name="_Toc184313267"/>
      <w:bookmarkEnd w:id="353"/>
      <w:bookmarkStart w:id="354" w:name="_Toc184308094"/>
      <w:bookmarkEnd w:id="354"/>
      <w:bookmarkStart w:id="355" w:name="_Toc184310301"/>
      <w:bookmarkEnd w:id="355"/>
      <w:bookmarkStart w:id="356" w:name="_Toc184310275"/>
      <w:bookmarkEnd w:id="356"/>
      <w:bookmarkStart w:id="357" w:name="_Toc184314414"/>
      <w:bookmarkEnd w:id="357"/>
      <w:bookmarkStart w:id="358" w:name="_Toc184312126"/>
      <w:bookmarkEnd w:id="358"/>
      <w:bookmarkStart w:id="359" w:name="_Toc184313246"/>
      <w:bookmarkEnd w:id="359"/>
      <w:bookmarkStart w:id="360" w:name="_Toc184312100"/>
      <w:bookmarkEnd w:id="360"/>
      <w:bookmarkStart w:id="361" w:name="_Toc184313257"/>
      <w:bookmarkEnd w:id="361"/>
      <w:bookmarkStart w:id="362" w:name="_Toc184313252"/>
      <w:bookmarkEnd w:id="362"/>
      <w:bookmarkStart w:id="363" w:name="_Toc184310285"/>
      <w:bookmarkEnd w:id="363"/>
      <w:bookmarkStart w:id="364" w:name="_Toc184310310"/>
      <w:bookmarkEnd w:id="364"/>
      <w:bookmarkStart w:id="365" w:name="_Toc184310335"/>
      <w:bookmarkEnd w:id="365"/>
      <w:bookmarkStart w:id="366" w:name="_Toc184310274"/>
      <w:bookmarkEnd w:id="366"/>
      <w:bookmarkStart w:id="367" w:name="_Toc184313258"/>
      <w:bookmarkEnd w:id="367"/>
      <w:bookmarkStart w:id="368" w:name="_Toc184313293"/>
      <w:bookmarkEnd w:id="368"/>
      <w:bookmarkStart w:id="369" w:name="_Toc184310304"/>
      <w:bookmarkEnd w:id="369"/>
      <w:bookmarkStart w:id="370" w:name="_Toc184312088"/>
      <w:bookmarkEnd w:id="370"/>
      <w:bookmarkStart w:id="371" w:name="_Toc184313295"/>
      <w:bookmarkEnd w:id="371"/>
      <w:bookmarkStart w:id="372" w:name="_Toc184313269"/>
      <w:bookmarkEnd w:id="372"/>
      <w:bookmarkStart w:id="373" w:name="_Toc184313308"/>
      <w:bookmarkEnd w:id="373"/>
      <w:bookmarkStart w:id="374" w:name="_Toc184313292"/>
      <w:bookmarkEnd w:id="374"/>
      <w:bookmarkStart w:id="375" w:name="_Toc184308052"/>
      <w:bookmarkEnd w:id="375"/>
      <w:bookmarkStart w:id="376" w:name="_Toc184308042"/>
      <w:bookmarkEnd w:id="376"/>
      <w:bookmarkStart w:id="377" w:name="_Toc184308079"/>
      <w:bookmarkEnd w:id="377"/>
      <w:bookmarkStart w:id="378" w:name="_Toc184308075"/>
      <w:bookmarkEnd w:id="378"/>
      <w:bookmarkStart w:id="379" w:name="_Toc184313288"/>
      <w:bookmarkEnd w:id="379"/>
      <w:bookmarkStart w:id="380" w:name="_Toc184314415"/>
      <w:bookmarkEnd w:id="380"/>
      <w:bookmarkStart w:id="381" w:name="_Toc184310284"/>
      <w:bookmarkEnd w:id="381"/>
      <w:bookmarkStart w:id="382" w:name="_Toc184312103"/>
      <w:bookmarkEnd w:id="382"/>
      <w:bookmarkStart w:id="383" w:name="_Toc184312129"/>
      <w:bookmarkEnd w:id="383"/>
      <w:bookmarkStart w:id="384" w:name="_Toc184310312"/>
      <w:bookmarkEnd w:id="384"/>
      <w:bookmarkStart w:id="385" w:name="_Toc184314432"/>
      <w:bookmarkEnd w:id="385"/>
      <w:bookmarkStart w:id="386" w:name="_Toc184308081"/>
      <w:bookmarkEnd w:id="386"/>
      <w:bookmarkStart w:id="387" w:name="_Toc184313256"/>
      <w:bookmarkEnd w:id="387"/>
      <w:bookmarkStart w:id="388" w:name="_Toc184308039"/>
      <w:bookmarkEnd w:id="388"/>
      <w:bookmarkStart w:id="389" w:name="_Toc184314425"/>
      <w:bookmarkEnd w:id="389"/>
      <w:bookmarkStart w:id="390" w:name="_Toc184314411"/>
      <w:bookmarkEnd w:id="390"/>
      <w:bookmarkStart w:id="391" w:name="_Toc184310290"/>
      <w:bookmarkEnd w:id="391"/>
      <w:bookmarkStart w:id="392" w:name="_Toc184312118"/>
      <w:bookmarkEnd w:id="392"/>
      <w:bookmarkStart w:id="393" w:name="_Toc184308064"/>
      <w:bookmarkEnd w:id="393"/>
      <w:bookmarkStart w:id="394" w:name="_Toc184314413"/>
      <w:bookmarkEnd w:id="394"/>
      <w:bookmarkStart w:id="395" w:name="_Toc184312132"/>
      <w:bookmarkEnd w:id="395"/>
      <w:bookmarkStart w:id="396" w:name="_Toc184310273"/>
      <w:bookmarkEnd w:id="396"/>
      <w:bookmarkStart w:id="397" w:name="_Toc184313275"/>
      <w:bookmarkEnd w:id="397"/>
      <w:bookmarkStart w:id="398" w:name="_Toc184312127"/>
      <w:bookmarkEnd w:id="398"/>
      <w:bookmarkStart w:id="399" w:name="_Toc184312138"/>
      <w:bookmarkEnd w:id="399"/>
      <w:bookmarkStart w:id="400" w:name="_Toc184314419"/>
      <w:bookmarkEnd w:id="400"/>
      <w:bookmarkStart w:id="401" w:name="_Toc184310302"/>
      <w:bookmarkEnd w:id="401"/>
      <w:bookmarkStart w:id="402" w:name="_Toc184314469"/>
      <w:bookmarkEnd w:id="402"/>
      <w:bookmarkStart w:id="403" w:name="_Toc184313273"/>
      <w:bookmarkEnd w:id="403"/>
      <w:bookmarkStart w:id="404" w:name="_Toc184313291"/>
      <w:bookmarkEnd w:id="404"/>
      <w:bookmarkStart w:id="405" w:name="_Toc184314421"/>
      <w:bookmarkEnd w:id="405"/>
      <w:bookmarkStart w:id="406" w:name="_Toc184313310"/>
      <w:bookmarkEnd w:id="406"/>
      <w:bookmarkStart w:id="407" w:name="_Toc184314430"/>
      <w:bookmarkEnd w:id="407"/>
      <w:bookmarkStart w:id="408" w:name="_Toc184308073"/>
      <w:bookmarkEnd w:id="408"/>
      <w:bookmarkStart w:id="409" w:name="_Toc184313282"/>
      <w:bookmarkEnd w:id="409"/>
      <w:bookmarkStart w:id="410" w:name="_Toc184312099"/>
      <w:bookmarkEnd w:id="410"/>
      <w:bookmarkStart w:id="411" w:name="_Toc184313286"/>
      <w:bookmarkEnd w:id="411"/>
      <w:bookmarkStart w:id="412" w:name="_Toc184313281"/>
      <w:bookmarkEnd w:id="412"/>
      <w:bookmarkStart w:id="413" w:name="_Toc184312131"/>
      <w:bookmarkEnd w:id="413"/>
      <w:r>
        <w:rPr>
          <w:rFonts w:hint="eastAsia" w:ascii="宋体" w:hAnsi="宋体" w:cs="宋体"/>
          <w:b/>
          <w:color w:val="auto"/>
          <w:sz w:val="36"/>
          <w:szCs w:val="36"/>
          <w:highlight w:val="none"/>
        </w:rPr>
        <w:t xml:space="preserve"> 评标办法</w:t>
      </w:r>
      <w:bookmarkEnd w:id="47"/>
      <w:bookmarkEnd w:id="48"/>
    </w:p>
    <w:tbl>
      <w:tblPr>
        <w:tblStyle w:val="63"/>
        <w:tblW w:w="9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575"/>
        <w:gridCol w:w="645"/>
        <w:gridCol w:w="6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序号</w:t>
            </w:r>
          </w:p>
        </w:tc>
        <w:tc>
          <w:tcPr>
            <w:tcW w:w="2220" w:type="dxa"/>
            <w:gridSpan w:val="2"/>
            <w:vAlign w:val="center"/>
          </w:tcPr>
          <w:p>
            <w:pPr>
              <w:spacing w:line="360" w:lineRule="auto"/>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评审因素</w:t>
            </w:r>
          </w:p>
        </w:tc>
        <w:tc>
          <w:tcPr>
            <w:tcW w:w="6585" w:type="dxa"/>
            <w:vAlign w:val="center"/>
          </w:tcPr>
          <w:p>
            <w:pPr>
              <w:spacing w:line="360" w:lineRule="auto"/>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1</w:t>
            </w:r>
          </w:p>
        </w:tc>
        <w:tc>
          <w:tcPr>
            <w:tcW w:w="1575" w:type="dxa"/>
            <w:vAlign w:val="center"/>
          </w:tcPr>
          <w:p>
            <w:pPr>
              <w:pStyle w:val="338"/>
              <w:spacing w:before="0" w:after="0" w:line="360" w:lineRule="auto"/>
              <w:jc w:val="center"/>
              <w:rPr>
                <w:rFonts w:ascii="宋体" w:hAnsi="宋体" w:cs="宋体"/>
                <w:b/>
                <w:bCs/>
                <w:color w:val="auto"/>
                <w:sz w:val="21"/>
                <w:szCs w:val="21"/>
                <w:highlight w:val="none"/>
              </w:rPr>
            </w:pPr>
            <w:r>
              <w:rPr>
                <w:rFonts w:hint="eastAsia" w:ascii="宋体" w:hAnsi="宋体" w:cs="宋体"/>
                <w:b/>
                <w:bCs/>
                <w:color w:val="auto"/>
                <w:spacing w:val="-2"/>
                <w:sz w:val="21"/>
                <w:szCs w:val="21"/>
                <w:highlight w:val="none"/>
                <w14:textOutline w14:w="3835" w14:cap="flat" w14:cmpd="sng" w14:algn="ctr">
                  <w14:solidFill>
                    <w14:srgbClr w14:val="000000"/>
                  </w14:solidFill>
                  <w14:prstDash w14:val="solid"/>
                  <w14:miter w14:val="0"/>
                </w14:textOutline>
              </w:rPr>
              <w:t>价格分</w:t>
            </w:r>
          </w:p>
          <w:p>
            <w:pPr>
              <w:pStyle w:val="338"/>
              <w:spacing w:before="0" w:after="0" w:line="360" w:lineRule="auto"/>
              <w:jc w:val="both"/>
              <w:rPr>
                <w:rFonts w:ascii="宋体" w:hAnsi="宋体" w:cs="宋体"/>
                <w:b/>
                <w:bCs/>
                <w:snapToGrid w:val="0"/>
                <w:color w:val="auto"/>
                <w:sz w:val="21"/>
                <w:szCs w:val="21"/>
                <w:highlight w:val="none"/>
              </w:rPr>
            </w:pPr>
          </w:p>
        </w:tc>
        <w:tc>
          <w:tcPr>
            <w:tcW w:w="645" w:type="dxa"/>
            <w:vAlign w:val="center"/>
          </w:tcPr>
          <w:p>
            <w:pPr>
              <w:pStyle w:val="338"/>
              <w:spacing w:before="0" w:after="0" w:line="360" w:lineRule="auto"/>
              <w:jc w:val="center"/>
              <w:rPr>
                <w:rFonts w:ascii="宋体" w:hAnsi="宋体" w:cs="宋体"/>
                <w:b/>
                <w:bCs/>
                <w:snapToGrid w:val="0"/>
                <w:color w:val="auto"/>
                <w:sz w:val="21"/>
                <w:szCs w:val="21"/>
                <w:highlight w:val="none"/>
              </w:rPr>
            </w:pPr>
            <w:r>
              <w:rPr>
                <w:rFonts w:hint="eastAsia" w:ascii="宋体" w:hAnsi="宋体" w:cs="宋体"/>
                <w:b/>
                <w:bCs/>
                <w:color w:val="auto"/>
                <w:spacing w:val="-8"/>
                <w:sz w:val="21"/>
                <w:szCs w:val="21"/>
                <w:highlight w:val="none"/>
                <w14:textOutline w14:w="3835" w14:cap="flat" w14:cmpd="sng" w14:algn="ctr">
                  <w14:solidFill>
                    <w14:srgbClr w14:val="000000"/>
                  </w14:solidFill>
                  <w14:prstDash w14:val="solid"/>
                  <w14:miter w14:val="0"/>
                </w14:textOutline>
              </w:rPr>
              <w:t>10</w:t>
            </w:r>
          </w:p>
        </w:tc>
        <w:tc>
          <w:tcPr>
            <w:tcW w:w="6585" w:type="dxa"/>
          </w:tcPr>
          <w:p>
            <w:pPr>
              <w:snapToGri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有效投标报价的最低价作为评标基准价，其最低报价为满分；按［投标报价得分=（评标基准价/投标报价）*10］的计算公式计算。</w:t>
            </w:r>
          </w:p>
          <w:p>
            <w:pPr>
              <w:snapToGri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评标过程中，不得去掉报价中的最高报价和最低报价。</w:t>
            </w:r>
          </w:p>
          <w:p>
            <w:pPr>
              <w:snapToGri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对小型和微型企业的投标报价给予20%的扣除，用扣除后的价格参与评审。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2</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重要指标性能分</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12</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采购需求一览表中标注“★”的技术参数为重要技术指标、功能项，提供标注“★”的技术参数相关证明材料，每提供1项得2分，满分12分。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证明材料包括但不限于产品功能截图或国家认可的第三方检测（验）机构出具的检测（验）报告复印件等，同时，加盖投标供应商公章。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3</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技术</w:t>
            </w:r>
            <w:r>
              <w:rPr>
                <w:rFonts w:hint="eastAsia" w:ascii="宋体" w:hAnsi="宋体" w:cs="宋体"/>
                <w:b/>
                <w:bCs/>
                <w:color w:val="auto"/>
                <w:szCs w:val="21"/>
                <w:highlight w:val="none"/>
              </w:rPr>
              <w:t>服务方案分</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14</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Style w:val="312"/>
                <w:rFonts w:hint="default" w:cs="宋体"/>
                <w:color w:val="auto"/>
                <w:sz w:val="21"/>
                <w:szCs w:val="21"/>
                <w:highlight w:val="none"/>
                <w:lang w:bidi="ar"/>
              </w:rPr>
              <w:t>一档（0分）：未提供技术服务方案或方案不满足以下评分项的不得分。</w:t>
            </w:r>
            <w:r>
              <w:rPr>
                <w:rStyle w:val="312"/>
                <w:rFonts w:hint="default" w:cs="宋体"/>
                <w:color w:val="auto"/>
                <w:sz w:val="21"/>
                <w:szCs w:val="21"/>
                <w:highlight w:val="none"/>
                <w:lang w:bidi="ar"/>
              </w:rPr>
              <w:br w:type="textWrapping"/>
            </w:r>
            <w:r>
              <w:rPr>
                <w:rStyle w:val="312"/>
                <w:rFonts w:hint="default" w:cs="宋体"/>
                <w:color w:val="auto"/>
                <w:sz w:val="21"/>
                <w:szCs w:val="21"/>
                <w:highlight w:val="none"/>
                <w:lang w:bidi="ar"/>
              </w:rPr>
              <w:t>二档（4分）：供应商提供接入技术和运行维护方案，方案满足采购需求；方案满足项目实际需求且被评标委员会认可的，得4分。</w:t>
            </w:r>
            <w:r>
              <w:rPr>
                <w:rStyle w:val="312"/>
                <w:rFonts w:hint="default" w:cs="宋体"/>
                <w:color w:val="auto"/>
                <w:sz w:val="21"/>
                <w:szCs w:val="21"/>
                <w:highlight w:val="none"/>
                <w:lang w:bidi="ar"/>
              </w:rPr>
              <w:br w:type="textWrapping"/>
            </w:r>
            <w:r>
              <w:rPr>
                <w:rStyle w:val="312"/>
                <w:rFonts w:hint="default" w:cs="宋体"/>
                <w:color w:val="auto"/>
                <w:sz w:val="21"/>
                <w:szCs w:val="21"/>
                <w:highlight w:val="none"/>
                <w:lang w:bidi="ar"/>
              </w:rPr>
              <w:t>三档（8分）：在满足上一档的基础上，方案包括网络架构、组网技术应用，专网的实现方式，符合项目实际情况，</w:t>
            </w:r>
            <w:r>
              <w:rPr>
                <w:rStyle w:val="329"/>
                <w:rFonts w:hint="default" w:ascii="宋体" w:hAnsi="宋体" w:eastAsia="宋体" w:cs="宋体"/>
                <w:color w:val="auto"/>
                <w:sz w:val="21"/>
                <w:szCs w:val="21"/>
                <w:highlight w:val="none"/>
                <w:lang w:bidi="ar"/>
              </w:rPr>
              <w:t>拟投入1名本项目技术负责人具有中级工程师（计算机网络工程）或以上职称证书的</w:t>
            </w:r>
            <w:r>
              <w:rPr>
                <w:rStyle w:val="312"/>
                <w:rFonts w:hint="default" w:cs="宋体"/>
                <w:color w:val="auto"/>
                <w:sz w:val="21"/>
                <w:szCs w:val="21"/>
                <w:highlight w:val="none"/>
                <w:lang w:bidi="ar"/>
              </w:rPr>
              <w:t>；方案满足项目实际需求且被评标委员会认可的，得8分。</w:t>
            </w:r>
            <w:r>
              <w:rPr>
                <w:rStyle w:val="312"/>
                <w:rFonts w:hint="default" w:cs="宋体"/>
                <w:color w:val="auto"/>
                <w:sz w:val="21"/>
                <w:szCs w:val="21"/>
                <w:highlight w:val="none"/>
                <w:lang w:bidi="ar"/>
              </w:rPr>
              <w:br w:type="textWrapping"/>
            </w:r>
            <w:r>
              <w:rPr>
                <w:rStyle w:val="312"/>
                <w:rFonts w:hint="default" w:cs="宋体"/>
                <w:color w:val="auto"/>
                <w:sz w:val="21"/>
                <w:szCs w:val="21"/>
                <w:highlight w:val="none"/>
                <w:lang w:bidi="ar"/>
              </w:rPr>
              <w:t>四档（14分）：在满足上一档的基础上，方案能够详细描述安全防护功能实现方式并提供运行维护服务方案的。因突发事件造成网络可能长时间中断，有能力做出替代服务决策让网络尽快恢复，最大限度降低采购人损失。</w:t>
            </w:r>
            <w:r>
              <w:rPr>
                <w:rStyle w:val="329"/>
                <w:rFonts w:hint="default" w:ascii="宋体" w:hAnsi="宋体" w:eastAsia="宋体" w:cs="宋体"/>
                <w:color w:val="auto"/>
                <w:sz w:val="21"/>
                <w:szCs w:val="21"/>
                <w:highlight w:val="none"/>
                <w:lang w:bidi="ar"/>
              </w:rPr>
              <w:t>拟投入1名本项目技术负责人具有网络规划设计师（高级）证书、互联网技术工程师证书、中级工程师（计算机网络工程）或以上职称证书的</w:t>
            </w:r>
            <w:r>
              <w:rPr>
                <w:rStyle w:val="312"/>
                <w:rFonts w:hint="default" w:cs="宋体"/>
                <w:color w:val="auto"/>
                <w:sz w:val="21"/>
                <w:szCs w:val="21"/>
                <w:highlight w:val="none"/>
                <w:lang w:bidi="ar"/>
              </w:rPr>
              <w:t>，方案满足项目实际需求且被评标委员会认可的，得14分。</w:t>
            </w:r>
            <w:r>
              <w:rPr>
                <w:rStyle w:val="312"/>
                <w:rFonts w:hint="default" w:cs="宋体"/>
                <w:color w:val="auto"/>
                <w:sz w:val="21"/>
                <w:szCs w:val="21"/>
                <w:highlight w:val="none"/>
                <w:lang w:bidi="ar"/>
              </w:rPr>
              <w:br w:type="textWrapping"/>
            </w:r>
            <w:r>
              <w:rPr>
                <w:rStyle w:val="329"/>
                <w:rFonts w:hint="default" w:ascii="宋体" w:hAnsi="宋体" w:eastAsia="宋体" w:cs="宋体"/>
                <w:color w:val="auto"/>
                <w:sz w:val="21"/>
                <w:szCs w:val="21"/>
                <w:highlight w:val="none"/>
                <w:lang w:bidi="ar"/>
              </w:rPr>
              <w:t>投标文件中须提供：1）满足加对应项分值的人员证书复印件；2）以上人员必须提供投标截止日期前半年内其中一个月的社保证明或劳动/聘用合同等有效证明材料。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4</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实施方案</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16</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一档（0分）：未提供方案或方案不满足以下评分项的不得分。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二档（6分）：供应商提供组织实施方案，方案包含实施方法及保障措施、形成项目管理文档计划等。方案满足项目实际需求且被评标委员会认可的，得6分。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三档（10分）：在满足上一档的基础上，方案有项目管理组织机构图、工作安排能说明人员安排及施工进度安排；方案满足项目实际需求且被评标委员会认可的，得10分。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四档（16分）：在满足上一档的基础上，方案有完备的质量管理体系和安全保障措施，指明项目重点难点及解决办法，确保项目在计划工期内完成；方案满足项目实际需求且被评标委员会认可的，得16分。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5</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实施人员配备及保障措施</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8</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一档（0分）：未提供实施人员配备方案及保障措施或方案不满足以下评分项的不得分。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二档（4分）：提供本项目实施人员配备方案，方案满足项目实际需求且被评标委员会认可的，得3分。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三档（8分）：在满足上一档的基础上，方案包含人员分工、具体保障措施等，确保本项目按时开通服务。方案满足项目实际需求且被评标委员会认可的，得8分。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6</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售后服务方案</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20</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一档（0分）：未提供方案或方案不满足以下评分项的不得分。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二档（10分）：供应商提供售后服务保障方案，方案包含售后服务内容，光缆故障处理预案、传输设备故障处理预案等，</w:t>
            </w:r>
            <w:r>
              <w:rPr>
                <w:rStyle w:val="329"/>
                <w:rFonts w:hint="default" w:ascii="宋体" w:hAnsi="宋体" w:eastAsia="宋体" w:cs="宋体"/>
                <w:color w:val="auto"/>
                <w:sz w:val="21"/>
                <w:szCs w:val="21"/>
                <w:highlight w:val="none"/>
                <w:lang w:bidi="ar"/>
              </w:rPr>
              <w:t>拟投入1名售后负责人具有中级工程师（通信工程）或以上职称证书、移动通信网络优化维护师(初级或以上)证书；且拟投入本项目售后服务人员至少6人，</w:t>
            </w:r>
            <w:r>
              <w:rPr>
                <w:rStyle w:val="312"/>
                <w:rFonts w:hint="default" w:cs="宋体"/>
                <w:color w:val="auto"/>
                <w:sz w:val="21"/>
                <w:szCs w:val="21"/>
                <w:highlight w:val="none"/>
                <w:lang w:bidi="ar"/>
              </w:rPr>
              <w:t>方案满足项目实际需求且被评标委员会认可的，得10分。</w:t>
            </w:r>
            <w:r>
              <w:rPr>
                <w:rStyle w:val="312"/>
                <w:rFonts w:hint="default" w:cs="宋体"/>
                <w:color w:val="auto"/>
                <w:sz w:val="21"/>
                <w:szCs w:val="21"/>
                <w:highlight w:val="none"/>
                <w:lang w:bidi="ar"/>
              </w:rPr>
              <w:br w:type="textWrapping"/>
            </w:r>
            <w:r>
              <w:rPr>
                <w:rStyle w:val="312"/>
                <w:rFonts w:hint="default" w:cs="宋体"/>
                <w:color w:val="auto"/>
                <w:sz w:val="21"/>
                <w:szCs w:val="21"/>
                <w:highlight w:val="none"/>
                <w:lang w:bidi="ar"/>
              </w:rPr>
              <w:t>三档（20分）：在满足上一档的基础上，方案包含售后服务流程、故障等级与处理时限，有本地化服务支撑能力、应急响应方案、故障申告途径及绿色通道，根据项目情况和具体维修内容，</w:t>
            </w:r>
            <w:r>
              <w:rPr>
                <w:rStyle w:val="329"/>
                <w:rFonts w:hint="default" w:ascii="宋体" w:hAnsi="宋体" w:eastAsia="宋体" w:cs="宋体"/>
                <w:color w:val="auto"/>
                <w:sz w:val="21"/>
                <w:szCs w:val="21"/>
                <w:highlight w:val="none"/>
                <w:lang w:bidi="ar"/>
              </w:rPr>
              <w:t>拟投入1名售后负责人具有高级工程师（通信工程）或以上职称证书、移动通信网络优化维护师(中级或以上)证书；且拟投入本项目售后服务人员至少6人，其中至少2人具备网络工程师证书，至少2人具备信息安全管理(高级)证书</w:t>
            </w:r>
            <w:r>
              <w:rPr>
                <w:rStyle w:val="312"/>
                <w:rFonts w:hint="default" w:cs="宋体"/>
                <w:color w:val="auto"/>
                <w:sz w:val="21"/>
                <w:szCs w:val="21"/>
                <w:highlight w:val="none"/>
                <w:lang w:bidi="ar"/>
              </w:rPr>
              <w:t>，承诺一般故障能够在30分钟内响应，6小时内完成故障处理。（注：以上服务人员标准情况为采购单位根据过往服务情况对应各档次明确的服务标准情况测算所得。）方案满足项目实际需求且被评标委员会认可的，得</w:t>
            </w:r>
            <w:r>
              <w:rPr>
                <w:rStyle w:val="312"/>
                <w:rFonts w:hint="eastAsia" w:cs="宋体"/>
                <w:color w:val="auto"/>
                <w:sz w:val="21"/>
                <w:szCs w:val="21"/>
                <w:highlight w:val="none"/>
                <w:lang w:val="en-US" w:bidi="ar"/>
              </w:rPr>
              <w:t>20</w:t>
            </w:r>
            <w:r>
              <w:rPr>
                <w:rStyle w:val="312"/>
                <w:rFonts w:hint="default" w:cs="宋体"/>
                <w:color w:val="auto"/>
                <w:sz w:val="21"/>
                <w:szCs w:val="21"/>
                <w:highlight w:val="none"/>
                <w:lang w:bidi="ar"/>
              </w:rPr>
              <w:t>分。</w:t>
            </w:r>
            <w:r>
              <w:rPr>
                <w:rStyle w:val="312"/>
                <w:rFonts w:hint="default" w:cs="宋体"/>
                <w:color w:val="auto"/>
                <w:sz w:val="21"/>
                <w:szCs w:val="21"/>
                <w:highlight w:val="none"/>
                <w:lang w:bidi="ar"/>
              </w:rPr>
              <w:br w:type="textWrapping"/>
            </w:r>
            <w:r>
              <w:rPr>
                <w:rStyle w:val="329"/>
                <w:rFonts w:hint="default" w:ascii="宋体" w:hAnsi="宋体" w:eastAsia="宋体" w:cs="宋体"/>
                <w:color w:val="auto"/>
                <w:sz w:val="21"/>
                <w:szCs w:val="21"/>
                <w:highlight w:val="none"/>
                <w:lang w:bidi="ar"/>
              </w:rPr>
              <w:t>投标文件中须提供：1）满足加对应项分值的人员证书复印件；2）以上人员必须提供投标截止日期前半年内其中一个月的社保证明或劳动/聘用合同等有效证明材料。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7</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培训方案</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4</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一档（0分）：未提供培训方案或培训方案不满足以下评分项的不得分。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二档（2分）：提供本项目培训方案，方案满足项目实际需求且被评标委员会认可的，得2分。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三档（4分）：在满足上一档的基础上，方案包含培训优势、培训目的、培训原则、培训内容等。方案满足项目实际需求且被评标委员会认可的，得4分。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8</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实施人员配备能力</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7</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1、供应商拟投入1名项目负责人同时具有信息系统项目管理师（高级）证书、信息安全管理(高级)证书、网络工程师证书的，</w:t>
            </w:r>
            <w:r>
              <w:rPr>
                <w:rFonts w:hint="eastAsia" w:ascii="宋体" w:hAnsi="宋体" w:cs="宋体"/>
                <w:color w:val="auto"/>
                <w:szCs w:val="21"/>
                <w:highlight w:val="none"/>
              </w:rPr>
              <w:t>具有一个证得1分</w:t>
            </w:r>
            <w:r>
              <w:rPr>
                <w:rFonts w:hint="eastAsia" w:ascii="宋体" w:hAnsi="宋体" w:cs="宋体"/>
                <w:color w:val="auto"/>
                <w:kern w:val="0"/>
                <w:szCs w:val="21"/>
                <w:highlight w:val="none"/>
                <w:lang w:bidi="ar"/>
              </w:rPr>
              <w:t>。满分3分。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2、项目实施团队人员资质分（4分）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①具备互联网技术工程师证书，每具备1名得1分，满分2分；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②具有中级工程师（通信工程）或以上职称证书，每具备1名得1分，满分2分；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投标文件中须提供：1）满足加对应项分值的人员证书复印件；2）以上人员必须提供投标截止日期前半年内其中一个月的社保证明或劳动/聘用合同等有效证明材料。3）项目负责人、项目实施团队人员不能为同一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Merge w:val="restart"/>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9</w:t>
            </w:r>
          </w:p>
        </w:tc>
        <w:tc>
          <w:tcPr>
            <w:tcW w:w="1575" w:type="dxa"/>
            <w:vMerge w:val="restart"/>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实力信誉分</w:t>
            </w:r>
          </w:p>
          <w:p>
            <w:pPr>
              <w:spacing w:line="360" w:lineRule="auto"/>
              <w:jc w:val="center"/>
              <w:rPr>
                <w:rFonts w:ascii="宋体" w:hAnsi="宋体" w:cs="宋体"/>
                <w:b/>
                <w:bCs/>
                <w:color w:val="auto"/>
                <w:spacing w:val="-1"/>
                <w:szCs w:val="21"/>
                <w:highlight w:val="none"/>
              </w:rPr>
            </w:pPr>
          </w:p>
        </w:tc>
        <w:tc>
          <w:tcPr>
            <w:tcW w:w="645" w:type="dxa"/>
            <w:vMerge w:val="restart"/>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7</w:t>
            </w:r>
          </w:p>
          <w:p>
            <w:pPr>
              <w:pStyle w:val="338"/>
              <w:spacing w:before="0" w:after="0" w:line="360" w:lineRule="auto"/>
              <w:jc w:val="center"/>
              <w:rPr>
                <w:rFonts w:ascii="宋体" w:hAnsi="宋体" w:cs="宋体"/>
                <w:b/>
                <w:bCs/>
                <w:color w:val="auto"/>
                <w:spacing w:val="-2"/>
                <w:sz w:val="21"/>
                <w:szCs w:val="21"/>
                <w:highlight w:val="none"/>
                <w14:textOutline w14:w="3835" w14:cap="flat" w14:cmpd="sng" w14:algn="ctr">
                  <w14:solidFill>
                    <w14:srgbClr w14:val="000000"/>
                  </w14:solidFill>
                  <w14:prstDash w14:val="solid"/>
                  <w14:miter w14:val="0"/>
                </w14:textOutline>
              </w:rPr>
            </w:pP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①投标人或其总公司获得投标人通过项目质量管理体系认证证书、组织履约能力管理体系认证证书，每提供1项得1分，最多得2分。（需提供相应有效的认证证书复印件，并加盖单位公章）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Merge w:val="continue"/>
            <w:vAlign w:val="center"/>
          </w:tcPr>
          <w:p>
            <w:pPr>
              <w:spacing w:line="360" w:lineRule="auto"/>
              <w:jc w:val="center"/>
              <w:rPr>
                <w:rFonts w:ascii="宋体" w:hAnsi="宋体" w:cs="宋体"/>
                <w:b/>
                <w:bCs/>
                <w:color w:val="auto"/>
                <w:spacing w:val="-1"/>
                <w:szCs w:val="21"/>
                <w:highlight w:val="none"/>
              </w:rPr>
            </w:pPr>
          </w:p>
        </w:tc>
        <w:tc>
          <w:tcPr>
            <w:tcW w:w="1575" w:type="dxa"/>
            <w:vMerge w:val="continue"/>
            <w:vAlign w:val="center"/>
          </w:tcPr>
          <w:p>
            <w:pPr>
              <w:spacing w:line="360" w:lineRule="auto"/>
              <w:jc w:val="center"/>
              <w:rPr>
                <w:rFonts w:ascii="宋体" w:hAnsi="宋体" w:cs="宋体"/>
                <w:b/>
                <w:bCs/>
                <w:color w:val="auto"/>
                <w:spacing w:val="-1"/>
                <w:szCs w:val="21"/>
                <w:highlight w:val="none"/>
              </w:rPr>
            </w:pPr>
          </w:p>
        </w:tc>
        <w:tc>
          <w:tcPr>
            <w:tcW w:w="645" w:type="dxa"/>
            <w:vMerge w:val="continue"/>
            <w:vAlign w:val="center"/>
          </w:tcPr>
          <w:p>
            <w:pPr>
              <w:pStyle w:val="338"/>
              <w:spacing w:before="0" w:after="0" w:line="360" w:lineRule="auto"/>
              <w:jc w:val="center"/>
              <w:rPr>
                <w:rFonts w:ascii="宋体" w:hAnsi="宋体" w:cs="宋体"/>
                <w:b/>
                <w:bCs/>
                <w:color w:val="auto"/>
                <w:spacing w:val="-2"/>
                <w:sz w:val="21"/>
                <w:szCs w:val="21"/>
                <w:highlight w:val="none"/>
                <w14:textOutline w14:w="3835" w14:cap="flat" w14:cmpd="sng" w14:algn="ctr">
                  <w14:solidFill>
                    <w14:srgbClr w14:val="000000"/>
                  </w14:solidFill>
                  <w14:prstDash w14:val="solid"/>
                  <w14:miter w14:val="0"/>
                </w14:textOutline>
              </w:rPr>
            </w:pP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②供应商自2024年以来参加由省级公安厅、省级党委网信办、省级数据局联合举办的省级网络安全攻防实战演习活动中获得一等奖得5分，二等奖2分，三等奖1分（需提供证明材料并加盖投标人公章）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10</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业绩分</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2</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投标人具有同类或类似项目案例，提供中标/成交通知书或其对应的合同复印件并加盖供应商公章。提供1个得1分，本项满分2分。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3" w:type="dxa"/>
            <w:gridSpan w:val="4"/>
          </w:tcPr>
          <w:p>
            <w:pPr>
              <w:spacing w:line="360" w:lineRule="auto"/>
              <w:rPr>
                <w:rFonts w:ascii="宋体" w:hAnsi="宋体" w:cs="宋体"/>
                <w:color w:val="auto"/>
                <w:spacing w:val="-1"/>
                <w:szCs w:val="21"/>
                <w:highlight w:val="none"/>
              </w:rPr>
            </w:pPr>
            <w:r>
              <w:rPr>
                <w:rFonts w:hint="eastAsia" w:ascii="宋体" w:hAnsi="宋体" w:cs="宋体"/>
                <w:color w:val="auto"/>
                <w:spacing w:val="-2"/>
                <w:szCs w:val="21"/>
                <w:highlight w:val="none"/>
                <w14:textOutline w14:w="3835" w14:cap="flat" w14:cmpd="sng" w14:algn="ctr">
                  <w14:solidFill>
                    <w14:srgbClr w14:val="000000"/>
                  </w14:solidFill>
                  <w14:prstDash w14:val="solid"/>
                  <w14:miter w14:val="0"/>
                </w14:textOutline>
              </w:rPr>
              <w:t>总分=1+2+3+4+5+6+7+8+9+10</w:t>
            </w:r>
          </w:p>
        </w:tc>
      </w:tr>
    </w:tbl>
    <w:p>
      <w:pPr>
        <w:snapToGrid w:val="0"/>
        <w:spacing w:line="360" w:lineRule="auto"/>
        <w:rPr>
          <w:rFonts w:ascii="宋体" w:hAnsi="宋体" w:cs="宋体"/>
          <w:color w:val="auto"/>
          <w:sz w:val="24"/>
          <w:highlight w:val="none"/>
        </w:rPr>
      </w:pPr>
      <w:r>
        <w:rPr>
          <w:rFonts w:hint="eastAsia" w:ascii="宋体" w:hAnsi="宋体" w:cs="宋体"/>
          <w:color w:val="auto"/>
          <w:sz w:val="20"/>
          <w:szCs w:val="20"/>
          <w:highlight w:val="none"/>
          <w:shd w:val="clear" w:color="auto" w:fill="FFFFFF"/>
        </w:rPr>
        <w:t> </w:t>
      </w:r>
      <w:r>
        <w:rPr>
          <w:rFonts w:hint="eastAsia" w:cs="仿宋_GB2312" w:asciiTheme="minorEastAsia" w:hAnsiTheme="minorEastAsia" w:eastAsiaTheme="minorEastAsia"/>
          <w:bCs/>
          <w:color w:val="auto"/>
          <w:sz w:val="24"/>
          <w:highlight w:val="none"/>
        </w:rPr>
        <w:t>*</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w:t>
      </w:r>
    </w:p>
    <w:p>
      <w:pPr>
        <w:rPr>
          <w:rFonts w:ascii="宋体" w:hAnsi="宋体" w:cs="宋体"/>
          <w:color w:val="auto"/>
          <w:sz w:val="24"/>
          <w:highlight w:val="none"/>
        </w:rPr>
      </w:pPr>
      <w:r>
        <w:rPr>
          <w:rFonts w:hint="eastAsia" w:ascii="宋体" w:hAnsi="宋体" w:cs="宋体"/>
          <w:color w:val="auto"/>
          <w:sz w:val="24"/>
          <w:highlight w:val="none"/>
        </w:rPr>
        <w:br w:type="page"/>
      </w:r>
    </w:p>
    <w:p>
      <w:pPr>
        <w:snapToGrid w:val="0"/>
        <w:spacing w:line="360" w:lineRule="auto"/>
        <w:rPr>
          <w:rFonts w:ascii="宋体" w:hAnsi="宋体" w:cs="宋体"/>
          <w:b/>
          <w:color w:val="auto"/>
          <w:sz w:val="28"/>
          <w:szCs w:val="28"/>
          <w:highlight w:val="none"/>
        </w:rPr>
      </w:pPr>
      <w:r>
        <w:rPr>
          <w:rFonts w:hint="eastAsia" w:ascii="宋体" w:hAnsi="宋体" w:cs="宋体"/>
          <w:b/>
          <w:color w:val="auto"/>
          <w:sz w:val="32"/>
          <w:highlight w:val="none"/>
        </w:rPr>
        <w:t>一、评标方法</w:t>
      </w:r>
    </w:p>
    <w:p>
      <w:pPr>
        <w:adjustRightInd/>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1.本项目采用的评标方法:</w:t>
      </w:r>
    </w:p>
    <w:p>
      <w:pPr>
        <w:adjustRightInd/>
        <w:spacing w:line="360" w:lineRule="auto"/>
        <w:ind w:firstLine="480" w:firstLineChars="200"/>
        <w:rPr>
          <w:rFonts w:ascii="宋体" w:hAnsi="宋体" w:cs="宋体"/>
          <w:color w:val="auto"/>
          <w:kern w:val="0"/>
          <w:sz w:val="24"/>
          <w:highlight w:val="none"/>
        </w:rPr>
      </w:pPr>
      <w:sdt>
        <w:sdtPr>
          <w:rPr>
            <w:rFonts w:hint="eastAsia" w:ascii="宋体" w:hAnsi="宋体" w:cs="宋体"/>
            <w:color w:val="auto"/>
            <w:kern w:val="0"/>
            <w:sz w:val="24"/>
            <w:highlight w:val="none"/>
          </w:rPr>
          <w:id w:val="-747492348"/>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b/>
          <w:color w:val="auto"/>
          <w:kern w:val="0"/>
          <w:sz w:val="24"/>
          <w:highlight w:val="none"/>
        </w:rPr>
        <w:t>综合评分法</w:t>
      </w:r>
      <w:r>
        <w:rPr>
          <w:rFonts w:hint="eastAsia" w:ascii="宋体" w:hAnsi="宋体" w:cs="宋体"/>
          <w:color w:val="auto"/>
          <w:sz w:val="24"/>
          <w:highlight w:val="none"/>
        </w:rPr>
        <w:t>。</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pPr>
        <w:adjustRightInd/>
        <w:spacing w:line="360" w:lineRule="auto"/>
        <w:ind w:firstLine="480" w:firstLineChars="200"/>
        <w:rPr>
          <w:rFonts w:ascii="宋体" w:hAnsi="宋体" w:cs="宋体"/>
          <w:b/>
          <w:color w:val="auto"/>
          <w:kern w:val="0"/>
          <w:sz w:val="24"/>
          <w:highlight w:val="none"/>
        </w:rPr>
      </w:pPr>
      <w:sdt>
        <w:sdtPr>
          <w:rPr>
            <w:rFonts w:hint="eastAsia" w:ascii="宋体" w:hAnsi="宋体" w:cs="宋体"/>
            <w:color w:val="auto"/>
            <w:kern w:val="0"/>
            <w:sz w:val="24"/>
            <w:highlight w:val="none"/>
          </w:rPr>
          <w:id w:val="-46134223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B</w:t>
      </w:r>
      <w:r>
        <w:rPr>
          <w:rFonts w:hint="eastAsia" w:ascii="宋体" w:hAnsi="宋体" w:cs="宋体"/>
          <w:color w:val="auto"/>
          <w:sz w:val="24"/>
          <w:highlight w:val="none"/>
        </w:rPr>
        <w:t>最低评标价法</w:t>
      </w:r>
      <w:r>
        <w:rPr>
          <w:rFonts w:hint="eastAsia" w:ascii="宋体" w:hAnsi="宋体" w:cs="宋体"/>
          <w:b/>
          <w:color w:val="auto"/>
          <w:kern w:val="0"/>
          <w:sz w:val="24"/>
          <w:highlight w:val="none"/>
        </w:rPr>
        <w:t>。</w:t>
      </w:r>
      <w:r>
        <w:rPr>
          <w:rFonts w:hint="eastAsia" w:ascii="宋体" w:hAnsi="宋体" w:cs="宋体"/>
          <w:color w:val="auto"/>
          <w:kern w:val="0"/>
          <w:sz w:val="24"/>
          <w:highlight w:val="none"/>
        </w:rPr>
        <w:t>最低评标价法，是指投标文件满足招标文件全部实质性要求，且投标报价最低的投标人为中标候选人的评标方法。</w:t>
      </w:r>
    </w:p>
    <w:p>
      <w:pPr>
        <w:adjustRightInd/>
        <w:spacing w:line="360" w:lineRule="auto"/>
        <w:outlineLvl w:val="1"/>
        <w:rPr>
          <w:rFonts w:ascii="宋体" w:hAnsi="宋体" w:cs="宋体"/>
          <w:color w:val="auto"/>
          <w:kern w:val="0"/>
          <w:sz w:val="24"/>
          <w:highlight w:val="none"/>
        </w:rPr>
      </w:pPr>
      <w:r>
        <w:rPr>
          <w:rFonts w:hint="eastAsia" w:ascii="宋体" w:hAnsi="宋体" w:cs="宋体"/>
          <w:b/>
          <w:color w:val="auto"/>
          <w:sz w:val="32"/>
          <w:highlight w:val="none"/>
        </w:rPr>
        <w:t>二、评标标准</w:t>
      </w:r>
    </w:p>
    <w:p>
      <w:pPr>
        <w:spacing w:line="360" w:lineRule="auto"/>
        <w:ind w:firstLine="472" w:firstLineChars="196"/>
        <w:rPr>
          <w:rFonts w:ascii="宋体" w:hAnsi="宋体" w:cs="宋体"/>
          <w:b/>
          <w:color w:val="auto"/>
          <w:sz w:val="24"/>
          <w:highlight w:val="none"/>
        </w:rPr>
      </w:pPr>
      <w:r>
        <w:rPr>
          <w:rFonts w:hint="eastAsia" w:ascii="宋体" w:hAnsi="宋体" w:cs="宋体"/>
          <w:b/>
          <w:color w:val="auto"/>
          <w:sz w:val="24"/>
          <w:highlight w:val="none"/>
        </w:rPr>
        <w:t>2.</w:t>
      </w:r>
      <w:r>
        <w:rPr>
          <w:rFonts w:hint="eastAsia" w:ascii="宋体" w:hAnsi="宋体" w:cs="宋体"/>
          <w:color w:val="auto"/>
          <w:highlight w:val="none"/>
        </w:rPr>
        <w:t xml:space="preserve"> </w:t>
      </w:r>
      <w:r>
        <w:rPr>
          <w:rFonts w:hint="eastAsia" w:ascii="宋体" w:hAnsi="宋体" w:cs="宋体"/>
          <w:b/>
          <w:color w:val="auto"/>
          <w:sz w:val="24"/>
          <w:highlight w:val="none"/>
        </w:rPr>
        <w:t>评标标准：</w:t>
      </w:r>
      <w:r>
        <w:rPr>
          <w:rFonts w:hint="eastAsia" w:ascii="宋体" w:hAnsi="宋体" w:cs="宋体"/>
          <w:color w:val="auto"/>
          <w:sz w:val="24"/>
          <w:highlight w:val="none"/>
        </w:rPr>
        <w:t>采用综合评分法的，评标标准</w:t>
      </w:r>
      <w:r>
        <w:rPr>
          <w:rFonts w:hint="eastAsia" w:ascii="宋体" w:hAnsi="宋体" w:cs="宋体"/>
          <w:color w:val="auto"/>
          <w:kern w:val="0"/>
          <w:sz w:val="24"/>
          <w:highlight w:val="none"/>
        </w:rPr>
        <w:t>见评标办法前附表。采用最低评标价法评标时，除了算术修正和落实政府采购政策需进行的价格扣除外，不能对投标人的投标价格进行任何调整。</w:t>
      </w:r>
    </w:p>
    <w:p>
      <w:pPr>
        <w:spacing w:line="360" w:lineRule="auto"/>
        <w:outlineLvl w:val="1"/>
        <w:rPr>
          <w:rFonts w:ascii="宋体" w:hAnsi="宋体" w:cs="宋体"/>
          <w:b/>
          <w:color w:val="auto"/>
          <w:sz w:val="36"/>
          <w:szCs w:val="36"/>
          <w:highlight w:val="none"/>
        </w:rPr>
      </w:pPr>
      <w:r>
        <w:rPr>
          <w:rFonts w:hint="eastAsia" w:ascii="宋体" w:hAnsi="宋体" w:cs="宋体"/>
          <w:b/>
          <w:color w:val="auto"/>
          <w:sz w:val="36"/>
          <w:szCs w:val="36"/>
          <w:highlight w:val="none"/>
        </w:rPr>
        <w:t>三、评标程序</w:t>
      </w:r>
    </w:p>
    <w:p>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评标委员会应当对符合资格的投标人的投标文件进行符合性审查，以确定其是否满足招标文件的实质性要求。不满足招标文件的实质性要求的，投标无效。</w:t>
      </w:r>
    </w:p>
    <w:p>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 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采用综合评分法时，评标委员会各成员应当独立对每个投标人的商务和技术文件进行评价，并汇总商务技术得分情况。</w:t>
      </w:r>
    </w:p>
    <w:p>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pPr>
        <w:pStyle w:val="129"/>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3.4.1.1投标文件中开标一览表(报价表)内容与投标文件中相应内容不一致的，以开标一览表(报价表)为准;</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3.4.1.3单价金额小数点或者百分比有明显错位的，以开标一览表的总价为准，并修改单价;</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3.4.2投标文件出现不是唯一的、有选择性投标报价的，投标无效。</w:t>
      </w:r>
    </w:p>
    <w:p>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3.4.3投标报价超过招标文件中规定的预算金额或者最高限价的，投标无效。</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3.4.4政府采购异常低价审查：</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3.4.4.1按照《关于推动解决政府采购异常低价问题的通知》（财库〔2026〕2号）有关规定，本项目评审中出现下列情形之一的，评标委员会应当启动异常低价投标审查程序：</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（1）投标报价低于全部通过符合性审查供应商投标报价平均值50%的，即投标报价&lt;全部通过符合性审查供应商投标报价平均值×50%；</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（2）投标报价低于通过符合性审查的次低报价供应商投标报价50%的，即投标报价&lt;通过符合性审查的次低报价供应商投标报价×50%；</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（3）投标报价低于采购项目最高限价45%的，即投标报价&lt;采购项目最高限价×45%；</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（4）评标委员会基于专业判断，认为供应商报价过低，有可能影响产品质量或者不能诚信履约的其他情形。</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按照规定，采购人可以结合具体项目实际情况，提高上述第（1）项至第（3）项中启动异常低价投标审查的数值标准，但是最高不得超过65%，本项目采购人决定将上述（1）（2）（3）数值标准分别确定为</w:t>
      </w:r>
      <w:r>
        <w:rPr>
          <w:rFonts w:hint="eastAsia" w:ascii="宋体" w:hAnsi="宋体" w:cs="宋体"/>
          <w:color w:val="auto"/>
          <w:kern w:val="0"/>
          <w:szCs w:val="24"/>
          <w:highlight w:val="none"/>
          <w:u w:val="single"/>
        </w:rPr>
        <w:t>50%</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rPr>
        <w:t>50%</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rPr>
        <w:t>45%</w:t>
      </w:r>
      <w:r>
        <w:rPr>
          <w:rFonts w:hint="eastAsia" w:ascii="宋体" w:hAnsi="宋体" w:cs="宋体"/>
          <w:color w:val="auto"/>
          <w:kern w:val="0"/>
          <w:szCs w:val="24"/>
          <w:highlight w:val="none"/>
        </w:rPr>
        <w:t>。</w:t>
      </w:r>
      <w:r>
        <w:rPr>
          <w:rFonts w:hint="eastAsia" w:ascii="宋体" w:hAnsi="宋体" w:cs="宋体"/>
          <w:color w:val="auto"/>
          <w:kern w:val="0"/>
          <w:highlight w:val="none"/>
        </w:rPr>
        <w:t>采购项目未设定最高限价的，审查时取项目预算金额作为最高限价。</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异常低价投标审查的启动原因、审查意见和审查结果应当在评审报告中记录，并随供应商提供的相关书面说明及证明材料，以及评标委员会有关互联网浏览、查询历史一并归档。</w:t>
      </w:r>
    </w:p>
    <w:p>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3.4.5对于未预留份额专门面向中小企业采购的政府采购项目，以及预留份额政府采购项目中的非预留部分标项，对小型和微型企业的投标报价给予</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对于专门面向中小企业采购的项目或者采购包，不再执行价格评审优惠的扶持政策。</w:t>
      </w:r>
    </w:p>
    <w:p>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3.4.6</w:t>
      </w:r>
      <w:r>
        <w:rPr>
          <w:rFonts w:hint="eastAsia" w:ascii="宋体" w:hAnsi="宋体" w:cs="宋体"/>
          <w:color w:val="auto"/>
          <w:sz w:val="24"/>
          <w:highlight w:val="none"/>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pPr>
        <w:pStyle w:val="129"/>
        <w:spacing w:before="0"/>
        <w:ind w:firstLine="480"/>
        <w:rPr>
          <w:rFonts w:ascii="宋体" w:hAnsi="宋体" w:cs="宋体"/>
          <w:color w:val="auto"/>
          <w:kern w:val="0"/>
          <w:szCs w:val="24"/>
          <w:highlight w:val="none"/>
        </w:rPr>
      </w:pPr>
      <w:r>
        <w:rPr>
          <w:rFonts w:hint="eastAsia" w:ascii="宋体" w:hAnsi="宋体" w:cs="宋体"/>
          <w:color w:val="auto"/>
          <w:highlight w:val="none"/>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微企业产品价格扣除政策。</w:t>
      </w:r>
    </w:p>
    <w:p>
      <w:pPr>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3.5排序与推荐。</w:t>
      </w:r>
    </w:p>
    <w:p>
      <w:pPr>
        <w:spacing w:line="360" w:lineRule="auto"/>
        <w:ind w:firstLine="482" w:firstLineChars="200"/>
        <w:rPr>
          <w:rFonts w:ascii="宋体" w:hAnsi="宋体" w:cs="宋体"/>
          <w:color w:val="auto"/>
          <w:kern w:val="0"/>
          <w:sz w:val="24"/>
          <w:highlight w:val="none"/>
        </w:rPr>
      </w:pPr>
      <w:r>
        <w:rPr>
          <w:rFonts w:hint="eastAsia" w:ascii="宋体" w:hAnsi="宋体" w:cs="宋体"/>
          <w:b/>
          <w:color w:val="auto"/>
          <w:kern w:val="0"/>
          <w:sz w:val="24"/>
          <w:highlight w:val="none"/>
        </w:rPr>
        <w:t>3.5.1</w:t>
      </w:r>
      <w:r>
        <w:rPr>
          <w:rFonts w:hint="eastAsia" w:ascii="宋体" w:hAnsi="宋体" w:cs="宋体"/>
          <w:color w:val="auto"/>
          <w:kern w:val="0"/>
          <w:sz w:val="24"/>
          <w:highlight w:val="none"/>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pPr>
        <w:pStyle w:val="83"/>
        <w:rPr>
          <w:rFonts w:cs="宋体"/>
          <w:color w:val="auto"/>
          <w:highlight w:val="none"/>
        </w:rPr>
      </w:pPr>
      <w:r>
        <w:rPr>
          <w:rFonts w:hint="eastAsia" w:cs="宋体"/>
          <w:color w:val="auto"/>
          <w:highlight w:val="none"/>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3.6编写评标报告。</w:t>
      </w:r>
      <w:r>
        <w:rPr>
          <w:rFonts w:hint="eastAsia" w:ascii="宋体" w:hAnsi="宋体" w:cs="宋体"/>
          <w:color w:val="auto"/>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pPr>
        <w:widowControl/>
        <w:shd w:val="clear" w:color="auto" w:fill="FFFFFF"/>
        <w:adjustRightInd/>
        <w:spacing w:after="225" w:line="315" w:lineRule="atLeast"/>
        <w:jc w:val="left"/>
        <w:outlineLvl w:val="1"/>
        <w:rPr>
          <w:rFonts w:ascii="宋体" w:hAnsi="宋体" w:cs="宋体"/>
          <w:b/>
          <w:color w:val="auto"/>
          <w:sz w:val="32"/>
          <w:highlight w:val="none"/>
        </w:rPr>
      </w:pPr>
      <w:r>
        <w:rPr>
          <w:rFonts w:hint="eastAsia" w:ascii="宋体" w:hAnsi="宋体" w:cs="宋体"/>
          <w:b/>
          <w:color w:val="auto"/>
          <w:sz w:val="32"/>
          <w:highlight w:val="none"/>
        </w:rPr>
        <w:t>四、评标中的其他事项</w:t>
      </w:r>
    </w:p>
    <w:p>
      <w:pPr>
        <w:pStyle w:val="129"/>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pPr>
        <w:pStyle w:val="3"/>
        <w:spacing w:line="360" w:lineRule="auto"/>
        <w:ind w:left="954"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4.2.1投标人不具备招标文件中规定的资格要求的（投标人未提供有效的资格文件的，视为投标人不具备招标文件中规定的资格要求）；</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4.2.2投标文件未按照招标文件要求签署、盖章的；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4.2.4投标文件含有采购人不能接受的附加条件的；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4.2.5投标文件中承诺的投标有效期少于招标文件中载明的投标有效期的；</w:t>
      </w:r>
    </w:p>
    <w:p>
      <w:pPr>
        <w:snapToGrid w:val="0"/>
        <w:spacing w:line="360" w:lineRule="auto"/>
        <w:ind w:firstLine="120" w:firstLineChars="5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4.2.6投标文件出现不是唯一的、有选择性投标报价的;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4.2.7投标报价超过招标文件中规定的预算金额或者最高限价的;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4.2.8投标报价属于招标文件规定的政府采购异常低价情形之一，且投标人不能提供书面说明、证明材料，或者提供的书面说明、证明材料不能证明其报价合理性的</w:t>
      </w:r>
      <w:r>
        <w:rPr>
          <w:rFonts w:hint="eastAsia" w:ascii="宋体" w:hAnsi="宋体" w:cs="宋体"/>
          <w:color w:val="auto"/>
          <w:sz w:val="24"/>
          <w:szCs w:val="21"/>
          <w:highlight w:val="none"/>
        </w:rPr>
        <w:t>;</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4.2.9投标人对根据修正原则修正后的报价不确认的；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4.2.10投标人提供虚假材料投标的；</w:t>
      </w:r>
    </w:p>
    <w:p>
      <w:pPr>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  4.2.11投标人有恶意串通、妨碍其他投标人的竞争行为、损害采购人或者其他投标人的合法权益情形的；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4.2.12投标人仅提交备份投标文件，未在电子交易平台传输递交投标文件的，投标无效；</w:t>
      </w:r>
    </w:p>
    <w:p>
      <w:pPr>
        <w:pStyle w:val="83"/>
        <w:rPr>
          <w:b/>
          <w:bCs/>
          <w:color w:val="auto"/>
          <w:highlight w:val="none"/>
        </w:rPr>
      </w:pPr>
      <w:r>
        <w:rPr>
          <w:rFonts w:hint="eastAsia"/>
          <w:color w:val="auto"/>
          <w:highlight w:val="none"/>
        </w:rPr>
        <w:t>4.2.13 投标文件不满足招标文件的其它实质性要求的；</w:t>
      </w:r>
    </w:p>
    <w:p>
      <w:pPr>
        <w:pStyle w:val="83"/>
        <w:rPr>
          <w:rFonts w:cs="宋体"/>
          <w:color w:val="auto"/>
          <w:highlight w:val="none"/>
        </w:rPr>
      </w:pPr>
      <w:r>
        <w:rPr>
          <w:rFonts w:hint="eastAsia"/>
          <w:color w:val="auto"/>
          <w:highlight w:val="none"/>
        </w:rPr>
        <w:t>4.2.14</w:t>
      </w:r>
      <w:r>
        <w:rPr>
          <w:rFonts w:hint="eastAsia" w:cs="宋体"/>
          <w:color w:val="auto"/>
          <w:highlight w:val="none"/>
        </w:rPr>
        <w:t>投标人存在下列情形之一且无法合理解释的：（1</w:t>
      </w:r>
      <w:r>
        <w:rPr>
          <w:rFonts w:cs="宋体"/>
          <w:color w:val="auto"/>
          <w:highlight w:val="none"/>
        </w:rPr>
        <w:t>）</w:t>
      </w:r>
      <w:r>
        <w:rPr>
          <w:rFonts w:hint="eastAsia" w:cs="宋体"/>
          <w:color w:val="auto"/>
          <w:highlight w:val="none"/>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4.2.15法律、法规、规章（适用本市的）及省级以上规范性文件（适用本市的）规定的其他无效情形。</w:t>
      </w:r>
    </w:p>
    <w:p>
      <w:pPr>
        <w:pStyle w:val="3"/>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pPr>
        <w:pStyle w:val="3"/>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pPr>
        <w:pStyle w:val="3"/>
        <w:snapToGrid w:val="0"/>
        <w:spacing w:line="360" w:lineRule="auto"/>
        <w:rPr>
          <w:rFonts w:cs="宋体"/>
          <w:color w:val="auto"/>
          <w:highlight w:val="none"/>
        </w:rPr>
      </w:pPr>
      <w:r>
        <w:rPr>
          <w:rFonts w:hint="eastAsia" w:cs="宋体"/>
          <w:color w:val="auto"/>
          <w:highlight w:val="none"/>
        </w:rPr>
        <w:t>5.2出现影响采购公正的违法、违规行为的；</w:t>
      </w:r>
    </w:p>
    <w:p>
      <w:pPr>
        <w:pStyle w:val="3"/>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pPr>
        <w:pStyle w:val="3"/>
        <w:snapToGrid w:val="0"/>
        <w:spacing w:line="360" w:lineRule="auto"/>
        <w:rPr>
          <w:rFonts w:cs="宋体"/>
          <w:color w:val="auto"/>
          <w:highlight w:val="none"/>
        </w:rPr>
      </w:pPr>
      <w:r>
        <w:rPr>
          <w:rFonts w:hint="eastAsia" w:cs="宋体"/>
          <w:color w:val="auto"/>
          <w:highlight w:val="none"/>
        </w:rPr>
        <w:t>5.4因重大变故，采购任务取消的。</w:t>
      </w:r>
    </w:p>
    <w:p>
      <w:pPr>
        <w:pStyle w:val="3"/>
        <w:snapToGrid w:val="0"/>
        <w:spacing w:line="360" w:lineRule="auto"/>
        <w:rPr>
          <w:rFonts w:cs="宋体"/>
          <w:color w:val="auto"/>
          <w:highlight w:val="none"/>
        </w:rPr>
      </w:pPr>
      <w:r>
        <w:rPr>
          <w:rFonts w:hint="eastAsia" w:cs="宋体"/>
          <w:color w:val="auto"/>
          <w:highlight w:val="none"/>
        </w:rPr>
        <w:t>废标后，采购代理机构应当将废标理由通知所有投标人。</w:t>
      </w:r>
    </w:p>
    <w:p>
      <w:pPr>
        <w:pStyle w:val="3"/>
        <w:snapToGrid w:val="0"/>
        <w:spacing w:line="360" w:lineRule="auto"/>
        <w:ind w:firstLine="590" w:firstLineChars="245"/>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pPr>
        <w:pStyle w:val="3"/>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pPr>
        <w:pStyle w:val="3"/>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pPr>
        <w:pStyle w:val="3"/>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pPr>
        <w:pStyle w:val="3"/>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pPr>
        <w:pStyle w:val="3"/>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pPr>
        <w:pStyle w:val="3"/>
        <w:snapToGrid w:val="0"/>
        <w:spacing w:line="360" w:lineRule="auto"/>
        <w:rPr>
          <w:rFonts w:cs="宋体"/>
          <w:color w:val="auto"/>
          <w:highlight w:val="none"/>
        </w:rPr>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p>
    <w:p>
      <w:pPr>
        <w:pStyle w:val="83"/>
        <w:ind w:firstLine="0"/>
        <w:rPr>
          <w:b/>
          <w:color w:val="auto"/>
          <w:sz w:val="32"/>
          <w:szCs w:val="32"/>
          <w:highlight w:val="none"/>
        </w:rPr>
      </w:pPr>
      <w:r>
        <w:rPr>
          <w:rFonts w:hint="eastAsia"/>
          <w:b/>
          <w:color w:val="auto"/>
          <w:sz w:val="32"/>
          <w:szCs w:val="32"/>
          <w:highlight w:val="none"/>
        </w:rPr>
        <w:t>五、评审过程的保密与录像</w:t>
      </w:r>
    </w:p>
    <w:p>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8.1.保密。</w:t>
      </w:r>
      <w:r>
        <w:rPr>
          <w:rFonts w:hint="eastAsia" w:cs="仿宋_GB2312" w:asciiTheme="minorEastAsia" w:hAnsiTheme="minorEastAsia" w:eastAsiaTheme="minorEastAsia"/>
          <w:color w:val="auto"/>
          <w:sz w:val="24"/>
          <w:highlight w:val="none"/>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pPr>
        <w:pStyle w:val="3"/>
        <w:snapToGrid w:val="0"/>
        <w:spacing w:line="360" w:lineRule="auto"/>
        <w:ind w:firstLine="482"/>
        <w:rPr>
          <w:rFonts w:cs="宋体"/>
          <w:color w:val="auto"/>
          <w:highlight w:val="none"/>
        </w:rPr>
      </w:pPr>
      <w:r>
        <w:rPr>
          <w:rFonts w:hint="eastAsia" w:cs="仿宋_GB2312" w:asciiTheme="minorEastAsia" w:hAnsiTheme="minorEastAsia" w:eastAsiaTheme="minorEastAsia"/>
          <w:b/>
          <w:color w:val="auto"/>
          <w:highlight w:val="none"/>
        </w:rPr>
        <w:t>8.2.录音录像。</w:t>
      </w:r>
      <w:r>
        <w:rPr>
          <w:rFonts w:hint="eastAsia" w:cs="仿宋_GB2312" w:asciiTheme="minorEastAsia" w:hAnsiTheme="minorEastAsia" w:eastAsiaTheme="minorEastAsia"/>
          <w:color w:val="auto"/>
          <w:highlight w:val="none"/>
        </w:rPr>
        <w:t>采购代理机构对评审工作现场进行全过程录音录像，录音录像资料作为采购项目文件随其他文件一并存档。</w:t>
      </w:r>
    </w:p>
    <w:p>
      <w:pPr>
        <w:pStyle w:val="3"/>
        <w:snapToGrid w:val="0"/>
        <w:spacing w:line="360" w:lineRule="auto"/>
        <w:ind w:firstLine="0" w:firstLineChars="0"/>
        <w:rPr>
          <w:rFonts w:cs="宋体"/>
          <w:color w:val="auto"/>
          <w:highlight w:val="none"/>
        </w:rPr>
      </w:pPr>
    </w:p>
    <w:bookmarkEnd w:id="45"/>
    <w:p>
      <w:pPr>
        <w:spacing w:line="360" w:lineRule="auto"/>
        <w:ind w:left="720" w:leftChars="343" w:firstLine="1084" w:firstLineChars="300"/>
        <w:rPr>
          <w:rFonts w:ascii="宋体" w:hAnsi="宋体" w:cs="宋体"/>
          <w:b/>
          <w:color w:val="auto"/>
          <w:sz w:val="36"/>
          <w:szCs w:val="36"/>
          <w:highlight w:val="none"/>
        </w:rPr>
      </w:pPr>
      <w:bookmarkStart w:id="414" w:name="第五部分"/>
      <w:bookmarkStart w:id="415" w:name="_Toc86217003"/>
    </w:p>
    <w:p>
      <w:pPr>
        <w:spacing w:line="360" w:lineRule="auto"/>
        <w:ind w:left="720" w:leftChars="343" w:firstLine="1084" w:firstLineChars="300"/>
        <w:rPr>
          <w:rFonts w:ascii="宋体" w:hAnsi="宋体" w:cs="宋体"/>
          <w:b/>
          <w:color w:val="auto"/>
          <w:sz w:val="36"/>
          <w:szCs w:val="36"/>
          <w:highlight w:val="none"/>
        </w:rPr>
      </w:pPr>
      <w:r>
        <w:rPr>
          <w:rFonts w:hint="eastAsia" w:ascii="宋体" w:hAnsi="宋体" w:cs="宋体"/>
          <w:b/>
          <w:color w:val="auto"/>
          <w:sz w:val="36"/>
          <w:szCs w:val="36"/>
          <w:highlight w:val="none"/>
        </w:rPr>
        <w:t xml:space="preserve">    </w:t>
      </w:r>
    </w:p>
    <w:p>
      <w:pPr>
        <w:spacing w:line="360" w:lineRule="auto"/>
        <w:ind w:left="720" w:leftChars="343" w:firstLine="1084" w:firstLineChars="300"/>
        <w:rPr>
          <w:rFonts w:ascii="宋体" w:hAnsi="宋体" w:cs="宋体"/>
          <w:b/>
          <w:color w:val="auto"/>
          <w:sz w:val="36"/>
          <w:szCs w:val="36"/>
          <w:highlight w:val="none"/>
        </w:rPr>
      </w:pPr>
    </w:p>
    <w:p>
      <w:pPr>
        <w:spacing w:line="360" w:lineRule="auto"/>
        <w:ind w:left="720" w:leftChars="343" w:firstLine="1084" w:firstLineChars="300"/>
        <w:rPr>
          <w:rFonts w:ascii="宋体" w:hAnsi="宋体" w:cs="宋体"/>
          <w:b/>
          <w:color w:val="auto"/>
          <w:sz w:val="36"/>
          <w:szCs w:val="36"/>
          <w:highlight w:val="none"/>
        </w:rPr>
      </w:pPr>
    </w:p>
    <w:p>
      <w:pPr>
        <w:widowControl/>
        <w:adjustRightInd/>
        <w:jc w:val="left"/>
        <w:rPr>
          <w:rFonts w:ascii="宋体" w:hAnsi="宋体" w:cs="宋体"/>
          <w:b/>
          <w:color w:val="auto"/>
          <w:sz w:val="36"/>
          <w:szCs w:val="36"/>
          <w:highlight w:val="none"/>
        </w:rPr>
      </w:pPr>
      <w:r>
        <w:rPr>
          <w:rFonts w:ascii="宋体" w:hAnsi="宋体" w:cs="宋体"/>
          <w:b/>
          <w:color w:val="auto"/>
          <w:sz w:val="36"/>
          <w:szCs w:val="36"/>
          <w:highlight w:val="none"/>
        </w:rPr>
        <w:br w:type="page"/>
      </w:r>
    </w:p>
    <w:p>
      <w:pPr>
        <w:spacing w:line="360" w:lineRule="auto"/>
        <w:jc w:val="center"/>
        <w:outlineLvl w:val="0"/>
        <w:rPr>
          <w:rFonts w:ascii="宋体" w:hAnsi="宋体" w:cs="宋体"/>
          <w:b/>
          <w:color w:val="auto"/>
          <w:sz w:val="36"/>
          <w:szCs w:val="36"/>
          <w:highlight w:val="none"/>
        </w:rPr>
      </w:pPr>
      <w:bookmarkStart w:id="416" w:name="_Toc176368906"/>
      <w:bookmarkStart w:id="417" w:name="_Toc32594"/>
      <w:r>
        <w:rPr>
          <w:rFonts w:hint="eastAsia" w:ascii="宋体" w:hAnsi="宋体" w:cs="宋体"/>
          <w:b/>
          <w:color w:val="auto"/>
          <w:sz w:val="36"/>
          <w:szCs w:val="36"/>
          <w:highlight w:val="none"/>
        </w:rPr>
        <w:t>第五部分 拟签订的合同文本</w:t>
      </w:r>
      <w:bookmarkEnd w:id="416"/>
      <w:bookmarkEnd w:id="417"/>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根据《中华人民共和国政府采购法》、《中华人民共和国民法典》等法律、法规规定，按照招标文件规定条款和中标（成交）供应商承诺，甲乙双方签订本合同。</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1．项目服务一览表</w:t>
      </w:r>
    </w:p>
    <w:tbl>
      <w:tblPr>
        <w:tblStyle w:val="62"/>
        <w:tblW w:w="0" w:type="auto"/>
        <w:tblInd w:w="3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922"/>
        <w:gridCol w:w="2323"/>
        <w:gridCol w:w="1515"/>
        <w:gridCol w:w="2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19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23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数量及单位</w:t>
            </w:r>
          </w:p>
        </w:tc>
        <w:tc>
          <w:tcPr>
            <w:tcW w:w="15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单价（元）</w:t>
            </w:r>
          </w:p>
        </w:tc>
        <w:tc>
          <w:tcPr>
            <w:tcW w:w="21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单项合计（元）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9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23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dstrike/>
                <w:color w:val="auto"/>
                <w:szCs w:val="21"/>
                <w:highlight w:val="none"/>
              </w:rPr>
            </w:pPr>
          </w:p>
        </w:tc>
        <w:tc>
          <w:tcPr>
            <w:tcW w:w="21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dstrike/>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19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23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dstrike/>
                <w:color w:val="auto"/>
                <w:szCs w:val="21"/>
                <w:highlight w:val="none"/>
              </w:rPr>
            </w:pPr>
          </w:p>
        </w:tc>
        <w:tc>
          <w:tcPr>
            <w:tcW w:w="21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dstrike/>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19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23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dstrike/>
                <w:color w:val="auto"/>
                <w:szCs w:val="21"/>
                <w:highlight w:val="none"/>
              </w:rPr>
            </w:pPr>
          </w:p>
        </w:tc>
        <w:tc>
          <w:tcPr>
            <w:tcW w:w="21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dstrike/>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522" w:type="dxa"/>
            <w:gridSpan w:val="5"/>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szCs w:val="21"/>
                <w:highlight w:val="none"/>
              </w:rPr>
            </w:pPr>
            <w:r>
              <w:rPr>
                <w:rFonts w:hint="eastAsia" w:ascii="宋体" w:hAnsi="宋体" w:cs="宋体"/>
                <w:color w:val="auto"/>
                <w:szCs w:val="21"/>
                <w:highlight w:val="none"/>
              </w:rPr>
              <w:t xml:space="preserve">运维服务时间： </w:t>
            </w:r>
          </w:p>
        </w:tc>
      </w:tr>
    </w:tbl>
    <w:p>
      <w:pPr>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2．合同合计金额应包括服务价格：投入本项目人工、软件的知识产权费，完成服务内容所需的标准附件、备品备件、专用工具的价格，调试费、培训、技术支持、售后服务费，必要的保险费和各项税金。</w:t>
      </w:r>
    </w:p>
    <w:p>
      <w:pPr>
        <w:tabs>
          <w:tab w:val="left" w:pos="8280"/>
        </w:tabs>
        <w:snapToGrid w:val="0"/>
        <w:spacing w:line="360" w:lineRule="auto"/>
        <w:ind w:right="26"/>
        <w:rPr>
          <w:rFonts w:ascii="宋体" w:hAnsi="宋体" w:cs="宋体"/>
          <w:color w:val="auto"/>
          <w:szCs w:val="21"/>
          <w:highlight w:val="none"/>
        </w:rPr>
      </w:pPr>
      <w:r>
        <w:rPr>
          <w:rFonts w:hint="eastAsia" w:ascii="宋体" w:hAnsi="宋体" w:cs="宋体"/>
          <w:color w:val="auto"/>
          <w:szCs w:val="21"/>
          <w:highlight w:val="none"/>
        </w:rPr>
        <w:t>等完成服务所需的一切费用。招标文件及投标文件对其另有规定的，从其规定。</w:t>
      </w:r>
    </w:p>
    <w:p>
      <w:pPr>
        <w:tabs>
          <w:tab w:val="left" w:pos="8280"/>
        </w:tabs>
        <w:snapToGrid w:val="0"/>
        <w:spacing w:line="360" w:lineRule="auto"/>
        <w:ind w:right="26" w:firstLine="420" w:firstLineChars="200"/>
        <w:rPr>
          <w:rFonts w:ascii="宋体" w:hAnsi="宋体" w:cs="宋体"/>
          <w:color w:val="auto"/>
          <w:szCs w:val="21"/>
          <w:highlight w:val="none"/>
        </w:rPr>
      </w:pPr>
      <w:r>
        <w:rPr>
          <w:rFonts w:hint="eastAsia" w:ascii="宋体" w:hAnsi="宋体" w:cs="宋体"/>
          <w:color w:val="auto"/>
          <w:szCs w:val="21"/>
          <w:highlight w:val="none"/>
        </w:rPr>
        <w:t>3．具体服务内容、范围及要求详见招标文件“采购需求”的约定。</w:t>
      </w:r>
    </w:p>
    <w:p>
      <w:pPr>
        <w:snapToGrid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第二条　质量保证</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1．乙方所提供的服务内容、成果、数量、质量等必须与招标文件、投标文件和承诺相一致。</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2．乙方所提供的服务各项指标均达到质量要求。</w:t>
      </w:r>
    </w:p>
    <w:p>
      <w:pPr>
        <w:snapToGrid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1．乙方应保证所提供服务内容在使用时不会侵犯任何第三方的专利权、商标权、工业设计权或其他权利。</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2．乙方保证所交付的服务的所有权完全属于乙方且无任何抵押、质押、查封等产权瑕疵。</w:t>
      </w:r>
    </w:p>
    <w:p>
      <w:pPr>
        <w:snapToGrid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1．乙方提供不符合招标文件和本合同约定的服务成果，甲方有权拒绝接受。</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2．乙方应按要求提交服务成果材料，如有缺失应及时补齐，否则视为逾期交付。</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3．乙方在指定地点提交服务成果后，甲方应在七个工作日内进行验收，验收合格后由甲乙双方签署验收单并加盖采购单位公章，甲乙双方各执一份。</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4．甲方对验收有异议的，在验收后五个工作日内以书面形式向乙方提出，乙方应自收到甲方书面异议后 5个工作日内及时予以解决。</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1.乙方应按照国家有关法律法规以及招标文件和投标文件承诺的服务，为甲方提供技术服务。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2.乙方提供的服务承诺和售后服务等具体事项详见合同附件及投标文件承诺。</w:t>
      </w:r>
    </w:p>
    <w:p>
      <w:pPr>
        <w:snapToGrid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第六条　付款方式</w:t>
      </w:r>
    </w:p>
    <w:p>
      <w:pPr>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1．资金性质：</w:t>
      </w:r>
      <w:r>
        <w:rPr>
          <w:rFonts w:hint="eastAsia" w:ascii="宋体" w:hAnsi="宋体" w:cs="宋体"/>
          <w:color w:val="auto"/>
          <w:szCs w:val="21"/>
          <w:highlight w:val="none"/>
          <w:u w:val="single"/>
        </w:rPr>
        <w:t>财政资金</w:t>
      </w:r>
      <w:r>
        <w:rPr>
          <w:rFonts w:hint="eastAsia" w:ascii="宋体" w:hAnsi="宋体" w:cs="宋体"/>
          <w:color w:val="auto"/>
          <w:szCs w:val="21"/>
          <w:highlight w:val="none"/>
        </w:rPr>
        <w:t xml:space="preserve"> 。</w:t>
      </w:r>
    </w:p>
    <w:p>
      <w:pPr>
        <w:snapToGrid w:val="0"/>
        <w:spacing w:line="360" w:lineRule="auto"/>
        <w:ind w:left="-61" w:leftChars="-29" w:firstLine="514" w:firstLineChars="245"/>
        <w:rPr>
          <w:rFonts w:ascii="宋体" w:hAnsi="宋体" w:cs="宋体"/>
          <w:color w:val="auto"/>
          <w:kern w:val="0"/>
          <w:szCs w:val="21"/>
          <w:highlight w:val="none"/>
          <w:u w:val="single"/>
        </w:rPr>
      </w:pPr>
      <w:r>
        <w:rPr>
          <w:rFonts w:hint="eastAsia" w:ascii="宋体" w:hAnsi="宋体" w:cs="宋体"/>
          <w:color w:val="auto"/>
          <w:kern w:val="0"/>
          <w:szCs w:val="21"/>
          <w:highlight w:val="none"/>
        </w:rPr>
        <w:t>2．付款方式：</w:t>
      </w:r>
      <w:r>
        <w:rPr>
          <w:rFonts w:hint="eastAsia" w:ascii="宋体" w:hAnsi="宋体" w:cs="宋体"/>
          <w:color w:val="auto"/>
          <w:kern w:val="0"/>
          <w:szCs w:val="21"/>
          <w:highlight w:val="none"/>
          <w:u w:val="single"/>
        </w:rPr>
        <w:t>采购人按合同价分3年支付费用，第一年应支付合同价的33%，第二年应支付合同标价33%，第三年应支付合同价34%，每年度终了经考评后，由中标人向采购人书面申请支付年度费用，支付前中标人开具合法发票给采购人，采购人向财政部门申请费用及时付款。如遇财政资金使用困难，服务费不能及时支付，中标人不能以此为由停止采购内容的服务工作</w:t>
      </w:r>
      <w:r>
        <w:rPr>
          <w:rFonts w:hint="eastAsia" w:ascii="宋体" w:hAnsi="宋体" w:cs="宋体"/>
          <w:color w:val="auto"/>
          <w:kern w:val="0"/>
          <w:szCs w:val="21"/>
          <w:highlight w:val="none"/>
        </w:rPr>
        <w:t>。</w:t>
      </w:r>
    </w:p>
    <w:p>
      <w:pPr>
        <w:pStyle w:val="798"/>
        <w:ind w:firstLine="0" w:firstLineChars="0"/>
        <w:rPr>
          <w:rFonts w:hAnsi="宋体" w:cs="宋体"/>
          <w:color w:val="auto"/>
          <w:kern w:val="0"/>
          <w:sz w:val="21"/>
          <w:szCs w:val="21"/>
          <w:highlight w:val="none"/>
        </w:rPr>
      </w:pPr>
      <w:r>
        <w:rPr>
          <w:rFonts w:hint="eastAsia" w:hAnsi="宋体" w:cs="宋体"/>
          <w:b/>
          <w:color w:val="auto"/>
          <w:sz w:val="21"/>
          <w:szCs w:val="21"/>
          <w:highlight w:val="none"/>
        </w:rPr>
        <w:t>3.</w:t>
      </w:r>
      <w:r>
        <w:rPr>
          <w:rFonts w:hint="eastAsia" w:hAnsi="宋体" w:cs="宋体"/>
          <w:color w:val="auto"/>
          <w:kern w:val="0"/>
          <w:sz w:val="21"/>
          <w:szCs w:val="21"/>
          <w:highlight w:val="none"/>
          <w:u w:val="single"/>
        </w:rPr>
        <w:t>甲方在应支付给乙方每年应支付费中拿出10%作为考核乙方服务质量费，根据《</w:t>
      </w:r>
      <w:r>
        <w:rPr>
          <w:rFonts w:hint="eastAsia" w:hAnsi="宋体" w:cs="宋体"/>
          <w:color w:val="auto"/>
          <w:kern w:val="0"/>
          <w:sz w:val="21"/>
          <w:szCs w:val="21"/>
          <w:highlight w:val="none"/>
        </w:rPr>
        <w:t>电子政务外网运维考核方案</w:t>
      </w:r>
      <w:r>
        <w:rPr>
          <w:rFonts w:hint="eastAsia" w:hAnsi="宋体" w:cs="宋体"/>
          <w:color w:val="auto"/>
          <w:kern w:val="0"/>
          <w:sz w:val="21"/>
          <w:szCs w:val="21"/>
          <w:highlight w:val="none"/>
          <w:u w:val="single"/>
        </w:rPr>
        <w:t>》考核得分情况对应支付费用。考核得分90分（含）—100分的，支付给乙方服务质量费的100%；80分（含）—89分的，支付给乙方服务质量费的90%；70分（含）—79分的，支付给乙方服务质量费的80%；60分（含）—69分的，支付给乙方服务质量费的70%；60分以下的本年度不支付服务质量费</w:t>
      </w:r>
      <w:r>
        <w:rPr>
          <w:rFonts w:hint="eastAsia" w:hAnsi="宋体" w:cs="宋体"/>
          <w:color w:val="auto"/>
          <w:kern w:val="0"/>
          <w:sz w:val="21"/>
          <w:szCs w:val="21"/>
          <w:highlight w:val="none"/>
        </w:rPr>
        <w:t>。</w:t>
      </w:r>
    </w:p>
    <w:p>
      <w:pPr>
        <w:pStyle w:val="798"/>
        <w:ind w:firstLine="0" w:firstLineChars="0"/>
        <w:rPr>
          <w:rFonts w:hAnsi="宋体" w:cs="宋体"/>
          <w:color w:val="auto"/>
          <w:sz w:val="21"/>
          <w:szCs w:val="21"/>
          <w:highlight w:val="none"/>
        </w:rPr>
      </w:pPr>
      <w:r>
        <w:rPr>
          <w:rFonts w:hint="eastAsia" w:hAnsi="宋体" w:cs="宋体"/>
          <w:color w:val="auto"/>
          <w:kern w:val="0"/>
          <w:sz w:val="21"/>
          <w:szCs w:val="21"/>
          <w:highlight w:val="none"/>
        </w:rPr>
        <w:t>电子政务外网运维考核方案</w:t>
      </w:r>
    </w:p>
    <w:tbl>
      <w:tblPr>
        <w:tblStyle w:val="62"/>
        <w:tblpPr w:leftFromText="180" w:rightFromText="180" w:vertAnchor="text" w:horzAnchor="page" w:tblpX="1225" w:tblpY="337"/>
        <w:tblOverlap w:val="never"/>
        <w:tblW w:w="9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4897"/>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413" w:type="dxa"/>
          </w:tcPr>
          <w:p>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考核项目</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考核内容</w:t>
            </w: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扣分标准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1413" w:type="dxa"/>
          </w:tcPr>
          <w:p>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巡检</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每周及重大节会前夕，对机房内IT硬件设备和运行环境设施进行一次全面巡检，对机房维护范围内公共，对机房维护范围内公共支撑软件和业务系统进行全面巡检和备份，并做好巡查记录。</w:t>
            </w: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未按要求进行巡检， 备份等工作，每次扣 0.5 分。 </w:t>
            </w:r>
          </w:p>
          <w:p>
            <w:pPr>
              <w:spacing w:line="360" w:lineRule="auto"/>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413" w:type="dxa"/>
          </w:tcPr>
          <w:p>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预防性维护</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每月对维护范围内的软、硬件设备进行一次预防性维护服务，包括元器件检查、易耗品更换、软件升级等，并做好维护记录。</w:t>
            </w: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未按要求进行预防性维护的，每次扣1分。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413" w:type="dxa"/>
          </w:tcPr>
          <w:p>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备品备件</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对维护范围内关键设备建立备品、备件。</w:t>
            </w: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设备损坏后未能按要求及时提供备品、备件的，一次扣1分。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413" w:type="dxa"/>
          </w:tcPr>
          <w:p>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工单处置</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按甲方要求完成工单任务处置，并提供相应证明材料</w:t>
            </w: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无正当理由未按甲方要求完成的，一次扣1分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trPr>
        <w:tc>
          <w:tcPr>
            <w:tcW w:w="1413"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常驻人员</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常驻人员应遵守甲方相关规定，不得工作时间擅离岗位，不得做与服务无关的事情，服务热情周到。</w:t>
            </w: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因服务质量被投诉的，经查实后一次扣 1 分；因违反法律法规、 工作纪律被有关部门通报或给甲方造成不良影响的，一次扣 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3"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运维报告</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根据甲方要求按期提交相关运维服务报告。 </w:t>
            </w: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未按期提交相关报告的每五次扣 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1413"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一级故障:全网瘫痪(网络或业务应用系统） </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汇聚层以上故障造成的大面积网络不通，或多个业务应用系统无法访问(50%以上)，及其他相当于此级别的故障。</w:t>
            </w: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实时响应并在 4小时内解决，超过4小时 ，故障每持续1小时扣除2分, 不足1小时按 照1小时计算.(不可抗力除外)。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413"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二级故障:局部网络瘫痪 (网络或业务  应用系统)  </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局部网络不通造成部分人员不能正常上网；或30%以上业务应用系统无法访问，及其他相当于此级别的故障。</w:t>
            </w: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在 4小内解决，超4 小时，故障每持续1小时扣除 1.5分,不足 1 小时按照1小时计算。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1413"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三级故障:全网性能降低(网络或业务应用系统速度明显降低)</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大面积网络性能下降，速度慢，多个业务应用系统运行速度慢(50%以上)，及其他相当于此级别的故障。</w:t>
            </w: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在4 小内解决，超过4小时，故障每持续1小时扣1分，不足1 小时按照 1小时计算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trPr>
        <w:tc>
          <w:tcPr>
            <w:tcW w:w="1413"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四级故障: 局部网络性能降低(网络或业务应用系统速度明显降低) </w:t>
            </w:r>
          </w:p>
        </w:tc>
        <w:tc>
          <w:tcPr>
            <w:tcW w:w="489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局部网络速度慢，或10%以上业务应用系统速度慢，一般告警1天内没有解决(特殊情况申请后可以延期，最长不超过5个工作日)及其他相 当于此级别的故障。</w:t>
            </w:r>
          </w:p>
          <w:p>
            <w:pPr>
              <w:spacing w:line="360" w:lineRule="auto"/>
              <w:rPr>
                <w:rFonts w:ascii="宋体" w:hAnsi="宋体" w:cs="宋体"/>
                <w:color w:val="auto"/>
                <w:szCs w:val="21"/>
                <w:highlight w:val="none"/>
              </w:rPr>
            </w:pPr>
          </w:p>
        </w:tc>
        <w:tc>
          <w:tcPr>
            <w:tcW w:w="3350"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在4小内解决，超过4 小时，故障每持续1小时扣 0.5 分，不足1 小时按照1小时计算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p>
        </w:tc>
      </w:tr>
    </w:tbl>
    <w:p>
      <w:pPr>
        <w:pStyle w:val="798"/>
        <w:ind w:firstLine="420"/>
        <w:rPr>
          <w:rFonts w:hAnsi="宋体" w:cs="宋体"/>
          <w:color w:val="auto"/>
          <w:sz w:val="21"/>
          <w:szCs w:val="21"/>
          <w:highlight w:val="none"/>
        </w:rPr>
      </w:pPr>
    </w:p>
    <w:p>
      <w:pPr>
        <w:snapToGrid w:val="0"/>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u w:val="single"/>
        </w:rPr>
        <w:t>若乙方连续两年考核每年考核分都在60分以下的，第三年甲方将不再进行考核，直接扣除当年的服务质量费</w:t>
      </w:r>
      <w:r>
        <w:rPr>
          <w:rFonts w:hint="eastAsia" w:ascii="宋体" w:hAnsi="宋体" w:cs="宋体"/>
          <w:color w:val="auto"/>
          <w:szCs w:val="21"/>
          <w:highlight w:val="none"/>
        </w:rPr>
        <w:t>。</w:t>
      </w:r>
    </w:p>
    <w:p>
      <w:pPr>
        <w:snapToGrid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第七条　本项目无履约保证金</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pPr>
        <w:snapToGrid w:val="0"/>
        <w:spacing w:line="360" w:lineRule="auto"/>
        <w:ind w:left="-61" w:firstLine="514"/>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质量保证及售后服务</w:t>
      </w:r>
    </w:p>
    <w:p>
      <w:pPr>
        <w:pStyle w:val="33"/>
        <w:snapToGrid w:val="0"/>
        <w:spacing w:line="360" w:lineRule="auto"/>
        <w:ind w:firstLine="420" w:firstLineChars="200"/>
        <w:rPr>
          <w:rFonts w:hAnsi="宋体" w:cs="宋体"/>
          <w:color w:val="auto"/>
          <w:highlight w:val="none"/>
        </w:rPr>
      </w:pPr>
      <w:r>
        <w:rPr>
          <w:rFonts w:hint="eastAsia" w:hAnsi="宋体" w:cs="宋体"/>
          <w:color w:val="auto"/>
          <w:highlight w:val="none"/>
        </w:rPr>
        <w:t>1．乙方应按招标文件规定的服务内容、技术要求、质量标准向甲方提供无瑕疵的服务成果。乙方对提交的最终服务成果质量负责。</w:t>
      </w:r>
    </w:p>
    <w:p>
      <w:pPr>
        <w:pStyle w:val="33"/>
        <w:snapToGrid w:val="0"/>
        <w:spacing w:line="360" w:lineRule="auto"/>
        <w:ind w:firstLine="420" w:firstLineChars="200"/>
        <w:rPr>
          <w:rFonts w:hAnsi="宋体" w:cs="宋体"/>
          <w:color w:val="auto"/>
          <w:highlight w:val="none"/>
        </w:rPr>
      </w:pPr>
      <w:r>
        <w:rPr>
          <w:rFonts w:hint="eastAsia" w:hAnsi="宋体" w:cs="宋体"/>
          <w:color w:val="auto"/>
          <w:highlight w:val="none"/>
        </w:rPr>
        <w:t>2. 成果提交后，如有修改，乙方应在规定时间按要求完成修改工作，甲方不另行支付额外费用。</w:t>
      </w:r>
    </w:p>
    <w:p>
      <w:pPr>
        <w:pStyle w:val="33"/>
        <w:snapToGrid w:val="0"/>
        <w:spacing w:line="360" w:lineRule="auto"/>
        <w:ind w:firstLine="420" w:firstLineChars="200"/>
        <w:rPr>
          <w:rFonts w:hAnsi="宋体" w:cs="宋体"/>
          <w:color w:val="auto"/>
          <w:highlight w:val="none"/>
        </w:rPr>
      </w:pPr>
      <w:r>
        <w:rPr>
          <w:rFonts w:hint="eastAsia" w:hAnsi="宋体" w:cs="宋体"/>
          <w:color w:val="auto"/>
          <w:highlight w:val="none"/>
        </w:rPr>
        <w:t>3.乙方如不再为甲方继续提供运维服务，则须按甲方要求移交本项目所有相关数据，不得留存或另行备份。</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第十条　违约责任</w:t>
      </w:r>
    </w:p>
    <w:p>
      <w:pPr>
        <w:snapToGrid w:val="0"/>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1.甲方无正当理由拒收服务的，甲方向乙方支付拒收服务费总金额的 3‰/天的违约金。</w:t>
      </w:r>
    </w:p>
    <w:p>
      <w:pPr>
        <w:pStyle w:val="962"/>
        <w:spacing w:line="360" w:lineRule="auto"/>
        <w:jc w:val="left"/>
        <w:rPr>
          <w:rFonts w:ascii="宋体" w:hAnsi="宋体" w:eastAsia="宋体" w:cs="宋体"/>
          <w:b w:val="0"/>
          <w:color w:val="auto"/>
          <w:szCs w:val="21"/>
          <w:highlight w:val="none"/>
        </w:rPr>
      </w:pPr>
      <w:r>
        <w:rPr>
          <w:rFonts w:hint="eastAsia" w:ascii="宋体" w:hAnsi="宋体" w:eastAsia="宋体" w:cs="宋体"/>
          <w:b w:val="0"/>
          <w:color w:val="auto"/>
          <w:szCs w:val="21"/>
          <w:highlight w:val="none"/>
        </w:rPr>
        <w:t xml:space="preserve">     2．甲方无故逾期验收或办理合同款支付手续的，甲方应按逾期付款总额3‰/天向乙方支付违约金。</w:t>
      </w:r>
    </w:p>
    <w:p>
      <w:pPr>
        <w:snapToGrid w:val="0"/>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3．乙方不能按约定向甲方交付合法有效的发票的，甲方有权暂不予支付合同款项。</w:t>
      </w:r>
    </w:p>
    <w:p>
      <w:pPr>
        <w:snapToGrid w:val="0"/>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4．乙方擅自转包、分包本合同服务内容的，甲方有权解除合同，不予支付合同款项并要求乙方按合同总金额的20%向甲方支付违约金。</w:t>
      </w:r>
    </w:p>
    <w:p>
      <w:pPr>
        <w:snapToGrid w:val="0"/>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5．乙方擅自解除合同的，应向甲方支付合同总金额20%的违约金，同时甲方有权不予支付合同款项。</w:t>
      </w:r>
    </w:p>
    <w:p>
      <w:pPr>
        <w:snapToGrid w:val="0"/>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 xml:space="preserve">6．乙方未按期限提交服务成果的，乙方应向甲方支付合同总金额 </w:t>
      </w:r>
      <w:r>
        <w:rPr>
          <w:rFonts w:hint="eastAsia" w:ascii="宋体" w:hAnsi="宋体" w:cs="宋体"/>
          <w:color w:val="auto"/>
          <w:szCs w:val="21"/>
          <w:highlight w:val="none"/>
          <w:lang w:val="zh-CN"/>
        </w:rPr>
        <w:t>3‰/天的</w:t>
      </w:r>
      <w:r>
        <w:rPr>
          <w:rFonts w:hint="eastAsia" w:ascii="宋体" w:hAnsi="宋体" w:cs="宋体"/>
          <w:color w:val="auto"/>
          <w:szCs w:val="21"/>
          <w:highlight w:val="none"/>
        </w:rPr>
        <w:t>违约金，逾期交付</w:t>
      </w:r>
      <w:r>
        <w:rPr>
          <w:rFonts w:hint="eastAsia" w:ascii="宋体" w:hAnsi="宋体" w:cs="宋体"/>
          <w:color w:val="auto"/>
          <w:szCs w:val="21"/>
          <w:highlight w:val="none"/>
          <w:lang w:val="zh-CN"/>
        </w:rPr>
        <w:t>超过</w:t>
      </w:r>
      <w:r>
        <w:rPr>
          <w:rFonts w:hint="eastAsia" w:ascii="宋体" w:hAnsi="宋体" w:cs="宋体"/>
          <w:color w:val="auto"/>
          <w:szCs w:val="21"/>
          <w:highlight w:val="none"/>
          <w:u w:val="single"/>
          <w:lang w:val="zh-CN"/>
        </w:rPr>
        <w:t>30</w:t>
      </w:r>
      <w:r>
        <w:rPr>
          <w:rFonts w:hint="eastAsia" w:ascii="宋体" w:hAnsi="宋体" w:cs="宋体"/>
          <w:color w:val="auto"/>
          <w:szCs w:val="21"/>
          <w:highlight w:val="none"/>
          <w:lang w:val="zh-CN"/>
        </w:rPr>
        <w:t>天的，甲方有权解除合同，</w:t>
      </w:r>
      <w:r>
        <w:rPr>
          <w:rFonts w:hint="eastAsia" w:ascii="宋体" w:hAnsi="宋体" w:cs="宋体"/>
          <w:color w:val="auto"/>
          <w:szCs w:val="21"/>
          <w:highlight w:val="none"/>
        </w:rPr>
        <w:t>并</w:t>
      </w:r>
      <w:r>
        <w:rPr>
          <w:rFonts w:hint="eastAsia" w:ascii="宋体" w:hAnsi="宋体" w:cs="宋体"/>
          <w:color w:val="auto"/>
          <w:szCs w:val="21"/>
          <w:highlight w:val="none"/>
          <w:lang w:val="zh-CN"/>
        </w:rPr>
        <w:t>要求乙方</w:t>
      </w:r>
      <w:r>
        <w:rPr>
          <w:rFonts w:hint="eastAsia" w:ascii="宋体" w:hAnsi="宋体" w:cs="宋体"/>
          <w:color w:val="auto"/>
          <w:szCs w:val="21"/>
          <w:highlight w:val="none"/>
        </w:rPr>
        <w:t xml:space="preserve">向甲方支付合同总金额10%的违约金。                                       </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7．乙方提交的服务成果不符合约定的，应予以负责整改，造成逾期交付的，乙方承担逾期交工的违约责任。</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8．乙方提供的成果如侵犯了第三方合法权益而引发的任何纠纷或诉讼，均由乙方负责交涉并承担全部责任</w:t>
      </w:r>
      <w:r>
        <w:rPr>
          <w:rFonts w:hint="eastAsia" w:ascii="宋体" w:hAnsi="宋体" w:cs="宋体"/>
          <w:color w:val="auto"/>
          <w:szCs w:val="21"/>
          <w:highlight w:val="none"/>
          <w:lang w:val="zh-CN"/>
        </w:rPr>
        <w:t>，造成甲方损失的，乙方应予赔偿</w:t>
      </w:r>
      <w:r>
        <w:rPr>
          <w:rFonts w:hint="eastAsia" w:ascii="宋体" w:hAnsi="宋体" w:cs="宋体"/>
          <w:color w:val="auto"/>
          <w:szCs w:val="21"/>
          <w:highlight w:val="none"/>
        </w:rPr>
        <w:t>。</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9．乙方未按本合同和招标文件中规定的服务承诺提供售后服务的，乙方应按本合同总金额 5%向甲方支付违约金。</w:t>
      </w:r>
    </w:p>
    <w:p>
      <w:pPr>
        <w:snapToGrid w:val="0"/>
        <w:spacing w:line="360" w:lineRule="auto"/>
        <w:ind w:firstLine="472" w:firstLineChars="225"/>
        <w:jc w:val="left"/>
        <w:rPr>
          <w:rFonts w:ascii="宋体" w:hAnsi="宋体" w:cs="宋体"/>
          <w:color w:val="auto"/>
          <w:szCs w:val="21"/>
          <w:highlight w:val="none"/>
        </w:rPr>
      </w:pPr>
      <w:r>
        <w:rPr>
          <w:rFonts w:hint="eastAsia" w:ascii="宋体" w:hAnsi="宋体" w:cs="宋体"/>
          <w:color w:val="auto"/>
          <w:szCs w:val="21"/>
          <w:highlight w:val="none"/>
        </w:rPr>
        <w:t>10．乙方及乙方工作人员必须对实施本服务接触到的甲方资料保密，若发生泄密，乙方应按合同总金额的5%支付违约金，甲方损失超过此违约金的，乙方亦应赔偿。</w:t>
      </w:r>
    </w:p>
    <w:p>
      <w:pPr>
        <w:snapToGrid w:val="0"/>
        <w:spacing w:line="360" w:lineRule="auto"/>
        <w:ind w:left="1029" w:leftChars="190" w:hanging="630" w:hangingChars="300"/>
        <w:jc w:val="left"/>
        <w:rPr>
          <w:rFonts w:ascii="宋体" w:hAnsi="宋体" w:cs="宋体"/>
          <w:color w:val="auto"/>
          <w:szCs w:val="21"/>
          <w:highlight w:val="none"/>
        </w:rPr>
      </w:pPr>
      <w:r>
        <w:rPr>
          <w:rFonts w:hint="eastAsia" w:ascii="宋体" w:hAnsi="宋体" w:cs="宋体"/>
          <w:color w:val="auto"/>
          <w:szCs w:val="21"/>
          <w:highlight w:val="none"/>
        </w:rPr>
        <w:t>11．因乙方违约造成的甲方损失或应向甲方支付的违约金，甲方有权直接从未付款中扣除。</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12．因乙方违约，造成的甲方支出的争议处理费用（包括但不限于诉讼费、律师费、保全费、诉讼财产保全担保保险费等）也由乙方承担。</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3．不可抗力事件延续30天以上，双方应通过友好协商，确定是否继续履行合同。</w:t>
      </w:r>
    </w:p>
    <w:p>
      <w:pPr>
        <w:snapToGrid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1.因服务质量问题发生争议的，应邀请国家认可的机构对服务质量进行鉴定。服务质量符合标准的，鉴定费由甲方承担；不符合标准的，鉴定费由乙方承担。</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2.因履行本合同引起的或与本合同有关的争议，甲乙双方应首先通过友好协商解决，如果协商不能解决，任何一方可向甲方所在地有管辖权的人民法院提起诉讼。</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3.诉讼期间，本合同继续履行。</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合同生效及其它</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1．合同经双方法定代表人或被授权代表签字并加盖单位公章后生效。</w:t>
      </w:r>
    </w:p>
    <w:p>
      <w:pPr>
        <w:snapToGrid w:val="0"/>
        <w:spacing w:line="360" w:lineRule="auto"/>
        <w:ind w:firstLine="472" w:firstLineChars="225"/>
        <w:rPr>
          <w:rFonts w:ascii="宋体" w:hAnsi="宋体" w:cs="宋体"/>
          <w:bCs/>
          <w:color w:val="auto"/>
          <w:szCs w:val="21"/>
          <w:highlight w:val="none"/>
        </w:rPr>
      </w:pPr>
      <w:r>
        <w:rPr>
          <w:rFonts w:hint="eastAsia" w:ascii="宋体" w:hAnsi="宋体" w:cs="宋体"/>
          <w:bCs/>
          <w:color w:val="auto"/>
          <w:szCs w:val="21"/>
          <w:highlight w:val="none"/>
        </w:rPr>
        <w:t>2．合同执行中涉及采购资金和采购内容修改或补充的，须经财政部门审批，并签书面补充协议报财政部门备案，双方就此签订补充协议并作为主合同不可分割的一部分。</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3．本合同未尽事宜，双方协商并签署补充协议确定。</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合同的变更、终止与转让</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1．除《中华人民共和国政府采购法》第五十条规定的情形外，本合同一经签订，甲乙双方不得擅自变更、中止或终止。</w:t>
      </w:r>
    </w:p>
    <w:p>
      <w:pPr>
        <w:snapToGrid w:val="0"/>
        <w:spacing w:line="360" w:lineRule="auto"/>
        <w:ind w:left="-61" w:firstLine="514"/>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pPr>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3．因项目发生实际变化，原合同服务范围无法满足实际变化后的服务需求，合同可由双方协商调整或终止。</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第十五条　附件为合同有效组成部分，与合同效力同等。本合同附件如下：</w:t>
      </w:r>
    </w:p>
    <w:p>
      <w:pPr>
        <w:snapToGrid w:val="0"/>
        <w:spacing w:line="360" w:lineRule="auto"/>
        <w:ind w:left="420"/>
        <w:rPr>
          <w:rFonts w:ascii="宋体" w:hAnsi="宋体" w:cs="宋体"/>
          <w:color w:val="auto"/>
          <w:szCs w:val="21"/>
          <w:highlight w:val="none"/>
        </w:rPr>
      </w:pPr>
      <w:r>
        <w:rPr>
          <w:rFonts w:hint="eastAsia" w:ascii="宋体" w:hAnsi="宋体" w:cs="宋体"/>
          <w:color w:val="auto"/>
          <w:szCs w:val="21"/>
          <w:highlight w:val="none"/>
        </w:rPr>
        <w:t>1.招标文件；</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2.乙方提供的投标文件；</w:t>
      </w:r>
    </w:p>
    <w:p>
      <w:pPr>
        <w:snapToGrid w:val="0"/>
        <w:spacing w:line="360" w:lineRule="auto"/>
        <w:ind w:left="420"/>
        <w:rPr>
          <w:rFonts w:ascii="宋体" w:hAnsi="宋体" w:cs="宋体"/>
          <w:color w:val="auto"/>
          <w:szCs w:val="21"/>
          <w:highlight w:val="none"/>
        </w:rPr>
      </w:pPr>
      <w:r>
        <w:rPr>
          <w:rFonts w:hint="eastAsia" w:ascii="宋体" w:hAnsi="宋体" w:cs="宋体"/>
          <w:color w:val="auto"/>
          <w:szCs w:val="21"/>
          <w:highlight w:val="none"/>
        </w:rPr>
        <w:t>3.其他约定附件。</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第十六条　签订本合同依据</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1．政府采购招标文件；</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2．乙方提供的投标文件；</w:t>
      </w:r>
    </w:p>
    <w:p>
      <w:pPr>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3．中标通知书。</w:t>
      </w:r>
    </w:p>
    <w:p>
      <w:pPr>
        <w:snapToGrid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第十七条　</w:t>
      </w:r>
      <w:r>
        <w:rPr>
          <w:rFonts w:hint="eastAsia" w:ascii="宋体" w:hAnsi="宋体" w:cs="宋体"/>
          <w:color w:val="auto"/>
          <w:szCs w:val="21"/>
          <w:highlight w:val="none"/>
        </w:rPr>
        <w:t>本合同一式七份，具有同等法律效力，甲乙双方各三份、采购代理机构一份，（可根据需要另增加）。</w:t>
      </w:r>
    </w:p>
    <w:p>
      <w:pPr>
        <w:spacing w:line="360" w:lineRule="auto"/>
        <w:rPr>
          <w:rFonts w:ascii="宋体" w:hAnsi="宋体" w:cs="宋体"/>
          <w:b/>
          <w:color w:val="auto"/>
          <w:szCs w:val="21"/>
          <w:highlight w:val="none"/>
        </w:rPr>
      </w:pPr>
      <w:r>
        <w:rPr>
          <w:rFonts w:hint="eastAsia" w:ascii="宋体" w:hAnsi="宋体" w:cs="宋体"/>
          <w:color w:val="auto"/>
          <w:szCs w:val="21"/>
          <w:highlight w:val="none"/>
        </w:rPr>
        <w:t>本合同甲乙双方签字盖章后生效。采购人应当自政府采购合同签订之日起2个工作日内，将政府采购合同在省级以上人民政府财政部门指定的媒体上公告，但政府采购合同中涉及国家秘密、商业秘密的内容除外。</w:t>
      </w:r>
    </w:p>
    <w:p>
      <w:pPr>
        <w:rPr>
          <w:rFonts w:ascii="宋体" w:hAnsi="宋体" w:cs="宋体"/>
          <w:b/>
          <w:color w:val="auto"/>
          <w:sz w:val="36"/>
          <w:szCs w:val="20"/>
          <w:highlight w:val="none"/>
        </w:rPr>
      </w:pPr>
      <w:bookmarkStart w:id="418" w:name="_Toc176368907"/>
      <w:bookmarkStart w:id="419" w:name="_Toc20755"/>
      <w:r>
        <w:rPr>
          <w:rFonts w:hint="eastAsia" w:ascii="宋体" w:hAnsi="宋体" w:cs="宋体"/>
          <w:b/>
          <w:color w:val="auto"/>
          <w:sz w:val="36"/>
          <w:szCs w:val="20"/>
          <w:highlight w:val="none"/>
        </w:rPr>
        <w:br w:type="page"/>
      </w:r>
    </w:p>
    <w:p>
      <w:pPr>
        <w:widowControl/>
        <w:adjustRightInd/>
        <w:jc w:val="center"/>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第六部分</w:t>
      </w:r>
      <w:bookmarkEnd w:id="414"/>
      <w:r>
        <w:rPr>
          <w:rFonts w:hint="eastAsia" w:ascii="宋体" w:hAnsi="宋体" w:cs="宋体"/>
          <w:b/>
          <w:color w:val="auto"/>
          <w:sz w:val="36"/>
          <w:szCs w:val="20"/>
          <w:highlight w:val="none"/>
        </w:rPr>
        <w:t xml:space="preserve"> </w:t>
      </w:r>
      <w:bookmarkEnd w:id="415"/>
      <w:r>
        <w:rPr>
          <w:rFonts w:hint="eastAsia" w:ascii="宋体" w:hAnsi="宋体" w:cs="宋体"/>
          <w:b/>
          <w:color w:val="auto"/>
          <w:sz w:val="36"/>
          <w:szCs w:val="20"/>
          <w:highlight w:val="none"/>
        </w:rPr>
        <w:t>应提交的有关格式范例</w:t>
      </w:r>
      <w:bookmarkEnd w:id="418"/>
      <w:bookmarkEnd w:id="419"/>
    </w:p>
    <w:p>
      <w:pPr>
        <w:spacing w:line="360" w:lineRule="auto"/>
        <w:jc w:val="center"/>
        <w:rPr>
          <w:rFonts w:ascii="宋体" w:hAnsi="宋体" w:cs="宋体"/>
          <w:b/>
          <w:color w:val="auto"/>
          <w:kern w:val="0"/>
          <w:sz w:val="36"/>
          <w:szCs w:val="36"/>
          <w:highlight w:val="none"/>
        </w:rPr>
      </w:pPr>
    </w:p>
    <w:p>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pPr>
        <w:spacing w:line="360" w:lineRule="auto"/>
        <w:jc w:val="center"/>
        <w:rPr>
          <w:rFonts w:ascii="宋体" w:hAnsi="宋体" w:cs="宋体"/>
          <w:b/>
          <w:color w:val="auto"/>
          <w:kern w:val="0"/>
          <w:sz w:val="36"/>
          <w:szCs w:val="36"/>
          <w:highlight w:val="none"/>
        </w:rPr>
      </w:pPr>
    </w:p>
    <w:p>
      <w:pPr>
        <w:snapToGrid w:val="0"/>
        <w:spacing w:line="360" w:lineRule="auto"/>
        <w:rPr>
          <w:rFonts w:ascii="宋体" w:hAnsi="宋体" w:cs="宋体"/>
          <w:color w:val="auto"/>
          <w:sz w:val="24"/>
          <w:highlight w:val="none"/>
        </w:rPr>
      </w:pPr>
      <w:r>
        <w:rPr>
          <w:rFonts w:hint="eastAsia" w:ascii="宋体" w:hAnsi="宋体" w:cs="宋体"/>
          <w:color w:val="auto"/>
          <w:szCs w:val="21"/>
          <w:highlight w:val="none"/>
        </w:rPr>
        <w:t>▲</w:t>
      </w:r>
      <w:r>
        <w:rPr>
          <w:rFonts w:hint="eastAsia" w:ascii="宋体" w:hAnsi="宋体" w:cs="宋体"/>
          <w:color w:val="auto"/>
          <w:sz w:val="24"/>
          <w:highlight w:val="none"/>
        </w:rPr>
        <w:t>（1）符合参加政府采购活动应当具备的一般条件的承诺函……………（页码）</w:t>
      </w:r>
    </w:p>
    <w:p>
      <w:pPr>
        <w:snapToGrid w:val="0"/>
        <w:spacing w:line="360" w:lineRule="auto"/>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pPr>
        <w:snapToGrid w:val="0"/>
        <w:spacing w:line="360" w:lineRule="auto"/>
        <w:ind w:firstLine="480" w:firstLineChars="200"/>
        <w:rPr>
          <w:rFonts w:ascii="宋体" w:hAnsi="宋体" w:cs="宋体"/>
          <w:color w:val="auto"/>
          <w:sz w:val="24"/>
          <w:highlight w:val="none"/>
        </w:rPr>
      </w:pPr>
    </w:p>
    <w:p>
      <w:pPr>
        <w:spacing w:line="360" w:lineRule="auto"/>
        <w:ind w:firstLine="480" w:firstLineChars="200"/>
        <w:rPr>
          <w:rFonts w:ascii="宋体" w:hAnsi="宋体" w:cs="宋体"/>
          <w:color w:val="auto"/>
          <w:sz w:val="24"/>
          <w:highlight w:val="none"/>
        </w:rPr>
      </w:pPr>
    </w:p>
    <w:p>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color w:val="auto"/>
          <w:kern w:val="0"/>
          <w:sz w:val="24"/>
          <w:highlight w:val="none"/>
        </w:rPr>
        <w:br w:type="page"/>
      </w:r>
      <w:r>
        <w:rPr>
          <w:rFonts w:hint="eastAsia" w:ascii="宋体" w:hAnsi="宋体" w:cs="宋体"/>
          <w:b/>
          <w:color w:val="auto"/>
          <w:kern w:val="0"/>
          <w:sz w:val="32"/>
          <w:szCs w:val="32"/>
          <w:highlight w:val="none"/>
        </w:rPr>
        <w:t xml:space="preserve">  一、 符合参加政府采购活动应当具备的一般条件的承诺函</w:t>
      </w:r>
    </w:p>
    <w:p>
      <w:pPr>
        <w:snapToGrid w:val="0"/>
        <w:spacing w:line="360" w:lineRule="auto"/>
        <w:ind w:right="480"/>
        <w:jc w:val="center"/>
        <w:rPr>
          <w:rFonts w:ascii="宋体" w:hAnsi="宋体" w:cs="宋体"/>
          <w:color w:val="auto"/>
          <w:sz w:val="24"/>
          <w:highlight w:val="none"/>
        </w:rPr>
      </w:pPr>
    </w:p>
    <w:p>
      <w:pPr>
        <w:snapToGrid w:val="0"/>
        <w:spacing w:line="360" w:lineRule="auto"/>
        <w:ind w:right="480"/>
        <w:jc w:val="center"/>
        <w:rPr>
          <w:rFonts w:ascii="宋体" w:hAnsi="宋体" w:cs="宋体"/>
          <w:color w:val="auto"/>
          <w:sz w:val="24"/>
          <w:highlight w:val="none"/>
        </w:rPr>
      </w:pPr>
      <w:r>
        <w:rPr>
          <w:rFonts w:hint="eastAsia" w:ascii="宋体" w:hAnsi="宋体" w:cs="宋体"/>
          <w:color w:val="auto"/>
          <w:sz w:val="24"/>
          <w:highlight w:val="none"/>
        </w:rPr>
        <w:t>北海市政府采购供应商信用承诺函（格式）</w:t>
      </w:r>
    </w:p>
    <w:p>
      <w:pPr>
        <w:snapToGrid w:val="0"/>
        <w:spacing w:line="360" w:lineRule="auto"/>
        <w:rPr>
          <w:rFonts w:ascii="宋体" w:hAnsi="宋体" w:cs="宋体"/>
          <w:color w:val="auto"/>
          <w:sz w:val="24"/>
          <w:highlight w:val="none"/>
        </w:rPr>
      </w:pPr>
    </w:p>
    <w:p>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（采购人）、（采购代理机构） ：</w:t>
      </w:r>
    </w:p>
    <w:p>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供应商名称：</w:t>
      </w:r>
    </w:p>
    <w:p>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统一社会信用代码：</w:t>
      </w:r>
    </w:p>
    <w:p>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供应商地址：</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1.我单位具有符合采购文件资格要求独立承担民事责任的能力。</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2.我单位具有符合采购文件资格要求的财务状况报告。</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3.我单位具有符合采购文件资格要求的依法缴纳税收和社会保障记录的良好记录。</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4.我单位具有符合采购文件资格要求履行合同所必需的设备和专业技术能力。</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若我单位承诺不实，自愿承担提供虚假材料谋取中标、成交的法律责任。</w:t>
      </w:r>
    </w:p>
    <w:p>
      <w:pPr>
        <w:snapToGrid w:val="0"/>
        <w:spacing w:line="360" w:lineRule="auto"/>
        <w:ind w:right="480"/>
        <w:rPr>
          <w:rFonts w:ascii="宋体" w:hAnsi="宋体" w:cs="宋体"/>
          <w:color w:val="auto"/>
          <w:sz w:val="24"/>
          <w:highlight w:val="none"/>
        </w:rPr>
      </w:pP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snapToGrid w:val="0"/>
        <w:spacing w:line="360" w:lineRule="auto"/>
        <w:ind w:right="480"/>
        <w:rPr>
          <w:rFonts w:ascii="宋体" w:hAnsi="宋体" w:cs="宋体"/>
          <w:color w:val="auto"/>
          <w:sz w:val="24"/>
          <w:highlight w:val="none"/>
        </w:rPr>
      </w:pPr>
    </w:p>
    <w:p>
      <w:pPr>
        <w:snapToGrid w:val="0"/>
        <w:spacing w:line="360" w:lineRule="auto"/>
        <w:ind w:right="480"/>
        <w:jc w:val="center"/>
        <w:rPr>
          <w:rFonts w:ascii="宋体" w:hAnsi="宋体" w:cs="宋体"/>
          <w:b/>
          <w:color w:val="auto"/>
          <w:kern w:val="0"/>
          <w:sz w:val="32"/>
          <w:szCs w:val="32"/>
          <w:highlight w:val="none"/>
        </w:rPr>
      </w:pPr>
    </w:p>
    <w:p>
      <w:pPr>
        <w:rPr>
          <w:rFonts w:ascii="宋体" w:hAnsi="宋体" w:cs="宋体"/>
          <w:color w:val="auto"/>
          <w:highlight w:val="none"/>
        </w:rPr>
      </w:pPr>
    </w:p>
    <w:p>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pPr>
        <w:snapToGrid w:val="0"/>
        <w:spacing w:line="360" w:lineRule="auto"/>
        <w:ind w:right="480"/>
        <w:jc w:val="center"/>
        <w:rPr>
          <w:rFonts w:ascii="宋体" w:hAnsi="宋体" w:cs="宋体"/>
          <w:b/>
          <w:color w:val="auto"/>
          <w:kern w:val="0"/>
          <w:sz w:val="32"/>
          <w:szCs w:val="32"/>
          <w:highlight w:val="none"/>
        </w:rPr>
      </w:pPr>
    </w:p>
    <w:p>
      <w:pP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三、落实政府采购政策需满足的资格要求</w:t>
      </w:r>
    </w:p>
    <w:p>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pPr>
        <w:snapToGrid w:val="0"/>
        <w:spacing w:before="50" w:after="50"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A</w:t>
      </w:r>
      <w:r>
        <w:rPr>
          <w:rFonts w:hint="eastAsia" w:ascii="宋体" w:hAnsi="宋体" w:cs="宋体"/>
          <w:color w:val="auto"/>
          <w:sz w:val="24"/>
          <w:highlight w:val="none"/>
        </w:rPr>
        <w:t>.专门面向中小企业，服务全部由符合政策要求的中小企业（或小微企业）承接的，提供相应的中小企业声明函（附件</w:t>
      </w:r>
      <w:r>
        <w:rPr>
          <w:rFonts w:ascii="宋体" w:hAnsi="宋体" w:cs="宋体"/>
          <w:color w:val="auto"/>
          <w:sz w:val="24"/>
          <w:highlight w:val="none"/>
        </w:rPr>
        <w:t>7</w:t>
      </w:r>
      <w:r>
        <w:rPr>
          <w:rFonts w:hint="eastAsia" w:ascii="宋体" w:hAnsi="宋体" w:cs="宋体"/>
          <w:color w:val="auto"/>
          <w:sz w:val="24"/>
          <w:highlight w:val="none"/>
        </w:rPr>
        <w:t xml:space="preserve">）。 </w:t>
      </w:r>
    </w:p>
    <w:p>
      <w:pPr>
        <w:widowControl/>
        <w:spacing w:line="360" w:lineRule="auto"/>
        <w:ind w:firstLine="480"/>
        <w:jc w:val="left"/>
        <w:rPr>
          <w:rFonts w:ascii="宋体" w:hAnsi="宋体" w:cs="宋体"/>
          <w:color w:val="auto"/>
          <w:sz w:val="24"/>
          <w:highlight w:val="none"/>
        </w:rPr>
      </w:pPr>
    </w:p>
    <w:p>
      <w:pPr>
        <w:widowControl/>
        <w:spacing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B.</w:t>
      </w:r>
      <w:r>
        <w:rPr>
          <w:rFonts w:hint="eastAsia" w:ascii="宋体" w:hAnsi="宋体" w:cs="宋体"/>
          <w:color w:val="auto"/>
          <w:sz w:val="24"/>
          <w:highlight w:val="none"/>
        </w:rPr>
        <w:t>要求以联合体形式参加的，提供联合协议（附件</w:t>
      </w:r>
      <w:r>
        <w:rPr>
          <w:rFonts w:ascii="宋体" w:hAnsi="宋体" w:cs="宋体"/>
          <w:color w:val="auto"/>
          <w:sz w:val="24"/>
          <w:highlight w:val="none"/>
        </w:rPr>
        <w:t>5</w:t>
      </w:r>
      <w:r>
        <w:rPr>
          <w:rFonts w:hint="eastAsia" w:ascii="宋体" w:hAnsi="宋体" w:cs="宋体"/>
          <w:color w:val="auto"/>
          <w:sz w:val="24"/>
          <w:highlight w:val="none"/>
        </w:rPr>
        <w:t>）和中小企业声明函（附件</w:t>
      </w:r>
      <w:r>
        <w:rPr>
          <w:rFonts w:ascii="宋体" w:hAnsi="宋体" w:cs="宋体"/>
          <w:color w:val="auto"/>
          <w:sz w:val="24"/>
          <w:highlight w:val="none"/>
        </w:rPr>
        <w:t>7</w:t>
      </w:r>
      <w:r>
        <w:rPr>
          <w:rFonts w:hint="eastAsia" w:ascii="宋体" w:hAnsi="宋体" w:cs="宋体"/>
          <w:color w:val="auto"/>
          <w:sz w:val="24"/>
          <w:highlight w:val="none"/>
        </w:rPr>
        <w:t>），联合协议中中小企业合同金额应当达到招标公告载明的比例；如果供应商本身提供所有标的均由中小企业承接的，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视同符合了资格条件，无需再与其他中小企业组成联合体参加政府采购活动，无需提供联合协议。</w:t>
      </w:r>
    </w:p>
    <w:p>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），分包意向协议中中小企业合同金额应当达到招标公告载明的比例；如果供应商本身提供所有标的均由中小企业承接的，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视同符合了资格条件，无需再向中小企业分包，无需提供分包意向协议。</w:t>
      </w:r>
    </w:p>
    <w:p>
      <w:pPr>
        <w:widowControl/>
        <w:spacing w:line="360" w:lineRule="auto"/>
        <w:ind w:left="150"/>
        <w:jc w:val="center"/>
        <w:rPr>
          <w:rFonts w:ascii="宋体" w:hAnsi="宋体" w:cs="宋体"/>
          <w:b/>
          <w:color w:val="auto"/>
          <w:kern w:val="0"/>
          <w:sz w:val="32"/>
          <w:szCs w:val="32"/>
          <w:highlight w:val="none"/>
        </w:rPr>
      </w:pPr>
    </w:p>
    <w:p>
      <w:pPr>
        <w:widowControl/>
        <w:spacing w:line="360" w:lineRule="auto"/>
        <w:ind w:left="15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四、本项目的特定资格要求</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pPr>
        <w:rPr>
          <w:rFonts w:ascii="宋体" w:hAnsi="宋体" w:cs="宋体"/>
          <w:color w:val="auto"/>
          <w:highlight w:val="none"/>
        </w:rPr>
      </w:pPr>
    </w:p>
    <w:p>
      <w:pPr>
        <w:snapToGrid w:val="0"/>
        <w:spacing w:line="360" w:lineRule="auto"/>
        <w:ind w:right="480"/>
        <w:jc w:val="center"/>
        <w:rPr>
          <w:rFonts w:ascii="宋体" w:hAnsi="宋体" w:cs="宋体"/>
          <w:b/>
          <w:color w:val="auto"/>
          <w:kern w:val="0"/>
          <w:sz w:val="32"/>
          <w:szCs w:val="32"/>
          <w:highlight w:val="none"/>
        </w:rPr>
      </w:pPr>
    </w:p>
    <w:p>
      <w:pPr>
        <w:widowControl/>
        <w:adjustRightInd/>
        <w:jc w:val="left"/>
        <w:rPr>
          <w:rFonts w:ascii="宋体" w:hAnsi="宋体" w:cs="宋体"/>
          <w:b/>
          <w:color w:val="auto"/>
          <w:kern w:val="0"/>
          <w:sz w:val="36"/>
          <w:szCs w:val="36"/>
          <w:highlight w:val="none"/>
        </w:rPr>
      </w:pPr>
      <w:r>
        <w:rPr>
          <w:rFonts w:ascii="宋体" w:hAnsi="宋体" w:cs="宋体"/>
          <w:b/>
          <w:color w:val="auto"/>
          <w:kern w:val="0"/>
          <w:sz w:val="36"/>
          <w:szCs w:val="36"/>
          <w:highlight w:val="none"/>
        </w:rPr>
        <w:br w:type="page"/>
      </w:r>
    </w:p>
    <w:p>
      <w:pPr>
        <w:spacing w:line="360" w:lineRule="auto"/>
        <w:ind w:right="420" w:firstLine="3614" w:firstLineChars="100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pPr>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pPr>
        <w:snapToGrid w:val="0"/>
        <w:spacing w:line="360" w:lineRule="auto"/>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rPr>
        <w:t>（1）投标函</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lang w:val="zh-CN"/>
        </w:rPr>
        <w:t>（</w:t>
      </w:r>
      <w:r>
        <w:rPr>
          <w:rFonts w:hint="eastAsia" w:ascii="宋体" w:hAnsi="宋体" w:cs="宋体"/>
          <w:color w:val="auto"/>
          <w:sz w:val="24"/>
          <w:highlight w:val="none"/>
        </w:rPr>
        <w:t>9</w:t>
      </w:r>
      <w:r>
        <w:rPr>
          <w:rFonts w:hint="eastAsia" w:ascii="宋体" w:hAnsi="宋体" w:cs="宋体"/>
          <w:color w:val="auto"/>
          <w:sz w:val="24"/>
          <w:highlight w:val="none"/>
          <w:lang w:val="zh-CN"/>
        </w:rPr>
        <w:t>）承诺函</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10</w:t>
      </w:r>
      <w:r>
        <w:rPr>
          <w:rFonts w:hint="eastAsia" w:ascii="宋体" w:hAnsi="宋体" w:cs="宋体"/>
          <w:color w:val="auto"/>
          <w:sz w:val="24"/>
          <w:highlight w:val="none"/>
          <w:lang w:val="zh-CN"/>
        </w:rPr>
        <w:t>）技术解决方案</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11</w:t>
      </w:r>
      <w:r>
        <w:rPr>
          <w:rFonts w:hint="eastAsia" w:ascii="宋体" w:hAnsi="宋体" w:cs="宋体"/>
          <w:color w:val="auto"/>
          <w:sz w:val="24"/>
          <w:highlight w:val="none"/>
          <w:lang w:val="zh-CN"/>
        </w:rPr>
        <w:t>）组织实施方案</w:t>
      </w:r>
      <w:r>
        <w:rPr>
          <w:rFonts w:hint="eastAsia" w:ascii="宋体" w:hAnsi="宋体" w:cs="宋体"/>
          <w:color w:val="auto"/>
          <w:highlight w:val="none"/>
        </w:rPr>
        <w:t>…………………………………………………………………………（页码）</w:t>
      </w:r>
    </w:p>
    <w:p>
      <w:pPr>
        <w:snapToGrid w:val="0"/>
        <w:spacing w:line="360" w:lineRule="auto"/>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12</w:t>
      </w:r>
      <w:r>
        <w:rPr>
          <w:rFonts w:hint="eastAsia" w:ascii="宋体" w:hAnsi="宋体" w:cs="宋体"/>
          <w:color w:val="auto"/>
          <w:sz w:val="24"/>
          <w:highlight w:val="none"/>
          <w:lang w:val="zh-CN"/>
        </w:rPr>
        <w:t>）运维服务方案</w:t>
      </w:r>
      <w:r>
        <w:rPr>
          <w:rFonts w:hint="eastAsia" w:ascii="宋体" w:hAnsi="宋体" w:cs="宋体"/>
          <w:color w:val="auto"/>
          <w:highlight w:val="none"/>
        </w:rPr>
        <w:t>…………………………………………………………………………（页码）</w:t>
      </w: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rPr>
          <w:rFonts w:ascii="宋体" w:hAnsi="宋体" w:cs="宋体"/>
          <w:b/>
          <w:color w:val="auto"/>
          <w:kern w:val="0"/>
          <w:sz w:val="32"/>
          <w:szCs w:val="32"/>
          <w:highlight w:val="none"/>
          <w:lang w:val="zh-CN"/>
        </w:rPr>
      </w:pPr>
    </w:p>
    <w:p>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pPr>
        <w:snapToGrid w:val="0"/>
        <w:spacing w:line="360" w:lineRule="auto"/>
        <w:jc w:val="center"/>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（采购人）、（采购代理机构）：</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我方参加你方组织的（项目名称）【招标编号：（采购编号）】招标的有关活动，并对此项目进行投标。为此：</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天（不少于60天）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w:t>
      </w:r>
      <w:bookmarkStart w:id="420" w:name="_Hlk101257010"/>
      <w:r>
        <w:rPr>
          <w:rFonts w:hint="eastAsia" w:ascii="宋体" w:hAnsi="宋体" w:cs="宋体"/>
          <w:color w:val="auto"/>
          <w:sz w:val="24"/>
          <w:highlight w:val="none"/>
        </w:rPr>
        <w:t>（如果有)</w:t>
      </w:r>
      <w:bookmarkEnd w:id="420"/>
      <w:r>
        <w:rPr>
          <w:rFonts w:hint="eastAsia" w:ascii="宋体" w:hAnsi="宋体" w:cs="宋体"/>
          <w:snapToGrid w:val="0"/>
          <w:color w:val="auto"/>
          <w:kern w:val="28"/>
          <w:sz w:val="24"/>
          <w:szCs w:val="20"/>
          <w:highlight w:val="none"/>
        </w:rPr>
        <w:t>；</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落实政府采购政策需满足的资格要求（如果有）；</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本项目的特定资格要求（如果有)。</w:t>
      </w:r>
    </w:p>
    <w:p>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分包意向协议（如果有)；</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符合性审查资料（如果有）；</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评标标准相应的商务技术资料（如果有）；</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投标标的清单（如果有）；</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pPr>
        <w:pStyle w:val="83"/>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9</w:t>
      </w:r>
      <w:r>
        <w:rPr>
          <w:rFonts w:hint="eastAsia" w:cs="宋体"/>
          <w:color w:val="auto"/>
          <w:highlight w:val="none"/>
          <w:lang w:val="zh-CN"/>
        </w:rPr>
        <w:t>承诺函；</w:t>
      </w:r>
    </w:p>
    <w:p>
      <w:pPr>
        <w:pStyle w:val="83"/>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10</w:t>
      </w:r>
      <w:r>
        <w:rPr>
          <w:rFonts w:hint="eastAsia" w:cs="宋体"/>
          <w:color w:val="auto"/>
          <w:highlight w:val="none"/>
          <w:lang w:val="zh-CN"/>
        </w:rPr>
        <w:t>技术解决方案</w:t>
      </w:r>
      <w:r>
        <w:rPr>
          <w:rFonts w:hint="eastAsia" w:cs="宋体"/>
          <w:snapToGrid w:val="0"/>
          <w:color w:val="auto"/>
          <w:kern w:val="28"/>
          <w:highlight w:val="none"/>
        </w:rPr>
        <w:t>（如果有）</w:t>
      </w:r>
      <w:r>
        <w:rPr>
          <w:rFonts w:hint="eastAsia" w:cs="宋体"/>
          <w:color w:val="auto"/>
          <w:highlight w:val="none"/>
          <w:lang w:val="zh-CN"/>
        </w:rPr>
        <w:t>；</w:t>
      </w:r>
    </w:p>
    <w:p>
      <w:pPr>
        <w:pStyle w:val="83"/>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11</w:t>
      </w:r>
      <w:r>
        <w:rPr>
          <w:rFonts w:hint="eastAsia" w:cs="宋体"/>
          <w:color w:val="auto"/>
          <w:highlight w:val="none"/>
          <w:lang w:val="zh-CN"/>
        </w:rPr>
        <w:t>组织实施方案</w:t>
      </w:r>
      <w:r>
        <w:rPr>
          <w:rFonts w:hint="eastAsia" w:cs="宋体"/>
          <w:snapToGrid w:val="0"/>
          <w:color w:val="auto"/>
          <w:kern w:val="28"/>
          <w:highlight w:val="none"/>
        </w:rPr>
        <w:t>（如果有）</w:t>
      </w:r>
      <w:r>
        <w:rPr>
          <w:rFonts w:hint="eastAsia" w:cs="宋体"/>
          <w:color w:val="auto"/>
          <w:highlight w:val="none"/>
          <w:lang w:val="zh-CN"/>
        </w:rPr>
        <w:t>；</w:t>
      </w:r>
    </w:p>
    <w:p>
      <w:pPr>
        <w:pStyle w:val="83"/>
        <w:ind w:left="420" w:leftChars="200" w:firstLine="480" w:firstLineChars="200"/>
        <w:rPr>
          <w:color w:val="auto"/>
          <w:highlight w:val="none"/>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12运维服务</w:t>
      </w:r>
      <w:r>
        <w:rPr>
          <w:rFonts w:hint="eastAsia" w:cs="宋体"/>
          <w:color w:val="auto"/>
          <w:highlight w:val="none"/>
          <w:lang w:val="zh-CN"/>
        </w:rPr>
        <w:t>方案。</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2.3.1开标一览表（报价表）；</w:t>
      </w:r>
    </w:p>
    <w:p>
      <w:pPr>
        <w:pStyle w:val="83"/>
        <w:ind w:left="420" w:leftChars="200" w:firstLine="480" w:firstLineChars="200"/>
        <w:rPr>
          <w:rFonts w:cs="宋体"/>
          <w:color w:val="auto"/>
          <w:highlight w:val="none"/>
          <w:lang w:val="zh-CN"/>
        </w:rPr>
      </w:pPr>
      <w:r>
        <w:rPr>
          <w:rFonts w:hint="eastAsia" w:cs="宋体"/>
          <w:color w:val="auto"/>
          <w:highlight w:val="none"/>
          <w:lang w:val="zh-CN"/>
        </w:rPr>
        <w:t>2.3.2中小企业声明函（如果有）。</w:t>
      </w:r>
    </w:p>
    <w:p>
      <w:pPr>
        <w:pStyle w:val="83"/>
        <w:ind w:left="420" w:leftChars="200" w:firstLine="480" w:firstLineChars="200"/>
        <w:rPr>
          <w:rFonts w:cs="宋体"/>
          <w:color w:val="auto"/>
          <w:highlight w:val="none"/>
          <w:lang w:val="zh-CN"/>
        </w:rPr>
      </w:pPr>
      <w:r>
        <w:rPr>
          <w:rFonts w:hint="eastAsia" w:cs="宋体"/>
          <w:color w:val="auto"/>
          <w:highlight w:val="none"/>
          <w:lang w:val="zh-CN"/>
        </w:rPr>
        <w:t>2.3.3关于符合本国产品标准的声明函（如果有) ；</w:t>
      </w:r>
    </w:p>
    <w:p>
      <w:pPr>
        <w:pStyle w:val="83"/>
        <w:ind w:left="420" w:leftChars="200" w:firstLine="480" w:firstLineChars="200"/>
        <w:rPr>
          <w:rFonts w:cs="宋体"/>
          <w:color w:val="auto"/>
          <w:highlight w:val="none"/>
          <w:lang w:val="zh-CN"/>
        </w:rPr>
      </w:pPr>
      <w:r>
        <w:rPr>
          <w:rFonts w:hint="eastAsia" w:cs="宋体"/>
          <w:color w:val="auto"/>
          <w:highlight w:val="none"/>
          <w:lang w:val="zh-CN"/>
        </w:rPr>
        <w:t>2.3.4关于符合本国产品标准的产品成本之和占所提供的全部产品成本之和的比例达到80%以上的声明函（如果有)。</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3、我方承诺除商务技术偏离表列出的偏离外，我方响应招标文件的全部要求。</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4、如我方中标，我方承诺：</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5、其他补充说明: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snapToGrid w:val="0"/>
        <w:spacing w:line="360" w:lineRule="auto"/>
        <w:ind w:left="420" w:leftChars="200" w:firstLine="4200" w:firstLineChars="1750"/>
        <w:rPr>
          <w:rFonts w:ascii="宋体" w:hAnsi="宋体" w:cs="宋体"/>
          <w:color w:val="auto"/>
          <w:kern w:val="0"/>
          <w:sz w:val="24"/>
          <w:highlight w:val="none"/>
          <w:u w:val="single"/>
        </w:rPr>
      </w:pP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snapToGrid w:val="0"/>
        <w:spacing w:line="360" w:lineRule="auto"/>
        <w:jc w:val="center"/>
        <w:rPr>
          <w:rFonts w:ascii="宋体" w:hAnsi="宋体" w:cs="宋体"/>
          <w:b/>
          <w:color w:val="auto"/>
          <w:kern w:val="0"/>
          <w:sz w:val="32"/>
          <w:szCs w:val="32"/>
          <w:highlight w:val="none"/>
        </w:rPr>
      </w:pPr>
    </w:p>
    <w:p>
      <w:pPr>
        <w:snapToGrid w:val="0"/>
        <w:spacing w:line="360" w:lineRule="auto"/>
        <w:rPr>
          <w:rFonts w:ascii="宋体" w:hAnsi="宋体" w:cs="宋体"/>
          <w:color w:val="auto"/>
          <w:sz w:val="24"/>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pStyle w:val="83"/>
        <w:rPr>
          <w:color w:val="auto"/>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二、授权委托书或法定代表人（单位负责人、自然人本人）身份证明</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pPr>
        <w:snapToGrid w:val="0"/>
        <w:spacing w:line="360" w:lineRule="auto"/>
        <w:ind w:firstLine="2872" w:firstLineChars="894"/>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r>
        <w:rPr>
          <w:rFonts w:hint="eastAsia" w:ascii="宋体" w:hAnsi="宋体" w:cs="宋体"/>
          <w:color w:val="auto"/>
          <w:highlight w:val="none"/>
        </w:rPr>
        <w:t xml:space="preserve">                               </w:t>
      </w: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pP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投标人名称（公章）：</w:t>
      </w:r>
    </w:p>
    <w:p>
      <w:pP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pPr>
        <w:adjustRightInd/>
        <w:spacing w:line="360" w:lineRule="auto"/>
        <w:rPr>
          <w:rFonts w:ascii="宋体" w:hAnsi="宋体"/>
          <w:color w:val="auto"/>
          <w:sz w:val="24"/>
          <w:szCs w:val="21"/>
          <w:highlight w:val="none"/>
        </w:rPr>
      </w:pPr>
    </w:p>
    <w:p>
      <w:pP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pPr>
              <w:spacing w:line="360" w:lineRule="auto"/>
              <w:rPr>
                <w:rFonts w:ascii="宋体" w:hAnsi="宋体" w:cs="宋体"/>
                <w:bCs/>
                <w:color w:val="auto"/>
                <w:sz w:val="24"/>
                <w:szCs w:val="21"/>
                <w:highlight w:val="none"/>
              </w:rPr>
            </w:pPr>
          </w:p>
        </w:tc>
      </w:tr>
    </w:tbl>
    <w:p>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pPr>
        <w:snapToGrid w:val="0"/>
        <w:spacing w:line="360" w:lineRule="auto"/>
        <w:ind w:right="480"/>
        <w:rPr>
          <w:rFonts w:ascii="宋体" w:hAnsi="宋体" w:cs="宋体"/>
          <w:b/>
          <w:color w:val="auto"/>
          <w:kern w:val="0"/>
          <w:sz w:val="32"/>
          <w:szCs w:val="32"/>
          <w:highlight w:val="none"/>
        </w:rPr>
        <w:sectPr>
          <w:headerReference r:id="rId7" w:type="first"/>
          <w:footerReference r:id="rId9" w:type="first"/>
          <w:headerReference r:id="rId6" w:type="default"/>
          <w:footerReference r:id="rId8" w:type="default"/>
          <w:pgSz w:w="11906" w:h="16838"/>
          <w:pgMar w:top="1134" w:right="1134" w:bottom="1134" w:left="1134" w:header="397" w:footer="992" w:gutter="0"/>
          <w:pgNumType w:start="1"/>
          <w:cols w:space="720" w:num="1"/>
          <w:titlePg/>
          <w:docGrid w:linePitch="312" w:charSpace="0"/>
        </w:sectPr>
      </w:pPr>
    </w:p>
    <w:p>
      <w:pPr>
        <w:snapToGrid w:val="0"/>
        <w:spacing w:line="360" w:lineRule="auto"/>
        <w:rPr>
          <w:rFonts w:ascii="宋体" w:hAnsi="宋体" w:cs="宋体"/>
          <w:color w:val="auto"/>
          <w:sz w:val="24"/>
          <w:highlight w:val="none"/>
        </w:rPr>
      </w:pPr>
    </w:p>
    <w:p>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lang w:val="zh-CN"/>
        </w:rPr>
        <w:t>授权委托书（适用于联合体投标）</w:t>
      </w: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rPr>
          <w:rFonts w:ascii="宋体" w:hAnsi="宋体" w:cs="宋体"/>
          <w:color w:val="auto"/>
          <w:highlight w:val="none"/>
        </w:rPr>
      </w:pP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pPr>
        <w:snapToGrid w:val="0"/>
        <w:spacing w:line="360" w:lineRule="auto"/>
        <w:ind w:firstLine="5040" w:firstLineChars="2100"/>
        <w:rPr>
          <w:rFonts w:ascii="宋体" w:hAnsi="宋体"/>
          <w:color w:val="auto"/>
          <w:sz w:val="24"/>
          <w:highlight w:val="none"/>
        </w:rPr>
      </w:pPr>
      <w:r>
        <w:rPr>
          <w:rFonts w:hint="eastAsia" w:ascii="宋体" w:hAnsi="宋体"/>
          <w:color w:val="auto"/>
          <w:sz w:val="24"/>
          <w:highlight w:val="none"/>
        </w:rPr>
        <w:t>法定代表人（负责人） (签名)：</w:t>
      </w: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olor w:val="auto"/>
          <w:sz w:val="24"/>
          <w:highlight w:val="none"/>
        </w:rPr>
        <w:t>联合体成</w:t>
      </w:r>
      <w:r>
        <w:rPr>
          <w:rFonts w:hint="eastAsia" w:ascii="宋体" w:hAnsi="宋体" w:cs="宋体"/>
          <w:color w:val="auto"/>
          <w:kern w:val="0"/>
          <w:sz w:val="24"/>
          <w:highlight w:val="none"/>
          <w:lang w:val="zh-CN"/>
        </w:rPr>
        <w:t>员名称(公章)：</w:t>
      </w:r>
    </w:p>
    <w:p>
      <w:pPr>
        <w:snapToGrid w:val="0"/>
        <w:spacing w:line="360" w:lineRule="auto"/>
        <w:ind w:firstLine="5040" w:firstLineChars="2100"/>
        <w:jc w:val="left"/>
        <w:rPr>
          <w:rFonts w:ascii="宋体" w:hAnsi="宋体"/>
          <w:color w:val="auto"/>
          <w:kern w:val="0"/>
          <w:sz w:val="24"/>
          <w:szCs w:val="20"/>
          <w:highlight w:val="none"/>
        </w:rPr>
      </w:pPr>
      <w:r>
        <w:rPr>
          <w:rFonts w:hint="eastAsia" w:ascii="宋体" w:hAnsi="宋体"/>
          <w:color w:val="auto"/>
          <w:kern w:val="0"/>
          <w:sz w:val="24"/>
          <w:szCs w:val="20"/>
          <w:highlight w:val="none"/>
        </w:rPr>
        <w:t>法定代表人（负责人） (签名)：</w:t>
      </w:r>
    </w:p>
    <w:p>
      <w:pPr>
        <w:snapToGrid w:val="0"/>
        <w:spacing w:line="360" w:lineRule="auto"/>
        <w:ind w:firstLine="5040" w:firstLineChars="2100"/>
        <w:rPr>
          <w:rFonts w:ascii="宋体" w:hAnsi="宋体" w:cs="宋体"/>
          <w:color w:val="auto"/>
          <w:kern w:val="0"/>
          <w:sz w:val="24"/>
          <w:highlight w:val="none"/>
          <w:lang w:val="zh-CN"/>
        </w:rPr>
      </w:pPr>
    </w:p>
    <w:p>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pPr>
        <w:adjustRightInd/>
        <w:spacing w:line="360" w:lineRule="auto"/>
        <w:rPr>
          <w:rFonts w:ascii="宋体" w:hAnsi="宋体"/>
          <w:color w:val="auto"/>
          <w:sz w:val="24"/>
          <w:szCs w:val="21"/>
          <w:highlight w:val="none"/>
        </w:rPr>
      </w:pPr>
    </w:p>
    <w:p>
      <w:pP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委托代理人和联合体牵头单位法定代表人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pPr>
              <w:spacing w:line="360" w:lineRule="auto"/>
              <w:rPr>
                <w:rFonts w:ascii="宋体" w:hAnsi="宋体" w:cs="宋体"/>
                <w:bCs/>
                <w:color w:val="auto"/>
                <w:sz w:val="24"/>
                <w:szCs w:val="21"/>
                <w:highlight w:val="none"/>
              </w:rPr>
            </w:pPr>
          </w:p>
        </w:tc>
      </w:tr>
    </w:tbl>
    <w:p>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pPr>
        <w:snapToGrid w:val="0"/>
        <w:spacing w:line="360" w:lineRule="auto"/>
        <w:ind w:right="480"/>
        <w:rPr>
          <w:rFonts w:ascii="宋体" w:hAnsi="宋体" w:cs="宋体"/>
          <w:b/>
          <w:color w:val="auto"/>
          <w:kern w:val="0"/>
          <w:sz w:val="32"/>
          <w:szCs w:val="32"/>
          <w:highlight w:val="none"/>
        </w:rPr>
        <w:sectPr>
          <w:headerReference r:id="rId11" w:type="first"/>
          <w:footerReference r:id="rId13" w:type="first"/>
          <w:headerReference r:id="rId10" w:type="default"/>
          <w:footerReference r:id="rId12" w:type="default"/>
          <w:pgSz w:w="11906" w:h="16838"/>
          <w:pgMar w:top="1134" w:right="1134" w:bottom="1134" w:left="1134" w:header="851" w:footer="992" w:gutter="0"/>
          <w:cols w:space="720" w:num="1"/>
          <w:titlePg/>
          <w:docGrid w:linePitch="312" w:charSpace="0"/>
        </w:sectPr>
      </w:pPr>
    </w:p>
    <w:p>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pPr>
        <w:adjustRightInd/>
        <w:spacing w:line="360" w:lineRule="auto"/>
        <w:rPr>
          <w:rFonts w:ascii="宋体" w:hAnsi="宋体" w:cs="宋体"/>
          <w:bCs/>
          <w:color w:val="auto"/>
          <w:sz w:val="24"/>
          <w:szCs w:val="21"/>
          <w:highlight w:val="none"/>
        </w:rPr>
      </w:pPr>
    </w:p>
    <w:p>
      <w:pPr>
        <w:adjustRightInd/>
        <w:snapToGrid w:val="0"/>
        <w:spacing w:before="120" w:beforeLines="50" w:after="50" w:line="600" w:lineRule="exact"/>
        <w:jc w:val="center"/>
        <w:rPr>
          <w:rFonts w:ascii="宋体" w:hAnsi="宋体"/>
          <w:b/>
          <w:color w:val="auto"/>
          <w:sz w:val="30"/>
          <w:szCs w:val="30"/>
          <w:highlight w:val="none"/>
        </w:rPr>
      </w:pPr>
      <w:r>
        <w:rPr>
          <w:rFonts w:hint="eastAsia" w:ascii="宋体" w:hAnsi="宋体"/>
          <w:b/>
          <w:color w:val="auto"/>
          <w:sz w:val="30"/>
          <w:szCs w:val="30"/>
          <w:highlight w:val="none"/>
        </w:rPr>
        <w:t>法定代表人、单位负责人或自然人身份证明书</w:t>
      </w:r>
    </w:p>
    <w:p>
      <w:pPr>
        <w:snapToGrid w:val="0"/>
        <w:spacing w:line="276" w:lineRule="auto"/>
        <w:ind w:firstLine="960" w:firstLineChars="400"/>
        <w:rPr>
          <w:rFonts w:ascii="宋体" w:hAnsi="宋体"/>
          <w:color w:val="auto"/>
          <w:sz w:val="24"/>
          <w:highlight w:val="none"/>
          <w:u w:val="single"/>
        </w:rPr>
      </w:pPr>
    </w:p>
    <w:p>
      <w:pPr>
        <w:snapToGrid w:val="0"/>
        <w:spacing w:line="720" w:lineRule="exact"/>
        <w:ind w:firstLine="960" w:firstLineChars="400"/>
        <w:rPr>
          <w:rFonts w:ascii="宋体" w:hAnsi="宋体"/>
          <w:color w:val="auto"/>
          <w:sz w:val="24"/>
          <w:highlight w:val="none"/>
        </w:rPr>
      </w:pP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w:t>
      </w:r>
      <w:r>
        <w:rPr>
          <w:rFonts w:hint="eastAsia" w:ascii="宋体" w:hAnsi="宋体"/>
          <w:color w:val="auto"/>
          <w:sz w:val="24"/>
          <w:highlight w:val="none"/>
        </w:rPr>
        <w:t>在我公司（单位）任</w:t>
      </w:r>
      <w:r>
        <w:rPr>
          <w:rFonts w:hint="eastAsia" w:ascii="宋体" w:hAnsi="宋体"/>
          <w:color w:val="auto"/>
          <w:sz w:val="24"/>
          <w:highlight w:val="none"/>
          <w:u w:val="single"/>
        </w:rPr>
        <w:t xml:space="preserve">          </w:t>
      </w:r>
      <w:r>
        <w:rPr>
          <w:rFonts w:hint="eastAsia" w:ascii="宋体" w:hAnsi="宋体"/>
          <w:color w:val="auto"/>
          <w:sz w:val="24"/>
          <w:highlight w:val="none"/>
        </w:rPr>
        <w:t>职务，是我公司（单位）</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w:t>
      </w:r>
      <w:r>
        <w:rPr>
          <w:rFonts w:hint="eastAsia" w:ascii="宋体" w:hAnsi="宋体" w:cs="宋体"/>
          <w:color w:val="auto"/>
          <w:kern w:val="0"/>
          <w:sz w:val="24"/>
          <w:highlight w:val="none"/>
        </w:rPr>
        <w:t>（负责人）</w:t>
      </w:r>
      <w:r>
        <w:rPr>
          <w:rFonts w:hint="eastAsia" w:ascii="宋体" w:hAnsi="宋体"/>
          <w:color w:val="auto"/>
          <w:sz w:val="24"/>
          <w:highlight w:val="none"/>
        </w:rPr>
        <w:t>。</w:t>
      </w:r>
    </w:p>
    <w:p>
      <w:pPr>
        <w:snapToGrid w:val="0"/>
        <w:spacing w:line="720" w:lineRule="exact"/>
        <w:ind w:firstLine="840" w:firstLineChars="350"/>
        <w:rPr>
          <w:rFonts w:ascii="宋体" w:hAnsi="宋体"/>
          <w:color w:val="auto"/>
          <w:sz w:val="24"/>
          <w:highlight w:val="none"/>
        </w:rPr>
      </w:pPr>
      <w:r>
        <w:rPr>
          <w:rFonts w:hint="eastAsia" w:ascii="宋体" w:hAnsi="宋体"/>
          <w:color w:val="auto"/>
          <w:sz w:val="24"/>
          <w:highlight w:val="none"/>
        </w:rPr>
        <w:t>特此证明。</w:t>
      </w:r>
    </w:p>
    <w:p>
      <w:pPr>
        <w:snapToGrid w:val="0"/>
        <w:spacing w:line="276" w:lineRule="auto"/>
        <w:rPr>
          <w:rFonts w:ascii="宋体" w:hAnsi="宋体"/>
          <w:color w:val="auto"/>
          <w:sz w:val="24"/>
          <w:highlight w:val="none"/>
        </w:rPr>
      </w:pPr>
    </w:p>
    <w:p>
      <w:pPr>
        <w:snapToGrid w:val="0"/>
        <w:spacing w:line="276" w:lineRule="auto"/>
        <w:rPr>
          <w:rFonts w:ascii="宋体" w:hAnsi="宋体"/>
          <w:color w:val="auto"/>
          <w:sz w:val="24"/>
          <w:highlight w:val="none"/>
        </w:rPr>
      </w:pPr>
      <w:r>
        <w:rPr>
          <w:rFonts w:hint="eastAsia" w:ascii="宋体" w:hAnsi="宋体"/>
          <w:color w:val="auto"/>
          <w:sz w:val="24"/>
          <w:highlight w:val="none"/>
        </w:rPr>
        <w:t xml:space="preserve">                        </w:t>
      </w:r>
    </w:p>
    <w:p>
      <w:pPr>
        <w:snapToGrid w:val="0"/>
        <w:spacing w:line="276" w:lineRule="auto"/>
        <w:rPr>
          <w:rFonts w:ascii="宋体" w:hAnsi="宋体"/>
          <w:color w:val="auto"/>
          <w:sz w:val="24"/>
          <w:highlight w:val="none"/>
        </w:rPr>
      </w:pPr>
    </w:p>
    <w:p>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投标人名称(公章)：                              </w:t>
      </w:r>
    </w:p>
    <w:p>
      <w:pPr>
        <w:adjustRightInd/>
        <w:spacing w:line="360" w:lineRule="auto"/>
        <w:rPr>
          <w:rFonts w:ascii="宋体" w:hAnsi="宋体" w:cs="宋体"/>
          <w:bCs/>
          <w:color w:val="auto"/>
          <w:sz w:val="24"/>
          <w:szCs w:val="21"/>
          <w:highlight w:val="none"/>
        </w:rPr>
      </w:pPr>
      <w:r>
        <w:rPr>
          <w:rFonts w:hint="eastAsia" w:ascii="宋体" w:hAnsi="宋体" w:cs="宋体"/>
          <w:color w:val="auto"/>
          <w:kern w:val="0"/>
          <w:sz w:val="24"/>
          <w:szCs w:val="21"/>
          <w:highlight w:val="none"/>
          <w:lang w:val="zh-CN"/>
        </w:rPr>
        <w:t xml:space="preserve">                               日期：  年  月  日</w:t>
      </w:r>
    </w:p>
    <w:p>
      <w:pPr>
        <w:adjustRightInd/>
        <w:spacing w:line="360" w:lineRule="auto"/>
        <w:rPr>
          <w:rFonts w:ascii="宋体" w:hAnsi="宋体" w:cs="宋体"/>
          <w:bCs/>
          <w:color w:val="auto"/>
          <w:sz w:val="24"/>
          <w:szCs w:val="21"/>
          <w:highlight w:val="none"/>
        </w:rPr>
      </w:pPr>
    </w:p>
    <w:p>
      <w:pP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pPr>
              <w:spacing w:line="360" w:lineRule="auto"/>
              <w:rPr>
                <w:rFonts w:ascii="宋体" w:hAnsi="宋体" w:cs="宋体"/>
                <w:bCs/>
                <w:color w:val="auto"/>
                <w:sz w:val="24"/>
                <w:szCs w:val="21"/>
                <w:highlight w:val="none"/>
              </w:rPr>
            </w:pPr>
          </w:p>
        </w:tc>
      </w:tr>
    </w:tbl>
    <w:p>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pPr>
        <w:snapToGrid w:val="0"/>
        <w:spacing w:line="360" w:lineRule="auto"/>
        <w:ind w:right="480"/>
        <w:rPr>
          <w:rFonts w:ascii="宋体" w:hAnsi="宋体" w:cs="宋体"/>
          <w:b/>
          <w:color w:val="auto"/>
          <w:kern w:val="0"/>
          <w:sz w:val="32"/>
          <w:szCs w:val="32"/>
          <w:highlight w:val="none"/>
        </w:rPr>
        <w:sectPr>
          <w:headerReference r:id="rId15" w:type="first"/>
          <w:footerReference r:id="rId17" w:type="first"/>
          <w:headerReference r:id="rId14" w:type="default"/>
          <w:footerReference r:id="rId16" w:type="default"/>
          <w:pgSz w:w="11906" w:h="16838"/>
          <w:pgMar w:top="1134" w:right="1134" w:bottom="1134" w:left="1134" w:header="851" w:footer="992" w:gutter="0"/>
          <w:cols w:space="720" w:num="1"/>
          <w:titlePg/>
          <w:docGrid w:linePitch="312" w:charSpace="0"/>
        </w:sectPr>
      </w:pPr>
    </w:p>
    <w:p>
      <w:pPr>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中标后以分包方式履行合同的，提供分包意向协议(附件6</w:t>
      </w:r>
      <w:r>
        <w:rPr>
          <w:rFonts w:ascii="宋体" w:hAnsi="宋体" w:cs="宋体"/>
          <w:b/>
          <w:color w:val="auto"/>
          <w:sz w:val="24"/>
          <w:highlight w:val="none"/>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p>
      <w:pPr>
        <w:snapToGrid w:val="0"/>
        <w:spacing w:line="360" w:lineRule="auto"/>
        <w:rPr>
          <w:rFonts w:ascii="宋体" w:hAnsi="宋体" w:cs="宋体"/>
          <w:color w:val="auto"/>
          <w:kern w:val="0"/>
          <w:sz w:val="24"/>
          <w:highlight w:val="none"/>
        </w:rPr>
      </w:pPr>
    </w:p>
    <w:p>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p>
      <w:pPr>
        <w:jc w:val="center"/>
        <w:rPr>
          <w:rFonts w:ascii="宋体" w:hAnsi="宋体" w:cs="宋体"/>
          <w:b/>
          <w:color w:val="auto"/>
          <w:kern w:val="0"/>
          <w:sz w:val="32"/>
          <w:szCs w:val="32"/>
          <w:highlight w:val="none"/>
        </w:rPr>
      </w:pPr>
    </w:p>
    <w:tbl>
      <w:tblPr>
        <w:tblStyle w:val="6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991" w:type="dxa"/>
            <w:vAlign w:val="center"/>
          </w:tcPr>
          <w:p>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1</w:t>
            </w:r>
          </w:p>
        </w:tc>
        <w:tc>
          <w:tcPr>
            <w:tcW w:w="4991" w:type="dxa"/>
          </w:tcPr>
          <w:p>
            <w:pPr>
              <w:spacing w:line="360" w:lineRule="auto"/>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pPr>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tcPr>
          <w:p>
            <w:pPr>
              <w:rPr>
                <w:rFonts w:ascii="宋体" w:hAnsi="宋体" w:cs="宋体"/>
                <w:color w:val="auto"/>
                <w:sz w:val="24"/>
                <w:highlight w:val="none"/>
              </w:rPr>
            </w:pPr>
          </w:p>
          <w:p>
            <w:pPr>
              <w:rPr>
                <w:rFonts w:ascii="宋体" w:hAnsi="宋体" w:cs="宋体"/>
                <w:color w:val="auto"/>
                <w:sz w:val="24"/>
                <w:highlight w:val="none"/>
              </w:rPr>
            </w:pPr>
            <w:r>
              <w:rPr>
                <w:rFonts w:hint="eastAsia" w:ascii="宋体" w:hAnsi="宋体" w:cs="宋体"/>
                <w:color w:val="auto"/>
                <w:sz w:val="24"/>
                <w:highlight w:val="none"/>
              </w:rPr>
              <w:t>见投标文件</w:t>
            </w:r>
          </w:p>
          <w:p>
            <w:pPr>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2</w:t>
            </w:r>
          </w:p>
        </w:tc>
        <w:tc>
          <w:tcPr>
            <w:tcW w:w="4991" w:type="dxa"/>
          </w:tcPr>
          <w:p>
            <w:pPr>
              <w:spacing w:line="360" w:lineRule="auto"/>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pPr>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tcPr>
          <w:p>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3</w:t>
            </w:r>
          </w:p>
        </w:tc>
        <w:tc>
          <w:tcPr>
            <w:tcW w:w="4991" w:type="dxa"/>
          </w:tcPr>
          <w:p>
            <w:pPr>
              <w:spacing w:line="360" w:lineRule="auto"/>
              <w:rPr>
                <w:rFonts w:ascii="宋体" w:hAnsi="宋体" w:cs="宋体"/>
                <w:color w:val="auto"/>
                <w:sz w:val="24"/>
                <w:highlight w:val="none"/>
              </w:rPr>
            </w:pPr>
            <w:r>
              <w:rPr>
                <w:rFonts w:hint="eastAsia" w:ascii="宋体" w:hAnsi="宋体" w:cs="宋体"/>
                <w:color w:val="auto"/>
                <w:sz w:val="24"/>
                <w:highlight w:val="none"/>
              </w:rPr>
              <w:t>投标文件满足招标文件的其它实质性要求。</w:t>
            </w:r>
          </w:p>
        </w:tc>
        <w:tc>
          <w:tcPr>
            <w:tcW w:w="2551" w:type="dxa"/>
            <w:vAlign w:val="center"/>
          </w:tcPr>
          <w:p>
            <w:pPr>
              <w:rPr>
                <w:rFonts w:ascii="宋体" w:hAnsi="宋体" w:cs="宋体"/>
                <w:color w:val="auto"/>
                <w:sz w:val="24"/>
                <w:highlight w:val="none"/>
              </w:rPr>
            </w:pPr>
            <w:r>
              <w:rPr>
                <w:rFonts w:hint="eastAsia" w:ascii="宋体" w:hAnsi="宋体" w:cs="宋体"/>
                <w:color w:val="auto"/>
                <w:kern w:val="0"/>
                <w:sz w:val="24"/>
                <w:highlight w:val="none"/>
              </w:rPr>
              <w:t>招标文件其它实质性要求相应的材料（“▲” 系指实质性要求条款，招标文件无其它实质性要求的，无需提供）</w:t>
            </w:r>
          </w:p>
        </w:tc>
        <w:tc>
          <w:tcPr>
            <w:tcW w:w="1418" w:type="dxa"/>
          </w:tcPr>
          <w:p>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bl>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pPr>
        <w:jc w:val="center"/>
        <w:rPr>
          <w:rFonts w:ascii="宋体" w:hAnsi="宋体" w:cs="宋体"/>
          <w:color w:val="auto"/>
          <w:highlight w:val="none"/>
        </w:rPr>
      </w:pPr>
      <w:r>
        <w:rPr>
          <w:rFonts w:hint="eastAsia" w:ascii="宋体" w:hAnsi="宋体" w:cs="宋体"/>
          <w:b/>
          <w:color w:val="auto"/>
          <w:kern w:val="0"/>
          <w:sz w:val="32"/>
          <w:szCs w:val="32"/>
          <w:highlight w:val="none"/>
        </w:rPr>
        <w:t>五、评标标准相应的商务技术资料</w:t>
      </w:r>
    </w:p>
    <w:p>
      <w:pPr>
        <w:snapToGrid w:val="0"/>
        <w:spacing w:line="360" w:lineRule="auto"/>
        <w:jc w:val="left"/>
        <w:rPr>
          <w:rFonts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ind w:firstLine="2891" w:firstLineChars="9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62"/>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930"/>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11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b/>
                <w:color w:val="auto"/>
                <w:sz w:val="24"/>
                <w:highlight w:val="none"/>
              </w:rPr>
            </w:pPr>
          </w:p>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服务范围</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服务要求</w:t>
            </w: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服务时间</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服务标准</w:t>
            </w:r>
          </w:p>
        </w:tc>
        <w:tc>
          <w:tcPr>
            <w:tcW w:w="15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p>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pPr>
              <w:spacing w:line="360" w:lineRule="auto"/>
              <w:jc w:val="center"/>
              <w:rPr>
                <w:rFonts w:ascii="宋体" w:hAnsi="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c>
          <w:tcPr>
            <w:tcW w:w="15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c>
          <w:tcPr>
            <w:tcW w:w="15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c>
          <w:tcPr>
            <w:tcW w:w="15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r>
    </w:tbl>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color w:val="auto"/>
          <w:highlight w:val="none"/>
        </w:rPr>
      </w:pPr>
      <w:r>
        <w:rPr>
          <w:rFonts w:hint="eastAsia" w:ascii="宋体" w:hAnsi="宋体" w:cs="宋体"/>
          <w:b/>
          <w:color w:val="auto"/>
          <w:kern w:val="0"/>
          <w:sz w:val="32"/>
          <w:szCs w:val="32"/>
          <w:highlight w:val="none"/>
        </w:rPr>
        <w:t>七、商务技术偏离表</w:t>
      </w:r>
    </w:p>
    <w:p>
      <w:pPr>
        <w:snapToGrid w:val="0"/>
        <w:spacing w:line="400" w:lineRule="exact"/>
        <w:ind w:firstLine="480" w:firstLineChars="20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项目名称:</w:t>
      </w:r>
    </w:p>
    <w:p>
      <w:pPr>
        <w:snapToGrid w:val="0"/>
        <w:spacing w:line="40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项目编号:   </w:t>
      </w:r>
    </w:p>
    <w:p>
      <w:pPr>
        <w:autoSpaceDE w:val="0"/>
        <w:autoSpaceDN w:val="0"/>
        <w:snapToGrid w:val="0"/>
        <w:spacing w:after="120" w:line="400" w:lineRule="exact"/>
        <w:ind w:firstLine="480" w:firstLineChars="200"/>
        <w:jc w:val="left"/>
        <w:rPr>
          <w:rFonts w:cs="仿宋_GB2312" w:asciiTheme="minorEastAsia" w:hAnsiTheme="minorEastAsia" w:eastAsiaTheme="minorEastAsia"/>
          <w:color w:val="auto"/>
          <w:kern w:val="0"/>
          <w:sz w:val="24"/>
          <w:highlight w:val="none"/>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招标文件要求</w:t>
            </w:r>
          </w:p>
        </w:tc>
        <w:tc>
          <w:tcPr>
            <w:tcW w:w="2945"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投标文件具体响应</w:t>
            </w:r>
          </w:p>
        </w:tc>
        <w:tc>
          <w:tcPr>
            <w:tcW w:w="1464"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技术（服务）部分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809"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bl>
    <w:p>
      <w:pPr>
        <w:snapToGrid w:val="0"/>
        <w:spacing w:line="400" w:lineRule="exac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说明：1.应写明招标文件对商务与服务技术要求的响应和偏离情况</w:t>
      </w:r>
      <w:r>
        <w:rPr>
          <w:rFonts w:hint="eastAsia" w:asciiTheme="minorEastAsia" w:hAnsiTheme="minorEastAsia" w:eastAsiaTheme="minorEastAsia"/>
          <w:bCs/>
          <w:color w:val="auto"/>
          <w:sz w:val="24"/>
          <w:highlight w:val="none"/>
        </w:rPr>
        <w:t>；</w:t>
      </w:r>
    </w:p>
    <w:p>
      <w:pPr>
        <w:snapToGrid w:val="0"/>
        <w:spacing w:line="400" w:lineRule="exact"/>
        <w:ind w:firstLine="720" w:firstLineChars="3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2.应对照招标文件“第三部分  采购需求”，逐条说明所提供货物、服务已对招标文件的商务、技术（服务）要求做出了实质性的响应，并申明与采购项目要求的偏离情况。特别对有具体商务、技术（服务）要求的，</w:t>
      </w:r>
      <w:r>
        <w:rPr>
          <w:rFonts w:hint="eastAsia" w:ascii="宋体" w:hAnsi="宋体" w:cs="宋体"/>
          <w:color w:val="auto"/>
          <w:sz w:val="24"/>
          <w:highlight w:val="none"/>
        </w:rPr>
        <w:t>投标人</w:t>
      </w:r>
      <w:r>
        <w:rPr>
          <w:rFonts w:hint="eastAsia" w:asciiTheme="minorEastAsia" w:hAnsiTheme="minorEastAsia" w:eastAsiaTheme="minorEastAsia"/>
          <w:color w:val="auto"/>
          <w:sz w:val="24"/>
          <w:highlight w:val="none"/>
        </w:rPr>
        <w:t xml:space="preserve">必须提供对应的详细应答。如果仅注明“符合”、“满足”或简单复制招标文件要求，将导致投标被拒绝。 </w:t>
      </w:r>
    </w:p>
    <w:p>
      <w:pPr>
        <w:snapToGrid w:val="0"/>
        <w:spacing w:line="400" w:lineRule="exact"/>
        <w:rPr>
          <w:rFonts w:cs="Courier New" w:asciiTheme="minorEastAsia" w:hAnsiTheme="minorEastAsia" w:eastAsiaTheme="minorEastAsia"/>
          <w:color w:val="auto"/>
          <w:sz w:val="24"/>
          <w:highlight w:val="none"/>
        </w:rPr>
      </w:pPr>
    </w:p>
    <w:p>
      <w:pPr>
        <w:spacing w:line="360" w:lineRule="auto"/>
        <w:ind w:firstLine="3600" w:firstLineChars="1500"/>
        <w:rPr>
          <w:rFonts w:ascii="宋体" w:hAnsi="宋体" w:cs="宋体"/>
          <w:color w:val="auto"/>
          <w:sz w:val="24"/>
          <w:highlight w:val="none"/>
        </w:rPr>
      </w:pP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jc w:val="center"/>
        <w:rPr>
          <w:rFonts w:ascii="宋体" w:hAnsi="宋体" w:cs="宋体"/>
          <w:b/>
          <w:color w:val="auto"/>
          <w:kern w:val="0"/>
          <w:sz w:val="32"/>
          <w:szCs w:val="32"/>
          <w:highlight w:val="none"/>
        </w:rPr>
      </w:pP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ind w:firstLine="1911" w:firstLineChars="595"/>
        <w:rPr>
          <w:rFonts w:ascii="宋体" w:hAnsi="宋体" w:cs="宋体"/>
          <w:b/>
          <w:bCs/>
          <w:color w:val="auto"/>
          <w:sz w:val="32"/>
          <w:szCs w:val="32"/>
          <w:highlight w:val="none"/>
        </w:rPr>
      </w:pPr>
    </w:p>
    <w:p>
      <w:pPr>
        <w:widowControl/>
        <w:adjustRightInd/>
        <w:jc w:val="left"/>
        <w:rPr>
          <w:rFonts w:ascii="宋体" w:hAnsi="宋体" w:cs="宋体"/>
          <w:b/>
          <w:bCs/>
          <w:color w:val="auto"/>
          <w:sz w:val="32"/>
          <w:szCs w:val="32"/>
          <w:highlight w:val="none"/>
        </w:rPr>
      </w:pPr>
      <w:r>
        <w:rPr>
          <w:rFonts w:ascii="宋体" w:hAnsi="宋体" w:cs="宋体"/>
          <w:b/>
          <w:bCs/>
          <w:color w:val="auto"/>
          <w:sz w:val="32"/>
          <w:szCs w:val="32"/>
          <w:highlight w:val="none"/>
        </w:rPr>
        <w:br w:type="page"/>
      </w:r>
    </w:p>
    <w:p>
      <w:pPr>
        <w:ind w:firstLine="1911" w:firstLineChars="595"/>
        <w:rPr>
          <w:rFonts w:ascii="宋体" w:hAnsi="宋体" w:cs="宋体"/>
          <w:b/>
          <w:color w:val="auto"/>
          <w:kern w:val="0"/>
          <w:sz w:val="32"/>
          <w:szCs w:val="32"/>
          <w:highlight w:val="none"/>
        </w:rPr>
      </w:pPr>
      <w:r>
        <w:rPr>
          <w:rFonts w:hint="eastAsia" w:ascii="宋体" w:hAnsi="宋体" w:cs="宋体"/>
          <w:b/>
          <w:bCs/>
          <w:color w:val="auto"/>
          <w:sz w:val="32"/>
          <w:szCs w:val="32"/>
          <w:highlight w:val="none"/>
        </w:rPr>
        <w:t>八</w:t>
      </w:r>
      <w:r>
        <w:rPr>
          <w:rFonts w:hint="eastAsia" w:ascii="宋体" w:hAnsi="宋体" w:cs="宋体"/>
          <w:b/>
          <w:color w:val="auto"/>
          <w:kern w:val="0"/>
          <w:sz w:val="32"/>
          <w:szCs w:val="32"/>
          <w:highlight w:val="none"/>
        </w:rPr>
        <w:t>、</w:t>
      </w:r>
      <w:r>
        <w:rPr>
          <w:rFonts w:hint="eastAsia" w:ascii="宋体" w:hAnsi="宋体" w:cs="宋体"/>
          <w:b/>
          <w:color w:val="auto"/>
          <w:kern w:val="0"/>
          <w:sz w:val="32"/>
          <w:szCs w:val="32"/>
          <w:highlight w:val="none"/>
          <w:lang w:val="zh-CN"/>
        </w:rPr>
        <w:t>政府采购供应商廉洁自律承诺书</w:t>
      </w:r>
    </w:p>
    <w:p>
      <w:pPr>
        <w:snapToGrid w:val="0"/>
        <w:spacing w:line="360" w:lineRule="auto"/>
        <w:rPr>
          <w:rFonts w:ascii="宋体" w:hAnsi="宋体" w:cs="宋体"/>
          <w:color w:val="auto"/>
          <w:sz w:val="24"/>
          <w:highlight w:val="none"/>
        </w:rPr>
      </w:pP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pPr>
        <w:autoSpaceDE w:val="0"/>
        <w:autoSpaceDN w:val="0"/>
        <w:spacing w:line="360" w:lineRule="auto"/>
        <w:ind w:left="2"/>
        <w:jc w:val="left"/>
        <w:rPr>
          <w:rFonts w:ascii="宋体" w:hAnsi="宋体" w:cs="宋体"/>
          <w:color w:val="auto"/>
          <w:kern w:val="0"/>
          <w:sz w:val="24"/>
          <w:highlight w:val="none"/>
          <w:lang w:val="zh-CN"/>
        </w:rPr>
      </w:pPr>
    </w:p>
    <w:p>
      <w:pPr>
        <w:autoSpaceDE w:val="0"/>
        <w:autoSpaceDN w:val="0"/>
        <w:spacing w:line="360" w:lineRule="auto"/>
        <w:ind w:left="2"/>
        <w:jc w:val="left"/>
        <w:rPr>
          <w:rFonts w:ascii="宋体" w:hAnsi="宋体" w:cs="宋体"/>
          <w:color w:val="auto"/>
          <w:kern w:val="0"/>
          <w:sz w:val="24"/>
          <w:highlight w:val="none"/>
          <w:lang w:val="zh-CN"/>
        </w:rPr>
      </w:pPr>
    </w:p>
    <w:p>
      <w:pPr>
        <w:autoSpaceDE w:val="0"/>
        <w:autoSpaceDN w:val="0"/>
        <w:spacing w:line="360" w:lineRule="auto"/>
        <w:ind w:left="2"/>
        <w:jc w:val="left"/>
        <w:rPr>
          <w:rFonts w:ascii="宋体" w:hAnsi="宋体" w:cs="宋体"/>
          <w:color w:val="auto"/>
          <w:kern w:val="0"/>
          <w:sz w:val="24"/>
          <w:highlight w:val="none"/>
          <w:lang w:val="zh-CN"/>
        </w:rPr>
      </w:pP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spacing w:line="360" w:lineRule="auto"/>
        <w:ind w:left="4620" w:leftChars="2200"/>
        <w:rPr>
          <w:rFonts w:ascii="宋体" w:hAnsi="宋体" w:cs="宋体"/>
          <w:color w:val="auto"/>
          <w:sz w:val="24"/>
          <w:highlight w:val="none"/>
        </w:rPr>
      </w:pPr>
    </w:p>
    <w:p>
      <w:pPr>
        <w:spacing w:line="360" w:lineRule="auto"/>
        <w:jc w:val="center"/>
        <w:rPr>
          <w:rFonts w:ascii="宋体" w:hAnsi="宋体" w:cs="宋体"/>
          <w:b/>
          <w:bCs/>
          <w:color w:val="auto"/>
          <w:sz w:val="24"/>
          <w:highlight w:val="none"/>
        </w:rPr>
      </w:pP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pStyle w:val="83"/>
        <w:rPr>
          <w:color w:val="auto"/>
          <w:highlight w:val="none"/>
        </w:rPr>
      </w:pPr>
    </w:p>
    <w:p>
      <w:pPr>
        <w:pStyle w:val="83"/>
        <w:rPr>
          <w:color w:val="auto"/>
          <w:highlight w:val="none"/>
        </w:rPr>
      </w:pPr>
    </w:p>
    <w:p>
      <w:pPr>
        <w:rPr>
          <w:rFonts w:ascii="宋体" w:hAnsi="宋体" w:cs="宋体"/>
          <w:b/>
          <w:bCs/>
          <w:color w:val="auto"/>
          <w:sz w:val="32"/>
          <w:szCs w:val="32"/>
          <w:highlight w:val="none"/>
        </w:rPr>
      </w:pPr>
      <w:r>
        <w:rPr>
          <w:rFonts w:hint="eastAsia" w:ascii="宋体" w:hAnsi="宋体" w:cs="宋体"/>
          <w:b/>
          <w:bCs/>
          <w:color w:val="auto"/>
          <w:sz w:val="32"/>
          <w:szCs w:val="32"/>
          <w:highlight w:val="none"/>
        </w:rPr>
        <w:br w:type="page"/>
      </w:r>
    </w:p>
    <w:p>
      <w:pPr>
        <w:jc w:val="center"/>
        <w:rPr>
          <w:rFonts w:ascii="宋体" w:hAnsi="宋体" w:cs="宋体"/>
          <w:b/>
          <w:color w:val="auto"/>
          <w:kern w:val="0"/>
          <w:sz w:val="32"/>
          <w:szCs w:val="21"/>
          <w:highlight w:val="none"/>
        </w:rPr>
      </w:pPr>
      <w:r>
        <w:rPr>
          <w:rFonts w:hint="eastAsia" w:ascii="宋体" w:hAnsi="宋体" w:cs="宋体"/>
          <w:b/>
          <w:bCs/>
          <w:color w:val="auto"/>
          <w:sz w:val="32"/>
          <w:szCs w:val="32"/>
          <w:highlight w:val="none"/>
        </w:rPr>
        <w:t>九</w:t>
      </w:r>
      <w:r>
        <w:rPr>
          <w:rFonts w:hint="eastAsia" w:ascii="宋体" w:hAnsi="宋体" w:cs="宋体"/>
          <w:b/>
          <w:color w:val="auto"/>
          <w:kern w:val="0"/>
          <w:sz w:val="32"/>
          <w:szCs w:val="32"/>
          <w:highlight w:val="none"/>
        </w:rPr>
        <w:t>、</w:t>
      </w:r>
      <w:r>
        <w:rPr>
          <w:rFonts w:hint="eastAsia" w:ascii="宋体" w:hAnsi="宋体" w:cs="宋体"/>
          <w:b/>
          <w:color w:val="auto"/>
          <w:kern w:val="0"/>
          <w:sz w:val="32"/>
          <w:szCs w:val="21"/>
          <w:highlight w:val="none"/>
        </w:rPr>
        <w:t>承诺函</w:t>
      </w:r>
    </w:p>
    <w:p>
      <w:pPr>
        <w:widowControl/>
        <w:adjustRightInd/>
        <w:ind w:firstLine="640" w:firstLineChars="200"/>
        <w:jc w:val="left"/>
        <w:rPr>
          <w:rFonts w:ascii="宋体" w:hAnsi="宋体" w:cs="宋体"/>
          <w:color w:val="auto"/>
          <w:kern w:val="0"/>
          <w:sz w:val="32"/>
          <w:szCs w:val="21"/>
          <w:highlight w:val="none"/>
        </w:rPr>
      </w:pP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我方作为本次采购项目的投标人，根据招标文件要求，现郑重承诺如下：</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二、参加本次招标采购活动，不存在与单位负责人为同一人或者存在直接控股、管理关系的其他供应商参与同一合同项下的政府采购活动的行为。</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四、参加本次招标采购活动，不存在和其他供应商在同一合同项下的采购项目中，同时委托同一个自然人、同一家庭的人员、同一单位的人员作为代理人的行为。</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五、投标文件中提供的能够给予我方带来优惠、好处的任何材料资料和技术、服务、商务、响应产品等响应承诺情况都是真实的、有效的、合法的。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七、国家或行业主管部门对采购产品的技术标准、质量标准和资格资质条件等有强制性规定的，我方承诺符合其要求。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八、参加本次招标采购活动，我方完全同意招标文件第二部分关于“投标费用”、“合同分包”、“合同转包”、“履约保证金”的实质性要求，并承诺严格按照招标文件要求履行。</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我方对上述承诺的内容事项真实性负责。如经查实上述承诺的内容事项存在虚假，我方愿意接受以提供虚假材料谋取中标追究法律责任。</w:t>
      </w:r>
    </w:p>
    <w:p>
      <w:pPr>
        <w:widowControl/>
        <w:adjustRightInd/>
        <w:spacing w:line="360" w:lineRule="auto"/>
        <w:ind w:firstLine="480" w:firstLineChars="200"/>
        <w:jc w:val="left"/>
        <w:rPr>
          <w:rFonts w:ascii="宋体" w:hAnsi="宋体" w:cs="宋体"/>
          <w:color w:val="auto"/>
          <w:kern w:val="0"/>
          <w:sz w:val="24"/>
          <w:highlight w:val="none"/>
        </w:rPr>
      </w:pP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spacing w:line="360" w:lineRule="auto"/>
        <w:ind w:left="4620" w:leftChars="2200"/>
        <w:rPr>
          <w:rFonts w:ascii="宋体" w:hAnsi="宋体" w:cs="宋体"/>
          <w:color w:val="auto"/>
          <w:sz w:val="24"/>
          <w:highlight w:val="none"/>
        </w:rPr>
      </w:pPr>
    </w:p>
    <w:p>
      <w:pPr>
        <w:spacing w:line="360" w:lineRule="auto"/>
        <w:jc w:val="center"/>
        <w:rPr>
          <w:rFonts w:ascii="宋体" w:hAnsi="宋体" w:cs="宋体"/>
          <w:b/>
          <w:bCs/>
          <w:color w:val="auto"/>
          <w:sz w:val="24"/>
          <w:highlight w:val="none"/>
        </w:rPr>
      </w:pP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十、技术解决方案</w:t>
      </w:r>
    </w:p>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pPr>
        <w:spacing w:line="360" w:lineRule="auto"/>
        <w:jc w:val="center"/>
        <w:rPr>
          <w:rFonts w:cs="仿宋_GB2312" w:asciiTheme="minorEastAsia" w:hAnsiTheme="minorEastAsia" w:eastAsiaTheme="minorEastAsia"/>
          <w:color w:val="auto"/>
          <w:sz w:val="24"/>
          <w:highlight w:val="none"/>
        </w:rPr>
      </w:pPr>
    </w:p>
    <w:p>
      <w:pPr>
        <w:autoSpaceDE w:val="0"/>
        <w:autoSpaceDN w:val="0"/>
        <w:spacing w:line="360" w:lineRule="auto"/>
        <w:rPr>
          <w:rFonts w:cs="仿宋_GB2312" w:asciiTheme="minorEastAsia" w:hAnsiTheme="minorEastAsia" w:eastAsiaTheme="minorEastAsia"/>
          <w:color w:val="auto"/>
          <w:kern w:val="0"/>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十一、组织实施方案</w:t>
      </w:r>
    </w:p>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pPr>
        <w:spacing w:line="360" w:lineRule="auto"/>
        <w:jc w:val="center"/>
        <w:rPr>
          <w:rFonts w:cs="仿宋_GB2312" w:asciiTheme="minorEastAsia" w:hAnsiTheme="minorEastAsia" w:eastAsiaTheme="minorEastAsia"/>
          <w:color w:val="auto"/>
          <w:sz w:val="24"/>
          <w:highlight w:val="none"/>
        </w:rPr>
      </w:pPr>
    </w:p>
    <w:p>
      <w:pPr>
        <w:autoSpaceDE w:val="0"/>
        <w:autoSpaceDN w:val="0"/>
        <w:spacing w:line="360" w:lineRule="auto"/>
        <w:rPr>
          <w:rFonts w:cs="仿宋_GB2312" w:asciiTheme="minorEastAsia" w:hAnsiTheme="minorEastAsia" w:eastAsiaTheme="minorEastAsia"/>
          <w:color w:val="auto"/>
          <w:kern w:val="0"/>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十二、运维服务方案</w:t>
      </w:r>
    </w:p>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pPr>
        <w:spacing w:line="360" w:lineRule="auto"/>
        <w:jc w:val="center"/>
        <w:rPr>
          <w:rFonts w:cs="仿宋_GB2312" w:asciiTheme="minorEastAsia" w:hAnsiTheme="minorEastAsia" w:eastAsiaTheme="minorEastAsia"/>
          <w:color w:val="auto"/>
          <w:sz w:val="24"/>
          <w:highlight w:val="none"/>
        </w:rPr>
      </w:pPr>
    </w:p>
    <w:p>
      <w:pPr>
        <w:autoSpaceDE w:val="0"/>
        <w:autoSpaceDN w:val="0"/>
        <w:spacing w:line="360" w:lineRule="auto"/>
        <w:rPr>
          <w:rFonts w:cs="仿宋_GB2312" w:asciiTheme="minorEastAsia" w:hAnsiTheme="minorEastAsia" w:eastAsiaTheme="minorEastAsia"/>
          <w:color w:val="auto"/>
          <w:kern w:val="0"/>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ascii="宋体" w:hAnsi="宋体" w:cs="宋体"/>
          <w:b/>
          <w:bCs/>
          <w:color w:val="auto"/>
          <w:sz w:val="24"/>
          <w:highlight w:val="none"/>
        </w:rPr>
        <w:sectPr>
          <w:headerReference r:id="rId19" w:type="first"/>
          <w:footerReference r:id="rId21" w:type="first"/>
          <w:headerReference r:id="rId18" w:type="default"/>
          <w:footerReference r:id="rId20" w:type="default"/>
          <w:pgSz w:w="11906" w:h="16838"/>
          <w:pgMar w:top="1134" w:right="1134" w:bottom="1134" w:left="1134" w:header="680" w:footer="850" w:gutter="0"/>
          <w:cols w:space="720" w:num="1"/>
          <w:titlePg/>
          <w:docGrid w:linePitch="312" w:charSpace="0"/>
        </w:sectPr>
      </w:pPr>
    </w:p>
    <w:p>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pPr>
        <w:spacing w:line="360" w:lineRule="auto"/>
        <w:jc w:val="center"/>
        <w:rPr>
          <w:rFonts w:ascii="宋体" w:hAnsi="宋体" w:cs="宋体"/>
          <w:b/>
          <w:color w:val="auto"/>
          <w:kern w:val="0"/>
          <w:sz w:val="36"/>
          <w:szCs w:val="36"/>
          <w:highlight w:val="none"/>
        </w:rPr>
      </w:pPr>
    </w:p>
    <w:p>
      <w:pPr>
        <w:snapToGrid w:val="0"/>
        <w:spacing w:line="360" w:lineRule="auto"/>
        <w:rPr>
          <w:rFonts w:ascii="宋体" w:hAnsi="宋体" w:cs="宋体"/>
          <w:color w:val="auto"/>
          <w:sz w:val="24"/>
          <w:highlight w:val="none"/>
        </w:rPr>
      </w:pPr>
      <w:r>
        <w:rPr>
          <w:rFonts w:hint="eastAsia" w:ascii="宋体" w:hAnsi="宋体" w:cs="宋体"/>
          <w:color w:val="auto"/>
          <w:szCs w:val="21"/>
          <w:highlight w:val="none"/>
        </w:rPr>
        <w:t>▲</w:t>
      </w:r>
      <w:r>
        <w:rPr>
          <w:rFonts w:hint="eastAsia" w:ascii="宋体" w:hAnsi="宋体" w:cs="宋体"/>
          <w:color w:val="auto"/>
          <w:sz w:val="24"/>
          <w:highlight w:val="none"/>
        </w:rPr>
        <w:t>（1）开标一览表（报价表）………………………………………………………（页码）</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（2）中小企业声明函………………………………………………………………（页码）</w:t>
      </w: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pStyle w:val="691"/>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headerReference r:id="rId23" w:type="first"/>
          <w:footerReference r:id="rId25" w:type="first"/>
          <w:headerReference r:id="rId22" w:type="default"/>
          <w:footerReference r:id="rId24" w:type="default"/>
          <w:pgSz w:w="11906" w:h="16838"/>
          <w:pgMar w:top="1134" w:right="1134" w:bottom="1134" w:left="1134" w:header="851" w:footer="992" w:gutter="0"/>
          <w:cols w:space="720" w:num="1"/>
          <w:titlePg/>
          <w:docGrid w:linePitch="312" w:charSpace="0"/>
        </w:sectPr>
      </w:pPr>
    </w:p>
    <w:p>
      <w:pPr>
        <w:pStyle w:val="83"/>
        <w:jc w:val="center"/>
        <w:rPr>
          <w:b/>
          <w:color w:val="auto"/>
          <w:sz w:val="32"/>
          <w:szCs w:val="32"/>
          <w:highlight w:val="none"/>
        </w:rPr>
      </w:pPr>
      <w:r>
        <w:rPr>
          <w:rFonts w:hint="eastAsia"/>
          <w:b/>
          <w:color w:val="auto"/>
          <w:sz w:val="32"/>
          <w:szCs w:val="32"/>
          <w:highlight w:val="none"/>
        </w:rPr>
        <w:t>一、开标一览表（报价表）</w:t>
      </w: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rPr>
        <w:t>（项目名称）</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rPr>
        <w:t>（采购编号）】的实施</w:t>
      </w:r>
      <w:r>
        <w:rPr>
          <w:rFonts w:hint="eastAsia" w:ascii="宋体" w:hAnsi="宋体" w:cs="宋体"/>
          <w:color w:val="auto"/>
          <w:kern w:val="0"/>
          <w:sz w:val="24"/>
          <w:highlight w:val="none"/>
          <w:lang w:val="zh-CN"/>
        </w:rPr>
        <w:t>。</w:t>
      </w:r>
    </w:p>
    <w:p>
      <w:pPr>
        <w:spacing w:line="360" w:lineRule="auto"/>
        <w:jc w:val="center"/>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tbl>
      <w:tblPr>
        <w:tblStyle w:val="62"/>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99"/>
        <w:gridCol w:w="4455"/>
        <w:gridCol w:w="1597"/>
        <w:gridCol w:w="1598"/>
        <w:gridCol w:w="304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99"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lang w:eastAsia="zh-CN"/>
              </w:rPr>
              <w:t>服务</w:t>
            </w:r>
            <w:r>
              <w:rPr>
                <w:rFonts w:hint="eastAsia" w:ascii="宋体" w:hAnsi="宋体" w:cs="宋体"/>
                <w:b/>
                <w:color w:val="auto"/>
                <w:sz w:val="24"/>
                <w:highlight w:val="none"/>
              </w:rPr>
              <w:t>名称</w:t>
            </w:r>
          </w:p>
        </w:tc>
        <w:tc>
          <w:tcPr>
            <w:tcW w:w="4455" w:type="dxa"/>
          </w:tcPr>
          <w:p>
            <w:pPr>
              <w:spacing w:line="360" w:lineRule="auto"/>
              <w:jc w:val="center"/>
              <w:rPr>
                <w:rFonts w:ascii="宋体" w:hAnsi="宋体" w:cs="宋体"/>
                <w:b/>
                <w:color w:val="auto"/>
                <w:sz w:val="24"/>
                <w:highlight w:val="none"/>
              </w:rPr>
            </w:pPr>
          </w:p>
          <w:p>
            <w:pPr>
              <w:spacing w:line="360" w:lineRule="auto"/>
              <w:jc w:val="center"/>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服务</w:t>
            </w:r>
            <w:r>
              <w:rPr>
                <w:rFonts w:hint="eastAsia" w:ascii="宋体" w:hAnsi="宋体" w:cs="宋体"/>
                <w:b/>
                <w:color w:val="auto"/>
                <w:sz w:val="24"/>
                <w:highlight w:val="none"/>
                <w:lang w:eastAsia="zh-CN"/>
              </w:rPr>
              <w:t>要求</w:t>
            </w:r>
          </w:p>
        </w:tc>
        <w:tc>
          <w:tcPr>
            <w:tcW w:w="1597" w:type="dxa"/>
            <w:vAlign w:val="center"/>
          </w:tcPr>
          <w:p>
            <w:pPr>
              <w:spacing w:line="360" w:lineRule="auto"/>
              <w:jc w:val="center"/>
              <w:rPr>
                <w:rFonts w:hint="eastAsia" w:ascii="宋体" w:hAnsi="宋体" w:eastAsia="宋体" w:cs="宋体"/>
                <w:b/>
                <w:color w:val="auto"/>
                <w:sz w:val="24"/>
                <w:highlight w:val="none"/>
                <w:lang w:eastAsia="zh-CN"/>
              </w:rPr>
            </w:pPr>
            <w:r>
              <w:rPr>
                <w:rFonts w:hint="eastAsia" w:ascii="宋体" w:hAnsi="宋体" w:cs="宋体"/>
                <w:b/>
                <w:color w:val="auto"/>
                <w:sz w:val="24"/>
                <w:highlight w:val="none"/>
                <w:lang w:eastAsia="zh-CN"/>
              </w:rPr>
              <w:t>数量</w:t>
            </w:r>
          </w:p>
        </w:tc>
        <w:tc>
          <w:tcPr>
            <w:tcW w:w="1598" w:type="dxa"/>
            <w:vAlign w:val="center"/>
          </w:tcPr>
          <w:p>
            <w:pPr>
              <w:spacing w:line="360" w:lineRule="auto"/>
              <w:jc w:val="center"/>
              <w:rPr>
                <w:rFonts w:hint="eastAsia" w:ascii="宋体" w:hAnsi="宋体" w:eastAsia="宋体" w:cs="宋体"/>
                <w:b/>
                <w:color w:val="auto"/>
                <w:sz w:val="24"/>
                <w:highlight w:val="none"/>
                <w:lang w:eastAsia="zh-CN"/>
              </w:rPr>
            </w:pPr>
            <w:r>
              <w:rPr>
                <w:rFonts w:hint="eastAsia" w:ascii="宋体" w:hAnsi="宋体" w:cs="宋体"/>
                <w:b/>
                <w:color w:val="auto"/>
                <w:sz w:val="24"/>
                <w:highlight w:val="none"/>
                <w:lang w:eastAsia="zh-CN"/>
              </w:rPr>
              <w:t>单位</w:t>
            </w:r>
          </w:p>
        </w:tc>
        <w:tc>
          <w:tcPr>
            <w:tcW w:w="3042" w:type="dxa"/>
          </w:tcPr>
          <w:p>
            <w:pPr>
              <w:spacing w:line="360" w:lineRule="auto"/>
              <w:jc w:val="center"/>
              <w:rPr>
                <w:rFonts w:ascii="宋体" w:hAnsi="宋体" w:cs="宋体"/>
                <w:b/>
                <w:color w:val="auto"/>
                <w:sz w:val="24"/>
                <w:highlight w:val="none"/>
              </w:rPr>
            </w:pPr>
          </w:p>
          <w:p>
            <w:pPr>
              <w:spacing w:line="360" w:lineRule="auto"/>
              <w:jc w:val="center"/>
              <w:rPr>
                <w:rFonts w:hint="eastAsia" w:ascii="宋体" w:hAnsi="宋体" w:eastAsia="宋体" w:cs="宋体"/>
                <w:b/>
                <w:color w:val="auto"/>
                <w:sz w:val="24"/>
                <w:highlight w:val="none"/>
                <w:lang w:eastAsia="zh-CN"/>
              </w:rPr>
            </w:pPr>
            <w:r>
              <w:rPr>
                <w:rFonts w:hint="eastAsia" w:ascii="宋体" w:hAnsi="宋体" w:cs="宋体"/>
                <w:b/>
                <w:color w:val="auto"/>
                <w:sz w:val="24"/>
                <w:highlight w:val="none"/>
                <w:lang w:eastAsia="zh-CN"/>
              </w:rPr>
              <w:t>价格（元）</w:t>
            </w:r>
          </w:p>
        </w:tc>
        <w:tc>
          <w:tcPr>
            <w:tcW w:w="2126" w:type="dxa"/>
            <w:vAlign w:val="center"/>
          </w:tcPr>
          <w:p>
            <w:pPr>
              <w:spacing w:line="360" w:lineRule="auto"/>
              <w:jc w:val="center"/>
              <w:rPr>
                <w:rFonts w:ascii="宋体" w:hAnsi="宋体" w:cs="宋体"/>
                <w:b/>
                <w:color w:val="auto"/>
                <w:sz w:val="24"/>
                <w:highlight w:val="none"/>
              </w:rPr>
            </w:pPr>
          </w:p>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pPr>
              <w:spacing w:line="360" w:lineRule="auto"/>
              <w:jc w:val="center"/>
              <w:rPr>
                <w:rFonts w:ascii="宋体" w:hAnsi="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99"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4455" w:type="dxa"/>
            <w:vAlign w:val="center"/>
          </w:tcPr>
          <w:p>
            <w:pPr>
              <w:snapToGrid w:val="0"/>
              <w:spacing w:line="360" w:lineRule="auto"/>
              <w:jc w:val="center"/>
              <w:rPr>
                <w:rFonts w:ascii="宋体" w:hAnsi="宋体" w:cs="宋体"/>
                <w:color w:val="auto"/>
                <w:sz w:val="24"/>
                <w:highlight w:val="none"/>
              </w:rPr>
            </w:pPr>
          </w:p>
        </w:tc>
        <w:tc>
          <w:tcPr>
            <w:tcW w:w="1597" w:type="dxa"/>
            <w:vAlign w:val="center"/>
          </w:tcPr>
          <w:p>
            <w:pPr>
              <w:snapToGrid w:val="0"/>
              <w:spacing w:line="360" w:lineRule="auto"/>
              <w:jc w:val="center"/>
              <w:rPr>
                <w:rFonts w:ascii="宋体" w:hAnsi="宋体" w:cs="宋体"/>
                <w:color w:val="auto"/>
                <w:sz w:val="24"/>
                <w:highlight w:val="none"/>
              </w:rPr>
            </w:pPr>
          </w:p>
        </w:tc>
        <w:tc>
          <w:tcPr>
            <w:tcW w:w="1598" w:type="dxa"/>
            <w:vAlign w:val="center"/>
          </w:tcPr>
          <w:p>
            <w:pPr>
              <w:snapToGrid w:val="0"/>
              <w:spacing w:line="360" w:lineRule="auto"/>
              <w:jc w:val="center"/>
              <w:rPr>
                <w:rFonts w:ascii="宋体" w:hAnsi="宋体" w:cs="宋体"/>
                <w:color w:val="auto"/>
                <w:sz w:val="24"/>
                <w:highlight w:val="none"/>
              </w:rPr>
            </w:pPr>
          </w:p>
        </w:tc>
        <w:tc>
          <w:tcPr>
            <w:tcW w:w="3042" w:type="dxa"/>
          </w:tcPr>
          <w:p>
            <w:pPr>
              <w:spacing w:line="360" w:lineRule="auto"/>
              <w:jc w:val="center"/>
              <w:rPr>
                <w:rFonts w:ascii="宋体" w:hAnsi="宋体" w:cs="宋体"/>
                <w:color w:val="auto"/>
                <w:sz w:val="24"/>
                <w:highlight w:val="none"/>
              </w:rPr>
            </w:pPr>
          </w:p>
        </w:tc>
        <w:tc>
          <w:tcPr>
            <w:tcW w:w="2126"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99"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4455" w:type="dxa"/>
            <w:vAlign w:val="center"/>
          </w:tcPr>
          <w:p>
            <w:pPr>
              <w:snapToGrid w:val="0"/>
              <w:spacing w:line="360" w:lineRule="auto"/>
              <w:jc w:val="center"/>
              <w:rPr>
                <w:rFonts w:ascii="宋体" w:hAnsi="宋体" w:cs="宋体"/>
                <w:color w:val="auto"/>
                <w:sz w:val="24"/>
                <w:highlight w:val="none"/>
              </w:rPr>
            </w:pPr>
          </w:p>
        </w:tc>
        <w:tc>
          <w:tcPr>
            <w:tcW w:w="1597" w:type="dxa"/>
            <w:vAlign w:val="center"/>
          </w:tcPr>
          <w:p>
            <w:pPr>
              <w:snapToGrid w:val="0"/>
              <w:spacing w:line="360" w:lineRule="auto"/>
              <w:jc w:val="center"/>
              <w:rPr>
                <w:rFonts w:ascii="宋体" w:hAnsi="宋体" w:cs="宋体"/>
                <w:color w:val="auto"/>
                <w:sz w:val="24"/>
                <w:highlight w:val="none"/>
              </w:rPr>
            </w:pPr>
          </w:p>
        </w:tc>
        <w:tc>
          <w:tcPr>
            <w:tcW w:w="1598" w:type="dxa"/>
            <w:vAlign w:val="center"/>
          </w:tcPr>
          <w:p>
            <w:pPr>
              <w:snapToGrid w:val="0"/>
              <w:spacing w:line="360" w:lineRule="auto"/>
              <w:jc w:val="center"/>
              <w:rPr>
                <w:rFonts w:ascii="宋体" w:hAnsi="宋体" w:cs="宋体"/>
                <w:color w:val="auto"/>
                <w:sz w:val="24"/>
                <w:highlight w:val="none"/>
              </w:rPr>
            </w:pPr>
          </w:p>
        </w:tc>
        <w:tc>
          <w:tcPr>
            <w:tcW w:w="3042" w:type="dxa"/>
          </w:tcPr>
          <w:p>
            <w:pPr>
              <w:spacing w:line="360" w:lineRule="auto"/>
              <w:jc w:val="center"/>
              <w:rPr>
                <w:rFonts w:ascii="宋体" w:hAnsi="宋体" w:cs="宋体"/>
                <w:color w:val="auto"/>
                <w:sz w:val="24"/>
                <w:highlight w:val="none"/>
              </w:rPr>
            </w:pPr>
          </w:p>
        </w:tc>
        <w:tc>
          <w:tcPr>
            <w:tcW w:w="2126"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99" w:type="dxa"/>
            <w:vAlign w:val="center"/>
          </w:tcPr>
          <w:p>
            <w:pPr>
              <w:snapToGrid w:val="0"/>
              <w:spacing w:line="360" w:lineRule="auto"/>
              <w:jc w:val="center"/>
              <w:rPr>
                <w:rFonts w:ascii="宋体" w:hAnsi="宋体" w:cs="宋体"/>
                <w:color w:val="auto"/>
                <w:sz w:val="24"/>
                <w:highlight w:val="none"/>
              </w:rPr>
            </w:pPr>
          </w:p>
        </w:tc>
        <w:tc>
          <w:tcPr>
            <w:tcW w:w="4455" w:type="dxa"/>
            <w:vAlign w:val="center"/>
          </w:tcPr>
          <w:p>
            <w:pPr>
              <w:snapToGrid w:val="0"/>
              <w:spacing w:line="360" w:lineRule="auto"/>
              <w:jc w:val="center"/>
              <w:rPr>
                <w:rFonts w:ascii="宋体" w:hAnsi="宋体" w:cs="宋体"/>
                <w:color w:val="auto"/>
                <w:sz w:val="24"/>
                <w:highlight w:val="none"/>
              </w:rPr>
            </w:pPr>
          </w:p>
        </w:tc>
        <w:tc>
          <w:tcPr>
            <w:tcW w:w="1597" w:type="dxa"/>
            <w:vAlign w:val="center"/>
          </w:tcPr>
          <w:p>
            <w:pPr>
              <w:snapToGrid w:val="0"/>
              <w:spacing w:line="360" w:lineRule="auto"/>
              <w:jc w:val="center"/>
              <w:rPr>
                <w:rFonts w:ascii="宋体" w:hAnsi="宋体" w:cs="宋体"/>
                <w:color w:val="auto"/>
                <w:sz w:val="24"/>
                <w:highlight w:val="none"/>
              </w:rPr>
            </w:pPr>
          </w:p>
        </w:tc>
        <w:tc>
          <w:tcPr>
            <w:tcW w:w="1598" w:type="dxa"/>
            <w:vAlign w:val="center"/>
          </w:tcPr>
          <w:p>
            <w:pPr>
              <w:snapToGrid w:val="0"/>
              <w:spacing w:line="360" w:lineRule="auto"/>
              <w:jc w:val="center"/>
              <w:rPr>
                <w:rFonts w:ascii="宋体" w:hAnsi="宋体" w:cs="宋体"/>
                <w:color w:val="auto"/>
                <w:sz w:val="24"/>
                <w:highlight w:val="none"/>
              </w:rPr>
            </w:pPr>
          </w:p>
        </w:tc>
        <w:tc>
          <w:tcPr>
            <w:tcW w:w="3042" w:type="dxa"/>
          </w:tcPr>
          <w:p>
            <w:pPr>
              <w:spacing w:line="360" w:lineRule="auto"/>
              <w:jc w:val="center"/>
              <w:rPr>
                <w:rFonts w:ascii="宋体" w:hAnsi="宋体" w:cs="宋体"/>
                <w:color w:val="auto"/>
                <w:sz w:val="24"/>
                <w:highlight w:val="none"/>
              </w:rPr>
            </w:pPr>
          </w:p>
        </w:tc>
        <w:tc>
          <w:tcPr>
            <w:tcW w:w="2126"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ascii="宋体" w:hAnsi="宋体" w:cs="宋体"/>
                <w:color w:val="auto"/>
                <w:sz w:val="24"/>
                <w:highlight w:val="none"/>
              </w:rPr>
            </w:pPr>
          </w:p>
        </w:tc>
        <w:tc>
          <w:tcPr>
            <w:tcW w:w="1499" w:type="dxa"/>
            <w:vAlign w:val="center"/>
          </w:tcPr>
          <w:p>
            <w:pPr>
              <w:snapToGrid w:val="0"/>
              <w:spacing w:line="360" w:lineRule="auto"/>
              <w:jc w:val="center"/>
              <w:rPr>
                <w:rFonts w:ascii="宋体" w:hAnsi="宋体" w:cs="宋体"/>
                <w:color w:val="auto"/>
                <w:sz w:val="24"/>
                <w:highlight w:val="none"/>
              </w:rPr>
            </w:pPr>
          </w:p>
        </w:tc>
        <w:tc>
          <w:tcPr>
            <w:tcW w:w="4455" w:type="dxa"/>
            <w:vAlign w:val="center"/>
          </w:tcPr>
          <w:p>
            <w:pPr>
              <w:snapToGrid w:val="0"/>
              <w:spacing w:line="360" w:lineRule="auto"/>
              <w:jc w:val="center"/>
              <w:rPr>
                <w:rFonts w:ascii="宋体" w:hAnsi="宋体" w:cs="宋体"/>
                <w:color w:val="auto"/>
                <w:sz w:val="24"/>
                <w:highlight w:val="none"/>
              </w:rPr>
            </w:pPr>
          </w:p>
        </w:tc>
        <w:tc>
          <w:tcPr>
            <w:tcW w:w="1597" w:type="dxa"/>
            <w:vAlign w:val="center"/>
          </w:tcPr>
          <w:p>
            <w:pPr>
              <w:snapToGrid w:val="0"/>
              <w:spacing w:line="360" w:lineRule="auto"/>
              <w:jc w:val="center"/>
              <w:rPr>
                <w:rFonts w:ascii="宋体" w:hAnsi="宋体" w:cs="宋体"/>
                <w:color w:val="auto"/>
                <w:sz w:val="24"/>
                <w:highlight w:val="none"/>
              </w:rPr>
            </w:pPr>
          </w:p>
        </w:tc>
        <w:tc>
          <w:tcPr>
            <w:tcW w:w="1598" w:type="dxa"/>
            <w:vAlign w:val="center"/>
          </w:tcPr>
          <w:p>
            <w:pPr>
              <w:snapToGrid w:val="0"/>
              <w:spacing w:line="360" w:lineRule="auto"/>
              <w:jc w:val="center"/>
              <w:rPr>
                <w:rFonts w:ascii="宋体" w:hAnsi="宋体" w:cs="宋体"/>
                <w:color w:val="auto"/>
                <w:sz w:val="24"/>
                <w:highlight w:val="none"/>
              </w:rPr>
            </w:pPr>
          </w:p>
        </w:tc>
        <w:tc>
          <w:tcPr>
            <w:tcW w:w="3042" w:type="dxa"/>
          </w:tcPr>
          <w:p>
            <w:pPr>
              <w:spacing w:line="360" w:lineRule="auto"/>
              <w:jc w:val="center"/>
              <w:rPr>
                <w:rFonts w:ascii="宋体" w:hAnsi="宋体" w:cs="宋体"/>
                <w:color w:val="auto"/>
                <w:sz w:val="24"/>
                <w:highlight w:val="none"/>
              </w:rPr>
            </w:pPr>
          </w:p>
        </w:tc>
        <w:tc>
          <w:tcPr>
            <w:tcW w:w="2126"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ascii="宋体" w:hAnsi="宋体" w:cs="宋体"/>
                <w:color w:val="auto"/>
                <w:sz w:val="24"/>
                <w:highlight w:val="none"/>
              </w:rPr>
            </w:pPr>
          </w:p>
        </w:tc>
        <w:tc>
          <w:tcPr>
            <w:tcW w:w="1499" w:type="dxa"/>
            <w:vAlign w:val="center"/>
          </w:tcPr>
          <w:p>
            <w:pPr>
              <w:snapToGrid w:val="0"/>
              <w:spacing w:line="360" w:lineRule="auto"/>
              <w:jc w:val="center"/>
              <w:rPr>
                <w:rFonts w:ascii="宋体" w:hAnsi="宋体" w:cs="宋体"/>
                <w:color w:val="auto"/>
                <w:sz w:val="24"/>
                <w:highlight w:val="none"/>
              </w:rPr>
            </w:pPr>
          </w:p>
        </w:tc>
        <w:tc>
          <w:tcPr>
            <w:tcW w:w="4455" w:type="dxa"/>
            <w:vAlign w:val="center"/>
          </w:tcPr>
          <w:p>
            <w:pPr>
              <w:snapToGrid w:val="0"/>
              <w:spacing w:line="360" w:lineRule="auto"/>
              <w:jc w:val="center"/>
              <w:rPr>
                <w:rFonts w:ascii="宋体" w:hAnsi="宋体" w:cs="宋体"/>
                <w:color w:val="auto"/>
                <w:sz w:val="24"/>
                <w:highlight w:val="none"/>
              </w:rPr>
            </w:pPr>
          </w:p>
        </w:tc>
        <w:tc>
          <w:tcPr>
            <w:tcW w:w="1597" w:type="dxa"/>
            <w:vAlign w:val="center"/>
          </w:tcPr>
          <w:p>
            <w:pPr>
              <w:snapToGrid w:val="0"/>
              <w:spacing w:line="360" w:lineRule="auto"/>
              <w:jc w:val="center"/>
              <w:rPr>
                <w:rFonts w:ascii="宋体" w:hAnsi="宋体" w:cs="宋体"/>
                <w:color w:val="auto"/>
                <w:sz w:val="24"/>
                <w:highlight w:val="none"/>
              </w:rPr>
            </w:pPr>
          </w:p>
        </w:tc>
        <w:tc>
          <w:tcPr>
            <w:tcW w:w="1598" w:type="dxa"/>
            <w:vAlign w:val="center"/>
          </w:tcPr>
          <w:p>
            <w:pPr>
              <w:snapToGrid w:val="0"/>
              <w:spacing w:line="360" w:lineRule="auto"/>
              <w:jc w:val="center"/>
              <w:rPr>
                <w:rFonts w:ascii="宋体" w:hAnsi="宋体" w:cs="宋体"/>
                <w:color w:val="auto"/>
                <w:sz w:val="24"/>
                <w:highlight w:val="none"/>
              </w:rPr>
            </w:pPr>
          </w:p>
        </w:tc>
        <w:tc>
          <w:tcPr>
            <w:tcW w:w="3042" w:type="dxa"/>
          </w:tcPr>
          <w:p>
            <w:pPr>
              <w:spacing w:line="360" w:lineRule="auto"/>
              <w:jc w:val="center"/>
              <w:rPr>
                <w:rFonts w:ascii="宋体" w:hAnsi="宋体" w:cs="宋体"/>
                <w:color w:val="auto"/>
                <w:sz w:val="24"/>
                <w:highlight w:val="none"/>
              </w:rPr>
            </w:pPr>
          </w:p>
        </w:tc>
        <w:tc>
          <w:tcPr>
            <w:tcW w:w="2126"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771" w:type="dxa"/>
            <w:gridSpan w:val="3"/>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w:t>
            </w:r>
            <w:r>
              <w:rPr>
                <w:rFonts w:hint="eastAsia" w:ascii="宋体" w:hAnsi="宋体" w:cs="宋体"/>
                <w:b/>
                <w:color w:val="auto"/>
                <w:sz w:val="24"/>
                <w:highlight w:val="none"/>
                <w:lang w:eastAsia="zh-CN"/>
              </w:rPr>
              <w:t>合计</w:t>
            </w:r>
            <w:r>
              <w:rPr>
                <w:rFonts w:hint="eastAsia" w:ascii="宋体" w:hAnsi="宋体" w:cs="宋体"/>
                <w:b/>
                <w:color w:val="auto"/>
                <w:sz w:val="24"/>
                <w:highlight w:val="none"/>
              </w:rPr>
              <w:t>（小写）</w:t>
            </w:r>
          </w:p>
        </w:tc>
        <w:tc>
          <w:tcPr>
            <w:tcW w:w="8363" w:type="dxa"/>
            <w:gridSpan w:val="4"/>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771" w:type="dxa"/>
            <w:gridSpan w:val="3"/>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w:t>
            </w:r>
            <w:r>
              <w:rPr>
                <w:rFonts w:hint="eastAsia" w:ascii="宋体" w:hAnsi="宋体" w:cs="宋体"/>
                <w:b/>
                <w:color w:val="auto"/>
                <w:sz w:val="24"/>
                <w:highlight w:val="none"/>
                <w:lang w:eastAsia="zh-CN"/>
              </w:rPr>
              <w:t>合计</w:t>
            </w:r>
            <w:r>
              <w:rPr>
                <w:rFonts w:hint="eastAsia" w:ascii="宋体" w:hAnsi="宋体" w:cs="宋体"/>
                <w:b/>
                <w:color w:val="auto"/>
                <w:sz w:val="24"/>
                <w:highlight w:val="none"/>
              </w:rPr>
              <w:t>（大写）</w:t>
            </w:r>
          </w:p>
        </w:tc>
        <w:tc>
          <w:tcPr>
            <w:tcW w:w="8363" w:type="dxa"/>
            <w:gridSpan w:val="4"/>
          </w:tcPr>
          <w:p>
            <w:pPr>
              <w:spacing w:line="360" w:lineRule="auto"/>
              <w:jc w:val="center"/>
              <w:rPr>
                <w:rFonts w:ascii="宋体" w:hAnsi="宋体" w:cs="宋体"/>
                <w:color w:val="auto"/>
                <w:sz w:val="24"/>
                <w:highlight w:val="none"/>
              </w:rPr>
            </w:pPr>
          </w:p>
        </w:tc>
      </w:tr>
    </w:tbl>
    <w:p>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pPr>
        <w:spacing w:line="360" w:lineRule="auto"/>
        <w:ind w:left="-2" w:leftChars="-1" w:firstLine="480" w:firstLineChars="200"/>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1、投标人需按本表格式填写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b/>
          <w:color w:val="auto"/>
          <w:sz w:val="24"/>
          <w:highlight w:val="none"/>
          <w:lang w:eastAsia="zh-CN"/>
        </w:rPr>
        <w:t>。</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采购人将以合同形式有偿取得货物或服务，不接受投标人给予的赠品、回扣或者与采购无关的其他商品、服务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b/>
          <w:color w:val="auto"/>
          <w:kern w:val="0"/>
          <w:sz w:val="24"/>
          <w:highlight w:val="none"/>
          <w:lang w:val="zh-CN"/>
        </w:rPr>
        <w:t>；采购内容未包含在《开标一览表（报价表）》名称栏中，投标人不能作出合理解释的，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投标文件含有采购人不能接受的附加条件的，投标无效。</w:t>
      </w:r>
    </w:p>
    <w:p>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pPr>
        <w:snapToGrid w:val="0"/>
        <w:spacing w:line="360" w:lineRule="auto"/>
        <w:ind w:firstLine="480" w:firstLineChars="200"/>
        <w:jc w:val="left"/>
        <w:rPr>
          <w:rFonts w:ascii="宋体" w:hAnsi="宋体" w:cs="宋体"/>
          <w:color w:val="auto"/>
          <w:kern w:val="0"/>
          <w:sz w:val="24"/>
          <w:highlight w:val="none"/>
          <w:lang w:val="zh-CN"/>
        </w:rPr>
      </w:pPr>
      <w:r>
        <w:rPr>
          <w:rFonts w:ascii="宋体" w:hAnsi="宋体" w:cs="宋体"/>
          <w:color w:val="auto"/>
          <w:kern w:val="0"/>
          <w:sz w:val="24"/>
          <w:szCs w:val="22"/>
          <w:highlight w:val="none"/>
          <w:lang w:val="zh-CN"/>
        </w:rPr>
        <w:t>4</w:t>
      </w:r>
      <w:r>
        <w:rPr>
          <w:rFonts w:hint="eastAsia" w:ascii="宋体" w:hAnsi="宋体" w:cs="宋体"/>
          <w:color w:val="auto"/>
          <w:kern w:val="0"/>
          <w:sz w:val="24"/>
          <w:szCs w:val="22"/>
          <w:highlight w:val="none"/>
          <w:lang w:val="zh-CN"/>
        </w:rPr>
        <w:t>、</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5、</w:t>
      </w:r>
      <w:r>
        <w:rPr>
          <w:rFonts w:hint="eastAsia" w:ascii="宋体" w:hAnsi="宋体" w:cs="宋体"/>
          <w:color w:val="auto"/>
          <w:kern w:val="0"/>
          <w:sz w:val="24"/>
          <w:highlight w:val="none"/>
          <w:lang w:val="zh-CN"/>
        </w:rPr>
        <w:t>符合招标文件中列明的可享受</w:t>
      </w:r>
      <w:r>
        <w:rPr>
          <w:rFonts w:hint="eastAsia" w:ascii="宋体" w:hAnsi="宋体" w:cs="宋体"/>
          <w:color w:val="auto"/>
          <w:sz w:val="24"/>
          <w:highlight w:val="none"/>
        </w:rPr>
        <w:t>本国产品标准及相关政策</w:t>
      </w:r>
      <w:r>
        <w:rPr>
          <w:rFonts w:hint="eastAsia" w:ascii="宋体" w:hAnsi="宋体" w:cs="宋体"/>
          <w:color w:val="auto"/>
          <w:kern w:val="0"/>
          <w:sz w:val="24"/>
          <w:highlight w:val="none"/>
          <w:lang w:val="zh-CN"/>
        </w:rPr>
        <w:t>的投标人，请填写</w:t>
      </w:r>
      <w:r>
        <w:rPr>
          <w:rFonts w:hint="eastAsia" w:ascii="宋体" w:hAnsi="宋体" w:cs="宋体"/>
          <w:color w:val="auto"/>
          <w:sz w:val="24"/>
          <w:highlight w:val="none"/>
        </w:rPr>
        <w:t>《关于符合本国产品标准的声明函》或出具财政部会同有关部门规定的有关证明文件。当采购项目或者采购包中含有多种产品，</w:t>
      </w:r>
      <w:r>
        <w:rPr>
          <w:rFonts w:hint="eastAsia" w:ascii="宋体" w:hAnsi="宋体" w:cs="宋体"/>
          <w:color w:val="auto"/>
          <w:kern w:val="0"/>
          <w:sz w:val="24"/>
          <w:highlight w:val="none"/>
          <w:lang w:val="zh-CN"/>
        </w:rPr>
        <w:t>投标人还</w:t>
      </w:r>
      <w:r>
        <w:rPr>
          <w:rFonts w:hint="eastAsia" w:ascii="宋体" w:hAnsi="宋体" w:cs="宋体"/>
          <w:color w:val="auto"/>
          <w:sz w:val="24"/>
          <w:highlight w:val="none"/>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color w:val="auto"/>
          <w:kern w:val="0"/>
          <w:sz w:val="24"/>
          <w:highlight w:val="none"/>
          <w:lang w:val="zh-CN"/>
        </w:rPr>
        <w:t>注：投标人提供的</w:t>
      </w:r>
      <w:r>
        <w:rPr>
          <w:rFonts w:hint="eastAsia" w:ascii="宋体" w:hAnsi="宋体" w:cs="宋体"/>
          <w:color w:val="auto"/>
          <w:sz w:val="24"/>
          <w:highlight w:val="none"/>
        </w:rPr>
        <w:t>《声明函》</w:t>
      </w:r>
      <w:r>
        <w:rPr>
          <w:rFonts w:hint="eastAsia" w:ascii="宋体" w:hAnsi="宋体" w:cs="宋体"/>
          <w:color w:val="auto"/>
          <w:kern w:val="0"/>
          <w:sz w:val="24"/>
          <w:highlight w:val="none"/>
          <w:lang w:val="zh-CN"/>
        </w:rPr>
        <w:t>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hint="eastAsia" w:ascii="宋体" w:hAnsi="宋体" w:cs="宋体"/>
          <w:color w:val="auto"/>
          <w:kern w:val="0"/>
          <w:sz w:val="24"/>
          <w:highlight w:val="none"/>
          <w:lang w:val="zh-CN"/>
        </w:rPr>
        <w:t>。</w:t>
      </w:r>
    </w:p>
    <w:p>
      <w:pPr>
        <w:snapToGrid w:val="0"/>
        <w:spacing w:line="360" w:lineRule="auto"/>
        <w:ind w:firstLine="480" w:firstLineChars="200"/>
        <w:jc w:val="left"/>
        <w:rPr>
          <w:rFonts w:ascii="宋体" w:hAnsi="宋体" w:cs="宋体"/>
          <w:color w:val="auto"/>
          <w:kern w:val="0"/>
          <w:sz w:val="24"/>
          <w:highlight w:val="none"/>
          <w:lang w:val="zh-CN"/>
        </w:rPr>
      </w:pPr>
    </w:p>
    <w:p>
      <w:pPr>
        <w:autoSpaceDE w:val="0"/>
        <w:autoSpaceDN w:val="0"/>
        <w:spacing w:line="360" w:lineRule="auto"/>
        <w:ind w:left="4620" w:leftChars="2200" w:right="1119" w:rightChars="533" w:firstLine="4560" w:firstLineChars="1900"/>
        <w:jc w:val="left"/>
        <w:rPr>
          <w:rFonts w:ascii="宋体" w:hAnsi="宋体" w:cs="宋体"/>
          <w:color w:val="auto"/>
          <w:kern w:val="0"/>
          <w:sz w:val="24"/>
          <w:highlight w:val="none"/>
          <w:lang w:val="zh-CN"/>
        </w:rPr>
      </w:pPr>
    </w:p>
    <w:p>
      <w:pPr>
        <w:spacing w:line="360" w:lineRule="auto"/>
        <w:ind w:firstLine="6240" w:firstLineChars="2600"/>
        <w:rPr>
          <w:rFonts w:ascii="宋体" w:hAnsi="宋体" w:cs="宋体"/>
          <w:color w:val="auto"/>
          <w:sz w:val="24"/>
          <w:highlight w:val="none"/>
        </w:rPr>
      </w:pPr>
      <w:r>
        <w:rPr>
          <w:rFonts w:hint="eastAsia" w:ascii="宋体" w:hAnsi="宋体" w:cs="宋体"/>
          <w:color w:val="auto"/>
          <w:sz w:val="24"/>
          <w:highlight w:val="none"/>
        </w:rPr>
        <w:t>投标人名称（公章）：</w:t>
      </w:r>
    </w:p>
    <w:p>
      <w:pPr>
        <w:spacing w:line="360" w:lineRule="auto"/>
        <w:ind w:firstLine="6240" w:firstLineChars="26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pPr>
        <w:spacing w:line="360" w:lineRule="auto"/>
        <w:jc w:val="center"/>
        <w:rPr>
          <w:rFonts w:ascii="宋体" w:hAnsi="宋体" w:cs="宋体"/>
          <w:color w:val="auto"/>
          <w:sz w:val="32"/>
          <w:szCs w:val="32"/>
          <w:highlight w:val="none"/>
        </w:rPr>
      </w:pPr>
      <w:r>
        <w:rPr>
          <w:rFonts w:hint="eastAsia" w:ascii="宋体" w:hAnsi="宋体" w:cs="宋体"/>
          <w:color w:val="auto"/>
          <w:sz w:val="24"/>
          <w:highlight w:val="none"/>
        </w:rPr>
        <w:t xml:space="preserve">     日期：  年   月   日</w:t>
      </w:r>
    </w:p>
    <w:p>
      <w:pPr>
        <w:pStyle w:val="691"/>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pgSz w:w="16838" w:h="11906" w:orient="landscape"/>
          <w:pgMar w:top="1134" w:right="1134" w:bottom="1134" w:left="1134" w:header="851" w:footer="992" w:gutter="0"/>
          <w:cols w:space="720" w:num="1"/>
          <w:titlePg/>
          <w:docGrid w:linePitch="312" w:charSpace="0"/>
        </w:sectPr>
      </w:pPr>
    </w:p>
    <w:p>
      <w:pPr>
        <w:pStyle w:val="83"/>
        <w:jc w:val="center"/>
        <w:rPr>
          <w:b/>
          <w:color w:val="auto"/>
          <w:sz w:val="32"/>
          <w:szCs w:val="32"/>
          <w:highlight w:val="none"/>
        </w:rPr>
      </w:pPr>
      <w:r>
        <w:rPr>
          <w:rFonts w:hint="eastAsia"/>
          <w:b/>
          <w:color w:val="auto"/>
          <w:kern w:val="2"/>
          <w:sz w:val="32"/>
          <w:szCs w:val="32"/>
          <w:highlight w:val="none"/>
        </w:rPr>
        <w:t>二、</w:t>
      </w:r>
      <w:r>
        <w:rPr>
          <w:rFonts w:hint="eastAsia"/>
          <w:b/>
          <w:color w:val="auto"/>
          <w:sz w:val="32"/>
          <w:szCs w:val="32"/>
          <w:highlight w:val="none"/>
        </w:rPr>
        <w:t>中小企业声明函（如果有）</w:t>
      </w:r>
    </w:p>
    <w:p>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pPr>
        <w:pStyle w:val="691"/>
        <w:keepNext w:val="0"/>
        <w:pageBreakBefore w:val="0"/>
        <w:tabs>
          <w:tab w:val="clear" w:pos="720"/>
        </w:tabs>
        <w:snapToGrid w:val="0"/>
        <w:spacing w:before="120" w:after="120"/>
        <w:ind w:firstLine="643"/>
        <w:outlineLvl w:val="9"/>
        <w:rPr>
          <w:rFonts w:ascii="宋体" w:hAnsi="宋体" w:eastAsia="宋体" w:cs="宋体"/>
          <w:b w:val="0"/>
          <w:color w:val="auto"/>
          <w:sz w:val="32"/>
          <w:szCs w:val="32"/>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pStyle w:val="83"/>
        <w:rPr>
          <w:color w:val="auto"/>
          <w:highlight w:val="none"/>
        </w:rPr>
      </w:pPr>
    </w:p>
    <w:p>
      <w:pPr>
        <w:pStyle w:val="83"/>
        <w:jc w:val="center"/>
        <w:rPr>
          <w:b/>
          <w:color w:val="auto"/>
          <w:sz w:val="36"/>
          <w:szCs w:val="36"/>
          <w:highlight w:val="none"/>
        </w:rPr>
      </w:pPr>
      <w:r>
        <w:rPr>
          <w:rFonts w:hint="eastAsia"/>
          <w:b/>
          <w:color w:val="auto"/>
          <w:sz w:val="36"/>
          <w:szCs w:val="36"/>
          <w:highlight w:val="none"/>
        </w:rPr>
        <w:t>附件</w:t>
      </w:r>
    </w:p>
    <w:p>
      <w:pPr>
        <w:pStyle w:val="83"/>
        <w:rPr>
          <w:color w:val="auto"/>
          <w:highlight w:val="none"/>
        </w:rPr>
      </w:pPr>
    </w:p>
    <w:p>
      <w:pPr>
        <w:spacing w:line="360" w:lineRule="auto"/>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pPr>
        <w:spacing w:line="360" w:lineRule="auto"/>
        <w:jc w:val="center"/>
        <w:rPr>
          <w:rFonts w:ascii="宋体" w:hAnsi="宋体" w:cs="宋体"/>
          <w:b/>
          <w:color w:val="auto"/>
          <w:spacing w:val="6"/>
          <w:sz w:val="32"/>
          <w:szCs w:val="32"/>
          <w:highlight w:val="none"/>
        </w:rPr>
      </w:pPr>
      <w:bookmarkStart w:id="421" w:name="OLE_LINK14"/>
      <w:bookmarkStart w:id="422" w:name="OLE_LINK13"/>
      <w:r>
        <w:rPr>
          <w:rFonts w:hint="eastAsia" w:ascii="宋体" w:hAnsi="宋体" w:cs="宋体"/>
          <w:b/>
          <w:color w:val="auto"/>
          <w:spacing w:val="6"/>
          <w:sz w:val="32"/>
          <w:szCs w:val="32"/>
          <w:highlight w:val="none"/>
        </w:rPr>
        <w:t>残疾人福利性单位声明函</w:t>
      </w:r>
    </w:p>
    <w:bookmarkEnd w:id="421"/>
    <w:bookmarkEnd w:id="422"/>
    <w:p>
      <w:pPr>
        <w:spacing w:line="360" w:lineRule="auto"/>
        <w:rPr>
          <w:rFonts w:ascii="宋体" w:hAnsi="宋体" w:cs="宋体"/>
          <w:b/>
          <w:color w:val="auto"/>
          <w:spacing w:val="6"/>
          <w:sz w:val="30"/>
          <w:szCs w:val="30"/>
          <w:highlight w:val="none"/>
        </w:rPr>
      </w:pP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color w:val="auto"/>
          <w:sz w:val="24"/>
          <w:highlight w:val="none"/>
          <w:u w:val="single"/>
        </w:rPr>
        <w:t>(采购人)</w:t>
      </w:r>
      <w:r>
        <w:rPr>
          <w:rFonts w:hint="eastAsia" w:ascii="宋体" w:hAnsi="宋体" w:cs="宋体"/>
          <w:color w:val="auto"/>
          <w:sz w:val="24"/>
          <w:highlight w:val="none"/>
        </w:rPr>
        <w:t>_单位的_</w:t>
      </w:r>
      <w:r>
        <w:rPr>
          <w:rFonts w:hint="eastAsia" w:ascii="宋体" w:hAnsi="宋体" w:cs="宋体"/>
          <w:color w:val="auto"/>
          <w:sz w:val="24"/>
          <w:highlight w:val="none"/>
          <w:u w:val="single"/>
        </w:rPr>
        <w:t>（项目名称）</w:t>
      </w:r>
      <w:r>
        <w:rPr>
          <w:rFonts w:hint="eastAsia" w:ascii="宋体" w:hAnsi="宋体" w:cs="宋体"/>
          <w:color w:val="auto"/>
          <w:sz w:val="24"/>
          <w:highlight w:val="none"/>
        </w:rPr>
        <w:t>__项目采购活动提供本单位制造的货物（由本单位承担工程/提供服务），或者提供其他残疾人福利性单位制造的货物（不包括使用非残疾人福利性单位注册商标的货物）。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pPr>
        <w:spacing w:line="360" w:lineRule="auto"/>
        <w:ind w:firstLine="480" w:firstLineChars="200"/>
        <w:rPr>
          <w:rFonts w:ascii="宋体" w:hAnsi="宋体" w:cs="宋体"/>
          <w:color w:val="auto"/>
          <w:sz w:val="24"/>
          <w:highlight w:val="none"/>
        </w:rPr>
      </w:pPr>
    </w:p>
    <w:p>
      <w:pPr>
        <w:spacing w:line="360" w:lineRule="auto"/>
        <w:ind w:firstLine="480" w:firstLineChars="200"/>
        <w:rPr>
          <w:rFonts w:ascii="宋体" w:hAnsi="宋体" w:cs="宋体"/>
          <w:color w:val="auto"/>
          <w:sz w:val="24"/>
          <w:highlight w:val="none"/>
        </w:rPr>
      </w:pPr>
    </w:p>
    <w:p>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公章</w:t>
      </w:r>
      <w:r>
        <w:rPr>
          <w:rFonts w:hint="eastAsia" w:ascii="宋体" w:hAnsi="宋体" w:cs="宋体"/>
          <w:color w:val="auto"/>
          <w:kern w:val="0"/>
          <w:sz w:val="24"/>
          <w:highlight w:val="none"/>
          <w:lang w:val="zh-CN"/>
        </w:rPr>
        <w:t>）</w:t>
      </w:r>
      <w:r>
        <w:rPr>
          <w:rFonts w:hint="eastAsia" w:ascii="宋体" w:hAnsi="宋体" w:cs="宋体"/>
          <w:color w:val="auto"/>
          <w:sz w:val="24"/>
          <w:highlight w:val="none"/>
        </w:rPr>
        <w:t>：</w:t>
      </w:r>
    </w:p>
    <w:p>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pPr>
        <w:spacing w:line="360" w:lineRule="auto"/>
        <w:ind w:firstLine="480" w:firstLineChars="200"/>
        <w:rPr>
          <w:rFonts w:ascii="宋体" w:hAnsi="宋体" w:cs="宋体"/>
          <w:color w:val="auto"/>
          <w:sz w:val="24"/>
          <w:highlight w:val="none"/>
        </w:rPr>
      </w:pPr>
    </w:p>
    <w:p>
      <w:pPr>
        <w:tabs>
          <w:tab w:val="left" w:pos="4860"/>
        </w:tabs>
        <w:spacing w:line="360" w:lineRule="auto"/>
        <w:ind w:right="1560" w:firstLine="480" w:firstLineChars="200"/>
        <w:jc w:val="center"/>
        <w:rPr>
          <w:rFonts w:ascii="宋体" w:hAnsi="宋体" w:cs="宋体"/>
          <w:color w:val="auto"/>
          <w:sz w:val="24"/>
          <w:highlight w:val="none"/>
        </w:rPr>
      </w:pPr>
    </w:p>
    <w:p>
      <w:pPr>
        <w:spacing w:line="360" w:lineRule="auto"/>
        <w:ind w:firstLine="420" w:firstLineChars="200"/>
        <w:rPr>
          <w:rFonts w:ascii="宋体" w:hAnsi="宋体" w:cs="宋体"/>
          <w:color w:val="auto"/>
          <w:highlight w:val="none"/>
        </w:rPr>
      </w:pPr>
    </w:p>
    <w:p>
      <w:pPr>
        <w:spacing w:line="360" w:lineRule="auto"/>
        <w:ind w:firstLine="420" w:firstLineChars="200"/>
        <w:rPr>
          <w:rFonts w:ascii="宋体" w:hAnsi="宋体" w:cs="宋体"/>
          <w:color w:val="auto"/>
          <w:highlight w:val="none"/>
        </w:rPr>
      </w:pPr>
    </w:p>
    <w:p>
      <w:pPr>
        <w:spacing w:line="360" w:lineRule="auto"/>
        <w:ind w:firstLine="420" w:firstLineChars="200"/>
        <w:rPr>
          <w:rFonts w:ascii="宋体" w:hAnsi="宋体" w:cs="宋体"/>
          <w:color w:val="auto"/>
          <w:highlight w:val="none"/>
        </w:rPr>
      </w:pPr>
    </w:p>
    <w:p>
      <w:pPr>
        <w:spacing w:line="360" w:lineRule="auto"/>
        <w:ind w:firstLine="420" w:firstLineChars="200"/>
        <w:rPr>
          <w:rFonts w:ascii="宋体" w:hAnsi="宋体" w:cs="宋体"/>
          <w:color w:val="auto"/>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pPr>
        <w:spacing w:line="360" w:lineRule="auto"/>
        <w:jc w:val="center"/>
        <w:rPr>
          <w:rFonts w:ascii="宋体" w:hAnsi="宋体" w:cs="宋体"/>
          <w:b/>
          <w:bCs/>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color w:val="auto"/>
          <w:sz w:val="30"/>
          <w:szCs w:val="30"/>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left"/>
        <w:rPr>
          <w:rFonts w:ascii="宋体" w:hAnsi="宋体" w:cs="宋体"/>
          <w:b/>
          <w:color w:val="auto"/>
          <w:spacing w:val="6"/>
          <w:sz w:val="32"/>
          <w:szCs w:val="32"/>
          <w:highlight w:val="none"/>
        </w:rPr>
      </w:pPr>
    </w:p>
    <w:p>
      <w:pPr>
        <w:spacing w:line="360" w:lineRule="auto"/>
        <w:jc w:val="left"/>
        <w:rPr>
          <w:rFonts w:ascii="宋体" w:hAnsi="宋体" w:cs="宋体"/>
          <w:b/>
          <w:color w:val="auto"/>
          <w:spacing w:val="6"/>
          <w:sz w:val="32"/>
          <w:szCs w:val="32"/>
          <w:highlight w:val="none"/>
        </w:rPr>
      </w:pPr>
    </w:p>
    <w:p>
      <w:pP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br w:type="page"/>
      </w:r>
    </w:p>
    <w:p>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pPr>
        <w:spacing w:line="360" w:lineRule="auto"/>
        <w:jc w:val="center"/>
        <w:rPr>
          <w:rFonts w:ascii="宋体" w:hAnsi="宋体" w:cs="宋体"/>
          <w:b/>
          <w:color w:val="auto"/>
          <w:sz w:val="24"/>
          <w:highlight w:val="none"/>
        </w:rPr>
      </w:pPr>
    </w:p>
    <w:p>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日,就质疑事项作出了答复/没有在法定期限内作出答复。</w:t>
      </w:r>
    </w:p>
    <w:p>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pPr>
        <w:spacing w:line="360" w:lineRule="auto"/>
        <w:rPr>
          <w:rFonts w:ascii="宋体" w:hAnsi="宋体" w:cs="宋体"/>
          <w:b/>
          <w:color w:val="auto"/>
          <w:sz w:val="24"/>
          <w:highlight w:val="none"/>
        </w:rPr>
      </w:pPr>
    </w:p>
    <w:p>
      <w:pPr>
        <w:autoSpaceDE w:val="0"/>
        <w:autoSpaceDN w:val="0"/>
        <w:jc w:val="center"/>
        <w:rPr>
          <w:rFonts w:ascii="宋体" w:hAnsi="宋体" w:cs="宋体"/>
          <w:b/>
          <w:color w:val="auto"/>
          <w:spacing w:val="6"/>
          <w:sz w:val="32"/>
          <w:szCs w:val="32"/>
          <w:highlight w:val="none"/>
        </w:rPr>
      </w:pPr>
    </w:p>
    <w:p>
      <w:pP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br w:type="page"/>
      </w:r>
    </w:p>
    <w:p>
      <w:pPr>
        <w:autoSpaceDE w:val="0"/>
        <w:autoSpaceDN w:val="0"/>
        <w:rPr>
          <w:rFonts w:ascii="宋体" w:hAnsi="宋体" w:cs="宋体"/>
          <w:b/>
          <w:bCs/>
          <w:color w:val="auto"/>
          <w:sz w:val="32"/>
          <w:szCs w:val="32"/>
          <w:highlight w:val="none"/>
        </w:rPr>
      </w:pPr>
      <w:r>
        <w:rPr>
          <w:rFonts w:hint="eastAsia" w:ascii="宋体" w:hAnsi="宋体" w:cs="宋体"/>
          <w:b/>
          <w:color w:val="auto"/>
          <w:spacing w:val="6"/>
          <w:sz w:val="32"/>
          <w:szCs w:val="32"/>
          <w:highlight w:val="none"/>
        </w:rPr>
        <w:t>附件4：</w:t>
      </w:r>
      <w:r>
        <w:rPr>
          <w:rFonts w:hint="eastAsia" w:ascii="宋体" w:hAnsi="宋体" w:cs="宋体"/>
          <w:b/>
          <w:bCs/>
          <w:color w:val="auto"/>
          <w:sz w:val="32"/>
          <w:szCs w:val="32"/>
          <w:highlight w:val="none"/>
        </w:rPr>
        <w:t>业务专用章使用说明函</w:t>
      </w:r>
    </w:p>
    <w:p>
      <w:pPr>
        <w:spacing w:line="360" w:lineRule="auto"/>
        <w:rPr>
          <w:rFonts w:ascii="宋体" w:hAnsi="宋体" w:cs="宋体"/>
          <w:color w:val="auto"/>
          <w:sz w:val="24"/>
          <w:highlight w:val="none"/>
          <w:u w:val="single"/>
        </w:rPr>
      </w:pPr>
    </w:p>
    <w:p>
      <w:pPr>
        <w:spacing w:line="360" w:lineRule="auto"/>
        <w:rPr>
          <w:rFonts w:ascii="宋体" w:hAnsi="宋体" w:cs="宋体"/>
          <w:color w:val="auto"/>
          <w:sz w:val="24"/>
          <w:highlight w:val="none"/>
        </w:rPr>
      </w:pPr>
      <w:r>
        <w:rPr>
          <w:rFonts w:hint="eastAsia" w:ascii="宋体" w:hAnsi="宋体" w:cs="宋体"/>
          <w:color w:val="auto"/>
          <w:sz w:val="24"/>
          <w:highlight w:val="none"/>
          <w:u w:val="single"/>
        </w:rPr>
        <w:t>（采购人）、（采购代理机构）：</w:t>
      </w:r>
    </w:p>
    <w:p>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你方组织的（项目名称）【招标编号：（采购编号）】</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pPr>
        <w:spacing w:line="360" w:lineRule="auto"/>
        <w:ind w:firstLine="494"/>
        <w:rPr>
          <w:rFonts w:ascii="宋体" w:hAnsi="宋体" w:cs="宋体"/>
          <w:color w:val="auto"/>
          <w:sz w:val="24"/>
          <w:highlight w:val="none"/>
        </w:rPr>
      </w:pPr>
    </w:p>
    <w:p>
      <w:pPr>
        <w:spacing w:line="360" w:lineRule="auto"/>
        <w:ind w:firstLine="494"/>
        <w:rPr>
          <w:rFonts w:ascii="宋体" w:hAnsi="宋体" w:cs="宋体"/>
          <w:color w:val="auto"/>
          <w:sz w:val="24"/>
          <w:highlight w:val="none"/>
        </w:rPr>
      </w:pPr>
    </w:p>
    <w:p>
      <w:pPr>
        <w:spacing w:line="360" w:lineRule="auto"/>
        <w:ind w:firstLine="494"/>
        <w:rPr>
          <w:rFonts w:ascii="宋体" w:hAnsi="宋体" w:cs="宋体"/>
          <w:color w:val="auto"/>
          <w:sz w:val="24"/>
          <w:highlight w:val="none"/>
        </w:rPr>
      </w:pPr>
    </w:p>
    <w:p>
      <w:pPr>
        <w:spacing w:line="360" w:lineRule="auto"/>
        <w:ind w:firstLine="494"/>
        <w:rPr>
          <w:rFonts w:ascii="宋体" w:hAnsi="宋体" w:cs="宋体"/>
          <w:color w:val="auto"/>
          <w:sz w:val="24"/>
          <w:highlight w:val="none"/>
        </w:rPr>
      </w:pPr>
    </w:p>
    <w:p>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rPr>
          <w:rFonts w:ascii="宋体" w:hAnsi="宋体" w:cs="宋体"/>
          <w:color w:val="auto"/>
          <w:sz w:val="24"/>
          <w:highlight w:val="none"/>
        </w:rPr>
      </w:pPr>
      <w:r>
        <w:rPr>
          <w:rFonts w:hint="eastAsia" w:ascii="宋体" w:hAnsi="宋体" w:cs="宋体"/>
          <w:b/>
          <w:bCs/>
          <w:color w:val="auto"/>
          <w:sz w:val="24"/>
          <w:highlight w:val="none"/>
        </w:rPr>
        <w:t>附：</w:t>
      </w:r>
    </w:p>
    <w:p>
      <w:pPr>
        <w:spacing w:line="360" w:lineRule="auto"/>
        <w:rPr>
          <w:rFonts w:ascii="宋体" w:hAnsi="宋体" w:cs="宋体"/>
          <w:bCs/>
          <w:color w:val="auto"/>
          <w:sz w:val="24"/>
          <w:highlight w:val="none"/>
        </w:rPr>
      </w:pPr>
      <w:r>
        <w:rPr>
          <w:rFonts w:hint="eastAsia" w:ascii="宋体" w:hAnsi="宋体" w:cs="宋体"/>
          <w:b/>
          <w:bCs/>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4144;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color w:val="auto"/>
          <w:sz w:val="24"/>
          <w:highlight w:val="none"/>
        </w:rPr>
        <w:t>投标单位法定名称章（印模）                投标单位“XX专用章”（印模）</w:t>
      </w: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br w:type="page"/>
      </w:r>
    </w:p>
    <w:p>
      <w:pPr>
        <w:autoSpaceDE w:val="0"/>
        <w:autoSpaceDN w:val="0"/>
        <w:rPr>
          <w:rFonts w:ascii="宋体" w:hAnsi="宋体" w:cs="宋体"/>
          <w:b/>
          <w:color w:val="auto"/>
          <w:kern w:val="0"/>
          <w:sz w:val="32"/>
          <w:szCs w:val="32"/>
          <w:highlight w:val="none"/>
          <w:lang w:val="zh-CN"/>
        </w:rPr>
      </w:pPr>
      <w:r>
        <w:rPr>
          <w:rFonts w:hint="eastAsia" w:ascii="宋体" w:hAnsi="宋体" w:cs="宋体"/>
          <w:b/>
          <w:color w:val="auto"/>
          <w:spacing w:val="6"/>
          <w:sz w:val="32"/>
          <w:szCs w:val="32"/>
          <w:highlight w:val="none"/>
        </w:rPr>
        <w:t>附件</w:t>
      </w:r>
      <w:r>
        <w:rPr>
          <w:rFonts w:ascii="宋体" w:hAnsi="宋体" w:cs="宋体"/>
          <w:b/>
          <w:color w:val="auto"/>
          <w:spacing w:val="6"/>
          <w:sz w:val="32"/>
          <w:szCs w:val="32"/>
          <w:highlight w:val="none"/>
        </w:rPr>
        <w:t>5</w:t>
      </w:r>
      <w:r>
        <w:rPr>
          <w:rFonts w:hint="eastAsia" w:ascii="宋体" w:hAnsi="宋体" w:cs="宋体"/>
          <w:b/>
          <w:color w:val="auto"/>
          <w:spacing w:val="6"/>
          <w:sz w:val="32"/>
          <w:szCs w:val="32"/>
          <w:highlight w:val="none"/>
        </w:rPr>
        <w:t>：</w:t>
      </w:r>
      <w:r>
        <w:rPr>
          <w:rFonts w:hint="eastAsia" w:ascii="宋体" w:hAnsi="宋体" w:cs="宋体"/>
          <w:b/>
          <w:color w:val="auto"/>
          <w:kern w:val="0"/>
          <w:sz w:val="32"/>
          <w:szCs w:val="32"/>
          <w:highlight w:val="none"/>
          <w:lang w:val="zh-CN"/>
        </w:rPr>
        <w:t>联合协议</w:t>
      </w:r>
    </w:p>
    <w:p>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 xml:space="preserve">投标。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p>
    <w:p>
      <w:pPr>
        <w:snapToGrid w:val="0"/>
        <w:spacing w:line="360" w:lineRule="auto"/>
        <w:ind w:firstLine="576"/>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1、</w:t>
      </w:r>
      <w:r>
        <w:rPr>
          <w:rFonts w:hint="eastAsia" w:ascii="宋体" w:hAnsi="宋体" w:cs="宋体"/>
          <w:color w:val="auto"/>
          <w:kern w:val="0"/>
          <w:sz w:val="24"/>
          <w:highlight w:val="none"/>
          <w:u w:val="single"/>
        </w:rPr>
        <w:t>（</w:t>
      </w:r>
      <w:bookmarkStart w:id="423" w:name="_Hlk101131882"/>
      <w:r>
        <w:rPr>
          <w:rFonts w:hint="eastAsia" w:ascii="宋体" w:hAnsi="宋体" w:cs="宋体"/>
          <w:color w:val="auto"/>
          <w:kern w:val="0"/>
          <w:sz w:val="24"/>
          <w:highlight w:val="none"/>
          <w:u w:val="single"/>
        </w:rPr>
        <w:t>联合体成员X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w:t>
      </w:r>
      <w:bookmarkEnd w:id="423"/>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提供的服务由小微企业承接，其合同份额占到合同总金额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w:t>
      </w:r>
      <w:bookmarkStart w:id="424" w:name="_Hlk101133598"/>
      <w:r>
        <w:rPr>
          <w:rFonts w:hint="eastAsia" w:ascii="宋体" w:hAnsi="宋体"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bookmarkEnd w:id="424"/>
      <w:r>
        <w:rPr>
          <w:rFonts w:hint="eastAsia" w:ascii="宋体" w:hAnsi="宋体" w:cs="宋体"/>
          <w:b/>
          <w:color w:val="auto"/>
          <w:kern w:val="0"/>
          <w:sz w:val="24"/>
          <w:highlight w:val="none"/>
          <w:lang w:val="zh-CN"/>
        </w:rPr>
        <w:t>）</w:t>
      </w:r>
    </w:p>
    <w:p>
      <w:pPr>
        <w:spacing w:line="360" w:lineRule="auto"/>
        <w:ind w:firstLine="480" w:firstLineChars="200"/>
        <w:rPr>
          <w:rFonts w:ascii="宋体" w:hAnsi="宋体" w:cs="宋体"/>
          <w:b/>
          <w:bCs/>
          <w:color w:val="auto"/>
          <w:kern w:val="0"/>
          <w:sz w:val="24"/>
          <w:highlight w:val="none"/>
          <w:lang w:val="zh-CN"/>
        </w:rPr>
      </w:pPr>
      <w:r>
        <w:rPr>
          <w:rFonts w:hint="eastAsia" w:ascii="宋体" w:hAnsi="宋体" w:cs="宋体"/>
          <w:color w:val="auto"/>
          <w:sz w:val="24"/>
          <w:highlight w:val="none"/>
        </w:rPr>
        <w:t>2、</w:t>
      </w:r>
      <w:bookmarkStart w:id="425"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color w:val="auto"/>
          <w:kern w:val="0"/>
          <w:sz w:val="24"/>
          <w:highlight w:val="none"/>
          <w:lang w:val="zh-CN"/>
        </w:rPr>
        <w:t>）</w:t>
      </w:r>
      <w:bookmarkEnd w:id="425"/>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3、本协议提交采购人、采购代理机构后，联合体各方不得以任何形式对上述内容进行修改或撤销。</w:t>
      </w: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pPr>
        <w:snapToGrid w:val="0"/>
        <w:spacing w:line="360" w:lineRule="auto"/>
        <w:ind w:firstLine="5040" w:firstLineChars="2100"/>
        <w:rPr>
          <w:rStyle w:val="82"/>
          <w:color w:val="auto"/>
          <w:highlight w:val="none"/>
        </w:rPr>
      </w:pPr>
      <w:r>
        <w:rPr>
          <w:rStyle w:val="82"/>
          <w:rFonts w:hint="eastAsia"/>
          <w:color w:val="auto"/>
          <w:highlight w:val="none"/>
        </w:rPr>
        <w:t>法定代表人（负责人） (签名)：</w:t>
      </w:r>
    </w:p>
    <w:p>
      <w:pPr>
        <w:snapToGrid w:val="0"/>
        <w:spacing w:line="360" w:lineRule="auto"/>
        <w:ind w:firstLine="5040" w:firstLineChars="2100"/>
        <w:rPr>
          <w:rFonts w:ascii="宋体" w:hAnsi="宋体" w:cs="宋体"/>
          <w:color w:val="auto"/>
          <w:kern w:val="0"/>
          <w:sz w:val="24"/>
          <w:highlight w:val="none"/>
          <w:lang w:val="zh-CN"/>
        </w:rPr>
      </w:pPr>
      <w:r>
        <w:rPr>
          <w:rStyle w:val="82"/>
          <w:rFonts w:hint="eastAsia"/>
          <w:color w:val="auto"/>
          <w:highlight w:val="none"/>
        </w:rPr>
        <w:t>联合体成</w:t>
      </w:r>
      <w:r>
        <w:rPr>
          <w:rFonts w:hint="eastAsia" w:ascii="宋体" w:hAnsi="宋体" w:cs="宋体"/>
          <w:color w:val="auto"/>
          <w:kern w:val="0"/>
          <w:sz w:val="24"/>
          <w:highlight w:val="none"/>
          <w:lang w:val="zh-CN"/>
        </w:rPr>
        <w:t>员名称(公章)：</w:t>
      </w: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法定代表人（负责人） (签名)：</w:t>
      </w:r>
    </w:p>
    <w:p>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widowControl/>
        <w:adjustRightInd/>
        <w:jc w:val="left"/>
        <w:rPr>
          <w:rFonts w:ascii="宋体" w:hAnsi="宋体" w:cs="宋体"/>
          <w:b/>
          <w:color w:val="auto"/>
          <w:spacing w:val="6"/>
          <w:sz w:val="32"/>
          <w:szCs w:val="32"/>
          <w:highlight w:val="none"/>
        </w:rPr>
      </w:pPr>
    </w:p>
    <w:p>
      <w:pP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br w:type="page"/>
      </w:r>
    </w:p>
    <w:p>
      <w:pPr>
        <w:snapToGrid w:val="0"/>
        <w:spacing w:line="360" w:lineRule="auto"/>
        <w:rPr>
          <w:rFonts w:ascii="宋体" w:hAnsi="宋体" w:cs="宋体"/>
          <w:b/>
          <w:color w:val="auto"/>
          <w:kern w:val="0"/>
          <w:sz w:val="32"/>
          <w:szCs w:val="32"/>
          <w:highlight w:val="none"/>
        </w:rPr>
      </w:pPr>
      <w:r>
        <w:rPr>
          <w:rFonts w:hint="eastAsia" w:ascii="宋体" w:hAnsi="宋体" w:cs="宋体"/>
          <w:b/>
          <w:color w:val="auto"/>
          <w:spacing w:val="6"/>
          <w:sz w:val="32"/>
          <w:szCs w:val="32"/>
          <w:highlight w:val="none"/>
        </w:rPr>
        <w:t>附件</w:t>
      </w:r>
      <w:r>
        <w:rPr>
          <w:rFonts w:ascii="宋体" w:hAnsi="宋体" w:cs="宋体"/>
          <w:b/>
          <w:color w:val="auto"/>
          <w:spacing w:val="6"/>
          <w:sz w:val="32"/>
          <w:szCs w:val="32"/>
          <w:highlight w:val="none"/>
        </w:rPr>
        <w:t>6</w:t>
      </w:r>
      <w:r>
        <w:rPr>
          <w:rFonts w:hint="eastAsia" w:ascii="宋体" w:hAnsi="宋体" w:cs="宋体"/>
          <w:b/>
          <w:color w:val="auto"/>
          <w:spacing w:val="6"/>
          <w:sz w:val="32"/>
          <w:szCs w:val="32"/>
          <w:highlight w:val="none"/>
        </w:rPr>
        <w:t>：</w:t>
      </w:r>
      <w:r>
        <w:rPr>
          <w:rFonts w:hint="eastAsia" w:ascii="宋体" w:hAnsi="宋体" w:cs="宋体"/>
          <w:b/>
          <w:color w:val="auto"/>
          <w:kern w:val="0"/>
          <w:sz w:val="32"/>
          <w:szCs w:val="32"/>
          <w:highlight w:val="none"/>
        </w:rPr>
        <w:t>分包意向协议</w:t>
      </w:r>
    </w:p>
    <w:p>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 xml:space="preserve">。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一、分包标的及数量</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u w:val="single"/>
        </w:rPr>
        <w:t>（分包供应商2名称），</w:t>
      </w:r>
      <w:r>
        <w:rPr>
          <w:rFonts w:hint="eastAsia" w:ascii="宋体" w:hAnsi="宋体" w:cs="宋体"/>
          <w:color w:val="auto"/>
          <w:kern w:val="0"/>
          <w:sz w:val="24"/>
          <w:highlight w:val="none"/>
          <w:lang w:val="zh-CN"/>
        </w:rPr>
        <w:t>具备承</w:t>
      </w:r>
      <w:r>
        <w:rPr>
          <w:rFonts w:hint="eastAsia" w:ascii="宋体" w:hAnsi="宋体" w:cs="宋体"/>
          <w:color w:val="auto"/>
          <w:kern w:val="0"/>
          <w:sz w:val="24"/>
          <w:highlight w:val="none"/>
        </w:rPr>
        <w:t>担</w:t>
      </w:r>
      <w:r>
        <w:rPr>
          <w:rFonts w:hint="eastAsia" w:ascii="宋体" w:hAnsi="宋体" w:cs="宋体"/>
          <w:color w:val="auto"/>
          <w:kern w:val="0"/>
          <w:sz w:val="24"/>
          <w:highlight w:val="none"/>
          <w:u w:val="single"/>
          <w:lang w:val="zh-CN"/>
        </w:rPr>
        <w:t>XX工作内容</w:t>
      </w:r>
      <w:r>
        <w:rPr>
          <w:rFonts w:hint="eastAsia" w:ascii="宋体" w:hAnsi="宋体" w:cs="宋体"/>
          <w:color w:val="auto"/>
          <w:kern w:val="0"/>
          <w:sz w:val="24"/>
          <w:highlight w:val="none"/>
          <w:lang w:val="zh-CN"/>
        </w:rPr>
        <w:t>相应资质条件且不得再次分包；</w:t>
      </w:r>
    </w:p>
    <w:p>
      <w:pPr>
        <w:pStyle w:val="83"/>
        <w:rPr>
          <w:color w:val="auto"/>
          <w:highlight w:val="none"/>
        </w:rPr>
      </w:pPr>
      <w:r>
        <w:rPr>
          <w:rFonts w:hint="eastAsia"/>
          <w:color w:val="auto"/>
          <w:highlight w:val="none"/>
        </w:rPr>
        <w:t>……</w:t>
      </w:r>
    </w:p>
    <w:p>
      <w:pPr>
        <w:rPr>
          <w:color w:val="auto"/>
          <w:highlight w:val="none"/>
        </w:rPr>
      </w:pPr>
      <w:r>
        <w:rPr>
          <w:rFonts w:hint="eastAsia"/>
          <w:color w:val="auto"/>
          <w:highlight w:val="none"/>
          <w:lang w:val="zh-CN"/>
        </w:rPr>
        <w:t xml:space="preserve">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p>
    <w:p>
      <w:pPr>
        <w:snapToGrid w:val="0"/>
        <w:spacing w:line="360" w:lineRule="auto"/>
        <w:ind w:firstLine="576"/>
        <w:rPr>
          <w:rFonts w:ascii="宋体" w:hAnsi="宋体" w:cs="宋体"/>
          <w:b/>
          <w:color w:val="auto"/>
          <w:kern w:val="0"/>
          <w:sz w:val="24"/>
          <w:highlight w:val="none"/>
          <w:lang w:val="zh-CN"/>
        </w:rPr>
      </w:pPr>
      <w:r>
        <w:rPr>
          <w:rFonts w:ascii="宋体" w:hAnsi="宋体" w:cs="宋体"/>
          <w:color w:val="auto"/>
          <w:kern w:val="0"/>
          <w:sz w:val="24"/>
          <w:highlight w:val="none"/>
        </w:rPr>
        <w:t>1、</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……）提供的服务全部由小微企业承接，</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pPr>
        <w:spacing w:line="360" w:lineRule="auto"/>
        <w:ind w:firstLine="480" w:firstLineChars="200"/>
        <w:rPr>
          <w:rFonts w:ascii="宋体" w:hAnsi="宋体" w:cs="宋体"/>
          <w:b/>
          <w:bCs/>
          <w:color w:val="auto"/>
          <w:kern w:val="0"/>
          <w:sz w:val="24"/>
          <w:highlight w:val="none"/>
          <w:lang w:val="zh-CN"/>
        </w:rPr>
      </w:pPr>
      <w:r>
        <w:rPr>
          <w:rFonts w:hint="eastAsia" w:ascii="宋体" w:hAnsi="宋体" w:cs="宋体"/>
          <w:color w:val="auto"/>
          <w:sz w:val="24"/>
          <w:highlight w:val="none"/>
        </w:rPr>
        <w:t>2、中小企业合同金额达到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八、其他</w:t>
      </w:r>
    </w:p>
    <w:p>
      <w:pPr>
        <w:snapToGrid w:val="0"/>
        <w:spacing w:line="360" w:lineRule="auto"/>
        <w:ind w:left="5758" w:leftChars="342" w:hanging="5040" w:hangingChars="2100"/>
        <w:rPr>
          <w:rFonts w:ascii="宋体" w:hAnsi="宋体" w:cs="宋体"/>
          <w:color w:val="auto"/>
          <w:kern w:val="0"/>
          <w:sz w:val="24"/>
          <w:highlight w:val="none"/>
          <w:lang w:val="zh-CN"/>
        </w:rPr>
      </w:pPr>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 xml:space="preserve">  。                                           投标人名称(公章)：</w:t>
      </w:r>
    </w:p>
    <w:p>
      <w:pPr>
        <w:snapToGrid w:val="0"/>
        <w:spacing w:line="360" w:lineRule="auto"/>
        <w:ind w:left="5758" w:leftChars="2742"/>
        <w:rPr>
          <w:rFonts w:ascii="宋体" w:hAnsi="宋体" w:cs="宋体"/>
          <w:color w:val="auto"/>
          <w:kern w:val="0"/>
          <w:sz w:val="24"/>
          <w:highlight w:val="none"/>
          <w:lang w:val="zh-CN"/>
        </w:rPr>
      </w:pPr>
      <w:r>
        <w:rPr>
          <w:rStyle w:val="82"/>
          <w:rFonts w:hint="eastAsia"/>
          <w:color w:val="auto"/>
          <w:highlight w:val="none"/>
        </w:rPr>
        <w:t>法定代表人（负责人） (签名)：</w:t>
      </w:r>
      <w:r>
        <w:rPr>
          <w:rFonts w:hint="eastAsia" w:ascii="宋体" w:hAnsi="宋体" w:cs="宋体"/>
          <w:color w:val="auto"/>
          <w:kern w:val="0"/>
          <w:sz w:val="24"/>
          <w:highlight w:val="none"/>
          <w:lang w:val="zh-CN"/>
        </w:rPr>
        <w:t>分包供应商名称(公章)：</w:t>
      </w:r>
    </w:p>
    <w:p>
      <w:pPr>
        <w:pStyle w:val="83"/>
        <w:ind w:firstLine="5760" w:firstLineChars="2400"/>
        <w:rPr>
          <w:color w:val="auto"/>
          <w:highlight w:val="none"/>
        </w:rPr>
      </w:pPr>
      <w:r>
        <w:rPr>
          <w:rStyle w:val="82"/>
          <w:rFonts w:hint="eastAsia"/>
          <w:color w:val="auto"/>
          <w:highlight w:val="none"/>
        </w:rPr>
        <w:t>法定代表人（负责人） (签名)：</w:t>
      </w:r>
    </w:p>
    <w:p>
      <w:pPr>
        <w:snapToGrid w:val="0"/>
        <w:spacing w:line="360" w:lineRule="auto"/>
        <w:jc w:val="right"/>
        <w:rPr>
          <w:rFonts w:ascii="宋体" w:hAnsi="宋体" w:cs="宋体"/>
          <w:color w:val="auto"/>
          <w:kern w:val="0"/>
          <w:sz w:val="24"/>
          <w:highlight w:val="none"/>
          <w:lang w:val="zh-CN"/>
        </w:rPr>
      </w:pPr>
    </w:p>
    <w:p>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pPr>
        <w:snapToGrid w:val="0"/>
        <w:spacing w:line="360" w:lineRule="auto"/>
        <w:ind w:left="5758" w:leftChars="342" w:hanging="5040" w:hanging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spacing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附件</w:t>
      </w:r>
      <w:r>
        <w:rPr>
          <w:rFonts w:ascii="宋体" w:hAnsi="宋体" w:cs="宋体"/>
          <w:b/>
          <w:color w:val="auto"/>
          <w:sz w:val="32"/>
          <w:szCs w:val="32"/>
          <w:highlight w:val="none"/>
        </w:rPr>
        <w:t>7</w:t>
      </w:r>
      <w:r>
        <w:rPr>
          <w:rFonts w:hint="eastAsia" w:ascii="宋体" w:hAnsi="宋体" w:cs="宋体"/>
          <w:b/>
          <w:color w:val="auto"/>
          <w:sz w:val="32"/>
          <w:szCs w:val="32"/>
          <w:highlight w:val="none"/>
        </w:rPr>
        <w:t>：中小企业声明函</w:t>
      </w:r>
    </w:p>
    <w:p>
      <w:pPr>
        <w:spacing w:line="360" w:lineRule="auto"/>
        <w:jc w:val="center"/>
        <w:rPr>
          <w:rFonts w:ascii="宋体" w:hAnsi="宋体" w:cs="宋体"/>
          <w:color w:val="auto"/>
          <w:sz w:val="24"/>
          <w:highlight w:val="none"/>
          <w:u w:val="single"/>
        </w:rPr>
      </w:pPr>
    </w:p>
    <w:p>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中小企业声明函（服务）</w:t>
      </w:r>
    </w:p>
    <w:p>
      <w:pPr>
        <w:spacing w:line="360" w:lineRule="auto"/>
        <w:ind w:firstLine="360" w:firstLineChars="150"/>
        <w:jc w:val="left"/>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rPr>
        <w:t xml:space="preserve">（采购人） </w:t>
      </w:r>
      <w:r>
        <w:rPr>
          <w:rFonts w:hint="eastAsia" w:ascii="宋体" w:hAnsi="宋体" w:cs="宋体"/>
          <w:color w:val="auto"/>
          <w:sz w:val="24"/>
          <w:highlight w:val="none"/>
        </w:rPr>
        <w:t>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 xml:space="preserve"> （采购文件中明确的所属行业）</w:t>
      </w:r>
      <w:r>
        <w:rPr>
          <w:rFonts w:hint="eastAsia" w:ascii="宋体" w:hAnsi="宋体" w:cs="宋体"/>
          <w:color w:val="auto"/>
          <w:sz w:val="24"/>
          <w:highlight w:val="none"/>
        </w:rPr>
        <w:t xml:space="preserve"> ；承建（承接）企业为 </w:t>
      </w:r>
      <w:r>
        <w:rPr>
          <w:rFonts w:hint="eastAsia" w:ascii="宋体" w:hAnsi="宋体" w:cs="宋体"/>
          <w:color w:val="auto"/>
          <w:sz w:val="24"/>
          <w:highlight w:val="none"/>
          <w:u w:val="single"/>
        </w:rPr>
        <w:t>（企业名称）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 </w:t>
      </w:r>
      <w:r>
        <w:rPr>
          <w:rFonts w:hint="eastAsia" w:ascii="宋体" w:hAnsi="宋体" w:cs="宋体"/>
          <w:color w:val="auto"/>
          <w:sz w:val="24"/>
          <w:highlight w:val="none"/>
        </w:rPr>
        <w:t>；</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 xml:space="preserve"> （标的名称），</w:t>
      </w:r>
      <w:r>
        <w:rPr>
          <w:rFonts w:hint="eastAsia" w:ascii="宋体" w:hAnsi="宋体" w:cs="宋体"/>
          <w:color w:val="auto"/>
          <w:sz w:val="24"/>
          <w:highlight w:val="none"/>
        </w:rPr>
        <w:t xml:space="preserve">属于 </w:t>
      </w:r>
      <w:r>
        <w:rPr>
          <w:rFonts w:hint="eastAsia" w:ascii="宋体" w:hAnsi="宋体" w:cs="宋体"/>
          <w:color w:val="auto"/>
          <w:sz w:val="24"/>
          <w:highlight w:val="none"/>
          <w:u w:val="single"/>
        </w:rPr>
        <w:t xml:space="preserve">（采购文件中明确的所属行业） </w:t>
      </w:r>
      <w:r>
        <w:rPr>
          <w:rFonts w:hint="eastAsia" w:ascii="宋体" w:hAnsi="宋体" w:cs="宋体"/>
          <w:color w:val="auto"/>
          <w:sz w:val="24"/>
          <w:highlight w:val="none"/>
        </w:rPr>
        <w:t xml:space="preserve">；承建（承接）企业为 </w:t>
      </w:r>
      <w:r>
        <w:rPr>
          <w:rFonts w:hint="eastAsia" w:ascii="宋体" w:hAnsi="宋体" w:cs="宋体"/>
          <w:color w:val="auto"/>
          <w:sz w:val="24"/>
          <w:highlight w:val="none"/>
          <w:u w:val="single"/>
        </w:rPr>
        <w:t>（企业名称）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 </w:t>
      </w:r>
      <w:r>
        <w:rPr>
          <w:rFonts w:hint="eastAsia" w:ascii="宋体" w:hAnsi="宋体" w:cs="宋体"/>
          <w:color w:val="auto"/>
          <w:sz w:val="24"/>
          <w:highlight w:val="none"/>
        </w:rPr>
        <w:t>；</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投标人名称(公章)：</w:t>
      </w:r>
    </w:p>
    <w:p>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pPr>
        <w:spacing w:line="360" w:lineRule="auto"/>
        <w:ind w:right="420"/>
        <w:rPr>
          <w:rFonts w:ascii="宋体" w:hAnsi="宋体" w:cs="宋体"/>
          <w:color w:val="auto"/>
          <w:sz w:val="24"/>
          <w:highlight w:val="none"/>
        </w:rPr>
      </w:pP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 xml:space="preserve">   注：</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720" w:firstLineChars="300"/>
        <w:rPr>
          <w:rFonts w:ascii="宋体" w:hAnsi="宋体" w:cs="宋体"/>
          <w:color w:val="auto"/>
          <w:sz w:val="24"/>
          <w:highlight w:val="none"/>
        </w:rPr>
      </w:pPr>
      <w:r>
        <w:rPr>
          <w:rFonts w:hint="eastAsia" w:ascii="宋体" w:hAnsi="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rPr>
          <w:rFonts w:ascii="宋体" w:hAnsi="宋体" w:cs="宋体"/>
          <w:color w:val="auto"/>
          <w:sz w:val="24"/>
          <w:highlight w:val="none"/>
        </w:rPr>
      </w:pPr>
      <w:r>
        <w:rPr>
          <w:rFonts w:hint="eastAsia" w:ascii="宋体" w:hAnsi="宋体" w:cs="宋体"/>
          <w:color w:val="auto"/>
          <w:sz w:val="24"/>
          <w:highlight w:val="none"/>
        </w:rPr>
        <w:br w:type="page"/>
      </w:r>
    </w:p>
    <w:p>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附件8：关于符合本国产品标准的声明函</w:t>
      </w:r>
    </w:p>
    <w:p>
      <w:pPr>
        <w:spacing w:line="360" w:lineRule="auto"/>
        <w:jc w:val="center"/>
        <w:rPr>
          <w:rFonts w:ascii="宋体" w:hAnsi="宋体" w:cs="宋体"/>
          <w:color w:val="auto"/>
          <w:sz w:val="24"/>
          <w:highlight w:val="none"/>
          <w:u w:val="single"/>
        </w:rPr>
      </w:pPr>
    </w:p>
    <w:p>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关于符合本国产品标准的声明函</w:t>
      </w:r>
    </w:p>
    <w:p>
      <w:pPr>
        <w:spacing w:line="360" w:lineRule="auto"/>
        <w:ind w:right="420" w:firstLine="480" w:firstLineChars="200"/>
        <w:rPr>
          <w:rFonts w:ascii="宋体" w:hAnsi="宋体" w:cs="宋体"/>
          <w:color w:val="auto"/>
          <w:sz w:val="24"/>
          <w:highlight w:val="none"/>
        </w:rPr>
      </w:pPr>
    </w:p>
    <w:p>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（产品名称1）</w:t>
      </w:r>
      <w:r>
        <w:rPr>
          <w:rFonts w:hint="eastAsia" w:ascii="宋体" w:hAnsi="宋体" w:cs="宋体"/>
          <w:color w:val="auto"/>
          <w:sz w:val="24"/>
          <w:highlight w:val="none"/>
        </w:rPr>
        <w:t>1，生产厂为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2，厂址为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3。</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4在中国境内生产。</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5在中国境内完成。</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在中国境内生产。</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在中国境内完成。</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pPr>
        <w:spacing w:line="360" w:lineRule="auto"/>
        <w:ind w:right="420" w:firstLine="480" w:firstLineChars="200"/>
        <w:rPr>
          <w:rFonts w:ascii="宋体" w:hAnsi="宋体" w:cs="宋体"/>
          <w:color w:val="auto"/>
          <w:sz w:val="24"/>
          <w:highlight w:val="none"/>
        </w:rPr>
      </w:pPr>
    </w:p>
    <w:p>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pPr>
        <w:spacing w:line="360" w:lineRule="auto"/>
        <w:ind w:right="420" w:firstLine="480" w:firstLineChars="200"/>
        <w:rPr>
          <w:rFonts w:ascii="宋体" w:hAnsi="宋体" w:cs="宋体"/>
          <w:color w:val="auto"/>
          <w:sz w:val="24"/>
          <w:highlight w:val="none"/>
        </w:rPr>
      </w:pP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1.产品如有型号，请在“产品名称”栏一并填写。</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2.生产厂名与厂址应与生产厂营业执照载明的相关信息保持一致。</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3.该产品的中国境内生产的组件成本占比相关要求实施前，“规定比例”栏可不填，下同。</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4.该产品的关键组件要求实施前，“关键组件”栏可不填，下同。</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5.该产品的关键工序要求实施前，“关键工序”栏可不填，下同。</w:t>
      </w: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附件9：关于符合本国产品标准的产品成本之和占所提供的全部产品成本之和的比例达到80%以上的声明函</w:t>
      </w: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关于符合本国产品标准的产品成本之和占所提供的全部产品成本之和的比例达到80%以上的声明函</w:t>
      </w:r>
    </w:p>
    <w:p>
      <w:pPr>
        <w:spacing w:line="360" w:lineRule="auto"/>
        <w:ind w:right="420" w:firstLine="480" w:firstLineChars="200"/>
        <w:rPr>
          <w:rFonts w:ascii="宋体" w:hAnsi="宋体" w:cs="宋体"/>
          <w:color w:val="auto"/>
          <w:sz w:val="24"/>
          <w:highlight w:val="none"/>
        </w:rPr>
      </w:pPr>
    </w:p>
    <w:p>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pPr>
        <w:spacing w:line="360" w:lineRule="auto"/>
        <w:ind w:right="420" w:firstLine="480" w:firstLineChars="200"/>
        <w:rPr>
          <w:rFonts w:ascii="宋体" w:hAnsi="宋体" w:cs="宋体"/>
          <w:color w:val="auto"/>
          <w:sz w:val="24"/>
          <w:highlight w:val="none"/>
        </w:rPr>
      </w:pPr>
    </w:p>
    <w:p>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pPr>
        <w:spacing w:line="360" w:lineRule="auto"/>
        <w:ind w:right="420" w:firstLine="480" w:firstLineChars="200"/>
        <w:rPr>
          <w:rFonts w:ascii="宋体" w:hAnsi="宋体" w:cs="宋体"/>
          <w:color w:val="auto"/>
          <w:sz w:val="24"/>
          <w:highlight w:val="none"/>
        </w:rPr>
      </w:pP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1.本声明函须同时提供关于符合本国产品标准的声明函或财政部会同有关部门规定的有关证明文件，否则不享受价格扣除政策。</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2.当采购项目或者采购包中含有多种产品，投标人拟享受该政策时提供。当采购项目或者采购包中仅含有单一产品时，无须提供本声明函。</w:t>
      </w:r>
    </w:p>
    <w:p>
      <w:pPr>
        <w:pStyle w:val="6"/>
        <w:rPr>
          <w:color w:val="auto"/>
          <w:highlight w:val="none"/>
        </w:rPr>
      </w:pPr>
    </w:p>
    <w:p>
      <w:pPr>
        <w:pStyle w:val="83"/>
        <w:rPr>
          <w:color w:val="auto"/>
          <w:highlight w:val="none"/>
        </w:rPr>
      </w:pPr>
    </w:p>
    <w:p>
      <w:pPr>
        <w:spacing w:line="360" w:lineRule="auto"/>
        <w:ind w:right="420"/>
        <w:rPr>
          <w:rFonts w:ascii="宋体" w:hAnsi="宋体" w:cs="宋体"/>
          <w:color w:val="auto"/>
          <w:highlight w:val="none"/>
        </w:rPr>
      </w:pPr>
    </w:p>
    <w:p>
      <w:pPr>
        <w:spacing w:line="360" w:lineRule="auto"/>
        <w:rPr>
          <w:rFonts w:ascii="宋体" w:hAnsi="宋体" w:cs="宋体"/>
          <w:bCs/>
          <w:color w:val="auto"/>
          <w:sz w:val="24"/>
          <w:highlight w:val="none"/>
        </w:rPr>
      </w:pPr>
    </w:p>
    <w:sectPr>
      <w:headerReference r:id="rId27" w:type="first"/>
      <w:footerReference r:id="rId30" w:type="first"/>
      <w:headerReference r:id="rId26" w:type="default"/>
      <w:footerReference r:id="rId28" w:type="default"/>
      <w:footerReference r:id="rId29" w:type="even"/>
      <w:pgSz w:w="11906" w:h="16838"/>
      <w:pgMar w:top="1134" w:right="1134" w:bottom="1134" w:left="113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Segoe Print"/>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00000001" w:csb1="00000000"/>
  </w:font>
  <w:font w:name="等线 Light">
    <w:altName w:val="宋体"/>
    <w:panose1 w:val="00000000000000000000"/>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altName w:val="微软雅黑"/>
    <w:panose1 w:val="00000000000000000000"/>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altName w:val="Segoe Print"/>
    <w:panose1 w:val="020B0502020202020204"/>
    <w:charset w:val="00"/>
    <w:family w:val="swiss"/>
    <w:pitch w:val="default"/>
    <w:sig w:usb0="00000000" w:usb1="00000000" w:usb2="00000000" w:usb3="00000000" w:csb0="0000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Calibri Light">
    <w:altName w:val="Calibri"/>
    <w:panose1 w:val="00000000000000000000"/>
    <w:charset w:val="00"/>
    <w:family w:val="swiss"/>
    <w:pitch w:val="default"/>
    <w:sig w:usb0="00000000" w:usb1="00000000" w:usb2="00000000" w:usb3="00000000" w:csb0="2000019F"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framePr w:wrap="around" w:vAnchor="text" w:hAnchor="margin" w:xAlign="right" w:y="1"/>
      <w:rPr>
        <w:rStyle w:val="72"/>
      </w:rPr>
    </w:pPr>
    <w:r>
      <w:fldChar w:fldCharType="begin"/>
    </w:r>
    <w:r>
      <w:rPr>
        <w:rStyle w:val="72"/>
      </w:rPr>
      <w:instrText xml:space="preserve">PAGE  </w:instrText>
    </w:r>
    <w:r>
      <w:fldChar w:fldCharType="end"/>
    </w:r>
  </w:p>
  <w:p>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88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szCs w:val="21"/>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87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87</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rFonts w:ascii="仿宋_GB2312" w:eastAsia="仿宋_GB2312"/>
        <w:sz w:val="21"/>
        <w:szCs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103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103</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framePr w:wrap="around" w:vAnchor="text" w:hAnchor="margin" w:xAlign="right" w:y="1"/>
      <w:rPr>
        <w:rStyle w:val="72"/>
      </w:rPr>
    </w:pPr>
    <w:r>
      <w:fldChar w:fldCharType="begin"/>
    </w:r>
    <w:r>
      <w:rPr>
        <w:rStyle w:val="72"/>
      </w:rPr>
      <w:instrText xml:space="preserve">PAGE  </w:instrText>
    </w:r>
    <w:r>
      <w:fldChar w:fldCharType="end"/>
    </w:r>
  </w:p>
  <w:p>
    <w:pPr>
      <w:pStyle w:val="40"/>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rFonts w:ascii="仿宋_GB2312" w:eastAsia="仿宋_GB2312"/>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89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89</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59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59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78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78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79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79</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85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85</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80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80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Bdr>
        <w:bottom w:val="none" w:color="auto" w:sz="0" w:space="4"/>
      </w:pBdr>
      <w:jc w:val="both"/>
      <w:rPr>
        <w:sz w:val="21"/>
        <w:szCs w:val="21"/>
      </w:rPr>
    </w:pPr>
    <w:r>
      <w:rPr>
        <w:rFonts w:hint="eastAsia"/>
      </w:rPr>
      <w:t xml:space="preserve">        </w:t>
    </w:r>
    <w:r>
      <w:rPr>
        <w:rFonts w:hint="eastAsia"/>
        <w:sz w:val="21"/>
        <w:szCs w:val="21"/>
      </w:rPr>
      <w:t xml:space="preserve"> </w:t>
    </w:r>
  </w:p>
  <w:p>
    <w:pPr>
      <w:pStyle w:val="41"/>
      <w:pBdr>
        <w:bottom w:val="single" w:color="auto" w:sz="4" w:space="4"/>
      </w:pBdr>
      <w:jc w:val="right"/>
      <w:rPr>
        <w:rFonts w:ascii="仿宋_GB2312"/>
        <w:i/>
        <w:u w:val="single"/>
      </w:rPr>
    </w:pPr>
    <w:r>
      <w:rPr>
        <w:sz w:val="21"/>
        <w:szCs w:val="21"/>
      </w:rPr>
      <w:t>北海市政府采购公开招标文</w:t>
    </w:r>
    <w:r>
      <w:rPr>
        <w:rFonts w:hint="eastAsia"/>
        <w:sz w:val="21"/>
        <w:szCs w:val="21"/>
      </w:rPr>
      <w:t>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right"/>
    </w:pPr>
    <w:r>
      <w:t></w:t>
    </w:r>
    <w:r>
      <w:rPr>
        <w:rFonts w:hint="eastAsia"/>
      </w:rPr>
      <w:t xml:space="preserve">                 </w:t>
    </w:r>
    <w:r>
      <w:t xml:space="preserve">                 </w:t>
    </w:r>
    <w:r>
      <w:rPr>
        <w:sz w:val="21"/>
        <w:szCs w:val="21"/>
      </w:rPr>
      <w:t>北海市政府采购公开招标文件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right"/>
      <w:rPr>
        <w:rFonts w:ascii="仿宋_GB2312" w:eastAsia="仿宋_GB2312"/>
        <w:b/>
        <w:i/>
        <w:sz w:val="21"/>
        <w:szCs w:val="21"/>
        <w:u w:val="single"/>
      </w:rPr>
    </w:pPr>
    <w:r>
      <w:rPr>
        <w:rFonts w:hint="eastAsia"/>
      </w:rPr>
      <w:t xml:space="preserve">                                </w:t>
    </w:r>
    <w:r>
      <w:rPr>
        <w:rFonts w:hint="eastAsia"/>
        <w:sz w:val="21"/>
        <w:szCs w:val="21"/>
      </w:rPr>
      <w:t xml:space="preserve">  </w:t>
    </w:r>
    <w:r>
      <w:rPr>
        <w:sz w:val="21"/>
        <w:szCs w:val="21"/>
      </w:rPr>
      <w:t>北海市政府采购公开招标文件</w:t>
    </w:r>
  </w:p>
  <w:p>
    <w:pP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right"/>
      <w:rPr>
        <w:sz w:val="21"/>
        <w:szCs w:val="21"/>
      </w:rPr>
    </w:pPr>
    <w:r>
      <w:rPr>
        <w:rFonts w:hint="eastAsia"/>
      </w:rPr>
      <w:t xml:space="preserve">                                                                            </w:t>
    </w:r>
    <w:r>
      <w:rPr>
        <w:sz w:val="21"/>
        <w:szCs w:val="21"/>
      </w:rPr>
      <w:t>北海市政府采购公开招标文件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right"/>
      <w:rPr>
        <w:rFonts w:ascii="仿宋_GB2312" w:eastAsia="仿宋_GB2312"/>
        <w:b/>
        <w:i/>
        <w:iCs/>
        <w:u w:val="single"/>
      </w:rPr>
    </w:pPr>
    <w:r>
      <w:t></w:t>
    </w:r>
    <w:r>
      <w:rPr>
        <w:sz w:val="21"/>
        <w:szCs w:val="21"/>
      </w:rPr>
      <w:t>北海市政府采购公开招标文件</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t></w:t>
    </w:r>
    <w:r>
      <w:rPr>
        <w:rFonts w:hint="eastAsia"/>
      </w:rPr>
      <w:t xml:space="preserve">                </w:t>
    </w:r>
    <w:r>
      <w:rPr>
        <w:rFonts w:hint="eastAsia"/>
        <w:sz w:val="21"/>
        <w:szCs w:val="21"/>
      </w:rPr>
      <w:t xml:space="preserve">                       </w:t>
    </w:r>
    <w:r>
      <w:rPr>
        <w:sz w:val="21"/>
        <w:szCs w:val="21"/>
      </w:rPr>
      <w:t>北海市政府采购公开招标文件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Bdr>
        <w:bottom w:val="none" w:color="auto" w:sz="0" w:space="0"/>
      </w:pBdr>
      <w:tabs>
        <w:tab w:val="center" w:pos="4535"/>
        <w:tab w:val="right" w:pos="9070"/>
        <w:tab w:val="clear" w:pos="4153"/>
        <w:tab w:val="clear" w:pos="8306"/>
      </w:tabs>
      <w:jc w:val="right"/>
    </w:pPr>
    <w:r>
      <w:rPr>
        <w:lang w:val="zh-CN"/>
      </w:rPr>
      <w:t></w:t>
    </w:r>
    <w:r>
      <w:tab/>
    </w:r>
    <w:r>
      <w:rPr>
        <w:lang w:val="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t></w:t>
    </w:r>
    <w:r>
      <w:rPr>
        <w:rFonts w:hint="eastAsia"/>
      </w:rPr>
      <w:t xml:space="preserve">         </w:t>
    </w:r>
  </w:p>
  <w:p>
    <w:pPr>
      <w:pStyle w:val="4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t></w:t>
    </w:r>
    <w:r>
      <w:rPr>
        <w:rFonts w:hint="eastAsia"/>
      </w:rPr>
      <w:t xml:space="preserve">         </w:t>
    </w:r>
  </w:p>
  <w:p>
    <w:pPr>
      <w:pStyle w:val="4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t></w:t>
    </w:r>
    <w:r>
      <w:rPr>
        <w:rFonts w:hint="eastAsia"/>
      </w:rPr>
      <w:t xml:space="preserve">         </w:t>
    </w:r>
  </w:p>
  <w:p>
    <w:pPr>
      <w:pStyle w:val="4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right"/>
      <w:rPr>
        <w:rFonts w:ascii="仿宋_GB2312" w:eastAsia="仿宋_GB2312"/>
        <w:b/>
        <w:i/>
        <w:u w:val="single"/>
      </w:rPr>
    </w:pPr>
    <w:r>
      <w:t></w:t>
    </w:r>
    <w:r>
      <w:rPr>
        <w:rFonts w:hint="eastAsia"/>
      </w:rPr>
      <w:t xml:space="preserve">                                                </w:t>
    </w:r>
    <w:r>
      <w:rPr>
        <w:rFonts w:hint="eastAsia"/>
        <w:sz w:val="21"/>
        <w:szCs w:val="21"/>
      </w:rPr>
      <w:t xml:space="preserve">  </w:t>
    </w:r>
    <w:r>
      <w:rPr>
        <w:sz w:val="21"/>
        <w:szCs w:val="21"/>
      </w:rPr>
      <w:t>北海市政府采购公开招标文件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7405E"/>
    <w:multiLevelType w:val="singleLevel"/>
    <w:tmpl w:val="9F27405E"/>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6E9"/>
    <w:rsid w:val="00046B29"/>
    <w:rsid w:val="000E4FBE"/>
    <w:rsid w:val="001A0028"/>
    <w:rsid w:val="0026121E"/>
    <w:rsid w:val="003555F0"/>
    <w:rsid w:val="00475841"/>
    <w:rsid w:val="00781EE2"/>
    <w:rsid w:val="007E667E"/>
    <w:rsid w:val="008571C7"/>
    <w:rsid w:val="00A312BF"/>
    <w:rsid w:val="00A97FF4"/>
    <w:rsid w:val="00AF0175"/>
    <w:rsid w:val="00BC32CD"/>
    <w:rsid w:val="00D4024E"/>
    <w:rsid w:val="00DB2904"/>
    <w:rsid w:val="00DB3231"/>
    <w:rsid w:val="00DF76E9"/>
    <w:rsid w:val="00E53BF3"/>
    <w:rsid w:val="00E55A44"/>
    <w:rsid w:val="00F3234E"/>
    <w:rsid w:val="083131D8"/>
    <w:rsid w:val="0E423C54"/>
    <w:rsid w:val="0F185AB6"/>
    <w:rsid w:val="0F1C2CB4"/>
    <w:rsid w:val="0F444AFD"/>
    <w:rsid w:val="12281052"/>
    <w:rsid w:val="23D20662"/>
    <w:rsid w:val="35626DF8"/>
    <w:rsid w:val="36531956"/>
    <w:rsid w:val="385B39FB"/>
    <w:rsid w:val="3EA87DFB"/>
    <w:rsid w:val="40D10BE3"/>
    <w:rsid w:val="4219570E"/>
    <w:rsid w:val="5DFC310B"/>
    <w:rsid w:val="5F906570"/>
    <w:rsid w:val="60B5756F"/>
    <w:rsid w:val="645A6B4F"/>
    <w:rsid w:val="706E6023"/>
    <w:rsid w:val="798D730C"/>
    <w:rsid w:val="7A484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4"/>
    <w:qFormat/>
    <w:uiPriority w:val="0"/>
    <w:pPr>
      <w:keepNext/>
      <w:keepLines/>
      <w:tabs>
        <w:tab w:val="left" w:pos="900"/>
      </w:tabs>
      <w:spacing w:before="260" w:after="260" w:line="416" w:lineRule="auto"/>
      <w:ind w:left="900" w:hanging="720"/>
      <w:outlineLvl w:val="2"/>
    </w:pPr>
    <w:rPr>
      <w:b/>
      <w:bCs/>
      <w:sz w:val="32"/>
      <w:szCs w:val="32"/>
    </w:rPr>
  </w:style>
  <w:style w:type="paragraph" w:styleId="8">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9">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10">
    <w:name w:val="heading 6"/>
    <w:basedOn w:val="1"/>
    <w:next w:val="1"/>
    <w:link w:val="145"/>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1">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12">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3">
    <w:name w:val="heading 9"/>
    <w:basedOn w:val="1"/>
    <w:next w:val="1"/>
    <w:link w:val="180"/>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119"/>
    <w:qFormat/>
    <w:uiPriority w:val="0"/>
    <w:pPr>
      <w:adjustRightInd/>
      <w:spacing w:after="120" w:line="240" w:lineRule="auto"/>
      <w:ind w:left="420" w:leftChars="200" w:firstLine="210"/>
    </w:pPr>
    <w:rPr>
      <w:sz w:val="21"/>
    </w:rPr>
  </w:style>
  <w:style w:type="paragraph" w:styleId="3">
    <w:name w:val="Body Text Indent"/>
    <w:basedOn w:val="1"/>
    <w:next w:val="4"/>
    <w:link w:val="263"/>
    <w:qFormat/>
    <w:uiPriority w:val="0"/>
    <w:pPr>
      <w:spacing w:line="480" w:lineRule="exact"/>
      <w:ind w:firstLine="480" w:firstLineChars="200"/>
    </w:pPr>
    <w:rPr>
      <w:rFonts w:ascii="宋体" w:hAnsi="宋体"/>
      <w:sz w:val="24"/>
    </w:rPr>
  </w:style>
  <w:style w:type="paragraph" w:styleId="4">
    <w:name w:val="Normal Indent"/>
    <w:basedOn w:val="1"/>
    <w:next w:val="3"/>
    <w:link w:val="191"/>
    <w:qFormat/>
    <w:uiPriority w:val="0"/>
    <w:pPr>
      <w:widowControl/>
      <w:snapToGrid w:val="0"/>
      <w:spacing w:line="480" w:lineRule="exact"/>
      <w:ind w:firstLine="567"/>
    </w:pPr>
    <w:rPr>
      <w:rFonts w:ascii="宋体"/>
      <w:snapToGrid w:val="0"/>
      <w:color w:val="000000"/>
      <w:kern w:val="28"/>
      <w:sz w:val="28"/>
      <w:szCs w:val="20"/>
    </w:rPr>
  </w:style>
  <w:style w:type="paragraph" w:styleId="14">
    <w:name w:val="toc 7"/>
    <w:basedOn w:val="1"/>
    <w:next w:val="1"/>
    <w:qFormat/>
    <w:uiPriority w:val="0"/>
    <w:pPr>
      <w:ind w:left="2520" w:leftChars="1200"/>
    </w:pPr>
  </w:style>
  <w:style w:type="paragraph" w:styleId="15">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6">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caption"/>
    <w:basedOn w:val="1"/>
    <w:next w:val="1"/>
    <w:link w:val="227"/>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0"/>
    <w:qFormat/>
    <w:uiPriority w:val="0"/>
    <w:pPr>
      <w:shd w:val="clear" w:color="auto" w:fill="000080"/>
    </w:pPr>
  </w:style>
  <w:style w:type="paragraph" w:styleId="21">
    <w:name w:val="annotation text"/>
    <w:basedOn w:val="1"/>
    <w:link w:val="342"/>
    <w:qFormat/>
    <w:uiPriority w:val="99"/>
    <w:pPr>
      <w:jc w:val="left"/>
    </w:pPr>
  </w:style>
  <w:style w:type="paragraph" w:styleId="22">
    <w:name w:val="Salutation"/>
    <w:basedOn w:val="1"/>
    <w:next w:val="1"/>
    <w:link w:val="296"/>
    <w:qFormat/>
    <w:uiPriority w:val="0"/>
    <w:rPr>
      <w:rFonts w:ascii="仿宋_GB2312" w:eastAsia="仿宋_GB2312"/>
      <w:sz w:val="28"/>
      <w:szCs w:val="20"/>
    </w:rPr>
  </w:style>
  <w:style w:type="paragraph" w:styleId="23">
    <w:name w:val="Body Text 3"/>
    <w:basedOn w:val="1"/>
    <w:link w:val="328"/>
    <w:qFormat/>
    <w:uiPriority w:val="0"/>
    <w:pPr>
      <w:jc w:val="center"/>
    </w:pPr>
    <w:rPr>
      <w:szCs w:val="20"/>
    </w:rPr>
  </w:style>
  <w:style w:type="paragraph" w:styleId="24">
    <w:name w:val="List Bullet 3"/>
    <w:basedOn w:val="1"/>
    <w:unhideWhenUsed/>
    <w:qFormat/>
    <w:uiPriority w:val="0"/>
    <w:pPr>
      <w:snapToGrid w:val="0"/>
      <w:spacing w:line="360" w:lineRule="auto"/>
      <w:ind w:left="360" w:right="238" w:hanging="360"/>
      <w:contextualSpacing/>
    </w:pPr>
    <w:rPr>
      <w:sz w:val="24"/>
    </w:rPr>
  </w:style>
  <w:style w:type="paragraph" w:styleId="25">
    <w:name w:val="Body Text"/>
    <w:basedOn w:val="1"/>
    <w:link w:val="428"/>
    <w:qFormat/>
    <w:uiPriority w:val="0"/>
    <w:pPr>
      <w:autoSpaceDE w:val="0"/>
      <w:autoSpaceDN w:val="0"/>
      <w:spacing w:line="360" w:lineRule="auto"/>
    </w:pPr>
    <w:rPr>
      <w:rFonts w:ascii="宋体" w:hAnsi="Arial" w:cs="Arial"/>
      <w:snapToGrid w:val="0"/>
      <w:sz w:val="24"/>
      <w:szCs w:val="21"/>
      <w:lang w:val="zh-CN"/>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17"/>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123"/>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79"/>
    <w:qFormat/>
    <w:uiPriority w:val="0"/>
    <w:pPr>
      <w:ind w:left="100" w:leftChars="2500"/>
    </w:pPr>
    <w:rPr>
      <w:rFonts w:ascii="宋体"/>
      <w:sz w:val="24"/>
      <w:szCs w:val="21"/>
      <w:lang w:val="zh-CN"/>
    </w:rPr>
  </w:style>
  <w:style w:type="paragraph" w:styleId="37">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8">
    <w:name w:val="endnote text"/>
    <w:basedOn w:val="1"/>
    <w:link w:val="929"/>
    <w:qFormat/>
    <w:uiPriority w:val="0"/>
    <w:rPr>
      <w:lang w:val="zh-CN"/>
    </w:rPr>
  </w:style>
  <w:style w:type="paragraph" w:styleId="39">
    <w:name w:val="Balloon Text"/>
    <w:basedOn w:val="1"/>
    <w:link w:val="186"/>
    <w:qFormat/>
    <w:uiPriority w:val="0"/>
    <w:rPr>
      <w:sz w:val="18"/>
      <w:szCs w:val="18"/>
    </w:rPr>
  </w:style>
  <w:style w:type="paragraph" w:styleId="40">
    <w:name w:val="footer"/>
    <w:basedOn w:val="1"/>
    <w:link w:val="381"/>
    <w:qFormat/>
    <w:uiPriority w:val="99"/>
    <w:pPr>
      <w:tabs>
        <w:tab w:val="center" w:pos="4153"/>
        <w:tab w:val="right" w:pos="8306"/>
      </w:tabs>
      <w:snapToGrid w:val="0"/>
      <w:jc w:val="left"/>
    </w:pPr>
    <w:rPr>
      <w:sz w:val="18"/>
      <w:szCs w:val="18"/>
    </w:rPr>
  </w:style>
  <w:style w:type="paragraph" w:styleId="41">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39"/>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1"/>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4"/>
    <w:link w:val="308"/>
    <w:qFormat/>
    <w:uiPriority w:val="0"/>
    <w:pPr>
      <w:adjustRightInd/>
      <w:snapToGrid/>
      <w:spacing w:before="60" w:after="60" w:line="300" w:lineRule="exact"/>
      <w:ind w:firstLine="0"/>
    </w:pPr>
    <w:rPr>
      <w:rFonts w:ascii="Calibri"/>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3"/>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0"/>
    <w:qFormat/>
    <w:uiPriority w:val="0"/>
    <w:pPr>
      <w:spacing w:after="120" w:line="480" w:lineRule="auto"/>
    </w:pPr>
  </w:style>
  <w:style w:type="paragraph" w:styleId="57">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1"/>
    <w:next w:val="21"/>
    <w:link w:val="94"/>
    <w:qFormat/>
    <w:uiPriority w:val="0"/>
    <w:rPr>
      <w:b/>
      <w:bCs/>
    </w:rPr>
  </w:style>
  <w:style w:type="paragraph" w:styleId="61">
    <w:name w:val="Body Text First Indent"/>
    <w:basedOn w:val="25"/>
    <w:link w:val="319"/>
    <w:qFormat/>
    <w:uiPriority w:val="0"/>
    <w:pPr>
      <w:ind w:firstLine="420"/>
    </w:pPr>
    <w:rPr>
      <w:rFonts w:hAnsi="Calibri" w:cs="Times New Roman"/>
      <w:szCs w:val="20"/>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表格文字"/>
    <w:basedOn w:val="1"/>
    <w:qFormat/>
    <w:uiPriority w:val="0"/>
    <w:pPr>
      <w:adjustRightInd/>
      <w:ind w:firstLine="200" w:firstLineChars="200"/>
    </w:pPr>
    <w:rPr>
      <w:rFonts w:ascii="Arial" w:hAnsi="Arial"/>
      <w:spacing w:val="-5"/>
      <w:kern w:val="0"/>
      <w:sz w:val="24"/>
      <w:szCs w:val="20"/>
    </w:rPr>
  </w:style>
  <w:style w:type="character" w:customStyle="1" w:styleId="80">
    <w:name w:val="表格非标题文字 Char"/>
    <w:link w:val="81"/>
    <w:qFormat/>
    <w:uiPriority w:val="0"/>
    <w:rPr>
      <w:rFonts w:ascii="Futura Bk" w:hAnsi="Futura Bk"/>
      <w:kern w:val="2"/>
      <w:sz w:val="18"/>
      <w:szCs w:val="21"/>
      <w:lang w:val="en-US" w:eastAsia="zh-CN" w:bidi="ar-SA"/>
    </w:rPr>
  </w:style>
  <w:style w:type="paragraph" w:customStyle="1" w:styleId="81">
    <w:name w:val="表格非标题文字"/>
    <w:link w:val="80"/>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2">
    <w:name w:val="*正文 Char"/>
    <w:link w:val="83"/>
    <w:qFormat/>
    <w:locked/>
    <w:uiPriority w:val="0"/>
    <w:rPr>
      <w:rFonts w:ascii="宋体" w:hAnsi="宋体"/>
      <w:sz w:val="24"/>
    </w:rPr>
  </w:style>
  <w:style w:type="paragraph" w:customStyle="1" w:styleId="83">
    <w:name w:val="*正文"/>
    <w:basedOn w:val="1"/>
    <w:link w:val="82"/>
    <w:qFormat/>
    <w:uiPriority w:val="0"/>
    <w:pPr>
      <w:snapToGrid w:val="0"/>
      <w:spacing w:line="360" w:lineRule="auto"/>
      <w:ind w:firstLine="482"/>
      <w:jc w:val="left"/>
    </w:pPr>
    <w:rPr>
      <w:rFonts w:ascii="宋体" w:hAnsi="宋体"/>
      <w:kern w:val="0"/>
      <w:sz w:val="24"/>
      <w:szCs w:val="20"/>
    </w:rPr>
  </w:style>
  <w:style w:type="character" w:customStyle="1" w:styleId="84">
    <w:name w:val="Char Char71"/>
    <w:semiHidden/>
    <w:qFormat/>
    <w:uiPriority w:val="0"/>
    <w:rPr>
      <w:rFonts w:eastAsia="宋体"/>
      <w:kern w:val="2"/>
      <w:sz w:val="21"/>
      <w:szCs w:val="24"/>
      <w:lang w:val="en-US" w:eastAsia="zh-CN" w:bidi="ar-SA"/>
    </w:rPr>
  </w:style>
  <w:style w:type="character" w:customStyle="1" w:styleId="85">
    <w:name w:val="Char Char6"/>
    <w:qFormat/>
    <w:uiPriority w:val="0"/>
    <w:rPr>
      <w:rFonts w:eastAsia="宋体"/>
      <w:kern w:val="2"/>
      <w:sz w:val="21"/>
      <w:szCs w:val="24"/>
      <w:lang w:val="en-US" w:eastAsia="zh-CN" w:bidi="ar-SA"/>
    </w:rPr>
  </w:style>
  <w:style w:type="character" w:customStyle="1" w:styleId="86">
    <w:name w:val="正文缩进 Char"/>
    <w:qFormat/>
    <w:uiPriority w:val="0"/>
    <w:rPr>
      <w:rFonts w:eastAsia="宋体"/>
      <w:kern w:val="2"/>
      <w:sz w:val="21"/>
      <w:lang w:val="en-US" w:eastAsia="zh-CN"/>
    </w:rPr>
  </w:style>
  <w:style w:type="character" w:customStyle="1" w:styleId="87">
    <w:name w:val="正文首行缩进 Char1"/>
    <w:qFormat/>
    <w:uiPriority w:val="0"/>
    <w:rPr>
      <w:rFonts w:ascii="宋体" w:hAnsi="Times New Roman" w:eastAsia="宋体" w:cs="Times New Roman"/>
      <w:snapToGrid w:val="0"/>
      <w:kern w:val="2"/>
      <w:sz w:val="24"/>
      <w:szCs w:val="21"/>
      <w:lang w:val="zh-CN"/>
    </w:rPr>
  </w:style>
  <w:style w:type="character" w:customStyle="1" w:styleId="88">
    <w:name w:val="Char Char28"/>
    <w:qFormat/>
    <w:uiPriority w:val="6"/>
    <w:rPr>
      <w:rFonts w:ascii="仿宋_GB2312" w:hAnsi="仿宋_GB2312" w:eastAsia="仿宋_GB2312"/>
      <w:kern w:val="1"/>
      <w:sz w:val="28"/>
    </w:rPr>
  </w:style>
  <w:style w:type="character" w:customStyle="1" w:styleId="89">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0">
    <w:name w:val="Heading 1 Char"/>
    <w:qFormat/>
    <w:uiPriority w:val="6"/>
    <w:rPr>
      <w:rFonts w:ascii="Times New Roman" w:hAnsi="Times New Roman" w:eastAsia="黑体" w:cs="Times New Roman"/>
      <w:b/>
      <w:kern w:val="0"/>
      <w:sz w:val="24"/>
      <w:szCs w:val="24"/>
    </w:rPr>
  </w:style>
  <w:style w:type="character" w:customStyle="1" w:styleId="91">
    <w:name w:val="U_正文 Char"/>
    <w:link w:val="92"/>
    <w:qFormat/>
    <w:uiPriority w:val="0"/>
    <w:rPr>
      <w:sz w:val="24"/>
      <w:szCs w:val="24"/>
    </w:rPr>
  </w:style>
  <w:style w:type="paragraph" w:customStyle="1" w:styleId="92">
    <w:name w:val="U_正文"/>
    <w:basedOn w:val="1"/>
    <w:link w:val="91"/>
    <w:qFormat/>
    <w:uiPriority w:val="0"/>
    <w:pPr>
      <w:adjustRightInd/>
      <w:spacing w:beforeLines="20" w:afterLines="20" w:line="300" w:lineRule="auto"/>
      <w:ind w:firstLine="200" w:firstLineChars="200"/>
    </w:pPr>
    <w:rPr>
      <w:kern w:val="0"/>
      <w:sz w:val="24"/>
    </w:rPr>
  </w:style>
  <w:style w:type="character" w:customStyle="1" w:styleId="93">
    <w:name w:val="HTML 地址 Char1"/>
    <w:qFormat/>
    <w:uiPriority w:val="0"/>
    <w:rPr>
      <w:rFonts w:ascii="Times New Roman" w:hAnsi="Times New Roman" w:eastAsia="宋体" w:cs="Times New Roman"/>
      <w:i/>
      <w:iCs/>
      <w:szCs w:val="24"/>
    </w:rPr>
  </w:style>
  <w:style w:type="character" w:customStyle="1" w:styleId="94">
    <w:name w:val="批注主题 Char1"/>
    <w:link w:val="60"/>
    <w:qFormat/>
    <w:uiPriority w:val="0"/>
    <w:rPr>
      <w:b/>
      <w:bCs/>
      <w:kern w:val="2"/>
      <w:sz w:val="21"/>
      <w:szCs w:val="24"/>
    </w:rPr>
  </w:style>
  <w:style w:type="character" w:customStyle="1" w:styleId="95">
    <w:name w:val="Char Char51"/>
    <w:qFormat/>
    <w:uiPriority w:val="0"/>
    <w:rPr>
      <w:rFonts w:ascii="宋体" w:hAnsi="Courier New" w:eastAsia="宋体"/>
      <w:kern w:val="2"/>
      <w:sz w:val="21"/>
      <w:lang w:val="en-US" w:eastAsia="zh-CN"/>
    </w:rPr>
  </w:style>
  <w:style w:type="character" w:customStyle="1" w:styleId="96">
    <w:name w:val="表正文 Char"/>
    <w:qFormat/>
    <w:uiPriority w:val="0"/>
    <w:rPr>
      <w:rFonts w:ascii="宋体" w:eastAsia="宋体"/>
      <w:snapToGrid w:val="0"/>
      <w:color w:val="000000"/>
      <w:kern w:val="28"/>
      <w:sz w:val="28"/>
      <w:lang w:val="en-US" w:eastAsia="zh-CN" w:bidi="ar-SA"/>
    </w:rPr>
  </w:style>
  <w:style w:type="character" w:customStyle="1" w:styleId="97">
    <w:name w:val="Char Char34"/>
    <w:qFormat/>
    <w:uiPriority w:val="6"/>
    <w:rPr>
      <w:b/>
      <w:kern w:val="1"/>
      <w:sz w:val="28"/>
      <w:szCs w:val="28"/>
    </w:rPr>
  </w:style>
  <w:style w:type="character" w:customStyle="1" w:styleId="98">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99">
    <w:name w:val="哈哈正文 Char"/>
    <w:link w:val="100"/>
    <w:qFormat/>
    <w:uiPriority w:val="0"/>
    <w:rPr>
      <w:rFonts w:ascii="宋体" w:hAnsi="宋体" w:eastAsia="宋体"/>
      <w:kern w:val="2"/>
      <w:sz w:val="24"/>
      <w:lang w:bidi="ar-SA"/>
    </w:rPr>
  </w:style>
  <w:style w:type="paragraph" w:customStyle="1" w:styleId="100">
    <w:name w:val="哈哈正文"/>
    <w:basedOn w:val="1"/>
    <w:link w:val="99"/>
    <w:qFormat/>
    <w:uiPriority w:val="0"/>
    <w:pPr>
      <w:adjustRightInd/>
      <w:spacing w:line="360" w:lineRule="auto"/>
      <w:ind w:firstLine="200" w:firstLineChars="200"/>
    </w:pPr>
    <w:rPr>
      <w:rFonts w:ascii="宋体" w:hAnsi="宋体"/>
      <w:sz w:val="24"/>
      <w:szCs w:val="20"/>
    </w:rPr>
  </w:style>
  <w:style w:type="character" w:customStyle="1" w:styleId="101">
    <w:name w:val="未处理的提及1"/>
    <w:qFormat/>
    <w:uiPriority w:val="0"/>
    <w:rPr>
      <w:color w:val="808080"/>
      <w:shd w:val="clear" w:color="auto" w:fill="E6E6E6"/>
    </w:rPr>
  </w:style>
  <w:style w:type="character" w:customStyle="1" w:styleId="102">
    <w:name w:val="txt"/>
    <w:qFormat/>
    <w:uiPriority w:val="0"/>
    <w:rPr>
      <w:rFonts w:ascii="仿宋_GB2312" w:eastAsia="微软雅黑"/>
      <w:b/>
      <w:kern w:val="2"/>
      <w:sz w:val="32"/>
      <w:szCs w:val="32"/>
      <w:lang w:val="en-US" w:eastAsia="zh-CN" w:bidi="ar-SA"/>
    </w:rPr>
  </w:style>
  <w:style w:type="character" w:customStyle="1" w:styleId="103">
    <w:name w:val="二级标题 Char Char"/>
    <w:qFormat/>
    <w:uiPriority w:val="0"/>
    <w:rPr>
      <w:rFonts w:ascii="宋体" w:hAnsi="宋体" w:eastAsia="宋体"/>
      <w:b/>
      <w:snapToGrid w:val="0"/>
      <w:kern w:val="2"/>
      <w:sz w:val="24"/>
      <w:szCs w:val="24"/>
      <w:lang w:val="en-US" w:eastAsia="zh-CN" w:bidi="ar-SA"/>
    </w:rPr>
  </w:style>
  <w:style w:type="character" w:customStyle="1" w:styleId="104">
    <w:name w:val="Char Char32"/>
    <w:qFormat/>
    <w:uiPriority w:val="6"/>
    <w:rPr>
      <w:b/>
      <w:kern w:val="1"/>
      <w:sz w:val="24"/>
      <w:szCs w:val="24"/>
    </w:rPr>
  </w:style>
  <w:style w:type="character" w:customStyle="1" w:styleId="105">
    <w:name w:val="PI Char1"/>
    <w:qFormat/>
    <w:uiPriority w:val="0"/>
    <w:rPr>
      <w:rFonts w:ascii="宋体" w:hAnsi="宋体"/>
      <w:kern w:val="2"/>
      <w:sz w:val="24"/>
      <w:szCs w:val="24"/>
    </w:rPr>
  </w:style>
  <w:style w:type="character" w:customStyle="1" w:styleId="106">
    <w:name w:val="tw4winTerm"/>
    <w:qFormat/>
    <w:uiPriority w:val="0"/>
    <w:rPr>
      <w:color w:val="0000FF"/>
    </w:rPr>
  </w:style>
  <w:style w:type="character" w:customStyle="1" w:styleId="107">
    <w:name w:val="Footer Char"/>
    <w:qFormat/>
    <w:locked/>
    <w:uiPriority w:val="0"/>
    <w:rPr>
      <w:rFonts w:eastAsia="宋体"/>
      <w:kern w:val="2"/>
      <w:sz w:val="18"/>
      <w:lang w:val="en-US" w:eastAsia="zh-CN" w:bidi="ar-SA"/>
    </w:rPr>
  </w:style>
  <w:style w:type="character" w:customStyle="1" w:styleId="108">
    <w:name w:val="普通文字 Char Char1"/>
    <w:qFormat/>
    <w:uiPriority w:val="0"/>
    <w:rPr>
      <w:rFonts w:ascii="宋体" w:hAnsi="Courier New"/>
      <w:kern w:val="2"/>
      <w:sz w:val="21"/>
    </w:rPr>
  </w:style>
  <w:style w:type="character" w:customStyle="1" w:styleId="109">
    <w:name w:val="Char Char101"/>
    <w:qFormat/>
    <w:uiPriority w:val="6"/>
    <w:rPr>
      <w:rFonts w:ascii="宋体" w:hAnsi="宋体"/>
      <w:kern w:val="2"/>
      <w:sz w:val="21"/>
      <w:szCs w:val="24"/>
      <w:lang w:val="en-US" w:eastAsia="zh-CN"/>
    </w:rPr>
  </w:style>
  <w:style w:type="character" w:customStyle="1" w:styleId="110">
    <w:name w:val="标题 4 Char"/>
    <w:qFormat/>
    <w:uiPriority w:val="0"/>
    <w:rPr>
      <w:rFonts w:ascii="Arial" w:hAnsi="Arial" w:eastAsia="黑体"/>
      <w:b/>
      <w:kern w:val="2"/>
      <w:sz w:val="28"/>
    </w:rPr>
  </w:style>
  <w:style w:type="character" w:customStyle="1" w:styleId="111">
    <w:name w:val="链接"/>
    <w:qFormat/>
    <w:uiPriority w:val="0"/>
    <w:rPr>
      <w:color w:val="0000FF"/>
      <w:sz w:val="21"/>
      <w:szCs w:val="21"/>
      <w:u w:val="single"/>
    </w:rPr>
  </w:style>
  <w:style w:type="character" w:customStyle="1" w:styleId="112">
    <w:name w:val="h4 Char"/>
    <w:qFormat/>
    <w:uiPriority w:val="0"/>
    <w:rPr>
      <w:rFonts w:ascii="Arial" w:hAnsi="Arial" w:eastAsia="黑体"/>
      <w:b/>
      <w:bCs/>
      <w:kern w:val="2"/>
      <w:sz w:val="28"/>
      <w:szCs w:val="28"/>
      <w:lang w:val="zh-CN" w:eastAsia="zh-CN" w:bidi="ar-SA"/>
    </w:rPr>
  </w:style>
  <w:style w:type="character" w:customStyle="1" w:styleId="113">
    <w:name w:val="5正文 Char"/>
    <w:link w:val="114"/>
    <w:qFormat/>
    <w:uiPriority w:val="0"/>
    <w:rPr>
      <w:rFonts w:ascii="仿宋_GB2312" w:hAnsi="微软雅黑" w:eastAsia="仿宋_GB2312"/>
      <w:sz w:val="28"/>
      <w:szCs w:val="21"/>
    </w:rPr>
  </w:style>
  <w:style w:type="paragraph" w:customStyle="1" w:styleId="114">
    <w:name w:val="5正文"/>
    <w:basedOn w:val="1"/>
    <w:link w:val="113"/>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5">
    <w:name w:val="标题 3 字符"/>
    <w:qFormat/>
    <w:uiPriority w:val="9"/>
    <w:rPr>
      <w:b/>
      <w:bCs/>
      <w:kern w:val="2"/>
      <w:sz w:val="32"/>
      <w:szCs w:val="32"/>
    </w:rPr>
  </w:style>
  <w:style w:type="character" w:customStyle="1" w:styleId="116">
    <w:name w:val="样式6 Char"/>
    <w:qFormat/>
    <w:uiPriority w:val="0"/>
    <w:rPr>
      <w:rFonts w:ascii="仿宋_GB2312" w:hAnsi="宋体" w:eastAsia="仿宋_GB2312"/>
      <w:b/>
      <w:bCs/>
      <w:kern w:val="2"/>
      <w:sz w:val="24"/>
      <w:szCs w:val="24"/>
      <w:lang w:val="en-US" w:eastAsia="zh-CN" w:bidi="ar-SA"/>
    </w:rPr>
  </w:style>
  <w:style w:type="character" w:customStyle="1" w:styleId="117">
    <w:name w:val="Char Char14"/>
    <w:qFormat/>
    <w:uiPriority w:val="6"/>
    <w:rPr>
      <w:rFonts w:ascii="黑体" w:hAnsi="黑体" w:eastAsia="黑体"/>
    </w:rPr>
  </w:style>
  <w:style w:type="character" w:customStyle="1" w:styleId="118">
    <w:name w:val="Heading 2 Hidden Char"/>
    <w:qFormat/>
    <w:uiPriority w:val="0"/>
    <w:rPr>
      <w:rFonts w:ascii="仿宋_GB2312" w:eastAsia="仿宋_GB2312"/>
      <w:b/>
      <w:bCs/>
      <w:kern w:val="2"/>
      <w:sz w:val="24"/>
      <w:szCs w:val="24"/>
      <w:lang w:val="zh-CN" w:eastAsia="zh-CN" w:bidi="ar-SA"/>
    </w:rPr>
  </w:style>
  <w:style w:type="character" w:customStyle="1" w:styleId="119">
    <w:name w:val="正文首行缩进 2 Char"/>
    <w:link w:val="2"/>
    <w:qFormat/>
    <w:uiPriority w:val="0"/>
    <w:rPr>
      <w:rFonts w:ascii="宋体" w:hAnsi="宋体"/>
      <w:kern w:val="2"/>
      <w:sz w:val="21"/>
      <w:szCs w:val="24"/>
    </w:rPr>
  </w:style>
  <w:style w:type="character" w:customStyle="1" w:styleId="120">
    <w:name w:val="font11"/>
    <w:qFormat/>
    <w:uiPriority w:val="0"/>
    <w:rPr>
      <w:rFonts w:hint="default" w:ascii="Times New Roman" w:hAnsi="Times New Roman" w:cs="Times New Roman"/>
      <w:color w:val="000000"/>
      <w:sz w:val="22"/>
      <w:szCs w:val="22"/>
      <w:u w:val="none"/>
    </w:rPr>
  </w:style>
  <w:style w:type="character" w:customStyle="1" w:styleId="121">
    <w:name w:val="表正文 Char1"/>
    <w:qFormat/>
    <w:uiPriority w:val="0"/>
    <w:rPr>
      <w:rFonts w:ascii="宋体" w:eastAsia="宋体"/>
      <w:snapToGrid w:val="0"/>
      <w:color w:val="000000"/>
      <w:kern w:val="28"/>
      <w:sz w:val="28"/>
    </w:rPr>
  </w:style>
  <w:style w:type="character" w:customStyle="1" w:styleId="122">
    <w:name w:val="blue1"/>
    <w:basedOn w:val="69"/>
    <w:qFormat/>
    <w:uiPriority w:val="0"/>
    <w:rPr>
      <w:rFonts w:ascii="Arial" w:hAnsi="Arial" w:eastAsia="黑体" w:cs="Arial"/>
      <w:snapToGrid w:val="0"/>
      <w:kern w:val="0"/>
      <w:szCs w:val="21"/>
    </w:rPr>
  </w:style>
  <w:style w:type="character" w:customStyle="1" w:styleId="123">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4">
    <w:name w:val="标书1 Char"/>
    <w:qFormat/>
    <w:uiPriority w:val="0"/>
    <w:rPr>
      <w:rFonts w:eastAsia="宋体"/>
      <w:b/>
      <w:bCs/>
      <w:kern w:val="44"/>
      <w:sz w:val="44"/>
      <w:szCs w:val="44"/>
      <w:lang w:val="en-US" w:eastAsia="zh-CN" w:bidi="ar-SA"/>
    </w:rPr>
  </w:style>
  <w:style w:type="character" w:customStyle="1" w:styleId="125">
    <w:name w:val="样式5 Char"/>
    <w:qFormat/>
    <w:uiPriority w:val="0"/>
    <w:rPr>
      <w:rFonts w:ascii="仿宋_GB2312" w:hAnsi="仿宋" w:eastAsia="仿宋_GB2312"/>
      <w:kern w:val="2"/>
      <w:sz w:val="24"/>
      <w:szCs w:val="24"/>
    </w:rPr>
  </w:style>
  <w:style w:type="character" w:customStyle="1" w:styleId="126">
    <w:name w:val="样式4 Char"/>
    <w:qFormat/>
    <w:uiPriority w:val="0"/>
    <w:rPr>
      <w:rFonts w:ascii="仿宋_GB2312" w:hAnsi="仿宋" w:eastAsia="仿宋_GB2312"/>
      <w:b/>
      <w:kern w:val="2"/>
      <w:sz w:val="32"/>
      <w:szCs w:val="32"/>
      <w:lang w:bidi="ar-SA"/>
    </w:rPr>
  </w:style>
  <w:style w:type="character" w:customStyle="1" w:styleId="127">
    <w:name w:val="插图说明 Char"/>
    <w:qFormat/>
    <w:uiPriority w:val="0"/>
    <w:rPr>
      <w:rFonts w:eastAsia="黑体"/>
      <w:sz w:val="24"/>
      <w:lang w:val="en-US" w:eastAsia="zh-CN"/>
    </w:rPr>
  </w:style>
  <w:style w:type="character" w:customStyle="1" w:styleId="128">
    <w:name w:val="正文2 Char Char"/>
    <w:link w:val="129"/>
    <w:qFormat/>
    <w:uiPriority w:val="0"/>
    <w:rPr>
      <w:rFonts w:eastAsia="宋体"/>
      <w:kern w:val="2"/>
      <w:sz w:val="24"/>
      <w:lang w:val="en-US" w:eastAsia="zh-CN" w:bidi="ar-SA"/>
    </w:rPr>
  </w:style>
  <w:style w:type="paragraph" w:customStyle="1" w:styleId="129">
    <w:name w:val="正文2"/>
    <w:basedOn w:val="1"/>
    <w:link w:val="128"/>
    <w:qFormat/>
    <w:uiPriority w:val="0"/>
    <w:pPr>
      <w:spacing w:before="156" w:line="360" w:lineRule="auto"/>
      <w:ind w:firstLine="510" w:firstLineChars="200"/>
    </w:pPr>
    <w:rPr>
      <w:sz w:val="24"/>
      <w:szCs w:val="20"/>
    </w:rPr>
  </w:style>
  <w:style w:type="character" w:customStyle="1" w:styleId="130">
    <w:name w:val="Char Char24"/>
    <w:qFormat/>
    <w:uiPriority w:val="6"/>
    <w:rPr>
      <w:kern w:val="1"/>
      <w:sz w:val="21"/>
    </w:rPr>
  </w:style>
  <w:style w:type="character" w:customStyle="1" w:styleId="131">
    <w:name w:val="副标题 Char"/>
    <w:link w:val="47"/>
    <w:qFormat/>
    <w:uiPriority w:val="0"/>
    <w:rPr>
      <w:rFonts w:ascii="Arial" w:hAnsi="Arial" w:eastAsia="隶书"/>
      <w:b/>
      <w:bCs/>
      <w:kern w:val="28"/>
      <w:sz w:val="44"/>
      <w:szCs w:val="32"/>
      <w:lang w:val="en-US" w:eastAsia="zh-CN" w:bidi="ar-SA"/>
    </w:rPr>
  </w:style>
  <w:style w:type="character" w:customStyle="1" w:styleId="132">
    <w:name w:val="普通文字 Char1 Char"/>
    <w:qFormat/>
    <w:uiPriority w:val="0"/>
    <w:rPr>
      <w:rFonts w:ascii="宋体" w:hAnsi="Courier New" w:eastAsia="宋体"/>
      <w:kern w:val="2"/>
      <w:sz w:val="21"/>
      <w:szCs w:val="24"/>
      <w:lang w:val="en-US" w:eastAsia="zh-CN" w:bidi="ar-SA"/>
    </w:rPr>
  </w:style>
  <w:style w:type="character" w:customStyle="1" w:styleId="133">
    <w:name w:val="h3 Char1"/>
    <w:qFormat/>
    <w:uiPriority w:val="0"/>
    <w:rPr>
      <w:rFonts w:eastAsia="宋体"/>
      <w:b/>
      <w:bCs/>
      <w:kern w:val="2"/>
      <w:sz w:val="32"/>
      <w:szCs w:val="32"/>
      <w:lang w:bidi="ar-SA"/>
    </w:rPr>
  </w:style>
  <w:style w:type="character" w:customStyle="1" w:styleId="134">
    <w:name w:val="标题 Char1"/>
    <w:qFormat/>
    <w:uiPriority w:val="0"/>
    <w:rPr>
      <w:rFonts w:ascii="Cambria" w:hAnsi="Cambria" w:eastAsia="宋体" w:cs="Times New Roman"/>
      <w:b/>
      <w:bCs/>
      <w:sz w:val="32"/>
      <w:szCs w:val="32"/>
      <w:lang w:bidi="ar-SA"/>
    </w:rPr>
  </w:style>
  <w:style w:type="character" w:customStyle="1" w:styleId="135">
    <w:name w:val="gf正文1 Char"/>
    <w:qFormat/>
    <w:uiPriority w:val="0"/>
    <w:rPr>
      <w:rFonts w:ascii="宋体" w:hAnsi="宋体" w:eastAsia="宋体" w:cs="宋体"/>
      <w:kern w:val="2"/>
      <w:sz w:val="24"/>
      <w:szCs w:val="24"/>
      <w:lang w:val="en-US" w:eastAsia="zh-CN" w:bidi="ar-SA"/>
    </w:rPr>
  </w:style>
  <w:style w:type="character" w:customStyle="1" w:styleId="136">
    <w:name w:val="正文文本缩进 Char1"/>
    <w:qFormat/>
    <w:uiPriority w:val="0"/>
    <w:rPr>
      <w:rFonts w:ascii="Calibri" w:hAnsi="Calibri"/>
      <w:sz w:val="28"/>
    </w:rPr>
  </w:style>
  <w:style w:type="character" w:customStyle="1" w:styleId="137">
    <w:name w:val="No Spacing Char"/>
    <w:link w:val="138"/>
    <w:qFormat/>
    <w:uiPriority w:val="1"/>
    <w:rPr>
      <w:sz w:val="22"/>
      <w:szCs w:val="22"/>
      <w:lang w:val="en-US" w:eastAsia="zh-CN" w:bidi="ar-SA"/>
    </w:rPr>
  </w:style>
  <w:style w:type="paragraph" w:customStyle="1" w:styleId="138">
    <w:name w:val="无间隔1"/>
    <w:link w:val="137"/>
    <w:qFormat/>
    <w:uiPriority w:val="1"/>
    <w:rPr>
      <w:rFonts w:ascii="Times New Roman" w:hAnsi="Times New Roman" w:eastAsia="宋体" w:cs="Times New Roman"/>
      <w:sz w:val="22"/>
      <w:szCs w:val="22"/>
      <w:lang w:val="en-US" w:eastAsia="zh-CN" w:bidi="ar-SA"/>
    </w:rPr>
  </w:style>
  <w:style w:type="character" w:customStyle="1" w:styleId="139">
    <w:name w:val="样式7 Char"/>
    <w:qFormat/>
    <w:uiPriority w:val="0"/>
    <w:rPr>
      <w:rFonts w:ascii="仿宋_GB2312" w:hAnsi="仿宋" w:eastAsia="仿宋_GB2312"/>
      <w:b/>
      <w:kern w:val="2"/>
      <w:sz w:val="24"/>
      <w:szCs w:val="24"/>
    </w:rPr>
  </w:style>
  <w:style w:type="character" w:customStyle="1" w:styleId="140">
    <w:name w:val="font12gray1"/>
    <w:qFormat/>
    <w:uiPriority w:val="0"/>
    <w:rPr>
      <w:rFonts w:ascii="仿宋_GB2312" w:eastAsia="微软雅黑"/>
      <w:b/>
      <w:spacing w:val="300"/>
      <w:kern w:val="2"/>
      <w:sz w:val="18"/>
      <w:szCs w:val="18"/>
      <w:lang w:val="en-US" w:eastAsia="zh-CN" w:bidi="ar-SA"/>
    </w:rPr>
  </w:style>
  <w:style w:type="character" w:customStyle="1" w:styleId="141">
    <w:name w:val="Char Char7"/>
    <w:semiHidden/>
    <w:qFormat/>
    <w:uiPriority w:val="0"/>
    <w:rPr>
      <w:rFonts w:eastAsia="宋体"/>
      <w:kern w:val="2"/>
      <w:sz w:val="21"/>
      <w:szCs w:val="24"/>
      <w:lang w:val="en-US" w:eastAsia="zh-CN" w:bidi="ar-SA"/>
    </w:rPr>
  </w:style>
  <w:style w:type="character" w:customStyle="1" w:styleId="142">
    <w:name w:val="表名 Char"/>
    <w:qFormat/>
    <w:uiPriority w:val="0"/>
    <w:rPr>
      <w:rFonts w:eastAsia="宋体"/>
      <w:b/>
      <w:bCs/>
      <w:kern w:val="2"/>
      <w:sz w:val="24"/>
      <w:szCs w:val="24"/>
      <w:lang w:val="en-US" w:eastAsia="zh-CN" w:bidi="ar-SA"/>
    </w:rPr>
  </w:style>
  <w:style w:type="character" w:customStyle="1" w:styleId="143">
    <w:name w:val="Document Map Char"/>
    <w:qFormat/>
    <w:locked/>
    <w:uiPriority w:val="0"/>
    <w:rPr>
      <w:rFonts w:eastAsia="宋体"/>
      <w:kern w:val="2"/>
      <w:sz w:val="21"/>
      <w:szCs w:val="24"/>
      <w:lang w:val="en-US" w:eastAsia="zh-CN" w:bidi="ar-SA"/>
    </w:rPr>
  </w:style>
  <w:style w:type="character" w:customStyle="1" w:styleId="144">
    <w:name w:val="font41"/>
    <w:qFormat/>
    <w:uiPriority w:val="0"/>
    <w:rPr>
      <w:rFonts w:hint="eastAsia" w:ascii="仿宋_GB2312" w:eastAsia="仿宋_GB2312" w:cs="仿宋_GB2312"/>
      <w:color w:val="000000"/>
      <w:sz w:val="22"/>
      <w:szCs w:val="22"/>
      <w:u w:val="none"/>
    </w:rPr>
  </w:style>
  <w:style w:type="character" w:customStyle="1" w:styleId="145">
    <w:name w:val="标题 6 Char"/>
    <w:link w:val="10"/>
    <w:qFormat/>
    <w:uiPriority w:val="0"/>
    <w:rPr>
      <w:rFonts w:ascii="Arial" w:hAnsi="Arial" w:eastAsia="黑体"/>
      <w:b/>
      <w:bCs/>
      <w:kern w:val="2"/>
      <w:sz w:val="24"/>
      <w:szCs w:val="24"/>
    </w:rPr>
  </w:style>
  <w:style w:type="character" w:customStyle="1" w:styleId="146">
    <w:name w:val="纯文本 Char_0"/>
    <w:link w:val="147"/>
    <w:qFormat/>
    <w:uiPriority w:val="0"/>
    <w:rPr>
      <w:rFonts w:ascii="宋体" w:hAnsi="Courier New"/>
      <w:kern w:val="2"/>
      <w:sz w:val="21"/>
      <w:szCs w:val="21"/>
      <w:lang w:val="en-US" w:eastAsia="zh-CN"/>
    </w:rPr>
  </w:style>
  <w:style w:type="paragraph" w:customStyle="1" w:styleId="147">
    <w:name w:val="纯文本_0_0"/>
    <w:basedOn w:val="148"/>
    <w:link w:val="146"/>
    <w:qFormat/>
    <w:uiPriority w:val="0"/>
    <w:rPr>
      <w:rFonts w:ascii="宋体" w:hAnsi="Courier New"/>
      <w:szCs w:val="21"/>
    </w:rPr>
  </w:style>
  <w:style w:type="paragraph" w:customStyle="1" w:styleId="14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9">
    <w:name w:val="Balloon Text Char"/>
    <w:qFormat/>
    <w:locked/>
    <w:uiPriority w:val="0"/>
    <w:rPr>
      <w:rFonts w:eastAsia="宋体"/>
      <w:kern w:val="2"/>
      <w:sz w:val="18"/>
      <w:szCs w:val="18"/>
      <w:lang w:val="en-US" w:eastAsia="zh-CN" w:bidi="ar-SA"/>
    </w:rPr>
  </w:style>
  <w:style w:type="character" w:customStyle="1" w:styleId="150">
    <w:name w:val="正文 项目2 Char"/>
    <w:basedOn w:val="151"/>
    <w:qFormat/>
    <w:uiPriority w:val="0"/>
    <w:rPr>
      <w:rFonts w:ascii="仿宋_GB2312" w:hAnsi="仿宋_GB2312" w:eastAsia="仿宋_GB2312"/>
      <w:kern w:val="2"/>
      <w:sz w:val="24"/>
      <w:lang w:bidi="ar-SA"/>
    </w:rPr>
  </w:style>
  <w:style w:type="character" w:customStyle="1" w:styleId="151">
    <w:name w:val="正文 项目 Char"/>
    <w:qFormat/>
    <w:uiPriority w:val="0"/>
    <w:rPr>
      <w:rFonts w:ascii="仿宋_GB2312" w:hAnsi="仿宋_GB2312" w:eastAsia="仿宋_GB2312"/>
      <w:kern w:val="2"/>
      <w:sz w:val="24"/>
      <w:lang w:bidi="ar-SA"/>
    </w:rPr>
  </w:style>
  <w:style w:type="character" w:customStyle="1" w:styleId="152">
    <w:name w:val="h Char Char1"/>
    <w:qFormat/>
    <w:uiPriority w:val="0"/>
    <w:rPr>
      <w:rFonts w:eastAsia="宋体"/>
      <w:kern w:val="2"/>
      <w:sz w:val="18"/>
      <w:szCs w:val="18"/>
      <w:lang w:val="en-US" w:eastAsia="zh-CN" w:bidi="ar-SA"/>
    </w:rPr>
  </w:style>
  <w:style w:type="character" w:customStyle="1" w:styleId="153">
    <w:name w:val="Char Char27"/>
    <w:qFormat/>
    <w:uiPriority w:val="6"/>
    <w:rPr>
      <w:rFonts w:ascii="宋体" w:hAnsi="宋体" w:eastAsia="宋体"/>
      <w:color w:val="000000"/>
      <w:kern w:val="1"/>
      <w:sz w:val="28"/>
      <w:lang w:val="en-US" w:eastAsia="zh-CN" w:bidi="ar-SA"/>
    </w:rPr>
  </w:style>
  <w:style w:type="character" w:customStyle="1" w:styleId="154">
    <w:name w:val="px14"/>
    <w:qFormat/>
    <w:uiPriority w:val="0"/>
    <w:rPr>
      <w:rFonts w:ascii="仿宋_GB2312" w:eastAsia="微软雅黑" w:cs="Times New Roman"/>
      <w:b/>
      <w:kern w:val="2"/>
      <w:sz w:val="32"/>
      <w:szCs w:val="32"/>
      <w:lang w:val="en-US" w:eastAsia="zh-CN" w:bidi="ar-SA"/>
    </w:rPr>
  </w:style>
  <w:style w:type="character" w:customStyle="1" w:styleId="155">
    <w:name w:val="HTML 预设格式 Char1"/>
    <w:qFormat/>
    <w:uiPriority w:val="0"/>
    <w:rPr>
      <w:rFonts w:ascii="Courier New" w:hAnsi="Courier New" w:eastAsia="宋体" w:cs="Courier New"/>
      <w:sz w:val="20"/>
      <w:szCs w:val="20"/>
    </w:rPr>
  </w:style>
  <w:style w:type="character" w:customStyle="1" w:styleId="156">
    <w:name w:val="普通文字 Char1"/>
    <w:qFormat/>
    <w:uiPriority w:val="0"/>
    <w:rPr>
      <w:rFonts w:ascii="宋体" w:hAnsi="Courier New" w:eastAsia="宋体"/>
      <w:kern w:val="2"/>
      <w:sz w:val="21"/>
      <w:lang w:val="en-US" w:eastAsia="zh-CN"/>
    </w:rPr>
  </w:style>
  <w:style w:type="character" w:customStyle="1" w:styleId="157">
    <w:name w:val="hei16b1"/>
    <w:qFormat/>
    <w:uiPriority w:val="0"/>
    <w:rPr>
      <w:rFonts w:hint="default" w:ascii="Arial" w:hAnsi="Arial" w:cs="Arial"/>
      <w:b/>
      <w:bCs/>
      <w:color w:val="000000"/>
      <w:sz w:val="24"/>
      <w:szCs w:val="24"/>
    </w:rPr>
  </w:style>
  <w:style w:type="character" w:customStyle="1" w:styleId="158">
    <w:name w:val="正文（绿盟科技） Char"/>
    <w:link w:val="159"/>
    <w:qFormat/>
    <w:uiPriority w:val="0"/>
    <w:rPr>
      <w:rFonts w:ascii="Arial" w:hAnsi="Arial"/>
      <w:sz w:val="21"/>
      <w:szCs w:val="21"/>
    </w:rPr>
  </w:style>
  <w:style w:type="paragraph" w:customStyle="1" w:styleId="159">
    <w:name w:val="正文（绿盟科技）"/>
    <w:link w:val="158"/>
    <w:qFormat/>
    <w:uiPriority w:val="0"/>
    <w:pPr>
      <w:spacing w:line="300" w:lineRule="auto"/>
    </w:pPr>
    <w:rPr>
      <w:rFonts w:ascii="Arial" w:hAnsi="Arial" w:eastAsia="宋体" w:cs="Times New Roman"/>
      <w:sz w:val="21"/>
      <w:szCs w:val="21"/>
      <w:lang w:val="en-US" w:eastAsia="zh-CN" w:bidi="ar-SA"/>
    </w:rPr>
  </w:style>
  <w:style w:type="character" w:customStyle="1" w:styleId="160">
    <w:name w:val="Char Char19"/>
    <w:qFormat/>
    <w:uiPriority w:val="6"/>
    <w:rPr>
      <w:rFonts w:ascii="宋体" w:hAnsi="宋体"/>
      <w:i/>
      <w:sz w:val="24"/>
      <w:szCs w:val="24"/>
    </w:rPr>
  </w:style>
  <w:style w:type="character" w:customStyle="1" w:styleId="161">
    <w:name w:val="页脚 Char"/>
    <w:qFormat/>
    <w:uiPriority w:val="0"/>
    <w:rPr>
      <w:rFonts w:eastAsia="仿宋_GB2312"/>
      <w:kern w:val="2"/>
      <w:sz w:val="18"/>
      <w:lang w:val="en-US" w:eastAsia="zh-CN"/>
    </w:rPr>
  </w:style>
  <w:style w:type="character" w:customStyle="1" w:styleId="162">
    <w:name w:val="批注主题 Char"/>
    <w:qFormat/>
    <w:uiPriority w:val="0"/>
    <w:rPr>
      <w:rFonts w:eastAsia="宋体"/>
      <w:b/>
      <w:bCs/>
      <w:kern w:val="2"/>
      <w:sz w:val="21"/>
      <w:szCs w:val="24"/>
      <w:lang w:val="en-US" w:eastAsia="zh-CN" w:bidi="ar-SA"/>
    </w:rPr>
  </w:style>
  <w:style w:type="character" w:customStyle="1" w:styleId="163">
    <w:name w:val="Comment Text Char"/>
    <w:qFormat/>
    <w:locked/>
    <w:uiPriority w:val="0"/>
    <w:rPr>
      <w:rFonts w:ascii="宋体" w:hAnsi="宋体" w:eastAsia="宋体"/>
      <w:kern w:val="2"/>
      <w:sz w:val="24"/>
      <w:lang w:val="en-US" w:eastAsia="zh-CN" w:bidi="ar-SA"/>
    </w:rPr>
  </w:style>
  <w:style w:type="character" w:customStyle="1" w:styleId="164">
    <w:name w:val="标题 2 字符"/>
    <w:qFormat/>
    <w:uiPriority w:val="1"/>
    <w:rPr>
      <w:rFonts w:ascii="仿宋_GB2312" w:hAnsi="Times New Roman" w:eastAsia="仿宋_GB2312" w:cs="Times New Roman"/>
      <w:b/>
      <w:kern w:val="2"/>
      <w:sz w:val="24"/>
      <w:lang w:val="zh-CN"/>
    </w:rPr>
  </w:style>
  <w:style w:type="character" w:customStyle="1" w:styleId="165">
    <w:name w:val="Char Char72"/>
    <w:qFormat/>
    <w:uiPriority w:val="0"/>
    <w:rPr>
      <w:rFonts w:eastAsia="宋体"/>
      <w:kern w:val="2"/>
      <w:sz w:val="21"/>
      <w:szCs w:val="24"/>
      <w:lang w:val="en-US" w:eastAsia="zh-CN" w:bidi="ar-SA"/>
    </w:rPr>
  </w:style>
  <w:style w:type="character" w:customStyle="1" w:styleId="166">
    <w:name w:val="正文文本缩进 Char2"/>
    <w:qFormat/>
    <w:uiPriority w:val="0"/>
    <w:rPr>
      <w:rFonts w:ascii="Times New Roman" w:hAnsi="Times New Roman" w:eastAsia="宋体" w:cs="Times New Roman"/>
      <w:snapToGrid w:val="0"/>
      <w:kern w:val="0"/>
      <w:szCs w:val="24"/>
    </w:rPr>
  </w:style>
  <w:style w:type="character" w:customStyle="1" w:styleId="167">
    <w:name w:val="样式2 Char"/>
    <w:qFormat/>
    <w:uiPriority w:val="0"/>
    <w:rPr>
      <w:rFonts w:ascii="仿宋_GB2312" w:hAnsi="仿宋" w:eastAsia="仿宋_GB2312" w:cs="仿宋_GB2312"/>
      <w:b/>
      <w:bCs/>
      <w:sz w:val="32"/>
      <w:szCs w:val="30"/>
      <w:lang w:val="zh-CN"/>
    </w:rPr>
  </w:style>
  <w:style w:type="character" w:customStyle="1" w:styleId="168">
    <w:name w:val="表格名称[858D7CFB-ED40-4347-BF05-701D383B685F]"/>
    <w:link w:val="169"/>
    <w:qFormat/>
    <w:uiPriority w:val="0"/>
    <w:rPr>
      <w:sz w:val="32"/>
    </w:rPr>
  </w:style>
  <w:style w:type="paragraph" w:customStyle="1" w:styleId="169">
    <w:name w:val="表格名称"/>
    <w:basedOn w:val="6"/>
    <w:link w:val="168"/>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0">
    <w:name w:val="Char Char4"/>
    <w:qFormat/>
    <w:uiPriority w:val="0"/>
    <w:rPr>
      <w:rFonts w:eastAsia="宋体"/>
      <w:b/>
      <w:sz w:val="24"/>
      <w:lang w:val="en-GB" w:eastAsia="zh-CN" w:bidi="ar-SA"/>
    </w:rPr>
  </w:style>
  <w:style w:type="character" w:customStyle="1" w:styleId="171">
    <w:name w:val="c7 style3"/>
    <w:qFormat/>
    <w:uiPriority w:val="0"/>
  </w:style>
  <w:style w:type="character" w:customStyle="1" w:styleId="172">
    <w:name w:val="正文文本 3 Char1"/>
    <w:semiHidden/>
    <w:qFormat/>
    <w:uiPriority w:val="99"/>
    <w:rPr>
      <w:rFonts w:ascii="Times New Roman" w:hAnsi="Times New Roman" w:eastAsia="宋体" w:cs="Times New Roman"/>
      <w:sz w:val="16"/>
      <w:szCs w:val="16"/>
    </w:rPr>
  </w:style>
  <w:style w:type="character" w:customStyle="1" w:styleId="173">
    <w:name w:val="tw4winInternal"/>
    <w:qFormat/>
    <w:uiPriority w:val="0"/>
    <w:rPr>
      <w:rFonts w:ascii="Courier New" w:hAnsi="Courier New" w:cs="Courier New"/>
      <w:color w:val="FF0000"/>
      <w:lang w:val="en-US" w:eastAsia="zh-CN"/>
    </w:rPr>
  </w:style>
  <w:style w:type="character" w:customStyle="1" w:styleId="174">
    <w:name w:val="Char Char10"/>
    <w:semiHidden/>
    <w:qFormat/>
    <w:uiPriority w:val="0"/>
    <w:rPr>
      <w:rFonts w:ascii="宋体" w:hAnsi="宋体"/>
      <w:kern w:val="2"/>
      <w:sz w:val="21"/>
      <w:szCs w:val="24"/>
      <w:lang w:val="en-US" w:eastAsia="zh-CN"/>
    </w:rPr>
  </w:style>
  <w:style w:type="character" w:customStyle="1" w:styleId="175">
    <w:name w:val="shadow11"/>
    <w:qFormat/>
    <w:uiPriority w:val="0"/>
    <w:rPr>
      <w:color w:val="000000"/>
      <w:sz w:val="21"/>
    </w:rPr>
  </w:style>
  <w:style w:type="character" w:customStyle="1" w:styleId="176">
    <w:name w:val="正文非缩进 Char3"/>
    <w:qFormat/>
    <w:uiPriority w:val="0"/>
    <w:rPr>
      <w:rFonts w:ascii="宋体" w:eastAsia="宋体"/>
      <w:snapToGrid w:val="0"/>
      <w:color w:val="000000"/>
      <w:kern w:val="28"/>
      <w:sz w:val="28"/>
      <w:lang w:val="en-US" w:eastAsia="zh-CN" w:bidi="ar-SA"/>
    </w:rPr>
  </w:style>
  <w:style w:type="character" w:customStyle="1" w:styleId="177">
    <w:name w:val="Char Char"/>
    <w:qFormat/>
    <w:uiPriority w:val="0"/>
    <w:rPr>
      <w:rFonts w:ascii="宋体" w:hAnsi="Courier New" w:eastAsia="宋体"/>
      <w:kern w:val="2"/>
      <w:sz w:val="21"/>
      <w:lang w:val="en-US" w:eastAsia="zh-CN" w:bidi="ar-SA"/>
    </w:rPr>
  </w:style>
  <w:style w:type="character" w:customStyle="1" w:styleId="178">
    <w:name w:val="签名 Char1"/>
    <w:qFormat/>
    <w:uiPriority w:val="0"/>
    <w:rPr>
      <w:rFonts w:ascii="Times New Roman" w:hAnsi="Times New Roman" w:eastAsia="宋体" w:cs="Times New Roman"/>
      <w:szCs w:val="24"/>
    </w:rPr>
  </w:style>
  <w:style w:type="character" w:customStyle="1" w:styleId="179">
    <w:name w:val="日期 Char"/>
    <w:link w:val="36"/>
    <w:qFormat/>
    <w:uiPriority w:val="0"/>
    <w:rPr>
      <w:rFonts w:ascii="宋体"/>
      <w:kern w:val="2"/>
      <w:sz w:val="24"/>
      <w:szCs w:val="21"/>
      <w:lang w:val="zh-CN"/>
    </w:rPr>
  </w:style>
  <w:style w:type="character" w:customStyle="1" w:styleId="180">
    <w:name w:val="标题 9 Char"/>
    <w:link w:val="13"/>
    <w:qFormat/>
    <w:uiPriority w:val="0"/>
    <w:rPr>
      <w:rFonts w:ascii="Arial" w:hAnsi="Arial" w:eastAsia="黑体"/>
      <w:kern w:val="2"/>
      <w:sz w:val="21"/>
      <w:szCs w:val="21"/>
    </w:rPr>
  </w:style>
  <w:style w:type="character" w:customStyle="1" w:styleId="181">
    <w:name w:val="Char Char18"/>
    <w:qFormat/>
    <w:uiPriority w:val="6"/>
    <w:rPr>
      <w:rFonts w:ascii="宋体" w:hAnsi="宋体"/>
      <w:sz w:val="28"/>
    </w:rPr>
  </w:style>
  <w:style w:type="character" w:customStyle="1" w:styleId="182">
    <w:name w:val="批注文字 Char"/>
    <w:qFormat/>
    <w:uiPriority w:val="99"/>
    <w:rPr>
      <w:kern w:val="2"/>
      <w:sz w:val="21"/>
      <w:szCs w:val="24"/>
    </w:rPr>
  </w:style>
  <w:style w:type="character" w:customStyle="1" w:styleId="183">
    <w:name w:val="Char Char22"/>
    <w:qFormat/>
    <w:uiPriority w:val="6"/>
    <w:rPr>
      <w:rFonts w:ascii="宋体" w:hAnsi="宋体"/>
      <w:kern w:val="1"/>
      <w:sz w:val="24"/>
      <w:szCs w:val="24"/>
    </w:rPr>
  </w:style>
  <w:style w:type="character" w:customStyle="1" w:styleId="184">
    <w:name w:val="pt141"/>
    <w:qFormat/>
    <w:uiPriority w:val="0"/>
    <w:rPr>
      <w:color w:val="330066"/>
      <w:sz w:val="22"/>
      <w:szCs w:val="22"/>
    </w:rPr>
  </w:style>
  <w:style w:type="character" w:customStyle="1" w:styleId="185">
    <w:name w:val="正文文本缩进 2 Char1"/>
    <w:semiHidden/>
    <w:qFormat/>
    <w:uiPriority w:val="99"/>
    <w:rPr>
      <w:rFonts w:ascii="Times New Roman" w:hAnsi="Times New Roman" w:eastAsia="宋体" w:cs="Times New Roman"/>
      <w:szCs w:val="24"/>
    </w:rPr>
  </w:style>
  <w:style w:type="character" w:customStyle="1" w:styleId="186">
    <w:name w:val="批注框文本 Char"/>
    <w:link w:val="39"/>
    <w:qFormat/>
    <w:uiPriority w:val="0"/>
    <w:rPr>
      <w:kern w:val="2"/>
      <w:sz w:val="18"/>
      <w:szCs w:val="18"/>
    </w:rPr>
  </w:style>
  <w:style w:type="character" w:customStyle="1" w:styleId="187">
    <w:name w:val="Char Char611"/>
    <w:qFormat/>
    <w:uiPriority w:val="0"/>
    <w:rPr>
      <w:rFonts w:eastAsia="宋体"/>
      <w:kern w:val="2"/>
      <w:sz w:val="21"/>
      <w:szCs w:val="24"/>
      <w:lang w:val="en-US" w:eastAsia="zh-CN" w:bidi="ar-SA"/>
    </w:rPr>
  </w:style>
  <w:style w:type="character" w:customStyle="1" w:styleId="188">
    <w:name w:val="highlight1"/>
    <w:qFormat/>
    <w:uiPriority w:val="0"/>
    <w:rPr>
      <w:rFonts w:ascii="仿宋_GB2312" w:eastAsia="微软雅黑"/>
      <w:b/>
      <w:kern w:val="2"/>
      <w:sz w:val="23"/>
      <w:szCs w:val="23"/>
      <w:lang w:val="en-US" w:eastAsia="zh-CN" w:bidi="ar-SA"/>
    </w:rPr>
  </w:style>
  <w:style w:type="character" w:customStyle="1" w:styleId="189">
    <w:name w:val="my正文 Char"/>
    <w:link w:val="190"/>
    <w:qFormat/>
    <w:locked/>
    <w:uiPriority w:val="0"/>
    <w:rPr>
      <w:rFonts w:ascii="Tahoma" w:hAnsi="Tahoma"/>
      <w:sz w:val="24"/>
      <w:szCs w:val="24"/>
    </w:rPr>
  </w:style>
  <w:style w:type="paragraph" w:customStyle="1" w:styleId="190">
    <w:name w:val="my正文"/>
    <w:basedOn w:val="1"/>
    <w:link w:val="189"/>
    <w:qFormat/>
    <w:uiPriority w:val="0"/>
    <w:pPr>
      <w:adjustRightInd/>
      <w:spacing w:line="360" w:lineRule="auto"/>
      <w:ind w:firstLine="480" w:firstLineChars="200"/>
    </w:pPr>
    <w:rPr>
      <w:rFonts w:ascii="Tahoma" w:hAnsi="Tahoma"/>
      <w:kern w:val="0"/>
      <w:sz w:val="24"/>
    </w:rPr>
  </w:style>
  <w:style w:type="character" w:customStyle="1" w:styleId="191">
    <w:name w:val="正文缩进 Char2"/>
    <w:link w:val="4"/>
    <w:qFormat/>
    <w:uiPriority w:val="0"/>
    <w:rPr>
      <w:rFonts w:ascii="宋体" w:eastAsia="宋体"/>
      <w:snapToGrid w:val="0"/>
      <w:color w:val="000000"/>
      <w:kern w:val="28"/>
      <w:sz w:val="28"/>
      <w:lang w:val="en-US" w:eastAsia="zh-CN" w:bidi="ar-SA"/>
    </w:rPr>
  </w:style>
  <w:style w:type="character" w:customStyle="1" w:styleId="192">
    <w:name w:val="Used by Word for text of Help footnotes Char Char1"/>
    <w:qFormat/>
    <w:uiPriority w:val="0"/>
    <w:rPr>
      <w:color w:val="0000FF"/>
      <w:sz w:val="21"/>
    </w:rPr>
  </w:style>
  <w:style w:type="character" w:customStyle="1" w:styleId="193">
    <w:name w:val="页眉 Char"/>
    <w:qFormat/>
    <w:uiPriority w:val="0"/>
    <w:rPr>
      <w:rFonts w:eastAsia="仿宋_GB2312"/>
      <w:kern w:val="2"/>
      <w:sz w:val="18"/>
      <w:lang w:val="en-US" w:eastAsia="zh-CN"/>
    </w:rPr>
  </w:style>
  <w:style w:type="character" w:customStyle="1" w:styleId="194">
    <w:name w:val="FA正文 Char Char"/>
    <w:qFormat/>
    <w:uiPriority w:val="0"/>
    <w:rPr>
      <w:rFonts w:hAnsi="宋体"/>
      <w:kern w:val="2"/>
      <w:sz w:val="24"/>
      <w:lang w:bidi="ar-SA"/>
    </w:rPr>
  </w:style>
  <w:style w:type="character" w:customStyle="1" w:styleId="195">
    <w:name w:val="纯文本 字符"/>
    <w:qFormat/>
    <w:uiPriority w:val="0"/>
    <w:rPr>
      <w:rFonts w:ascii="宋体" w:hAnsi="Courier New" w:eastAsia="宋体" w:cs="Arial"/>
      <w:snapToGrid w:val="0"/>
      <w:kern w:val="2"/>
      <w:sz w:val="21"/>
      <w:szCs w:val="21"/>
      <w:lang w:val="en-US" w:eastAsia="zh-CN" w:bidi="ar-SA"/>
    </w:rPr>
  </w:style>
  <w:style w:type="character" w:customStyle="1" w:styleId="196">
    <w:name w:val="3级 Char"/>
    <w:link w:val="197"/>
    <w:qFormat/>
    <w:uiPriority w:val="0"/>
    <w:rPr>
      <w:rFonts w:ascii="宋体" w:hAnsi="宋体"/>
      <w:b/>
      <w:bCs/>
      <w:sz w:val="28"/>
    </w:rPr>
  </w:style>
  <w:style w:type="paragraph" w:customStyle="1" w:styleId="197">
    <w:name w:val="3级"/>
    <w:basedOn w:val="198"/>
    <w:link w:val="196"/>
    <w:qFormat/>
    <w:uiPriority w:val="0"/>
    <w:pPr>
      <w:ind w:left="0" w:right="466" w:firstLine="288"/>
    </w:pPr>
    <w:rPr>
      <w:rFonts w:hAnsi="宋体"/>
    </w:rPr>
  </w:style>
  <w:style w:type="paragraph" w:customStyle="1" w:styleId="198">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199">
    <w:name w:val="myp11"/>
    <w:qFormat/>
    <w:uiPriority w:val="0"/>
    <w:rPr>
      <w:rFonts w:ascii="仿宋_GB2312" w:eastAsia="微软雅黑"/>
      <w:b/>
      <w:kern w:val="2"/>
      <w:sz w:val="32"/>
      <w:szCs w:val="32"/>
      <w:lang w:val="en-US" w:eastAsia="zh-CN" w:bidi="ar-SA"/>
    </w:rPr>
  </w:style>
  <w:style w:type="character" w:customStyle="1" w:styleId="200">
    <w:name w:val="文档结构图 Char1"/>
    <w:link w:val="20"/>
    <w:qFormat/>
    <w:uiPriority w:val="0"/>
    <w:rPr>
      <w:kern w:val="2"/>
      <w:sz w:val="21"/>
      <w:szCs w:val="24"/>
      <w:shd w:val="clear" w:color="auto" w:fill="000080"/>
    </w:rPr>
  </w:style>
  <w:style w:type="character" w:customStyle="1" w:styleId="201">
    <w:name w:val="H6 Char"/>
    <w:qFormat/>
    <w:uiPriority w:val="0"/>
    <w:rPr>
      <w:rFonts w:ascii="Arial" w:hAnsi="Arial" w:eastAsia="黑体"/>
      <w:b/>
      <w:bCs/>
      <w:kern w:val="2"/>
      <w:sz w:val="24"/>
      <w:szCs w:val="24"/>
    </w:rPr>
  </w:style>
  <w:style w:type="character" w:customStyle="1" w:styleId="202">
    <w:name w:val="Char Char91"/>
    <w:qFormat/>
    <w:uiPriority w:val="0"/>
    <w:rPr>
      <w:rFonts w:eastAsia="宋体"/>
      <w:kern w:val="2"/>
      <w:sz w:val="18"/>
      <w:szCs w:val="18"/>
      <w:lang w:val="en-US" w:eastAsia="zh-CN" w:bidi="ar-SA"/>
    </w:rPr>
  </w:style>
  <w:style w:type="character" w:customStyle="1" w:styleId="203">
    <w:name w:val="副标题 Char1"/>
    <w:qFormat/>
    <w:uiPriority w:val="0"/>
    <w:rPr>
      <w:rFonts w:ascii="Cambria" w:hAnsi="Cambria" w:eastAsia="宋体" w:cs="Times New Roman"/>
      <w:b/>
      <w:bCs/>
      <w:snapToGrid w:val="0"/>
      <w:kern w:val="28"/>
      <w:sz w:val="32"/>
      <w:szCs w:val="32"/>
    </w:rPr>
  </w:style>
  <w:style w:type="character" w:customStyle="1" w:styleId="204">
    <w:name w:val="font61"/>
    <w:basedOn w:val="69"/>
    <w:qFormat/>
    <w:uiPriority w:val="0"/>
    <w:rPr>
      <w:rFonts w:hint="eastAsia" w:ascii="仿宋" w:hAnsi="仿宋" w:eastAsia="仿宋" w:cs="仿宋"/>
      <w:color w:val="000000"/>
      <w:sz w:val="20"/>
      <w:szCs w:val="20"/>
      <w:u w:val="none"/>
    </w:rPr>
  </w:style>
  <w:style w:type="character" w:customStyle="1" w:styleId="205">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6">
    <w:name w:val="Char Char211"/>
    <w:qFormat/>
    <w:uiPriority w:val="0"/>
    <w:rPr>
      <w:rFonts w:eastAsia="宋体"/>
      <w:b/>
      <w:bCs/>
      <w:kern w:val="2"/>
      <w:sz w:val="21"/>
      <w:szCs w:val="24"/>
      <w:lang w:val="en-US" w:eastAsia="zh-CN" w:bidi="ar-SA"/>
    </w:rPr>
  </w:style>
  <w:style w:type="character" w:customStyle="1" w:styleId="207">
    <w:name w:val="标题 2 Char"/>
    <w:qFormat/>
    <w:uiPriority w:val="0"/>
    <w:rPr>
      <w:rFonts w:ascii="Arial" w:hAnsi="Arial" w:eastAsia="黑体"/>
      <w:b/>
      <w:kern w:val="2"/>
      <w:sz w:val="32"/>
      <w:lang w:val="en-US" w:eastAsia="zh-CN"/>
    </w:rPr>
  </w:style>
  <w:style w:type="character" w:customStyle="1" w:styleId="208">
    <w:name w:val="maywed421"/>
    <w:qFormat/>
    <w:uiPriority w:val="0"/>
    <w:rPr>
      <w:color w:val="366FB6"/>
      <w:u w:val="none"/>
    </w:rPr>
  </w:style>
  <w:style w:type="character" w:customStyle="1" w:styleId="209">
    <w:name w:val="正文文本缩进 Char"/>
    <w:qFormat/>
    <w:uiPriority w:val="0"/>
    <w:rPr>
      <w:rFonts w:ascii="宋体" w:hAnsi="宋体"/>
      <w:kern w:val="2"/>
      <w:sz w:val="24"/>
      <w:szCs w:val="24"/>
    </w:rPr>
  </w:style>
  <w:style w:type="character" w:customStyle="1" w:styleId="210">
    <w:name w:val="Char Char102"/>
    <w:semiHidden/>
    <w:qFormat/>
    <w:uiPriority w:val="0"/>
    <w:rPr>
      <w:rFonts w:ascii="宋体" w:hAnsi="宋体"/>
      <w:kern w:val="2"/>
      <w:sz w:val="21"/>
      <w:szCs w:val="24"/>
      <w:lang w:val="en-US" w:eastAsia="zh-CN"/>
    </w:rPr>
  </w:style>
  <w:style w:type="character" w:customStyle="1" w:styleId="211">
    <w:name w:val="页眉 Char1"/>
    <w:qFormat/>
    <w:uiPriority w:val="0"/>
    <w:rPr>
      <w:rFonts w:eastAsia="宋体"/>
      <w:kern w:val="2"/>
      <w:sz w:val="18"/>
      <w:szCs w:val="18"/>
      <w:lang w:val="en-US" w:eastAsia="zh-CN" w:bidi="ar-SA"/>
    </w:rPr>
  </w:style>
  <w:style w:type="character" w:customStyle="1" w:styleId="212">
    <w:name w:val="md"/>
    <w:basedOn w:val="69"/>
    <w:qFormat/>
    <w:uiPriority w:val="0"/>
    <w:rPr>
      <w:rFonts w:ascii="Arial" w:hAnsi="Arial" w:eastAsia="黑体" w:cs="Arial"/>
      <w:snapToGrid w:val="0"/>
      <w:kern w:val="0"/>
      <w:szCs w:val="21"/>
    </w:rPr>
  </w:style>
  <w:style w:type="character" w:customStyle="1" w:styleId="213">
    <w:name w:val="big1"/>
    <w:qFormat/>
    <w:uiPriority w:val="0"/>
    <w:rPr>
      <w:rFonts w:hint="eastAsia" w:ascii="宋体" w:hAnsi="宋体" w:eastAsia="宋体"/>
      <w:color w:val="333333"/>
      <w:sz w:val="22"/>
      <w:szCs w:val="22"/>
    </w:rPr>
  </w:style>
  <w:style w:type="character" w:customStyle="1" w:styleId="214">
    <w:name w:val="Char Char311"/>
    <w:qFormat/>
    <w:uiPriority w:val="0"/>
    <w:rPr>
      <w:rFonts w:eastAsia="宋体"/>
      <w:kern w:val="2"/>
      <w:sz w:val="21"/>
      <w:szCs w:val="24"/>
      <w:lang w:val="en-US" w:eastAsia="zh-CN" w:bidi="ar-SA"/>
    </w:rPr>
  </w:style>
  <w:style w:type="character" w:customStyle="1" w:styleId="215">
    <w:name w:val="Char Char81"/>
    <w:qFormat/>
    <w:uiPriority w:val="6"/>
    <w:rPr>
      <w:rFonts w:eastAsia="宋体"/>
      <w:b/>
      <w:sz w:val="24"/>
      <w:lang w:val="en-GB" w:eastAsia="zh-CN"/>
    </w:rPr>
  </w:style>
  <w:style w:type="character" w:customStyle="1" w:styleId="216">
    <w:name w:val="样式3 Char"/>
    <w:basedOn w:val="167"/>
    <w:qFormat/>
    <w:uiPriority w:val="0"/>
    <w:rPr>
      <w:rFonts w:ascii="仿宋_GB2312" w:hAnsi="仿宋" w:eastAsia="仿宋_GB2312" w:cs="仿宋_GB2312"/>
      <w:sz w:val="32"/>
      <w:szCs w:val="30"/>
      <w:lang w:val="zh-CN"/>
    </w:rPr>
  </w:style>
  <w:style w:type="character" w:customStyle="1" w:styleId="217">
    <w:name w:val="HTML 地址 Char"/>
    <w:link w:val="30"/>
    <w:qFormat/>
    <w:uiPriority w:val="0"/>
    <w:rPr>
      <w:rFonts w:ascii="宋体" w:hAnsi="宋体"/>
      <w:i/>
      <w:iCs/>
      <w:sz w:val="24"/>
      <w:szCs w:val="24"/>
    </w:rPr>
  </w:style>
  <w:style w:type="character" w:customStyle="1" w:styleId="218">
    <w:name w:val="正文首行缩进 2 Char1"/>
    <w:qFormat/>
    <w:uiPriority w:val="0"/>
    <w:rPr>
      <w:rFonts w:ascii="Times New Roman" w:hAnsi="Times New Roman" w:eastAsia="宋体" w:cs="Times New Roman"/>
      <w:kern w:val="2"/>
      <w:sz w:val="24"/>
      <w:szCs w:val="24"/>
    </w:rPr>
  </w:style>
  <w:style w:type="character" w:customStyle="1" w:styleId="219">
    <w:name w:val="副标题 Char2"/>
    <w:qFormat/>
    <w:uiPriority w:val="0"/>
    <w:rPr>
      <w:rFonts w:ascii="Cambria" w:hAnsi="Cambria" w:eastAsia="宋体" w:cs="Times New Roman"/>
      <w:b/>
      <w:bCs/>
      <w:snapToGrid w:val="0"/>
      <w:kern w:val="28"/>
      <w:sz w:val="32"/>
      <w:szCs w:val="32"/>
    </w:rPr>
  </w:style>
  <w:style w:type="character" w:customStyle="1" w:styleId="220">
    <w:name w:val="标题4-dyf Char"/>
    <w:link w:val="221"/>
    <w:qFormat/>
    <w:uiPriority w:val="0"/>
    <w:rPr>
      <w:rFonts w:ascii="Cambria" w:hAnsi="Cambria"/>
      <w:b/>
      <w:bCs/>
      <w:color w:val="000000"/>
      <w:kern w:val="2"/>
      <w:sz w:val="21"/>
      <w:szCs w:val="21"/>
    </w:rPr>
  </w:style>
  <w:style w:type="paragraph" w:customStyle="1" w:styleId="221">
    <w:name w:val="标题4-dyf"/>
    <w:basedOn w:val="8"/>
    <w:link w:val="220"/>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2">
    <w:name w:val="dectext1"/>
    <w:qFormat/>
    <w:uiPriority w:val="0"/>
    <w:rPr>
      <w:rFonts w:ascii="宋体" w:hAnsi="宋体" w:eastAsia="宋体"/>
      <w:color w:val="333333"/>
      <w:sz w:val="21"/>
      <w:szCs w:val="21"/>
      <w:u w:val="none"/>
    </w:rPr>
  </w:style>
  <w:style w:type="character" w:customStyle="1" w:styleId="223">
    <w:name w:val="冯 Char"/>
    <w:link w:val="224"/>
    <w:qFormat/>
    <w:uiPriority w:val="0"/>
    <w:rPr>
      <w:rFonts w:ascii="宋体" w:hAnsi="宋体"/>
      <w:color w:val="000000"/>
      <w:sz w:val="24"/>
      <w:szCs w:val="24"/>
    </w:rPr>
  </w:style>
  <w:style w:type="paragraph" w:customStyle="1" w:styleId="224">
    <w:name w:val="冯"/>
    <w:basedOn w:val="1"/>
    <w:link w:val="223"/>
    <w:qFormat/>
    <w:uiPriority w:val="0"/>
    <w:pPr>
      <w:widowControl/>
      <w:adjustRightInd/>
      <w:spacing w:line="360" w:lineRule="auto"/>
      <w:ind w:firstLine="480" w:firstLineChars="200"/>
    </w:pPr>
    <w:rPr>
      <w:rFonts w:ascii="宋体" w:hAnsi="宋体"/>
      <w:color w:val="000000"/>
      <w:kern w:val="0"/>
      <w:sz w:val="24"/>
    </w:rPr>
  </w:style>
  <w:style w:type="character" w:customStyle="1" w:styleId="225">
    <w:name w:val="Header Char"/>
    <w:qFormat/>
    <w:locked/>
    <w:uiPriority w:val="0"/>
    <w:rPr>
      <w:rFonts w:eastAsia="宋体"/>
      <w:kern w:val="2"/>
      <w:sz w:val="18"/>
      <w:szCs w:val="18"/>
      <w:lang w:val="en-US" w:eastAsia="zh-CN" w:bidi="ar-SA"/>
    </w:rPr>
  </w:style>
  <w:style w:type="character" w:customStyle="1" w:styleId="226">
    <w:name w:val="Char Char12"/>
    <w:qFormat/>
    <w:uiPriority w:val="0"/>
    <w:rPr>
      <w:rFonts w:ascii="仿宋_GB2312" w:eastAsia="仿宋_GB2312"/>
      <w:b/>
      <w:bCs/>
      <w:kern w:val="2"/>
      <w:sz w:val="24"/>
      <w:szCs w:val="24"/>
      <w:lang w:val="zh-CN" w:eastAsia="zh-CN" w:bidi="ar-SA"/>
    </w:rPr>
  </w:style>
  <w:style w:type="character" w:customStyle="1" w:styleId="227">
    <w:name w:val="题注 Char"/>
    <w:link w:val="18"/>
    <w:qFormat/>
    <w:uiPriority w:val="0"/>
    <w:rPr>
      <w:b/>
      <w:kern w:val="2"/>
      <w:sz w:val="28"/>
    </w:rPr>
  </w:style>
  <w:style w:type="character" w:customStyle="1" w:styleId="228">
    <w:name w:val="普通文字 Char3"/>
    <w:qFormat/>
    <w:uiPriority w:val="0"/>
    <w:rPr>
      <w:rFonts w:ascii="宋体" w:hAnsi="Courier New" w:eastAsia="宋体"/>
      <w:kern w:val="2"/>
      <w:sz w:val="21"/>
      <w:lang w:val="en-US" w:eastAsia="zh-CN" w:bidi="ar-SA"/>
    </w:rPr>
  </w:style>
  <w:style w:type="character" w:customStyle="1" w:styleId="229">
    <w:name w:val="公文正文 Char"/>
    <w:qFormat/>
    <w:uiPriority w:val="0"/>
    <w:rPr>
      <w:rFonts w:ascii="仿宋_GB2312" w:eastAsia="仿宋_GB2312"/>
      <w:kern w:val="2"/>
      <w:sz w:val="24"/>
      <w:szCs w:val="24"/>
      <w:lang w:val="en-US" w:eastAsia="zh-CN" w:bidi="ar-SA"/>
    </w:rPr>
  </w:style>
  <w:style w:type="character" w:customStyle="1" w:styleId="230">
    <w:name w:val="正文首行缩进 Char Char Char Char Char"/>
    <w:qFormat/>
    <w:uiPriority w:val="0"/>
    <w:rPr>
      <w:rFonts w:ascii="宋体"/>
      <w:kern w:val="2"/>
      <w:sz w:val="24"/>
      <w:lang w:val="zh-CN"/>
    </w:rPr>
  </w:style>
  <w:style w:type="character" w:customStyle="1" w:styleId="231">
    <w:name w:val="PI Char"/>
    <w:qFormat/>
    <w:uiPriority w:val="0"/>
    <w:rPr>
      <w:rFonts w:ascii="宋体" w:hAnsi="宋体" w:eastAsia="宋体"/>
      <w:kern w:val="2"/>
      <w:sz w:val="24"/>
      <w:szCs w:val="24"/>
      <w:lang w:val="en-US" w:eastAsia="zh-CN" w:bidi="ar-SA"/>
    </w:rPr>
  </w:style>
  <w:style w:type="character" w:customStyle="1" w:styleId="232">
    <w:name w:val="Default Char"/>
    <w:link w:val="233"/>
    <w:qFormat/>
    <w:uiPriority w:val="0"/>
    <w:rPr>
      <w:rFonts w:ascii="仿宋_GB2312" w:eastAsia="仿宋_GB2312" w:cs="仿宋_GB2312"/>
      <w:color w:val="000000"/>
      <w:sz w:val="24"/>
      <w:szCs w:val="24"/>
      <w:lang w:val="en-US" w:eastAsia="zh-CN" w:bidi="ar-SA"/>
    </w:rPr>
  </w:style>
  <w:style w:type="paragraph" w:customStyle="1" w:styleId="233">
    <w:name w:val="Default"/>
    <w:link w:val="23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semiHidden/>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locked/>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列出段落1"/>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Char3"/>
    <w:link w:val="3"/>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semiHidden/>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
    <w:qFormat/>
    <w:locked/>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Char"/>
    <w:link w:val="5"/>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Char2"/>
    <w:link w:val="59"/>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Char"/>
    <w:link w:val="9"/>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Char"/>
    <w:link w:val="22"/>
    <w:qFormat/>
    <w:uiPriority w:val="0"/>
    <w:rPr>
      <w:rFonts w:ascii="仿宋_GB2312" w:eastAsia="仿宋_GB2312"/>
      <w:kern w:val="2"/>
      <w:sz w:val="28"/>
    </w:rPr>
  </w:style>
  <w:style w:type="character" w:customStyle="1" w:styleId="297">
    <w:name w:val="文本正文 Char Char"/>
    <w:qFormat/>
    <w:locked/>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Char"/>
    <w:link w:val="57"/>
    <w:qFormat/>
    <w:uiPriority w:val="0"/>
    <w:rPr>
      <w:rFonts w:ascii="黑体" w:hAnsi="Courier New" w:eastAsia="黑体"/>
    </w:rPr>
  </w:style>
  <w:style w:type="character" w:customStyle="1" w:styleId="300">
    <w:name w:val="正文文本 2 Char1"/>
    <w:link w:val="56"/>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8"/>
    <w:link w:val="411"/>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Char"/>
    <w:link w:val="11"/>
    <w:qFormat/>
    <w:uiPriority w:val="0"/>
    <w:rPr>
      <w:b/>
      <w:bCs/>
      <w:kern w:val="2"/>
      <w:sz w:val="24"/>
      <w:szCs w:val="24"/>
    </w:rPr>
  </w:style>
  <w:style w:type="character" w:customStyle="1" w:styleId="306">
    <w:name w:val="正文文本缩进 2 Char"/>
    <w:link w:val="37"/>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Char"/>
    <w:link w:val="50"/>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Char"/>
    <w:link w:val="61"/>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Char2"/>
    <w:link w:val="8"/>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Char"/>
    <w:link w:val="23"/>
    <w:qFormat/>
    <w:uiPriority w:val="0"/>
    <w:rPr>
      <w:kern w:val="2"/>
      <w:sz w:val="21"/>
    </w:rPr>
  </w:style>
  <w:style w:type="character" w:customStyle="1" w:styleId="329">
    <w:name w:val="font31"/>
    <w:basedOn w:val="69"/>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Char1"/>
    <w:link w:val="21"/>
    <w:qFormat/>
    <w:uiPriority w:val="99"/>
    <w:rPr>
      <w:kern w:val="2"/>
      <w:sz w:val="21"/>
      <w:szCs w:val="24"/>
    </w:rPr>
  </w:style>
  <w:style w:type="character" w:customStyle="1" w:styleId="343">
    <w:name w:val="签名 Char"/>
    <w:link w:val="42"/>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semiHidden/>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Char"/>
    <w:link w:val="12"/>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basedOn w:val="69"/>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Char"/>
    <w:link w:val="53"/>
    <w:qFormat/>
    <w:uiPriority w:val="0"/>
    <w:rPr>
      <w:kern w:val="2"/>
      <w:sz w:val="24"/>
    </w:rPr>
  </w:style>
  <w:style w:type="character" w:customStyle="1" w:styleId="374">
    <w:name w:val="日期 Char1"/>
    <w:semiHidden/>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Char2"/>
    <w:link w:val="40"/>
    <w:qFormat/>
    <w:locked/>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Char2"/>
    <w:link w:val="41"/>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4"/>
    <w:link w:val="426"/>
    <w:qFormat/>
    <w:uiPriority w:val="0"/>
    <w:pPr>
      <w:widowControl w:val="0"/>
      <w:adjustRightInd/>
      <w:snapToGrid/>
      <w:spacing w:line="360" w:lineRule="auto"/>
      <w:ind w:firstLine="200" w:firstLineChars="200"/>
    </w:pPr>
    <w:rPr>
      <w:rFonts w:ascii="Calibri"/>
      <w:color w:val="auto"/>
      <w:kern w:val="2"/>
      <w:sz w:val="24"/>
    </w:rPr>
  </w:style>
  <w:style w:type="character" w:customStyle="1" w:styleId="428">
    <w:name w:val="正文文本 Char1"/>
    <w:link w:val="25"/>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8"/>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6"/>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10"/>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无间隔2"/>
    <w:basedOn w:val="1"/>
    <w:link w:val="930"/>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6"/>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7"/>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9"/>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29"/>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7"/>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4">
    <w:name w:val="TOC 标题111"/>
    <w:basedOn w:val="5"/>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5">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6">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7">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8">
    <w:name w:val="_Style 3"/>
    <w:basedOn w:val="1"/>
    <w:qFormat/>
    <w:uiPriority w:val="0"/>
    <w:pPr>
      <w:adjustRightInd/>
      <w:ind w:firstLine="420" w:firstLineChars="200"/>
    </w:pPr>
    <w:rPr>
      <w:rFonts w:eastAsia="仿宋_GB2312"/>
      <w:sz w:val="28"/>
    </w:rPr>
  </w:style>
  <w:style w:type="paragraph" w:customStyle="1" w:styleId="519">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0">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1">
    <w:name w:val="左对齐表格文字"/>
    <w:basedOn w:val="1"/>
    <w:qFormat/>
    <w:uiPriority w:val="0"/>
    <w:pPr>
      <w:adjustRightInd/>
      <w:ind w:firstLine="200" w:firstLineChars="200"/>
      <w:jc w:val="right"/>
    </w:pPr>
  </w:style>
  <w:style w:type="paragraph" w:customStyle="1" w:styleId="522">
    <w:name w:val="Char Char11 Char Char Char Char Char Char Char Char Char"/>
    <w:basedOn w:val="1"/>
    <w:qFormat/>
    <w:uiPriority w:val="0"/>
    <w:pPr>
      <w:spacing w:line="360" w:lineRule="auto"/>
    </w:pPr>
    <w:rPr>
      <w:szCs w:val="20"/>
    </w:rPr>
  </w:style>
  <w:style w:type="paragraph" w:customStyle="1" w:styleId="523">
    <w:name w:val="正文1.25"/>
    <w:basedOn w:val="1"/>
    <w:qFormat/>
    <w:uiPriority w:val="0"/>
    <w:pPr>
      <w:adjustRightInd/>
      <w:spacing w:line="300" w:lineRule="auto"/>
      <w:ind w:firstLine="480" w:firstLineChars="200"/>
    </w:pPr>
    <w:rPr>
      <w:sz w:val="24"/>
      <w:szCs w:val="20"/>
    </w:rPr>
  </w:style>
  <w:style w:type="paragraph" w:customStyle="1" w:styleId="524">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5">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6">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7">
    <w:name w:val="Char Char1 Char Char Char1"/>
    <w:basedOn w:val="1"/>
    <w:qFormat/>
    <w:uiPriority w:val="6"/>
    <w:rPr>
      <w:rFonts w:ascii="仿宋_GB2312" w:eastAsia="仿宋_GB2312"/>
      <w:b/>
      <w:sz w:val="32"/>
      <w:szCs w:val="20"/>
    </w:rPr>
  </w:style>
  <w:style w:type="paragraph" w:customStyle="1" w:styleId="528">
    <w:name w:val="列出段落2"/>
    <w:basedOn w:val="1"/>
    <w:qFormat/>
    <w:uiPriority w:val="0"/>
    <w:pPr>
      <w:adjustRightInd/>
      <w:ind w:firstLine="420" w:firstLineChars="200"/>
    </w:pPr>
    <w:rPr>
      <w:rFonts w:ascii="宋体" w:hAnsi="宋体"/>
      <w:sz w:val="24"/>
    </w:rPr>
  </w:style>
  <w:style w:type="paragraph" w:customStyle="1" w:styleId="529">
    <w:name w:val="默认段落字体 Para Char Char Char Char Char Char Char"/>
    <w:basedOn w:val="1"/>
    <w:qFormat/>
    <w:uiPriority w:val="0"/>
    <w:rPr>
      <w:rFonts w:eastAsia="仿宋_GB2312"/>
      <w:sz w:val="28"/>
      <w:szCs w:val="20"/>
    </w:rPr>
  </w:style>
  <w:style w:type="paragraph" w:customStyle="1" w:styleId="530">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1">
    <w:name w:val="样式 标题 4PIM 4H4h4bulletblbbH41H42H43H44H45H46H47H48...1"/>
    <w:basedOn w:val="8"/>
    <w:qFormat/>
    <w:uiPriority w:val="0"/>
    <w:pPr>
      <w:widowControl/>
      <w:jc w:val="left"/>
    </w:pPr>
    <w:rPr>
      <w:rFonts w:cs="宋体"/>
      <w:sz w:val="24"/>
      <w:szCs w:val="20"/>
    </w:rPr>
  </w:style>
  <w:style w:type="paragraph" w:customStyle="1" w:styleId="532">
    <w:name w:val="彩色列表 - 强调文字颜色 11"/>
    <w:basedOn w:val="1"/>
    <w:qFormat/>
    <w:uiPriority w:val="0"/>
    <w:pPr>
      <w:adjustRightInd/>
      <w:ind w:firstLine="420" w:firstLineChars="200"/>
    </w:pPr>
    <w:rPr>
      <w:rFonts w:ascii="Calibri" w:hAnsi="Calibri"/>
      <w:szCs w:val="22"/>
    </w:rPr>
  </w:style>
  <w:style w:type="paragraph" w:customStyle="1" w:styleId="533">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4">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5">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6">
    <w:name w:val="Char Char Char1 Char1"/>
    <w:basedOn w:val="1"/>
    <w:qFormat/>
    <w:uiPriority w:val="6"/>
    <w:rPr>
      <w:szCs w:val="20"/>
    </w:rPr>
  </w:style>
  <w:style w:type="paragraph" w:customStyle="1" w:styleId="53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8">
    <w:name w:val="样式 标题 2 + 宋体 左侧:  1.76 厘米 首行缩进:  0 厘米"/>
    <w:basedOn w:val="6"/>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39">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0">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2">
    <w:name w:val="CM14"/>
    <w:basedOn w:val="233"/>
    <w:next w:val="233"/>
    <w:qFormat/>
    <w:uiPriority w:val="0"/>
    <w:pPr>
      <w:spacing w:after="68"/>
    </w:pPr>
    <w:rPr>
      <w:rFonts w:ascii="FHLHE E+ Futura Bk" w:eastAsia="FHLHE E+ Futura Bk" w:cs="Times New Roman"/>
      <w:color w:val="auto"/>
    </w:rPr>
  </w:style>
  <w:style w:type="paragraph" w:customStyle="1" w:styleId="543">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4">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6">
    <w:name w:val="正文文字 2"/>
    <w:basedOn w:val="233"/>
    <w:next w:val="233"/>
    <w:qFormat/>
    <w:uiPriority w:val="0"/>
    <w:rPr>
      <w:rFonts w:ascii="宋体" w:eastAsia="宋体" w:cs="Times New Roman"/>
      <w:color w:val="auto"/>
    </w:rPr>
  </w:style>
  <w:style w:type="paragraph" w:customStyle="1" w:styleId="547">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8">
    <w:name w:val="Char Char1 Char"/>
    <w:basedOn w:val="1"/>
    <w:qFormat/>
    <w:uiPriority w:val="0"/>
    <w:rPr>
      <w:rFonts w:ascii="仿宋_GB2312" w:eastAsia="仿宋_GB2312"/>
      <w:b/>
      <w:sz w:val="32"/>
      <w:szCs w:val="32"/>
    </w:rPr>
  </w:style>
  <w:style w:type="paragraph" w:customStyle="1" w:styleId="549">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0">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1">
    <w:name w:val="Char Char111"/>
    <w:basedOn w:val="1"/>
    <w:qFormat/>
    <w:uiPriority w:val="0"/>
    <w:pPr>
      <w:spacing w:line="360" w:lineRule="auto"/>
    </w:pPr>
    <w:rPr>
      <w:szCs w:val="20"/>
    </w:rPr>
  </w:style>
  <w:style w:type="paragraph" w:customStyle="1" w:styleId="552">
    <w:name w:val="Char"/>
    <w:basedOn w:val="1"/>
    <w:qFormat/>
    <w:uiPriority w:val="0"/>
    <w:rPr>
      <w:rFonts w:ascii="仿宋_GB2312" w:eastAsia="仿宋_GB2312"/>
      <w:b/>
      <w:sz w:val="32"/>
      <w:szCs w:val="32"/>
    </w:rPr>
  </w:style>
  <w:style w:type="paragraph" w:customStyle="1" w:styleId="55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5">
    <w:name w:val="Char Char Char1 Char"/>
    <w:basedOn w:val="1"/>
    <w:qFormat/>
    <w:uiPriority w:val="0"/>
    <w:rPr>
      <w:szCs w:val="20"/>
    </w:rPr>
  </w:style>
  <w:style w:type="paragraph" w:customStyle="1" w:styleId="556">
    <w:name w:val="正文标准"/>
    <w:basedOn w:val="1"/>
    <w:qFormat/>
    <w:uiPriority w:val="0"/>
    <w:pPr>
      <w:adjustRightInd/>
      <w:spacing w:line="360" w:lineRule="auto"/>
      <w:ind w:firstLine="200" w:firstLineChars="200"/>
    </w:pPr>
    <w:rPr>
      <w:rFonts w:ascii="宋体" w:hAnsi="Calibri"/>
      <w:sz w:val="24"/>
    </w:rPr>
  </w:style>
  <w:style w:type="paragraph" w:customStyle="1" w:styleId="557">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5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0">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1">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2">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3">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4">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5">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6">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8">
    <w:name w:val="标准有序列表（L1）"/>
    <w:basedOn w:val="4"/>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569">
    <w:name w:val="Char Char Char Char Char Char Char Char Char Char"/>
    <w:basedOn w:val="1"/>
    <w:qFormat/>
    <w:uiPriority w:val="0"/>
    <w:rPr>
      <w:rFonts w:ascii="仿宋_GB2312" w:eastAsia="仿宋_GB2312"/>
      <w:b/>
      <w:sz w:val="32"/>
      <w:szCs w:val="32"/>
    </w:rPr>
  </w:style>
  <w:style w:type="paragraph" w:customStyle="1" w:styleId="570">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1">
    <w:name w:val="_正文段落"/>
    <w:basedOn w:val="1"/>
    <w:qFormat/>
    <w:uiPriority w:val="0"/>
    <w:pPr>
      <w:adjustRightInd/>
      <w:ind w:firstLine="560"/>
    </w:pPr>
    <w:rPr>
      <w:rFonts w:ascii="仿宋_GB2312" w:hAnsi="仿宋" w:eastAsia="仿宋_GB2312"/>
      <w:kern w:val="0"/>
      <w:sz w:val="28"/>
      <w:szCs w:val="28"/>
    </w:rPr>
  </w:style>
  <w:style w:type="paragraph" w:customStyle="1" w:styleId="572">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3">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4">
    <w:name w:val="正文（首行缩进）"/>
    <w:basedOn w:val="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5">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6">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7">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8">
    <w:name w:val="Char Char Char1 Char2"/>
    <w:basedOn w:val="1"/>
    <w:qFormat/>
    <w:uiPriority w:val="0"/>
    <w:rPr>
      <w:szCs w:val="20"/>
    </w:rPr>
  </w:style>
  <w:style w:type="paragraph" w:customStyle="1" w:styleId="579">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0">
    <w:name w:val="默认段落字体 Para Char"/>
    <w:basedOn w:val="1"/>
    <w:qFormat/>
    <w:uiPriority w:val="0"/>
    <w:rPr>
      <w:rFonts w:ascii="Tahoma" w:hAnsi="Tahoma"/>
      <w:sz w:val="24"/>
      <w:szCs w:val="20"/>
    </w:rPr>
  </w:style>
  <w:style w:type="paragraph" w:customStyle="1" w:styleId="581">
    <w:name w:val="标题五"/>
    <w:basedOn w:val="1"/>
    <w:qFormat/>
    <w:uiPriority w:val="0"/>
    <w:pPr>
      <w:adjustRightInd/>
      <w:spacing w:before="156" w:beforeLines="50" w:line="360" w:lineRule="auto"/>
    </w:pPr>
    <w:rPr>
      <w:b/>
      <w:sz w:val="24"/>
    </w:rPr>
  </w:style>
  <w:style w:type="paragraph" w:customStyle="1" w:styleId="582">
    <w:name w:val="Char Char1101"/>
    <w:basedOn w:val="1"/>
    <w:qFormat/>
    <w:uiPriority w:val="0"/>
    <w:pPr>
      <w:spacing w:line="360" w:lineRule="auto"/>
    </w:pPr>
    <w:rPr>
      <w:rFonts w:ascii="Tahoma" w:hAnsi="Tahoma"/>
      <w:sz w:val="24"/>
      <w:szCs w:val="20"/>
    </w:rPr>
  </w:style>
  <w:style w:type="paragraph" w:customStyle="1" w:styleId="583">
    <w:name w:val="Char Char Char Char Char Char Char Char1"/>
    <w:basedOn w:val="1"/>
    <w:qFormat/>
    <w:uiPriority w:val="0"/>
    <w:pPr>
      <w:tabs>
        <w:tab w:val="left" w:pos="360"/>
      </w:tabs>
    </w:pPr>
    <w:rPr>
      <w:sz w:val="24"/>
      <w:szCs w:val="20"/>
    </w:rPr>
  </w:style>
  <w:style w:type="paragraph" w:customStyle="1" w:styleId="584">
    <w:name w:val="Char Char Char 字元 字元"/>
    <w:basedOn w:val="1"/>
    <w:qFormat/>
    <w:uiPriority w:val="0"/>
    <w:pPr>
      <w:adjustRightInd/>
      <w:spacing w:line="360" w:lineRule="auto"/>
      <w:ind w:firstLine="200" w:firstLineChars="200"/>
    </w:pPr>
    <w:rPr>
      <w:szCs w:val="20"/>
    </w:rPr>
  </w:style>
  <w:style w:type="paragraph" w:customStyle="1" w:styleId="585">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6">
    <w:name w:val="Char Char Char Char Char Char Char"/>
    <w:basedOn w:val="1"/>
    <w:qFormat/>
    <w:uiPriority w:val="0"/>
    <w:rPr>
      <w:rFonts w:ascii="仿宋_GB2312" w:eastAsia="仿宋_GB2312"/>
      <w:b/>
      <w:sz w:val="32"/>
      <w:szCs w:val="32"/>
    </w:rPr>
  </w:style>
  <w:style w:type="paragraph" w:customStyle="1" w:styleId="587">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8">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89">
    <w:name w:val="样式 标题 22h2L1 Heading 2H2sect 1.2H21sect 1.21H22sect 1.2..."/>
    <w:basedOn w:val="6"/>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0">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1">
    <w:name w:val="批注框文本 Char Char"/>
    <w:basedOn w:val="1"/>
    <w:qFormat/>
    <w:uiPriority w:val="0"/>
    <w:pPr>
      <w:adjustRightInd/>
    </w:pPr>
    <w:rPr>
      <w:sz w:val="18"/>
      <w:szCs w:val="20"/>
    </w:rPr>
  </w:style>
  <w:style w:type="paragraph" w:customStyle="1" w:styleId="592">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3">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4">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5">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6">
    <w:name w:val="索引 11"/>
    <w:basedOn w:val="1"/>
    <w:next w:val="1"/>
    <w:qFormat/>
    <w:uiPriority w:val="99"/>
    <w:pPr>
      <w:adjustRightInd/>
      <w:spacing w:line="360" w:lineRule="auto"/>
    </w:pPr>
    <w:rPr>
      <w:rFonts w:ascii="仿宋_GB2312" w:eastAsia="仿宋_GB2312"/>
      <w:sz w:val="24"/>
      <w:szCs w:val="20"/>
    </w:rPr>
  </w:style>
  <w:style w:type="paragraph" w:customStyle="1" w:styleId="597">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8">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599">
    <w:name w:val="正文文字缩进项目"/>
    <w:basedOn w:val="3"/>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0">
    <w:name w:val="文档正文"/>
    <w:basedOn w:val="1"/>
    <w:qFormat/>
    <w:uiPriority w:val="0"/>
    <w:pPr>
      <w:spacing w:line="480" w:lineRule="atLeast"/>
      <w:ind w:firstLine="567"/>
      <w:textAlignment w:val="baseline"/>
    </w:pPr>
    <w:rPr>
      <w:kern w:val="0"/>
      <w:sz w:val="24"/>
      <w:szCs w:val="20"/>
    </w:rPr>
  </w:style>
  <w:style w:type="paragraph" w:customStyle="1" w:styleId="601">
    <w:name w:val="正文文字表格居中"/>
    <w:basedOn w:val="1"/>
    <w:next w:val="56"/>
    <w:qFormat/>
    <w:uiPriority w:val="0"/>
    <w:pPr>
      <w:snapToGrid w:val="0"/>
      <w:spacing w:line="360" w:lineRule="auto"/>
    </w:pPr>
    <w:rPr>
      <w:rFonts w:ascii="宋体"/>
      <w:b/>
      <w:sz w:val="24"/>
      <w:szCs w:val="20"/>
    </w:rPr>
  </w:style>
  <w:style w:type="paragraph" w:customStyle="1" w:styleId="602">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3">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4">
    <w:name w:val="Plain Text1"/>
    <w:basedOn w:val="1"/>
    <w:qFormat/>
    <w:uiPriority w:val="7"/>
    <w:pPr>
      <w:adjustRightInd/>
    </w:pPr>
    <w:rPr>
      <w:rFonts w:ascii="宋体" w:hAnsi="Courier New"/>
    </w:rPr>
  </w:style>
  <w:style w:type="paragraph" w:customStyle="1" w:styleId="605">
    <w:name w:val="Char3"/>
    <w:basedOn w:val="1"/>
    <w:qFormat/>
    <w:uiPriority w:val="0"/>
    <w:pPr>
      <w:adjustRightInd/>
    </w:pPr>
    <w:rPr>
      <w:rFonts w:ascii="仿宋_GB2312" w:eastAsia="仿宋_GB2312"/>
      <w:b/>
      <w:sz w:val="32"/>
      <w:szCs w:val="32"/>
    </w:rPr>
  </w:style>
  <w:style w:type="paragraph" w:customStyle="1" w:styleId="606">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7">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8">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09">
    <w:name w:val="List Paragraph1"/>
    <w:basedOn w:val="1"/>
    <w:qFormat/>
    <w:uiPriority w:val="0"/>
    <w:pPr>
      <w:spacing w:line="360" w:lineRule="auto"/>
      <w:ind w:firstLine="200" w:firstLineChars="200"/>
    </w:pPr>
    <w:rPr>
      <w:rFonts w:eastAsia="楷体_GB2312" w:cs="Lucida Sans"/>
      <w:sz w:val="24"/>
    </w:rPr>
  </w:style>
  <w:style w:type="paragraph" w:customStyle="1" w:styleId="610">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1">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3">
    <w:name w:val="Char3 Char Char Char"/>
    <w:basedOn w:val="1"/>
    <w:qFormat/>
    <w:uiPriority w:val="0"/>
    <w:pPr>
      <w:widowControl/>
      <w:adjustRightInd/>
      <w:spacing w:after="160" w:line="240" w:lineRule="exact"/>
      <w:jc w:val="left"/>
    </w:pPr>
    <w:rPr>
      <w:szCs w:val="20"/>
    </w:rPr>
  </w:style>
  <w:style w:type="paragraph" w:customStyle="1" w:styleId="614">
    <w:name w:val="表格标题2"/>
    <w:basedOn w:val="615"/>
    <w:qFormat/>
    <w:uiPriority w:val="0"/>
    <w:rPr>
      <w:b/>
    </w:rPr>
  </w:style>
  <w:style w:type="paragraph" w:customStyle="1" w:styleId="615">
    <w:name w:val="表格内文"/>
    <w:basedOn w:val="1"/>
    <w:qFormat/>
    <w:uiPriority w:val="0"/>
    <w:pPr>
      <w:adjustRightInd/>
      <w:spacing w:line="360" w:lineRule="auto"/>
    </w:pPr>
    <w:rPr>
      <w:rFonts w:ascii="宋体" w:hAnsi="宋体" w:cs="宋体"/>
      <w:color w:val="000000"/>
      <w:szCs w:val="20"/>
    </w:rPr>
  </w:style>
  <w:style w:type="paragraph" w:customStyle="1" w:styleId="616">
    <w:name w:val="Char Char Char Char Char Char Char Char Char Char2"/>
    <w:basedOn w:val="1"/>
    <w:qFormat/>
    <w:uiPriority w:val="0"/>
    <w:rPr>
      <w:rFonts w:ascii="仿宋_GB2312" w:eastAsia="仿宋_GB2312"/>
      <w:b/>
      <w:sz w:val="32"/>
      <w:szCs w:val="32"/>
    </w:rPr>
  </w:style>
  <w:style w:type="paragraph" w:customStyle="1" w:styleId="617">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8">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19">
    <w:name w:val="Char Char11 Char Char Char Char Char Char Char Char Char11"/>
    <w:basedOn w:val="1"/>
    <w:qFormat/>
    <w:uiPriority w:val="0"/>
    <w:pPr>
      <w:spacing w:line="360" w:lineRule="auto"/>
    </w:pPr>
    <w:rPr>
      <w:szCs w:val="20"/>
    </w:rPr>
  </w:style>
  <w:style w:type="paragraph" w:customStyle="1" w:styleId="620">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1">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2">
    <w:name w:val="MM Topic 1"/>
    <w:basedOn w:val="5"/>
    <w:qFormat/>
    <w:uiPriority w:val="0"/>
    <w:pPr>
      <w:tabs>
        <w:tab w:val="left" w:pos="840"/>
      </w:tabs>
      <w:adjustRightInd/>
      <w:ind w:left="840" w:hanging="420"/>
    </w:pPr>
  </w:style>
  <w:style w:type="paragraph" w:customStyle="1" w:styleId="623">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4">
    <w:name w:val="文本正文 Char"/>
    <w:basedOn w:val="1"/>
    <w:qFormat/>
    <w:uiPriority w:val="0"/>
    <w:pPr>
      <w:spacing w:line="360" w:lineRule="auto"/>
      <w:ind w:firstLine="200" w:firstLineChars="200"/>
    </w:pPr>
    <w:rPr>
      <w:kern w:val="0"/>
      <w:sz w:val="24"/>
      <w:szCs w:val="20"/>
    </w:rPr>
  </w:style>
  <w:style w:type="paragraph" w:customStyle="1" w:styleId="625">
    <w:name w:val="表格"/>
    <w:basedOn w:val="1"/>
    <w:qFormat/>
    <w:uiPriority w:val="0"/>
    <w:pPr>
      <w:snapToGrid w:val="0"/>
      <w:ind w:firstLine="42" w:firstLineChars="21"/>
    </w:pPr>
    <w:rPr>
      <w:rFonts w:ascii="宋体" w:hAnsi="宋体"/>
      <w:kern w:val="0"/>
      <w:sz w:val="20"/>
      <w:szCs w:val="20"/>
    </w:rPr>
  </w:style>
  <w:style w:type="paragraph" w:customStyle="1" w:styleId="626">
    <w:name w:val="标书标题4"/>
    <w:basedOn w:val="8"/>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7">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8">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29">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0">
    <w:name w:val="EB_表格"/>
    <w:basedOn w:val="1"/>
    <w:qFormat/>
    <w:uiPriority w:val="0"/>
    <w:pPr>
      <w:adjustRightInd/>
      <w:spacing w:line="300" w:lineRule="auto"/>
      <w:jc w:val="center"/>
    </w:pPr>
  </w:style>
  <w:style w:type="paragraph" w:customStyle="1" w:styleId="631">
    <w:name w:val="_Style 6"/>
    <w:basedOn w:val="1"/>
    <w:qFormat/>
    <w:uiPriority w:val="34"/>
    <w:pPr>
      <w:adjustRightInd/>
      <w:ind w:firstLine="420" w:firstLineChars="200"/>
    </w:pPr>
    <w:rPr>
      <w:rFonts w:eastAsia="仿宋_GB2312"/>
      <w:sz w:val="28"/>
    </w:rPr>
  </w:style>
  <w:style w:type="paragraph" w:customStyle="1" w:styleId="632">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3">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4">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5">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6">
    <w:name w:val="正文表标题"/>
    <w:next w:val="6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7">
    <w:name w:val="段"/>
    <w:next w:val="63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8">
    <w:name w:val="正文 A"/>
    <w:next w:val="637"/>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7"/>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7"/>
    <w:qFormat/>
    <w:uiPriority w:val="0"/>
    <w:pPr>
      <w:tabs>
        <w:tab w:val="left" w:pos="1260"/>
        <w:tab w:val="left" w:pos="1680"/>
        <w:tab w:val="left" w:pos="2100"/>
      </w:tabs>
      <w:ind w:left="0"/>
      <w:outlineLvl w:val="3"/>
    </w:pPr>
  </w:style>
  <w:style w:type="paragraph" w:customStyle="1" w:styleId="655">
    <w:name w:val="一级条标题"/>
    <w:basedOn w:val="656"/>
    <w:next w:val="637"/>
    <w:qFormat/>
    <w:uiPriority w:val="0"/>
    <w:pPr>
      <w:tabs>
        <w:tab w:val="left" w:pos="1260"/>
        <w:tab w:val="left" w:pos="1680"/>
      </w:tabs>
      <w:spacing w:before="0" w:beforeLines="0" w:after="0" w:afterLines="0"/>
      <w:ind w:left="1680"/>
      <w:outlineLvl w:val="2"/>
    </w:pPr>
  </w:style>
  <w:style w:type="paragraph" w:customStyle="1" w:styleId="656">
    <w:name w:val="章标题"/>
    <w:next w:val="6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8"/>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5"/>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4"/>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7"/>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7"/>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5"/>
    <w:qFormat/>
    <w:uiPriority w:val="0"/>
    <w:pPr>
      <w:autoSpaceDE/>
      <w:autoSpaceDN/>
      <w:snapToGrid w:val="0"/>
      <w:ind w:firstLine="480" w:firstLineChars="200"/>
    </w:pPr>
    <w:rPr>
      <w:rFonts w:ascii="Times New Roman"/>
      <w:szCs w:val="24"/>
      <w:lang w:val="en-US"/>
    </w:rPr>
  </w:style>
  <w:style w:type="paragraph" w:customStyle="1" w:styleId="768">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3"/>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4"/>
    <w:qFormat/>
    <w:uiPriority w:val="0"/>
    <w:pPr>
      <w:adjustRightInd/>
      <w:snapToGrid/>
      <w:spacing w:before="100" w:beforeAutospacing="1" w:after="100" w:afterLines="50" w:afterAutospacing="1" w:line="360" w:lineRule="auto"/>
      <w:ind w:firstLine="480" w:firstLineChars="200"/>
      <w:jc w:val="left"/>
    </w:pPr>
    <w:rPr>
      <w:rFonts w:ascii="Times New Roman"/>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7"/>
    <w:next w:val="53"/>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7"/>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7"/>
    <w:qFormat/>
    <w:uiPriority w:val="0"/>
    <w:pPr>
      <w:tabs>
        <w:tab w:val="left" w:pos="2940"/>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1"/>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5"/>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8"/>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7"/>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0"/>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7">
    <w:name w:val="3级标题"/>
    <w:basedOn w:val="670"/>
    <w:qFormat/>
    <w:uiPriority w:val="0"/>
    <w:pPr>
      <w:outlineLvl w:val="2"/>
    </w:pPr>
  </w:style>
  <w:style w:type="paragraph" w:customStyle="1" w:styleId="878">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79">
    <w:name w:val="Char1 Char Char Char3"/>
    <w:basedOn w:val="1"/>
    <w:qFormat/>
    <w:uiPriority w:val="0"/>
    <w:pPr>
      <w:adjustRightInd/>
      <w:ind w:firstLine="200" w:firstLineChars="200"/>
    </w:pPr>
    <w:rPr>
      <w:rFonts w:ascii="Tahoma" w:hAnsi="Tahoma"/>
      <w:sz w:val="24"/>
      <w:szCs w:val="20"/>
    </w:rPr>
  </w:style>
  <w:style w:type="paragraph" w:customStyle="1" w:styleId="880">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1">
    <w:name w:val="MM Empty"/>
    <w:basedOn w:val="1"/>
    <w:qFormat/>
    <w:uiPriority w:val="0"/>
    <w:pPr>
      <w:adjustRightInd/>
    </w:pPr>
  </w:style>
  <w:style w:type="paragraph" w:customStyle="1" w:styleId="882">
    <w:name w:val="Char24"/>
    <w:basedOn w:val="1"/>
    <w:qFormat/>
    <w:uiPriority w:val="0"/>
    <w:rPr>
      <w:rFonts w:ascii="仿宋_GB2312" w:eastAsia="仿宋_GB2312"/>
      <w:b/>
      <w:sz w:val="32"/>
      <w:szCs w:val="32"/>
    </w:rPr>
  </w:style>
  <w:style w:type="paragraph" w:customStyle="1" w:styleId="883">
    <w:name w:val="正文箭头"/>
    <w:basedOn w:val="535"/>
    <w:qFormat/>
    <w:uiPriority w:val="0"/>
  </w:style>
  <w:style w:type="paragraph" w:customStyle="1" w:styleId="884">
    <w:name w:val="U_编号2"/>
    <w:basedOn w:val="1"/>
    <w:qFormat/>
    <w:uiPriority w:val="0"/>
    <w:pPr>
      <w:tabs>
        <w:tab w:val="left" w:pos="785"/>
      </w:tabs>
      <w:adjustRightInd/>
      <w:spacing w:beforeLines="10" w:afterLines="10" w:line="300" w:lineRule="auto"/>
    </w:pPr>
    <w:rPr>
      <w:sz w:val="24"/>
    </w:rPr>
  </w:style>
  <w:style w:type="paragraph" w:customStyle="1" w:styleId="885">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7">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8">
    <w:name w:val="TOC 标题11"/>
    <w:basedOn w:val="5"/>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89">
    <w:name w:val="_Style 1"/>
    <w:basedOn w:val="1"/>
    <w:qFormat/>
    <w:uiPriority w:val="34"/>
    <w:pPr>
      <w:adjustRightInd/>
      <w:ind w:firstLine="420" w:firstLineChars="200"/>
    </w:pPr>
    <w:rPr>
      <w:rFonts w:eastAsia="仿宋_GB2312"/>
      <w:sz w:val="28"/>
    </w:rPr>
  </w:style>
  <w:style w:type="paragraph" w:customStyle="1" w:styleId="890">
    <w:name w:val="表格 内容"/>
    <w:basedOn w:val="727"/>
    <w:qFormat/>
    <w:uiPriority w:val="0"/>
    <w:rPr>
      <w:b w:val="0"/>
      <w:sz w:val="20"/>
    </w:rPr>
  </w:style>
  <w:style w:type="paragraph" w:customStyle="1" w:styleId="891">
    <w:name w:val="正文首行缩进1"/>
    <w:basedOn w:val="25"/>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2">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3">
    <w:name w:val="数字标题5"/>
    <w:basedOn w:val="9"/>
    <w:next w:val="1"/>
    <w:qFormat/>
    <w:uiPriority w:val="0"/>
    <w:pPr>
      <w:tabs>
        <w:tab w:val="left" w:pos="1080"/>
      </w:tabs>
      <w:ind w:left="1080" w:hanging="1080"/>
    </w:pPr>
  </w:style>
  <w:style w:type="paragraph" w:customStyle="1" w:styleId="894">
    <w:name w:val="数字标题1"/>
    <w:basedOn w:val="5"/>
    <w:next w:val="1"/>
    <w:qFormat/>
    <w:uiPriority w:val="0"/>
    <w:pPr>
      <w:tabs>
        <w:tab w:val="left" w:pos="480"/>
      </w:tabs>
      <w:ind w:left="480" w:hanging="480"/>
    </w:pPr>
  </w:style>
  <w:style w:type="paragraph" w:customStyle="1" w:styleId="895">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6">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7">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8">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899">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0">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1">
    <w:name w:val="0"/>
    <w:basedOn w:val="1"/>
    <w:qFormat/>
    <w:uiPriority w:val="0"/>
    <w:pPr>
      <w:widowControl/>
    </w:pPr>
    <w:rPr>
      <w:kern w:val="0"/>
      <w:sz w:val="24"/>
      <w:szCs w:val="20"/>
    </w:rPr>
  </w:style>
  <w:style w:type="paragraph" w:customStyle="1" w:styleId="902">
    <w:name w:val="Char Char113"/>
    <w:basedOn w:val="1"/>
    <w:qFormat/>
    <w:uiPriority w:val="0"/>
    <w:pPr>
      <w:widowControl/>
      <w:spacing w:after="160" w:line="240" w:lineRule="exact"/>
      <w:jc w:val="left"/>
    </w:pPr>
    <w:rPr>
      <w:rFonts w:eastAsia="仿宋_GB2312"/>
      <w:sz w:val="28"/>
    </w:rPr>
  </w:style>
  <w:style w:type="paragraph" w:customStyle="1" w:styleId="90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4">
    <w:name w:val="_Style 8"/>
    <w:basedOn w:val="1"/>
    <w:qFormat/>
    <w:uiPriority w:val="34"/>
    <w:pPr>
      <w:adjustRightInd/>
      <w:ind w:firstLine="420" w:firstLineChars="200"/>
    </w:pPr>
    <w:rPr>
      <w:rFonts w:eastAsia="仿宋_GB2312"/>
      <w:sz w:val="28"/>
    </w:rPr>
  </w:style>
  <w:style w:type="paragraph" w:customStyle="1" w:styleId="905">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6">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8">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09">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0">
    <w:name w:val="Char Char112"/>
    <w:basedOn w:val="1"/>
    <w:qFormat/>
    <w:uiPriority w:val="6"/>
    <w:pPr>
      <w:widowControl/>
      <w:spacing w:after="160" w:line="240" w:lineRule="exact"/>
      <w:jc w:val="left"/>
    </w:pPr>
    <w:rPr>
      <w:rFonts w:eastAsia="仿宋_GB2312"/>
      <w:sz w:val="28"/>
    </w:rPr>
  </w:style>
  <w:style w:type="paragraph" w:customStyle="1" w:styleId="911">
    <w:name w:val="正文 图"/>
    <w:basedOn w:val="441"/>
    <w:qFormat/>
    <w:uiPriority w:val="0"/>
    <w:pPr>
      <w:adjustRightInd/>
      <w:spacing w:before="0"/>
      <w:ind w:firstLine="0"/>
      <w:jc w:val="center"/>
    </w:pPr>
    <w:rPr>
      <w:rFonts w:ascii="微软雅黑" w:hAnsi="微软雅黑"/>
    </w:rPr>
  </w:style>
  <w:style w:type="paragraph" w:customStyle="1" w:styleId="912">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3">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4">
    <w:name w:val="Thf"/>
    <w:basedOn w:val="559"/>
    <w:qFormat/>
    <w:uiPriority w:val="0"/>
    <w:pPr>
      <w:ind w:left="0"/>
    </w:pPr>
  </w:style>
  <w:style w:type="paragraph" w:customStyle="1" w:styleId="915">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6">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7">
    <w:name w:val="注释"/>
    <w:basedOn w:val="1"/>
    <w:qFormat/>
    <w:uiPriority w:val="0"/>
    <w:pPr>
      <w:adjustRightInd/>
      <w:spacing w:line="360" w:lineRule="auto"/>
      <w:ind w:firstLine="480"/>
    </w:pPr>
    <w:rPr>
      <w:sz w:val="24"/>
    </w:rPr>
  </w:style>
  <w:style w:type="table" w:customStyle="1" w:styleId="918">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9">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4">
    <w:name w:val="列出段落111"/>
    <w:basedOn w:val="1"/>
    <w:qFormat/>
    <w:uiPriority w:val="34"/>
    <w:pPr>
      <w:ind w:firstLine="420" w:firstLineChars="200"/>
    </w:pPr>
  </w:style>
  <w:style w:type="character" w:customStyle="1" w:styleId="925">
    <w:name w:val="交叉引用"/>
    <w:qFormat/>
    <w:uiPriority w:val="1"/>
    <w:rPr>
      <w:rFonts w:ascii="Arial" w:hAnsi="Arial" w:eastAsia="黑体"/>
      <w:snapToGrid w:val="0"/>
      <w:color w:val="0000FF"/>
      <w:kern w:val="0"/>
      <w:sz w:val="20"/>
      <w:szCs w:val="21"/>
      <w:u w:val="single"/>
      <w:lang w:val="en-US" w:eastAsia="zh-CN"/>
    </w:rPr>
  </w:style>
  <w:style w:type="character" w:customStyle="1" w:styleId="926">
    <w:name w:val="正文缩进 字符1"/>
    <w:qFormat/>
    <w:uiPriority w:val="0"/>
    <w:rPr>
      <w:rFonts w:ascii="宋体" w:eastAsia="宋体"/>
      <w:snapToGrid w:val="0"/>
      <w:color w:val="000000"/>
      <w:kern w:val="28"/>
      <w:sz w:val="28"/>
      <w:lang w:val="en-US" w:eastAsia="zh-CN" w:bidi="ar-SA"/>
    </w:rPr>
  </w:style>
  <w:style w:type="character" w:customStyle="1" w:styleId="927">
    <w:name w:val="页脚 字符1"/>
    <w:qFormat/>
    <w:locked/>
    <w:uiPriority w:val="99"/>
    <w:rPr>
      <w:kern w:val="2"/>
      <w:sz w:val="18"/>
      <w:szCs w:val="18"/>
    </w:rPr>
  </w:style>
  <w:style w:type="character" w:customStyle="1" w:styleId="928">
    <w:name w:val="页眉 字符1"/>
    <w:qFormat/>
    <w:uiPriority w:val="99"/>
    <w:rPr>
      <w:kern w:val="2"/>
      <w:sz w:val="18"/>
      <w:szCs w:val="18"/>
    </w:rPr>
  </w:style>
  <w:style w:type="character" w:customStyle="1" w:styleId="929">
    <w:name w:val="尾注文本 Char"/>
    <w:link w:val="38"/>
    <w:qFormat/>
    <w:uiPriority w:val="0"/>
    <w:rPr>
      <w:kern w:val="2"/>
      <w:sz w:val="21"/>
      <w:szCs w:val="24"/>
      <w:lang w:val="zh-CN"/>
    </w:rPr>
  </w:style>
  <w:style w:type="character" w:customStyle="1" w:styleId="930">
    <w:name w:val="无间隔 Char"/>
    <w:link w:val="481"/>
    <w:qFormat/>
    <w:uiPriority w:val="99"/>
    <w:rPr>
      <w:kern w:val="2"/>
      <w:sz w:val="21"/>
      <w:szCs w:val="22"/>
    </w:rPr>
  </w:style>
  <w:style w:type="character" w:customStyle="1" w:styleId="931">
    <w:name w:val="标准文本 Char Char"/>
    <w:link w:val="932"/>
    <w:qFormat/>
    <w:uiPriority w:val="0"/>
    <w:rPr>
      <w:rFonts w:cs="宋体"/>
      <w:kern w:val="2"/>
      <w:sz w:val="24"/>
    </w:rPr>
  </w:style>
  <w:style w:type="paragraph" w:customStyle="1" w:styleId="932">
    <w:name w:val="标准文本"/>
    <w:basedOn w:val="1"/>
    <w:link w:val="931"/>
    <w:qFormat/>
    <w:uiPriority w:val="0"/>
    <w:pPr>
      <w:adjustRightInd/>
      <w:spacing w:line="360" w:lineRule="auto"/>
      <w:ind w:firstLine="480" w:firstLineChars="200"/>
    </w:pPr>
    <w:rPr>
      <w:rFonts w:cs="宋体"/>
      <w:sz w:val="24"/>
      <w:szCs w:val="20"/>
    </w:rPr>
  </w:style>
  <w:style w:type="character" w:customStyle="1" w:styleId="933">
    <w:name w:val="Char Char213"/>
    <w:qFormat/>
    <w:uiPriority w:val="0"/>
    <w:rPr>
      <w:rFonts w:eastAsia="Century Gothic"/>
      <w:b/>
      <w:bCs/>
      <w:kern w:val="44"/>
      <w:sz w:val="32"/>
      <w:szCs w:val="44"/>
      <w:lang w:val="en-US" w:eastAsia="zh-CN" w:bidi="ar-SA"/>
    </w:rPr>
  </w:style>
  <w:style w:type="character" w:customStyle="1" w:styleId="934">
    <w:name w:val="apple-style-span"/>
    <w:qFormat/>
    <w:uiPriority w:val="0"/>
    <w:rPr>
      <w:rFonts w:ascii="Arial" w:hAnsi="Arial" w:eastAsia="黑体" w:cs="Arial"/>
      <w:snapToGrid w:val="0"/>
      <w:kern w:val="0"/>
      <w:szCs w:val="21"/>
    </w:rPr>
  </w:style>
  <w:style w:type="character" w:customStyle="1" w:styleId="935">
    <w:name w:val="15"/>
    <w:qFormat/>
    <w:uiPriority w:val="0"/>
    <w:rPr>
      <w:rFonts w:hint="default" w:ascii="Calibri" w:hAnsi="Calibri"/>
      <w:color w:val="0000FF"/>
      <w:u w:val="single"/>
    </w:rPr>
  </w:style>
  <w:style w:type="character" w:customStyle="1" w:styleId="936">
    <w:name w:val="16"/>
    <w:qFormat/>
    <w:uiPriority w:val="0"/>
    <w:rPr>
      <w:rFonts w:hint="eastAsia" w:ascii="宋体" w:hAnsi="宋体" w:eastAsia="宋体"/>
      <w:color w:val="000000"/>
      <w:sz w:val="20"/>
      <w:szCs w:val="20"/>
    </w:rPr>
  </w:style>
  <w:style w:type="character" w:customStyle="1" w:styleId="937">
    <w:name w:val="edui-unclickable"/>
    <w:qFormat/>
    <w:uiPriority w:val="0"/>
    <w:rPr>
      <w:color w:val="808080"/>
    </w:rPr>
  </w:style>
  <w:style w:type="character" w:customStyle="1" w:styleId="938">
    <w:name w:val="tpc_content1"/>
    <w:qFormat/>
    <w:uiPriority w:val="0"/>
    <w:rPr>
      <w:sz w:val="20"/>
      <w:szCs w:val="20"/>
    </w:rPr>
  </w:style>
  <w:style w:type="character" w:customStyle="1" w:styleId="939">
    <w:name w:val="正文文本缩进 字符"/>
    <w:qFormat/>
    <w:uiPriority w:val="0"/>
    <w:rPr>
      <w:rFonts w:ascii="Century Gothic" w:hAnsi="Century Gothic" w:eastAsia="Century Gothic"/>
      <w:kern w:val="2"/>
      <w:sz w:val="24"/>
      <w:lang w:val="en-US" w:eastAsia="zh-CN" w:bidi="ar-SA"/>
    </w:rPr>
  </w:style>
  <w:style w:type="character" w:customStyle="1" w:styleId="940">
    <w:name w:val="正文文本 2 字符"/>
    <w:qFormat/>
    <w:uiPriority w:val="0"/>
    <w:rPr>
      <w:rFonts w:ascii="Arial" w:hAnsi="Arial" w:eastAsia="宋体"/>
      <w:kern w:val="2"/>
      <w:sz w:val="24"/>
      <w:szCs w:val="24"/>
      <w:lang w:val="en-US" w:eastAsia="zh-CN" w:bidi="ar-SA"/>
    </w:rPr>
  </w:style>
  <w:style w:type="character" w:customStyle="1" w:styleId="941">
    <w:name w:val="edui-clickable2"/>
    <w:qFormat/>
    <w:uiPriority w:val="0"/>
    <w:rPr>
      <w:color w:val="0000FF"/>
      <w:u w:val="single"/>
    </w:rPr>
  </w:style>
  <w:style w:type="character" w:customStyle="1" w:styleId="942">
    <w:name w:val="style1"/>
    <w:qFormat/>
    <w:uiPriority w:val="0"/>
    <w:rPr>
      <w:rFonts w:ascii="Arial" w:hAnsi="Arial" w:eastAsia="黑体" w:cs="Arial"/>
      <w:snapToGrid w:val="0"/>
      <w:kern w:val="0"/>
      <w:szCs w:val="21"/>
    </w:rPr>
  </w:style>
  <w:style w:type="character" w:customStyle="1" w:styleId="943">
    <w:name w:val="zbggtop11 style5"/>
    <w:qFormat/>
    <w:uiPriority w:val="0"/>
    <w:rPr>
      <w:rFonts w:ascii="Arial" w:hAnsi="Arial" w:eastAsia="黑体" w:cs="Arial"/>
      <w:snapToGrid w:val="0"/>
      <w:kern w:val="0"/>
      <w:szCs w:val="21"/>
    </w:rPr>
  </w:style>
  <w:style w:type="character" w:customStyle="1" w:styleId="944">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5">
    <w:name w:val="bulletintext1"/>
    <w:qFormat/>
    <w:uiPriority w:val="0"/>
    <w:rPr>
      <w:color w:val="000000"/>
      <w:sz w:val="18"/>
    </w:rPr>
  </w:style>
  <w:style w:type="paragraph" w:customStyle="1" w:styleId="946">
    <w:name w:val="_Style 947"/>
    <w:basedOn w:val="1"/>
    <w:next w:val="256"/>
    <w:qFormat/>
    <w:uiPriority w:val="34"/>
    <w:pPr>
      <w:adjustRightInd/>
      <w:ind w:firstLine="420" w:firstLineChars="200"/>
    </w:pPr>
  </w:style>
  <w:style w:type="paragraph" w:customStyle="1" w:styleId="947">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8">
    <w:name w:val="纯文本2"/>
    <w:basedOn w:val="1"/>
    <w:qFormat/>
    <w:uiPriority w:val="0"/>
    <w:pPr>
      <w:adjustRightInd/>
      <w:snapToGrid w:val="0"/>
      <w:jc w:val="left"/>
    </w:pPr>
    <w:rPr>
      <w:rFonts w:ascii="Century Gothic" w:hAnsi="楷体_GB2312" w:eastAsia="Century Gothic"/>
      <w:szCs w:val="20"/>
    </w:rPr>
  </w:style>
  <w:style w:type="paragraph" w:customStyle="1" w:styleId="949">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0">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1">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2">
    <w:name w:val="Blockquote"/>
    <w:basedOn w:val="1"/>
    <w:qFormat/>
    <w:uiPriority w:val="0"/>
    <w:pPr>
      <w:autoSpaceDE w:val="0"/>
      <w:autoSpaceDN w:val="0"/>
      <w:spacing w:before="100" w:after="100"/>
      <w:ind w:left="360" w:right="360"/>
      <w:jc w:val="left"/>
    </w:pPr>
    <w:rPr>
      <w:kern w:val="0"/>
      <w:sz w:val="24"/>
      <w:szCs w:val="20"/>
    </w:rPr>
  </w:style>
  <w:style w:type="paragraph" w:customStyle="1" w:styleId="953">
    <w:name w:val="p1"/>
    <w:basedOn w:val="1"/>
    <w:qFormat/>
    <w:uiPriority w:val="0"/>
    <w:pPr>
      <w:widowControl/>
      <w:adjustRightInd/>
      <w:jc w:val="left"/>
    </w:pPr>
    <w:rPr>
      <w:rFonts w:ascii=".PingFang SC" w:eastAsia=".PingFang SC"/>
      <w:color w:val="454545"/>
      <w:kern w:val="0"/>
      <w:sz w:val="18"/>
      <w:szCs w:val="18"/>
    </w:rPr>
  </w:style>
  <w:style w:type="paragraph" w:customStyle="1" w:styleId="954">
    <w:name w:val="Table Paragraph"/>
    <w:basedOn w:val="1"/>
    <w:qFormat/>
    <w:uiPriority w:val="0"/>
    <w:pPr>
      <w:adjustRightInd/>
      <w:jc w:val="left"/>
    </w:pPr>
    <w:rPr>
      <w:rFonts w:ascii="Calibri" w:hAnsi="Calibri"/>
      <w:kern w:val="0"/>
      <w:sz w:val="22"/>
      <w:szCs w:val="22"/>
      <w:lang w:eastAsia="en-US"/>
    </w:rPr>
  </w:style>
  <w:style w:type="paragraph" w:customStyle="1" w:styleId="95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6">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7">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8">
    <w:name w:val="ksfind_class_select1"/>
    <w:basedOn w:val="69"/>
    <w:qFormat/>
    <w:uiPriority w:val="0"/>
    <w:rPr>
      <w:color w:val="000000"/>
      <w:shd w:val="clear" w:color="auto" w:fill="EFD200"/>
    </w:rPr>
  </w:style>
  <w:style w:type="character" w:customStyle="1" w:styleId="959">
    <w:name w:val="font71"/>
    <w:qFormat/>
    <w:uiPriority w:val="0"/>
    <w:rPr>
      <w:rFonts w:hint="eastAsia" w:ascii="宋体" w:hAnsi="宋体" w:eastAsia="宋体" w:cs="宋体"/>
      <w:color w:val="000000"/>
      <w:sz w:val="22"/>
      <w:szCs w:val="22"/>
      <w:u w:val="none"/>
    </w:rPr>
  </w:style>
  <w:style w:type="character" w:customStyle="1" w:styleId="960">
    <w:name w:val="font91"/>
    <w:qFormat/>
    <w:uiPriority w:val="0"/>
    <w:rPr>
      <w:rFonts w:hint="eastAsia" w:ascii="仿宋" w:hAnsi="仿宋" w:eastAsia="仿宋" w:cs="仿宋"/>
      <w:color w:val="000000"/>
      <w:sz w:val="22"/>
      <w:szCs w:val="22"/>
      <w:u w:val="none"/>
    </w:rPr>
  </w:style>
  <w:style w:type="paragraph" w:customStyle="1" w:styleId="961">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962">
    <w:name w:val="Title1"/>
    <w:basedOn w:val="1"/>
    <w:next w:val="1"/>
    <w:qFormat/>
    <w:uiPriority w:val="0"/>
    <w:pPr>
      <w:jc w:val="center"/>
      <w:outlineLvl w:val="0"/>
    </w:pPr>
    <w:rPr>
      <w:rFonts w:ascii="Calibri Light" w:hAnsi="Calibri Light" w:eastAsia="Arial Unicode MS"/>
      <w:b/>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theme" Target="theme/theme1.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footer" Target="footer13.xml"/><Relationship Id="rId28" Type="http://schemas.openxmlformats.org/officeDocument/2006/relationships/footer" Target="footer12.xml"/><Relationship Id="rId27" Type="http://schemas.openxmlformats.org/officeDocument/2006/relationships/header" Target="header14.xml"/><Relationship Id="rId26" Type="http://schemas.openxmlformats.org/officeDocument/2006/relationships/header" Target="header13.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105</Pages>
  <Words>11282</Words>
  <Characters>64309</Characters>
  <Lines>535</Lines>
  <Paragraphs>150</Paragraphs>
  <TotalTime>0</TotalTime>
  <ScaleCrop>false</ScaleCrop>
  <LinksUpToDate>false</LinksUpToDate>
  <CharactersWithSpaces>75441</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2021-07-30T16:22:00Z</dcterms:created>
  <dc:creator>北海市政府采购中心</dc:creator>
  <cp:lastModifiedBy>wwwww</cp:lastModifiedBy>
  <cp:lastPrinted>2026-06-17T01:41:00Z</cp:lastPrinted>
  <dcterms:modified xsi:type="dcterms:W3CDTF">2026-07-10T00:20:47Z</dcterms:modified>
  <dc:title>北海市政府采购中心</dc:title>
  <cp:revision>500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8C3D7364AA270A6C622F266AF51BB26B_33</vt:lpwstr>
  </property>
  <property fmtid="{D5CDD505-2E9C-101B-9397-08002B2CF9AE}" pid="5" name="KSOTemplateDocerSaveRecord">
    <vt:lpwstr>eyJoZGlkIjoiZWE2Yzg3ZmY1ZWIwYzgzODQwOWVkOTFmNWRkYTBjNDAiLCJ1c2VySWQiOiI0Mjg5MTU5ODEifQ==</vt:lpwstr>
  </property>
</Properties>
</file>