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42A4E6">
      <w:pPr>
        <w:pStyle w:val="27"/>
        <w:jc w:val="center"/>
        <w:rPr>
          <w:rFonts w:asciiTheme="minorEastAsia" w:hAnsiTheme="minorEastAsia" w:eastAsiaTheme="minorEastAsia"/>
          <w:color w:val="auto"/>
          <w:sz w:val="52"/>
          <w:highlight w:val="none"/>
          <w:u w:val="single"/>
        </w:rPr>
      </w:pPr>
    </w:p>
    <w:p w14:paraId="42139C11">
      <w:pPr>
        <w:pStyle w:val="27"/>
        <w:jc w:val="center"/>
        <w:rPr>
          <w:rFonts w:hint="eastAsia" w:asciiTheme="minorEastAsia" w:hAnsiTheme="minorEastAsia" w:eastAsiaTheme="minorEastAsia"/>
          <w:color w:val="auto"/>
          <w:sz w:val="52"/>
          <w:highlight w:val="none"/>
          <w:u w:val="single"/>
          <w:lang w:eastAsia="zh-CN"/>
        </w:rPr>
      </w:pPr>
      <w:r>
        <w:rPr>
          <w:rFonts w:hint="eastAsia" w:hAnsi="宋体" w:cs="宋体"/>
          <w:b/>
          <w:bCs/>
          <w:color w:val="auto"/>
          <w:sz w:val="56"/>
          <w:szCs w:val="21"/>
          <w:highlight w:val="none"/>
          <w:u w:val="none"/>
          <w:lang w:eastAsia="zh-CN"/>
        </w:rPr>
        <w:t>广西港兴招标代理有限公司</w:t>
      </w:r>
    </w:p>
    <w:p w14:paraId="2703D759">
      <w:pPr>
        <w:pStyle w:val="27"/>
        <w:jc w:val="both"/>
        <w:rPr>
          <w:rFonts w:asciiTheme="minorEastAsia" w:hAnsiTheme="minorEastAsia" w:eastAsiaTheme="minorEastAsia"/>
          <w:color w:val="auto"/>
          <w:sz w:val="52"/>
          <w:highlight w:val="none"/>
          <w:u w:val="single"/>
        </w:rPr>
      </w:pPr>
    </w:p>
    <w:p w14:paraId="3BAE6069">
      <w:pPr>
        <w:pStyle w:val="27"/>
        <w:jc w:val="center"/>
        <w:rPr>
          <w:rFonts w:asciiTheme="minorEastAsia" w:hAnsiTheme="minorEastAsia" w:eastAsiaTheme="minorEastAsia"/>
          <w:color w:val="auto"/>
          <w:sz w:val="52"/>
          <w:highlight w:val="none"/>
          <w:u w:val="single"/>
        </w:rPr>
      </w:pPr>
    </w:p>
    <w:p w14:paraId="27AFBD13">
      <w:pPr>
        <w:pStyle w:val="27"/>
        <w:jc w:val="center"/>
        <w:rPr>
          <w:rFonts w:asciiTheme="minorEastAsia" w:hAnsiTheme="minorEastAsia" w:eastAsiaTheme="minorEastAsia"/>
          <w:b/>
          <w:color w:val="auto"/>
          <w:sz w:val="84"/>
          <w:szCs w:val="84"/>
          <w:highlight w:val="none"/>
        </w:rPr>
      </w:pPr>
      <w:r>
        <w:rPr>
          <w:rFonts w:hint="eastAsia" w:asciiTheme="minorEastAsia" w:hAnsiTheme="minorEastAsia" w:eastAsiaTheme="minorEastAsia"/>
          <w:b/>
          <w:color w:val="auto"/>
          <w:sz w:val="84"/>
          <w:szCs w:val="84"/>
          <w:highlight w:val="none"/>
        </w:rPr>
        <w:t>竞争性磋商文件</w:t>
      </w:r>
    </w:p>
    <w:p w14:paraId="76DDEBBF">
      <w:pPr>
        <w:pStyle w:val="27"/>
        <w:rPr>
          <w:rFonts w:asciiTheme="minorEastAsia" w:hAnsiTheme="minorEastAsia" w:eastAsiaTheme="minorEastAsia"/>
          <w:b/>
          <w:color w:val="auto"/>
          <w:highlight w:val="none"/>
        </w:rPr>
      </w:pPr>
    </w:p>
    <w:p w14:paraId="63739833">
      <w:pPr>
        <w:pStyle w:val="27"/>
        <w:rPr>
          <w:rFonts w:asciiTheme="minorEastAsia" w:hAnsiTheme="minorEastAsia" w:eastAsiaTheme="minorEastAsia"/>
          <w:b/>
          <w:color w:val="auto"/>
          <w:highlight w:val="none"/>
        </w:rPr>
      </w:pPr>
    </w:p>
    <w:p w14:paraId="036ACE1F">
      <w:pPr>
        <w:pStyle w:val="27"/>
        <w:rPr>
          <w:rFonts w:asciiTheme="minorEastAsia" w:hAnsiTheme="minorEastAsia" w:eastAsiaTheme="minorEastAsia"/>
          <w:b/>
          <w:color w:val="auto"/>
          <w:highlight w:val="none"/>
        </w:rPr>
      </w:pPr>
    </w:p>
    <w:p w14:paraId="0D27177B">
      <w:pPr>
        <w:pStyle w:val="30"/>
        <w:rPr>
          <w:color w:val="auto"/>
          <w:highlight w:val="none"/>
        </w:rPr>
      </w:pPr>
    </w:p>
    <w:p w14:paraId="4A45955C">
      <w:pPr>
        <w:pStyle w:val="27"/>
        <w:rPr>
          <w:rFonts w:asciiTheme="minorEastAsia" w:hAnsiTheme="minorEastAsia" w:eastAsiaTheme="minorEastAsia"/>
          <w:b/>
          <w:color w:val="auto"/>
          <w:highlight w:val="none"/>
        </w:rPr>
      </w:pPr>
    </w:p>
    <w:p w14:paraId="1AB77A81">
      <w:pPr>
        <w:pStyle w:val="27"/>
        <w:rPr>
          <w:rFonts w:asciiTheme="minorEastAsia" w:hAnsiTheme="minorEastAsia" w:eastAsiaTheme="minorEastAsia"/>
          <w:b/>
          <w:color w:val="auto"/>
          <w:highlight w:val="none"/>
        </w:rPr>
      </w:pPr>
    </w:p>
    <w:p w14:paraId="4FA89B60">
      <w:pPr>
        <w:pStyle w:val="27"/>
        <w:jc w:val="center"/>
        <w:rPr>
          <w:rFonts w:asciiTheme="minorEastAsia" w:hAnsiTheme="minorEastAsia" w:eastAsiaTheme="minorEastAsia"/>
          <w:b/>
          <w:color w:val="auto"/>
          <w:highlight w:val="none"/>
        </w:rPr>
      </w:pPr>
    </w:p>
    <w:p w14:paraId="4EE379EE">
      <w:pPr>
        <w:pStyle w:val="30"/>
        <w:rPr>
          <w:rFonts w:asciiTheme="minorEastAsia" w:hAnsiTheme="minorEastAsia" w:eastAsiaTheme="minorEastAsia"/>
          <w:b/>
          <w:color w:val="auto"/>
          <w:highlight w:val="none"/>
        </w:rPr>
      </w:pPr>
    </w:p>
    <w:p w14:paraId="63DC976F">
      <w:pPr>
        <w:rPr>
          <w:rFonts w:asciiTheme="minorEastAsia" w:hAnsiTheme="minorEastAsia" w:eastAsiaTheme="minorEastAsia"/>
          <w:b/>
          <w:color w:val="auto"/>
          <w:highlight w:val="none"/>
        </w:rPr>
      </w:pPr>
    </w:p>
    <w:p w14:paraId="0BA218E8">
      <w:pPr>
        <w:pStyle w:val="69"/>
        <w:rPr>
          <w:rFonts w:asciiTheme="minorEastAsia" w:hAnsiTheme="minorEastAsia" w:eastAsiaTheme="minorEastAsia"/>
          <w:b/>
          <w:color w:val="auto"/>
          <w:highlight w:val="none"/>
        </w:rPr>
      </w:pPr>
    </w:p>
    <w:p w14:paraId="72E345C1">
      <w:pPr>
        <w:pStyle w:val="69"/>
        <w:rPr>
          <w:rFonts w:asciiTheme="minorEastAsia" w:hAnsiTheme="minorEastAsia" w:eastAsiaTheme="minorEastAsia"/>
          <w:b/>
          <w:color w:val="auto"/>
          <w:highlight w:val="none"/>
        </w:rPr>
      </w:pPr>
    </w:p>
    <w:p w14:paraId="7C1BD96D">
      <w:pPr>
        <w:pStyle w:val="69"/>
        <w:rPr>
          <w:rFonts w:asciiTheme="minorEastAsia" w:hAnsiTheme="minorEastAsia" w:eastAsiaTheme="minorEastAsia"/>
          <w:b/>
          <w:color w:val="auto"/>
          <w:highlight w:val="none"/>
        </w:rPr>
      </w:pPr>
    </w:p>
    <w:p w14:paraId="530E4521">
      <w:pPr>
        <w:pStyle w:val="69"/>
        <w:rPr>
          <w:rFonts w:asciiTheme="minorEastAsia" w:hAnsiTheme="minorEastAsia" w:eastAsiaTheme="minorEastAsia"/>
          <w:b/>
          <w:color w:val="auto"/>
          <w:highlight w:val="none"/>
        </w:rPr>
      </w:pPr>
    </w:p>
    <w:p w14:paraId="075DFF16">
      <w:pPr>
        <w:pStyle w:val="69"/>
        <w:rPr>
          <w:rFonts w:asciiTheme="minorEastAsia" w:hAnsiTheme="minorEastAsia" w:eastAsiaTheme="minorEastAsia"/>
          <w:b/>
          <w:color w:val="auto"/>
          <w:highlight w:val="none"/>
        </w:rPr>
      </w:pPr>
    </w:p>
    <w:p w14:paraId="4BED171F">
      <w:pPr>
        <w:pStyle w:val="27"/>
        <w:rPr>
          <w:rFonts w:asciiTheme="minorEastAsia" w:hAnsiTheme="minorEastAsia" w:eastAsiaTheme="minorEastAsia"/>
          <w:b/>
          <w:color w:val="auto"/>
          <w:highlight w:val="none"/>
        </w:rPr>
      </w:pPr>
    </w:p>
    <w:p w14:paraId="5B6CEAF1">
      <w:pPr>
        <w:pStyle w:val="27"/>
        <w:rPr>
          <w:rFonts w:asciiTheme="minorEastAsia" w:hAnsiTheme="minorEastAsia" w:eastAsiaTheme="minorEastAsia"/>
          <w:b/>
          <w:color w:val="auto"/>
          <w:highlight w:val="none"/>
        </w:rPr>
      </w:pPr>
    </w:p>
    <w:p w14:paraId="495D3546">
      <w:pPr>
        <w:pStyle w:val="27"/>
        <w:rPr>
          <w:rFonts w:asciiTheme="minorEastAsia" w:hAnsiTheme="minorEastAsia" w:eastAsiaTheme="minorEastAsia"/>
          <w:b/>
          <w:color w:val="auto"/>
          <w:highlight w:val="none"/>
        </w:rPr>
      </w:pPr>
    </w:p>
    <w:p w14:paraId="4C7A5933">
      <w:pPr>
        <w:pStyle w:val="27"/>
        <w:rPr>
          <w:rFonts w:asciiTheme="minorEastAsia" w:hAnsiTheme="minorEastAsia" w:eastAsiaTheme="minorEastAsia"/>
          <w:b/>
          <w:color w:val="auto"/>
          <w:highlight w:val="none"/>
        </w:rPr>
      </w:pPr>
    </w:p>
    <w:tbl>
      <w:tblPr>
        <w:tblStyle w:val="5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62"/>
        <w:gridCol w:w="6809"/>
      </w:tblGrid>
      <w:tr w14:paraId="11D54C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7" w:hRule="atLeast"/>
        </w:trPr>
        <w:tc>
          <w:tcPr>
            <w:tcW w:w="2304" w:type="dxa"/>
          </w:tcPr>
          <w:p w14:paraId="4E6762C5">
            <w:pPr>
              <w:pStyle w:val="27"/>
              <w:adjustRightInd w:val="0"/>
              <w:spacing w:line="360" w:lineRule="auto"/>
              <w:jc w:val="distribute"/>
              <w:textAlignment w:val="baseline"/>
              <w:rPr>
                <w:rFonts w:asciiTheme="minorEastAsia" w:hAnsiTheme="minorEastAsia" w:eastAsiaTheme="minorEastAsia"/>
                <w:b/>
                <w:color w:val="auto"/>
                <w:highlight w:val="none"/>
              </w:rPr>
            </w:pPr>
            <w:r>
              <w:rPr>
                <w:rFonts w:hint="eastAsia" w:asciiTheme="minorEastAsia" w:hAnsiTheme="minorEastAsia" w:eastAsiaTheme="minorEastAsia"/>
                <w:b/>
                <w:color w:val="auto"/>
                <w:sz w:val="32"/>
                <w:szCs w:val="32"/>
                <w:highlight w:val="none"/>
              </w:rPr>
              <w:t>项目编号：</w:t>
            </w:r>
          </w:p>
        </w:tc>
        <w:tc>
          <w:tcPr>
            <w:tcW w:w="6895" w:type="dxa"/>
          </w:tcPr>
          <w:p w14:paraId="1ECA33CB">
            <w:pPr>
              <w:pStyle w:val="27"/>
              <w:adjustRightInd w:val="0"/>
              <w:spacing w:line="360" w:lineRule="auto"/>
              <w:textAlignment w:val="baseline"/>
              <w:rPr>
                <w:rFonts w:hint="eastAsia" w:asciiTheme="minorEastAsia" w:hAnsiTheme="minorEastAsia" w:eastAsiaTheme="minorEastAsia"/>
                <w:b/>
                <w:color w:val="auto"/>
                <w:highlight w:val="none"/>
                <w:lang w:eastAsia="zh-CN"/>
              </w:rPr>
            </w:pPr>
            <w:r>
              <w:rPr>
                <w:rFonts w:hint="eastAsia" w:asciiTheme="minorEastAsia" w:hAnsiTheme="minorEastAsia" w:eastAsiaTheme="minorEastAsia"/>
                <w:b/>
                <w:color w:val="auto"/>
                <w:sz w:val="32"/>
                <w:szCs w:val="32"/>
                <w:highlight w:val="none"/>
                <w:lang w:eastAsia="zh-CN"/>
              </w:rPr>
              <w:t xml:space="preserve">FCZC2026-C2-990132-GXZB  </w:t>
            </w:r>
          </w:p>
        </w:tc>
      </w:tr>
      <w:tr w14:paraId="5AE059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7" w:hRule="atLeast"/>
        </w:trPr>
        <w:tc>
          <w:tcPr>
            <w:tcW w:w="2304" w:type="dxa"/>
          </w:tcPr>
          <w:p w14:paraId="228CF92A">
            <w:pPr>
              <w:pStyle w:val="27"/>
              <w:adjustRightInd w:val="0"/>
              <w:spacing w:line="360" w:lineRule="auto"/>
              <w:jc w:val="distribute"/>
              <w:textAlignment w:val="baseline"/>
              <w:rPr>
                <w:rFonts w:asciiTheme="minorEastAsia" w:hAnsiTheme="minorEastAsia" w:eastAsiaTheme="minorEastAsia"/>
                <w:b/>
                <w:color w:val="auto"/>
                <w:highlight w:val="none"/>
              </w:rPr>
            </w:pPr>
            <w:r>
              <w:rPr>
                <w:rFonts w:hint="eastAsia" w:asciiTheme="minorEastAsia" w:hAnsiTheme="minorEastAsia" w:eastAsiaTheme="minorEastAsia"/>
                <w:b/>
                <w:color w:val="auto"/>
                <w:sz w:val="32"/>
                <w:szCs w:val="32"/>
                <w:highlight w:val="none"/>
              </w:rPr>
              <w:t>项目名称：</w:t>
            </w:r>
          </w:p>
        </w:tc>
        <w:tc>
          <w:tcPr>
            <w:tcW w:w="6895" w:type="dxa"/>
          </w:tcPr>
          <w:p w14:paraId="4CD958DE">
            <w:pPr>
              <w:pStyle w:val="27"/>
              <w:adjustRightInd w:val="0"/>
              <w:spacing w:line="360" w:lineRule="auto"/>
              <w:textAlignment w:val="baseline"/>
              <w:rPr>
                <w:rFonts w:hint="eastAsia" w:asciiTheme="minorEastAsia" w:hAnsiTheme="minorEastAsia" w:eastAsiaTheme="minorEastAsia"/>
                <w:b/>
                <w:color w:val="auto"/>
                <w:highlight w:val="none"/>
                <w:lang w:eastAsia="zh-CN"/>
              </w:rPr>
            </w:pPr>
            <w:r>
              <w:rPr>
                <w:rFonts w:hint="eastAsia" w:asciiTheme="minorEastAsia" w:hAnsiTheme="minorEastAsia" w:eastAsiaTheme="minorEastAsia"/>
                <w:b/>
                <w:color w:val="auto"/>
                <w:sz w:val="32"/>
                <w:szCs w:val="32"/>
                <w:highlight w:val="none"/>
                <w:lang w:eastAsia="zh-CN"/>
              </w:rPr>
              <w:t>防城港市理工职业学校运动场跑道翻新项目</w:t>
            </w:r>
          </w:p>
        </w:tc>
      </w:tr>
      <w:tr w14:paraId="400B1C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9" w:hRule="atLeast"/>
        </w:trPr>
        <w:tc>
          <w:tcPr>
            <w:tcW w:w="2304" w:type="dxa"/>
          </w:tcPr>
          <w:p w14:paraId="2BC2C369">
            <w:pPr>
              <w:pStyle w:val="27"/>
              <w:adjustRightInd w:val="0"/>
              <w:spacing w:line="360" w:lineRule="auto"/>
              <w:jc w:val="distribute"/>
              <w:textAlignment w:val="baseline"/>
              <w:rPr>
                <w:rFonts w:asciiTheme="minorEastAsia" w:hAnsiTheme="minorEastAsia" w:eastAsiaTheme="minorEastAsia"/>
                <w:b/>
                <w:color w:val="auto"/>
                <w:highlight w:val="none"/>
              </w:rPr>
            </w:pPr>
            <w:r>
              <w:rPr>
                <w:rFonts w:hint="eastAsia" w:asciiTheme="minorEastAsia" w:hAnsiTheme="minorEastAsia" w:eastAsiaTheme="minorEastAsia"/>
                <w:b/>
                <w:color w:val="auto"/>
                <w:sz w:val="30"/>
                <w:szCs w:val="72"/>
                <w:highlight w:val="none"/>
              </w:rPr>
              <w:t>采购单位：</w:t>
            </w:r>
          </w:p>
        </w:tc>
        <w:tc>
          <w:tcPr>
            <w:tcW w:w="6895" w:type="dxa"/>
          </w:tcPr>
          <w:p w14:paraId="17F871C9">
            <w:pPr>
              <w:pStyle w:val="27"/>
              <w:adjustRightInd w:val="0"/>
              <w:spacing w:line="360" w:lineRule="auto"/>
              <w:textAlignment w:val="baseline"/>
              <w:rPr>
                <w:rFonts w:hint="eastAsia" w:asciiTheme="minorEastAsia" w:hAnsiTheme="minorEastAsia" w:eastAsiaTheme="minorEastAsia"/>
                <w:b/>
                <w:color w:val="auto"/>
                <w:highlight w:val="none"/>
                <w:lang w:eastAsia="zh-CN"/>
              </w:rPr>
            </w:pPr>
            <w:r>
              <w:rPr>
                <w:rFonts w:hint="eastAsia" w:asciiTheme="minorEastAsia" w:hAnsiTheme="minorEastAsia" w:eastAsiaTheme="minorEastAsia"/>
                <w:b/>
                <w:color w:val="auto"/>
                <w:sz w:val="30"/>
                <w:szCs w:val="72"/>
                <w:highlight w:val="none"/>
                <w:lang w:eastAsia="zh-CN"/>
              </w:rPr>
              <w:t>防城港市理工职业学校</w:t>
            </w:r>
          </w:p>
        </w:tc>
      </w:tr>
      <w:tr w14:paraId="7DFCB6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9" w:hRule="atLeast"/>
        </w:trPr>
        <w:tc>
          <w:tcPr>
            <w:tcW w:w="2304" w:type="dxa"/>
          </w:tcPr>
          <w:p w14:paraId="08F33293">
            <w:pPr>
              <w:pStyle w:val="27"/>
              <w:adjustRightInd w:val="0"/>
              <w:spacing w:line="360" w:lineRule="auto"/>
              <w:jc w:val="distribute"/>
              <w:textAlignment w:val="baseline"/>
              <w:rPr>
                <w:rFonts w:asciiTheme="minorEastAsia" w:hAnsiTheme="minorEastAsia" w:eastAsiaTheme="minorEastAsia"/>
                <w:b/>
                <w:color w:val="auto"/>
                <w:highlight w:val="none"/>
              </w:rPr>
            </w:pPr>
            <w:r>
              <w:rPr>
                <w:rFonts w:hint="eastAsia" w:asciiTheme="minorEastAsia" w:hAnsiTheme="minorEastAsia" w:eastAsiaTheme="minorEastAsia"/>
                <w:b/>
                <w:color w:val="auto"/>
                <w:sz w:val="30"/>
                <w:szCs w:val="72"/>
                <w:highlight w:val="none"/>
              </w:rPr>
              <w:t>采购代理机构：</w:t>
            </w:r>
          </w:p>
        </w:tc>
        <w:tc>
          <w:tcPr>
            <w:tcW w:w="6895" w:type="dxa"/>
          </w:tcPr>
          <w:p w14:paraId="6ECDCA18">
            <w:pPr>
              <w:pStyle w:val="27"/>
              <w:adjustRightInd w:val="0"/>
              <w:spacing w:line="360" w:lineRule="auto"/>
              <w:textAlignment w:val="baseline"/>
              <w:rPr>
                <w:rFonts w:hint="eastAsia" w:asciiTheme="minorEastAsia" w:hAnsiTheme="minorEastAsia" w:eastAsiaTheme="minorEastAsia"/>
                <w:b/>
                <w:color w:val="auto"/>
                <w:highlight w:val="none"/>
                <w:lang w:eastAsia="zh-CN"/>
              </w:rPr>
            </w:pPr>
            <w:r>
              <w:rPr>
                <w:rFonts w:hint="eastAsia" w:asciiTheme="minorEastAsia" w:hAnsiTheme="minorEastAsia" w:eastAsiaTheme="minorEastAsia"/>
                <w:b/>
                <w:color w:val="auto"/>
                <w:sz w:val="30"/>
                <w:szCs w:val="72"/>
                <w:highlight w:val="none"/>
                <w:lang w:eastAsia="zh-CN"/>
              </w:rPr>
              <w:t>广西港兴招标代理有限公司</w:t>
            </w:r>
          </w:p>
        </w:tc>
      </w:tr>
      <w:tr w14:paraId="2E2984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9" w:hRule="atLeast"/>
        </w:trPr>
        <w:tc>
          <w:tcPr>
            <w:tcW w:w="9199" w:type="dxa"/>
            <w:gridSpan w:val="2"/>
          </w:tcPr>
          <w:p w14:paraId="41802D43">
            <w:pPr>
              <w:pStyle w:val="27"/>
              <w:adjustRightInd w:val="0"/>
              <w:spacing w:line="360" w:lineRule="auto"/>
              <w:ind w:firstLine="3313" w:firstLineChars="1100"/>
              <w:textAlignment w:val="baseline"/>
              <w:rPr>
                <w:rFonts w:asciiTheme="minorEastAsia" w:hAnsiTheme="minorEastAsia" w:eastAsiaTheme="minorEastAsia"/>
                <w:b/>
                <w:color w:val="auto"/>
                <w:sz w:val="30"/>
                <w:szCs w:val="72"/>
                <w:highlight w:val="none"/>
              </w:rPr>
            </w:pPr>
            <w:r>
              <w:rPr>
                <w:rFonts w:hint="eastAsia" w:asciiTheme="minorEastAsia" w:hAnsiTheme="minorEastAsia" w:eastAsiaTheme="minorEastAsia"/>
                <w:b/>
                <w:color w:val="auto"/>
                <w:sz w:val="30"/>
                <w:szCs w:val="72"/>
                <w:highlight w:val="none"/>
                <w:lang w:eastAsia="zh-CN"/>
              </w:rPr>
              <w:t>2026年</w:t>
            </w:r>
            <w:r>
              <w:rPr>
                <w:rFonts w:hint="eastAsia" w:asciiTheme="minorEastAsia" w:hAnsiTheme="minorEastAsia" w:eastAsiaTheme="minorEastAsia"/>
                <w:b/>
                <w:color w:val="auto"/>
                <w:sz w:val="30"/>
                <w:szCs w:val="72"/>
                <w:highlight w:val="none"/>
                <w:lang w:val="en-US" w:eastAsia="zh-CN"/>
              </w:rPr>
              <w:t>8</w:t>
            </w:r>
            <w:bookmarkStart w:id="1782" w:name="_GoBack"/>
            <w:bookmarkEnd w:id="1782"/>
            <w:r>
              <w:rPr>
                <w:rFonts w:hint="eastAsia" w:asciiTheme="minorEastAsia" w:hAnsiTheme="minorEastAsia" w:eastAsiaTheme="minorEastAsia"/>
                <w:b/>
                <w:color w:val="auto"/>
                <w:sz w:val="30"/>
                <w:szCs w:val="72"/>
                <w:highlight w:val="none"/>
                <w:lang w:val="en-US" w:eastAsia="zh-CN"/>
              </w:rPr>
              <w:t>月</w:t>
            </w:r>
          </w:p>
        </w:tc>
      </w:tr>
    </w:tbl>
    <w:p w14:paraId="59974978">
      <w:pPr>
        <w:pStyle w:val="27"/>
        <w:rPr>
          <w:rFonts w:asciiTheme="minorEastAsia" w:hAnsiTheme="minorEastAsia" w:eastAsiaTheme="minorEastAsia"/>
          <w:b/>
          <w:color w:val="auto"/>
          <w:highlight w:val="none"/>
        </w:rPr>
      </w:pPr>
    </w:p>
    <w:p w14:paraId="63CFCC0E">
      <w:pPr>
        <w:pStyle w:val="27"/>
        <w:spacing w:line="360" w:lineRule="auto"/>
        <w:ind w:firstLine="1134" w:firstLineChars="353"/>
        <w:rPr>
          <w:rFonts w:asciiTheme="minorEastAsia" w:hAnsiTheme="minorEastAsia" w:eastAsiaTheme="minorEastAsia"/>
          <w:b/>
          <w:color w:val="auto"/>
          <w:sz w:val="32"/>
          <w:szCs w:val="72"/>
          <w:highlight w:val="none"/>
          <w:u w:val="thick"/>
        </w:rPr>
      </w:pPr>
    </w:p>
    <w:p w14:paraId="65F9ED10">
      <w:pPr>
        <w:pStyle w:val="27"/>
        <w:snapToGrid w:val="0"/>
        <w:spacing w:line="360" w:lineRule="auto"/>
        <w:jc w:val="center"/>
        <w:rPr>
          <w:rFonts w:asciiTheme="minorEastAsia" w:hAnsiTheme="minorEastAsia" w:eastAsiaTheme="minorEastAsia"/>
          <w:b/>
          <w:color w:val="auto"/>
          <w:sz w:val="32"/>
          <w:szCs w:val="32"/>
          <w:highlight w:val="none"/>
        </w:rPr>
      </w:pPr>
      <w:r>
        <w:rPr>
          <w:rFonts w:hint="eastAsia" w:asciiTheme="minorEastAsia" w:hAnsiTheme="minorEastAsia" w:eastAsiaTheme="minorEastAsia"/>
          <w:b/>
          <w:color w:val="auto"/>
          <w:sz w:val="32"/>
          <w:szCs w:val="32"/>
          <w:highlight w:val="none"/>
        </w:rPr>
        <w:t>目  录</w:t>
      </w:r>
    </w:p>
    <w:sdt>
      <w:sdtPr>
        <w:rPr>
          <w:rFonts w:hAnsi="宋体"/>
          <w:color w:val="auto"/>
          <w:highlight w:val="none"/>
        </w:rPr>
        <w:id w:val="147481182"/>
        <w15:color w:val="DBDBDB"/>
        <w:docPartObj>
          <w:docPartGallery w:val="Table of Contents"/>
          <w:docPartUnique/>
        </w:docPartObj>
      </w:sdtPr>
      <w:sdtEndPr>
        <w:rPr>
          <w:rFonts w:asciiTheme="minorEastAsia" w:hAnsiTheme="minorEastAsia" w:eastAsiaTheme="minorEastAsia"/>
          <w:color w:val="auto"/>
          <w:highlight w:val="none"/>
        </w:rPr>
      </w:sdtEndPr>
      <w:sdtContent>
        <w:p w14:paraId="71119A71">
          <w:pPr>
            <w:jc w:val="center"/>
            <w:rPr>
              <w:color w:val="auto"/>
              <w:highlight w:val="none"/>
            </w:rPr>
          </w:pPr>
        </w:p>
        <w:p w14:paraId="44E0AA63">
          <w:pPr>
            <w:pStyle w:val="36"/>
            <w:tabs>
              <w:tab w:val="right" w:leader="dot" w:pos="9071"/>
              <w:tab w:val="clear" w:pos="9030"/>
            </w:tabs>
            <w:spacing w:line="360" w:lineRule="auto"/>
            <w:jc w:val="left"/>
            <w:rPr>
              <w:color w:val="auto"/>
              <w:highlight w:val="none"/>
            </w:rPr>
          </w:pPr>
          <w:r>
            <w:rPr>
              <w:rFonts w:asciiTheme="minorEastAsia" w:hAnsiTheme="minorEastAsia" w:eastAsiaTheme="minorEastAsia"/>
              <w:color w:val="auto"/>
              <w:highlight w:val="none"/>
            </w:rPr>
            <w:fldChar w:fldCharType="begin"/>
          </w:r>
          <w:r>
            <w:rPr>
              <w:rFonts w:asciiTheme="minorEastAsia" w:hAnsiTheme="minorEastAsia" w:eastAsiaTheme="minorEastAsia"/>
              <w:color w:val="auto"/>
              <w:highlight w:val="none"/>
            </w:rPr>
            <w:instrText xml:space="preserve">TOC \o "1-3" \h \u </w:instrText>
          </w:r>
          <w:r>
            <w:rPr>
              <w:rFonts w:asciiTheme="minorEastAsia" w:hAnsiTheme="minorEastAsia" w:eastAsiaTheme="minorEastAsia"/>
              <w:color w:val="auto"/>
              <w:highlight w:val="none"/>
            </w:rPr>
            <w:fldChar w:fldCharType="separate"/>
          </w:r>
          <w:r>
            <w:rPr>
              <w:color w:val="auto"/>
              <w:highlight w:val="none"/>
            </w:rPr>
            <w:fldChar w:fldCharType="begin"/>
          </w:r>
          <w:r>
            <w:rPr>
              <w:color w:val="auto"/>
              <w:highlight w:val="none"/>
            </w:rPr>
            <w:instrText xml:space="preserve"> HYPERLINK \l "_Toc20715" </w:instrText>
          </w:r>
          <w:r>
            <w:rPr>
              <w:color w:val="auto"/>
              <w:highlight w:val="none"/>
            </w:rPr>
            <w:fldChar w:fldCharType="separate"/>
          </w:r>
          <w:r>
            <w:rPr>
              <w:rFonts w:hint="eastAsia"/>
              <w:color w:val="auto"/>
              <w:szCs w:val="44"/>
              <w:highlight w:val="none"/>
            </w:rPr>
            <w:t>第一章 竞争性磋商公告</w:t>
          </w:r>
          <w:r>
            <w:rPr>
              <w:color w:val="auto"/>
              <w:highlight w:val="none"/>
            </w:rPr>
            <w:tab/>
          </w:r>
          <w:r>
            <w:rPr>
              <w:color w:val="auto"/>
              <w:highlight w:val="none"/>
            </w:rPr>
            <w:fldChar w:fldCharType="begin"/>
          </w:r>
          <w:r>
            <w:rPr>
              <w:color w:val="auto"/>
              <w:highlight w:val="none"/>
            </w:rPr>
            <w:instrText xml:space="preserve"> PAGEREF _Toc20715 \h </w:instrText>
          </w:r>
          <w:r>
            <w:rPr>
              <w:color w:val="auto"/>
              <w:highlight w:val="none"/>
            </w:rPr>
            <w:fldChar w:fldCharType="separate"/>
          </w:r>
          <w:r>
            <w:rPr>
              <w:color w:val="auto"/>
              <w:highlight w:val="none"/>
            </w:rPr>
            <w:t>1</w:t>
          </w:r>
          <w:r>
            <w:rPr>
              <w:color w:val="auto"/>
              <w:highlight w:val="none"/>
            </w:rPr>
            <w:fldChar w:fldCharType="end"/>
          </w:r>
          <w:r>
            <w:rPr>
              <w:color w:val="auto"/>
              <w:highlight w:val="none"/>
            </w:rPr>
            <w:fldChar w:fldCharType="end"/>
          </w:r>
        </w:p>
        <w:p w14:paraId="62E6D27F">
          <w:pPr>
            <w:pStyle w:val="36"/>
            <w:tabs>
              <w:tab w:val="right" w:leader="dot" w:pos="9071"/>
              <w:tab w:val="clear" w:pos="9030"/>
            </w:tabs>
            <w:spacing w:line="360" w:lineRule="auto"/>
            <w:jc w:val="left"/>
            <w:rPr>
              <w:color w:val="auto"/>
              <w:highlight w:val="none"/>
            </w:rPr>
          </w:pPr>
          <w:r>
            <w:rPr>
              <w:color w:val="auto"/>
              <w:highlight w:val="none"/>
            </w:rPr>
            <w:fldChar w:fldCharType="begin"/>
          </w:r>
          <w:r>
            <w:rPr>
              <w:color w:val="auto"/>
              <w:highlight w:val="none"/>
            </w:rPr>
            <w:instrText xml:space="preserve"> HYPERLINK \l "_Toc11645" </w:instrText>
          </w:r>
          <w:r>
            <w:rPr>
              <w:color w:val="auto"/>
              <w:highlight w:val="none"/>
            </w:rPr>
            <w:fldChar w:fldCharType="separate"/>
          </w:r>
          <w:r>
            <w:rPr>
              <w:rFonts w:hint="eastAsia" w:asciiTheme="minorEastAsia" w:hAnsiTheme="minorEastAsia" w:eastAsiaTheme="minorEastAsia"/>
              <w:color w:val="auto"/>
              <w:szCs w:val="44"/>
              <w:highlight w:val="none"/>
            </w:rPr>
            <w:t>第二章  磋商须知及前附表</w:t>
          </w:r>
          <w:r>
            <w:rPr>
              <w:color w:val="auto"/>
              <w:highlight w:val="none"/>
            </w:rPr>
            <w:tab/>
          </w:r>
          <w:r>
            <w:rPr>
              <w:color w:val="auto"/>
              <w:highlight w:val="none"/>
            </w:rPr>
            <w:fldChar w:fldCharType="begin"/>
          </w:r>
          <w:r>
            <w:rPr>
              <w:color w:val="auto"/>
              <w:highlight w:val="none"/>
            </w:rPr>
            <w:instrText xml:space="preserve"> PAGEREF _Toc11645 \h </w:instrText>
          </w:r>
          <w:r>
            <w:rPr>
              <w:color w:val="auto"/>
              <w:highlight w:val="none"/>
            </w:rPr>
            <w:fldChar w:fldCharType="separate"/>
          </w:r>
          <w:r>
            <w:rPr>
              <w:color w:val="auto"/>
              <w:highlight w:val="none"/>
            </w:rPr>
            <w:t>4</w:t>
          </w:r>
          <w:r>
            <w:rPr>
              <w:color w:val="auto"/>
              <w:highlight w:val="none"/>
            </w:rPr>
            <w:fldChar w:fldCharType="end"/>
          </w:r>
          <w:r>
            <w:rPr>
              <w:color w:val="auto"/>
              <w:highlight w:val="none"/>
            </w:rPr>
            <w:fldChar w:fldCharType="end"/>
          </w:r>
        </w:p>
        <w:p w14:paraId="504D5A69">
          <w:pPr>
            <w:pStyle w:val="36"/>
            <w:tabs>
              <w:tab w:val="right" w:leader="dot" w:pos="9071"/>
              <w:tab w:val="clear" w:pos="9030"/>
            </w:tabs>
            <w:spacing w:line="360" w:lineRule="auto"/>
            <w:jc w:val="left"/>
            <w:rPr>
              <w:color w:val="auto"/>
              <w:highlight w:val="none"/>
            </w:rPr>
          </w:pPr>
          <w:r>
            <w:rPr>
              <w:color w:val="auto"/>
              <w:highlight w:val="none"/>
            </w:rPr>
            <w:fldChar w:fldCharType="begin"/>
          </w:r>
          <w:r>
            <w:rPr>
              <w:color w:val="auto"/>
              <w:highlight w:val="none"/>
            </w:rPr>
            <w:instrText xml:space="preserve"> HYPERLINK \l "_Toc14068" </w:instrText>
          </w:r>
          <w:r>
            <w:rPr>
              <w:color w:val="auto"/>
              <w:highlight w:val="none"/>
            </w:rPr>
            <w:fldChar w:fldCharType="separate"/>
          </w:r>
          <w:r>
            <w:rPr>
              <w:rFonts w:hint="eastAsia" w:asciiTheme="minorEastAsia" w:hAnsiTheme="minorEastAsia" w:eastAsiaTheme="minorEastAsia"/>
              <w:color w:val="auto"/>
              <w:szCs w:val="44"/>
              <w:highlight w:val="none"/>
            </w:rPr>
            <w:t>第三章  评审方法</w:t>
          </w:r>
          <w:r>
            <w:rPr>
              <w:color w:val="auto"/>
              <w:highlight w:val="none"/>
            </w:rPr>
            <w:tab/>
          </w:r>
          <w:r>
            <w:rPr>
              <w:color w:val="auto"/>
              <w:highlight w:val="none"/>
            </w:rPr>
            <w:fldChar w:fldCharType="begin"/>
          </w:r>
          <w:r>
            <w:rPr>
              <w:color w:val="auto"/>
              <w:highlight w:val="none"/>
            </w:rPr>
            <w:instrText xml:space="preserve"> PAGEREF _Toc14068 \h </w:instrText>
          </w:r>
          <w:r>
            <w:rPr>
              <w:color w:val="auto"/>
              <w:highlight w:val="none"/>
            </w:rPr>
            <w:fldChar w:fldCharType="separate"/>
          </w:r>
          <w:r>
            <w:rPr>
              <w:color w:val="auto"/>
              <w:highlight w:val="none"/>
            </w:rPr>
            <w:t>17</w:t>
          </w:r>
          <w:r>
            <w:rPr>
              <w:color w:val="auto"/>
              <w:highlight w:val="none"/>
            </w:rPr>
            <w:fldChar w:fldCharType="end"/>
          </w:r>
          <w:r>
            <w:rPr>
              <w:color w:val="auto"/>
              <w:highlight w:val="none"/>
            </w:rPr>
            <w:fldChar w:fldCharType="end"/>
          </w:r>
        </w:p>
        <w:p w14:paraId="71891246">
          <w:pPr>
            <w:pStyle w:val="36"/>
            <w:tabs>
              <w:tab w:val="right" w:leader="dot" w:pos="9071"/>
              <w:tab w:val="clear" w:pos="9030"/>
            </w:tabs>
            <w:spacing w:line="360" w:lineRule="auto"/>
            <w:jc w:val="left"/>
            <w:rPr>
              <w:color w:val="auto"/>
              <w:highlight w:val="none"/>
            </w:rPr>
          </w:pPr>
          <w:r>
            <w:rPr>
              <w:color w:val="auto"/>
              <w:highlight w:val="none"/>
            </w:rPr>
            <w:fldChar w:fldCharType="begin"/>
          </w:r>
          <w:r>
            <w:rPr>
              <w:color w:val="auto"/>
              <w:highlight w:val="none"/>
            </w:rPr>
            <w:instrText xml:space="preserve"> HYPERLINK \l "_Toc20222" </w:instrText>
          </w:r>
          <w:r>
            <w:rPr>
              <w:color w:val="auto"/>
              <w:highlight w:val="none"/>
            </w:rPr>
            <w:fldChar w:fldCharType="separate"/>
          </w:r>
          <w:r>
            <w:rPr>
              <w:rFonts w:hint="eastAsia" w:asciiTheme="minorEastAsia" w:hAnsiTheme="minorEastAsia" w:eastAsiaTheme="minorEastAsia"/>
              <w:color w:val="auto"/>
              <w:szCs w:val="44"/>
              <w:highlight w:val="none"/>
            </w:rPr>
            <w:t>第四章  采购项目需求</w:t>
          </w:r>
          <w:r>
            <w:rPr>
              <w:color w:val="auto"/>
              <w:highlight w:val="none"/>
            </w:rPr>
            <w:tab/>
          </w:r>
          <w:r>
            <w:rPr>
              <w:color w:val="auto"/>
              <w:highlight w:val="none"/>
            </w:rPr>
            <w:fldChar w:fldCharType="begin"/>
          </w:r>
          <w:r>
            <w:rPr>
              <w:color w:val="auto"/>
              <w:highlight w:val="none"/>
            </w:rPr>
            <w:instrText xml:space="preserve"> PAGEREF _Toc20222 \h </w:instrText>
          </w:r>
          <w:r>
            <w:rPr>
              <w:color w:val="auto"/>
              <w:highlight w:val="none"/>
            </w:rPr>
            <w:fldChar w:fldCharType="separate"/>
          </w:r>
          <w:r>
            <w:rPr>
              <w:color w:val="auto"/>
              <w:highlight w:val="none"/>
            </w:rPr>
            <w:t>23</w:t>
          </w:r>
          <w:r>
            <w:rPr>
              <w:color w:val="auto"/>
              <w:highlight w:val="none"/>
            </w:rPr>
            <w:fldChar w:fldCharType="end"/>
          </w:r>
          <w:r>
            <w:rPr>
              <w:color w:val="auto"/>
              <w:highlight w:val="none"/>
            </w:rPr>
            <w:fldChar w:fldCharType="end"/>
          </w:r>
        </w:p>
        <w:p w14:paraId="2D662692">
          <w:pPr>
            <w:pStyle w:val="36"/>
            <w:tabs>
              <w:tab w:val="right" w:leader="dot" w:pos="9071"/>
              <w:tab w:val="clear" w:pos="9030"/>
            </w:tabs>
            <w:spacing w:line="360" w:lineRule="auto"/>
            <w:jc w:val="left"/>
            <w:rPr>
              <w:color w:val="auto"/>
              <w:highlight w:val="none"/>
            </w:rPr>
          </w:pPr>
          <w:r>
            <w:rPr>
              <w:color w:val="auto"/>
              <w:highlight w:val="none"/>
            </w:rPr>
            <w:fldChar w:fldCharType="begin"/>
          </w:r>
          <w:r>
            <w:rPr>
              <w:color w:val="auto"/>
              <w:highlight w:val="none"/>
            </w:rPr>
            <w:instrText xml:space="preserve"> HYPERLINK \l "_Toc24270" </w:instrText>
          </w:r>
          <w:r>
            <w:rPr>
              <w:color w:val="auto"/>
              <w:highlight w:val="none"/>
            </w:rPr>
            <w:fldChar w:fldCharType="separate"/>
          </w:r>
          <w:r>
            <w:rPr>
              <w:rFonts w:hint="eastAsia" w:asciiTheme="minorEastAsia" w:hAnsiTheme="minorEastAsia" w:eastAsiaTheme="minorEastAsia"/>
              <w:color w:val="auto"/>
              <w:szCs w:val="44"/>
              <w:highlight w:val="none"/>
            </w:rPr>
            <w:t>第五章  技术标准、规范</w:t>
          </w:r>
          <w:r>
            <w:rPr>
              <w:color w:val="auto"/>
              <w:highlight w:val="none"/>
            </w:rPr>
            <w:tab/>
          </w:r>
          <w:r>
            <w:rPr>
              <w:color w:val="auto"/>
              <w:highlight w:val="none"/>
            </w:rPr>
            <w:fldChar w:fldCharType="begin"/>
          </w:r>
          <w:r>
            <w:rPr>
              <w:color w:val="auto"/>
              <w:highlight w:val="none"/>
            </w:rPr>
            <w:instrText xml:space="preserve"> PAGEREF _Toc24270 \h </w:instrText>
          </w:r>
          <w:r>
            <w:rPr>
              <w:color w:val="auto"/>
              <w:highlight w:val="none"/>
            </w:rPr>
            <w:fldChar w:fldCharType="separate"/>
          </w:r>
          <w:r>
            <w:rPr>
              <w:color w:val="auto"/>
              <w:highlight w:val="none"/>
            </w:rPr>
            <w:t>25</w:t>
          </w:r>
          <w:r>
            <w:rPr>
              <w:color w:val="auto"/>
              <w:highlight w:val="none"/>
            </w:rPr>
            <w:fldChar w:fldCharType="end"/>
          </w:r>
          <w:r>
            <w:rPr>
              <w:color w:val="auto"/>
              <w:highlight w:val="none"/>
            </w:rPr>
            <w:fldChar w:fldCharType="end"/>
          </w:r>
        </w:p>
        <w:p w14:paraId="0ADE3138">
          <w:pPr>
            <w:pStyle w:val="36"/>
            <w:tabs>
              <w:tab w:val="right" w:leader="dot" w:pos="9071"/>
              <w:tab w:val="clear" w:pos="9030"/>
            </w:tabs>
            <w:spacing w:line="360" w:lineRule="auto"/>
            <w:jc w:val="left"/>
            <w:rPr>
              <w:color w:val="auto"/>
              <w:highlight w:val="none"/>
            </w:rPr>
          </w:pPr>
          <w:r>
            <w:rPr>
              <w:color w:val="auto"/>
              <w:highlight w:val="none"/>
            </w:rPr>
            <w:fldChar w:fldCharType="begin"/>
          </w:r>
          <w:r>
            <w:rPr>
              <w:color w:val="auto"/>
              <w:highlight w:val="none"/>
            </w:rPr>
            <w:instrText xml:space="preserve"> HYPERLINK \l "_Toc12218" </w:instrText>
          </w:r>
          <w:r>
            <w:rPr>
              <w:color w:val="auto"/>
              <w:highlight w:val="none"/>
            </w:rPr>
            <w:fldChar w:fldCharType="separate"/>
          </w:r>
          <w:r>
            <w:rPr>
              <w:rFonts w:hint="eastAsia" w:asciiTheme="minorEastAsia" w:hAnsiTheme="minorEastAsia" w:eastAsiaTheme="minorEastAsia"/>
              <w:color w:val="auto"/>
              <w:szCs w:val="44"/>
              <w:highlight w:val="none"/>
            </w:rPr>
            <w:t>第六章  合同条款及格式</w:t>
          </w:r>
          <w:r>
            <w:rPr>
              <w:color w:val="auto"/>
              <w:highlight w:val="none"/>
            </w:rPr>
            <w:tab/>
          </w:r>
          <w:r>
            <w:rPr>
              <w:color w:val="auto"/>
              <w:highlight w:val="none"/>
            </w:rPr>
            <w:fldChar w:fldCharType="begin"/>
          </w:r>
          <w:r>
            <w:rPr>
              <w:color w:val="auto"/>
              <w:highlight w:val="none"/>
            </w:rPr>
            <w:instrText xml:space="preserve"> PAGEREF _Toc12218 \h </w:instrText>
          </w:r>
          <w:r>
            <w:rPr>
              <w:color w:val="auto"/>
              <w:highlight w:val="none"/>
            </w:rPr>
            <w:fldChar w:fldCharType="separate"/>
          </w:r>
          <w:r>
            <w:rPr>
              <w:color w:val="auto"/>
              <w:highlight w:val="none"/>
            </w:rPr>
            <w:t>26</w:t>
          </w:r>
          <w:r>
            <w:rPr>
              <w:color w:val="auto"/>
              <w:highlight w:val="none"/>
            </w:rPr>
            <w:fldChar w:fldCharType="end"/>
          </w:r>
          <w:r>
            <w:rPr>
              <w:color w:val="auto"/>
              <w:highlight w:val="none"/>
            </w:rPr>
            <w:fldChar w:fldCharType="end"/>
          </w:r>
        </w:p>
        <w:p w14:paraId="1AD905BA">
          <w:pPr>
            <w:pStyle w:val="36"/>
            <w:tabs>
              <w:tab w:val="right" w:leader="dot" w:pos="9071"/>
              <w:tab w:val="clear" w:pos="9030"/>
            </w:tabs>
            <w:spacing w:line="360" w:lineRule="auto"/>
            <w:jc w:val="left"/>
            <w:rPr>
              <w:color w:val="auto"/>
              <w:highlight w:val="none"/>
            </w:rPr>
          </w:pPr>
          <w:r>
            <w:rPr>
              <w:color w:val="auto"/>
              <w:highlight w:val="none"/>
            </w:rPr>
            <w:fldChar w:fldCharType="begin"/>
          </w:r>
          <w:r>
            <w:rPr>
              <w:color w:val="auto"/>
              <w:highlight w:val="none"/>
            </w:rPr>
            <w:instrText xml:space="preserve"> HYPERLINK \l "_Toc25752" </w:instrText>
          </w:r>
          <w:r>
            <w:rPr>
              <w:color w:val="auto"/>
              <w:highlight w:val="none"/>
            </w:rPr>
            <w:fldChar w:fldCharType="separate"/>
          </w:r>
          <w:r>
            <w:rPr>
              <w:rFonts w:hint="eastAsia" w:asciiTheme="minorEastAsia" w:hAnsiTheme="minorEastAsia" w:eastAsiaTheme="minorEastAsia"/>
              <w:color w:val="auto"/>
              <w:szCs w:val="44"/>
              <w:highlight w:val="none"/>
            </w:rPr>
            <w:t>第七章  磋商响应文件格式</w:t>
          </w:r>
          <w:r>
            <w:rPr>
              <w:color w:val="auto"/>
              <w:highlight w:val="none"/>
            </w:rPr>
            <w:tab/>
          </w:r>
          <w:r>
            <w:rPr>
              <w:color w:val="auto"/>
              <w:highlight w:val="none"/>
            </w:rPr>
            <w:fldChar w:fldCharType="begin"/>
          </w:r>
          <w:r>
            <w:rPr>
              <w:color w:val="auto"/>
              <w:highlight w:val="none"/>
            </w:rPr>
            <w:instrText xml:space="preserve"> PAGEREF _Toc25752 \h </w:instrText>
          </w:r>
          <w:r>
            <w:rPr>
              <w:color w:val="auto"/>
              <w:highlight w:val="none"/>
            </w:rPr>
            <w:fldChar w:fldCharType="separate"/>
          </w:r>
          <w:r>
            <w:rPr>
              <w:color w:val="auto"/>
              <w:highlight w:val="none"/>
            </w:rPr>
            <w:t>70</w:t>
          </w:r>
          <w:r>
            <w:rPr>
              <w:color w:val="auto"/>
              <w:highlight w:val="none"/>
            </w:rPr>
            <w:fldChar w:fldCharType="end"/>
          </w:r>
          <w:r>
            <w:rPr>
              <w:color w:val="auto"/>
              <w:highlight w:val="none"/>
            </w:rPr>
            <w:fldChar w:fldCharType="end"/>
          </w:r>
        </w:p>
        <w:p w14:paraId="17F8A5A0">
          <w:pPr>
            <w:spacing w:line="360" w:lineRule="auto"/>
            <w:jc w:val="left"/>
            <w:rPr>
              <w:rFonts w:asciiTheme="minorEastAsia" w:hAnsiTheme="minorEastAsia" w:eastAsiaTheme="minorEastAsia"/>
              <w:color w:val="auto"/>
              <w:highlight w:val="none"/>
            </w:rPr>
            <w:sectPr>
              <w:headerReference r:id="rId3" w:type="first"/>
              <w:footerReference r:id="rId4" w:type="first"/>
              <w:pgSz w:w="11907" w:h="16840"/>
              <w:pgMar w:top="1304" w:right="1418" w:bottom="1304" w:left="1418" w:header="964" w:footer="737" w:gutter="0"/>
              <w:pgNumType w:start="0"/>
              <w:cols w:space="720" w:num="1"/>
              <w:titlePg/>
              <w:docGrid w:linePitch="312" w:charSpace="0"/>
            </w:sectPr>
          </w:pPr>
          <w:r>
            <w:rPr>
              <w:rFonts w:asciiTheme="minorEastAsia" w:hAnsiTheme="minorEastAsia" w:eastAsiaTheme="minorEastAsia"/>
              <w:color w:val="auto"/>
              <w:highlight w:val="none"/>
            </w:rPr>
            <w:fldChar w:fldCharType="end"/>
          </w:r>
        </w:p>
      </w:sdtContent>
    </w:sdt>
    <w:p w14:paraId="178092E2">
      <w:pPr>
        <w:jc w:val="center"/>
        <w:outlineLvl w:val="0"/>
        <w:rPr>
          <w:b/>
          <w:color w:val="auto"/>
          <w:sz w:val="44"/>
          <w:szCs w:val="44"/>
          <w:highlight w:val="none"/>
        </w:rPr>
      </w:pPr>
      <w:bookmarkStart w:id="0" w:name="_Toc453681413"/>
      <w:bookmarkStart w:id="1" w:name="_Toc20715"/>
      <w:r>
        <w:rPr>
          <w:rFonts w:hint="eastAsia"/>
          <w:b/>
          <w:color w:val="auto"/>
          <w:sz w:val="44"/>
          <w:szCs w:val="44"/>
          <w:highlight w:val="none"/>
        </w:rPr>
        <w:t>第一章 竞争性磋商公告</w:t>
      </w:r>
      <w:bookmarkEnd w:id="0"/>
      <w:bookmarkEnd w:id="1"/>
    </w:p>
    <w:p w14:paraId="7F3EFDA3">
      <w:pPr>
        <w:ind w:right="-512" w:rightChars="-244"/>
        <w:jc w:val="center"/>
        <w:rPr>
          <w:rFonts w:asciiTheme="minorEastAsia" w:hAnsiTheme="minorEastAsia" w:eastAsiaTheme="minorEastAsia"/>
          <w:b/>
          <w:color w:val="auto"/>
          <w:sz w:val="28"/>
          <w:szCs w:val="21"/>
          <w:highlight w:val="none"/>
        </w:rPr>
      </w:pPr>
    </w:p>
    <w:p w14:paraId="4109D7E2">
      <w:pPr>
        <w:ind w:right="-512" w:rightChars="-244"/>
        <w:jc w:val="center"/>
        <w:rPr>
          <w:rFonts w:asciiTheme="minorEastAsia" w:hAnsiTheme="minorEastAsia" w:eastAsiaTheme="minorEastAsia"/>
          <w:b/>
          <w:color w:val="auto"/>
          <w:sz w:val="28"/>
          <w:szCs w:val="21"/>
          <w:highlight w:val="none"/>
        </w:rPr>
      </w:pPr>
      <w:r>
        <w:rPr>
          <w:rFonts w:hint="eastAsia" w:asciiTheme="minorEastAsia" w:hAnsiTheme="minorEastAsia" w:eastAsiaTheme="minorEastAsia"/>
          <w:b/>
          <w:color w:val="auto"/>
          <w:sz w:val="28"/>
          <w:szCs w:val="21"/>
          <w:highlight w:val="none"/>
          <w:lang w:eastAsia="zh-CN"/>
        </w:rPr>
        <w:t>防城港市理工职业学校运动场跑道翻新项目</w:t>
      </w:r>
      <w:r>
        <w:rPr>
          <w:rFonts w:hint="eastAsia" w:asciiTheme="minorEastAsia" w:hAnsiTheme="minorEastAsia" w:eastAsiaTheme="minorEastAsia"/>
          <w:b/>
          <w:color w:val="auto"/>
          <w:sz w:val="28"/>
          <w:szCs w:val="21"/>
          <w:highlight w:val="none"/>
        </w:rPr>
        <w:t>竞争性磋商公告</w:t>
      </w:r>
    </w:p>
    <w:p w14:paraId="734F3CB3">
      <w:pPr>
        <w:pStyle w:val="2"/>
        <w:rPr>
          <w:color w:val="auto"/>
          <w:highlight w:val="none"/>
        </w:rPr>
      </w:pPr>
    </w:p>
    <w:p w14:paraId="554BDCAF">
      <w:pPr>
        <w:pBdr>
          <w:top w:val="single" w:color="auto" w:sz="4" w:space="0"/>
          <w:left w:val="single" w:color="auto" w:sz="4" w:space="4"/>
          <w:bottom w:val="single" w:color="auto" w:sz="4" w:space="1"/>
          <w:right w:val="single" w:color="auto" w:sz="4" w:space="4"/>
        </w:pBdr>
        <w:spacing w:line="380" w:lineRule="exact"/>
        <w:rPr>
          <w:rFonts w:hAnsi="宋体" w:cs="宋体"/>
          <w:color w:val="auto"/>
          <w:szCs w:val="21"/>
          <w:highlight w:val="none"/>
          <w:u w:val="single"/>
        </w:rPr>
      </w:pPr>
      <w:r>
        <w:rPr>
          <w:rFonts w:hint="eastAsia" w:hAnsi="宋体" w:cs="宋体"/>
          <w:color w:val="auto"/>
          <w:szCs w:val="21"/>
          <w:highlight w:val="none"/>
        </w:rPr>
        <w:t>项目概况：</w:t>
      </w:r>
      <w:r>
        <w:rPr>
          <w:rFonts w:hint="eastAsia" w:hAnsi="宋体" w:cs="宋体"/>
          <w:color w:val="auto"/>
          <w:szCs w:val="21"/>
          <w:highlight w:val="none"/>
          <w:u w:val="single"/>
          <w:lang w:eastAsia="zh-CN"/>
        </w:rPr>
        <w:t>防城港市理工职业学校运动场跑道翻新项目</w:t>
      </w:r>
      <w:r>
        <w:rPr>
          <w:rFonts w:hint="eastAsia" w:hAnsi="宋体" w:cs="宋体"/>
          <w:color w:val="auto"/>
          <w:szCs w:val="21"/>
          <w:highlight w:val="none"/>
        </w:rPr>
        <w:t>的潜在供应商应在政采云平台获取采购文件，并在</w:t>
      </w:r>
      <w:r>
        <w:rPr>
          <w:rFonts w:hint="eastAsia" w:hAnsi="宋体" w:cs="宋体"/>
          <w:color w:val="auto"/>
          <w:highlight w:val="none"/>
          <w:lang w:eastAsia="zh-CN"/>
        </w:rPr>
        <w:t>2026年</w:t>
      </w:r>
      <w:r>
        <w:rPr>
          <w:rFonts w:hint="eastAsia" w:hAnsi="宋体" w:cs="宋体"/>
          <w:color w:val="auto"/>
          <w:highlight w:val="none"/>
          <w:lang w:val="en-US" w:eastAsia="zh-CN"/>
        </w:rPr>
        <w:t>8</w:t>
      </w:r>
      <w:r>
        <w:rPr>
          <w:rFonts w:hint="eastAsia" w:hAnsi="宋体" w:cs="宋体"/>
          <w:color w:val="auto"/>
          <w:highlight w:val="none"/>
          <w:lang w:eastAsia="zh-CN"/>
        </w:rPr>
        <w:t>月</w:t>
      </w:r>
      <w:r>
        <w:rPr>
          <w:rFonts w:hint="eastAsia" w:hAnsi="宋体" w:cs="宋体"/>
          <w:color w:val="auto"/>
          <w:highlight w:val="none"/>
          <w:lang w:val="en-US" w:eastAsia="zh-CN"/>
        </w:rPr>
        <w:t>17</w:t>
      </w:r>
      <w:r>
        <w:rPr>
          <w:rFonts w:hint="eastAsia" w:hAnsi="宋体" w:cs="宋体"/>
          <w:color w:val="auto"/>
          <w:highlight w:val="none"/>
          <w:lang w:eastAsia="zh-CN"/>
        </w:rPr>
        <w:t>日</w:t>
      </w:r>
      <w:r>
        <w:rPr>
          <w:rFonts w:hint="eastAsia" w:hAnsi="宋体" w:cs="宋体"/>
          <w:color w:val="auto"/>
          <w:highlight w:val="none"/>
          <w:lang w:val="en-US" w:eastAsia="zh-CN"/>
        </w:rPr>
        <w:t>9时30分</w:t>
      </w:r>
      <w:r>
        <w:rPr>
          <w:rFonts w:hint="eastAsia" w:hAnsi="宋体" w:cs="宋体"/>
          <w:bCs/>
          <w:color w:val="auto"/>
          <w:szCs w:val="21"/>
          <w:highlight w:val="none"/>
        </w:rPr>
        <w:t>（北京时间）前提交响应文件</w:t>
      </w:r>
      <w:r>
        <w:rPr>
          <w:rFonts w:hint="eastAsia" w:hAnsi="宋体" w:cs="宋体"/>
          <w:color w:val="auto"/>
          <w:szCs w:val="21"/>
          <w:highlight w:val="none"/>
        </w:rPr>
        <w:t xml:space="preserve">。 </w:t>
      </w:r>
    </w:p>
    <w:p w14:paraId="1C5C71F3">
      <w:pPr>
        <w:pStyle w:val="51"/>
        <w:snapToGrid w:val="0"/>
        <w:spacing w:before="240" w:beforeLines="100" w:beforeAutospacing="0" w:after="120" w:afterLines="50" w:afterAutospacing="0" w:line="340" w:lineRule="exact"/>
        <w:rPr>
          <w:rFonts w:cs="宋体"/>
          <w:b/>
          <w:bCs/>
          <w:color w:val="auto"/>
          <w:spacing w:val="2"/>
          <w:sz w:val="21"/>
          <w:szCs w:val="21"/>
          <w:highlight w:val="none"/>
        </w:rPr>
      </w:pPr>
      <w:r>
        <w:rPr>
          <w:rFonts w:hint="eastAsia" w:cs="宋体"/>
          <w:b/>
          <w:bCs/>
          <w:color w:val="auto"/>
          <w:spacing w:val="2"/>
          <w:sz w:val="21"/>
          <w:szCs w:val="21"/>
          <w:highlight w:val="none"/>
        </w:rPr>
        <w:t>一、项目基本情况：</w:t>
      </w:r>
    </w:p>
    <w:p w14:paraId="4C3D77CF">
      <w:pPr>
        <w:snapToGrid w:val="0"/>
        <w:spacing w:line="400" w:lineRule="exact"/>
        <w:ind w:firstLine="420" w:firstLineChars="200"/>
        <w:rPr>
          <w:rFonts w:hint="eastAsia" w:hAnsi="宋体" w:eastAsia="宋体" w:cs="宋体"/>
          <w:color w:val="auto"/>
          <w:szCs w:val="21"/>
          <w:highlight w:val="none"/>
          <w:lang w:eastAsia="zh-CN"/>
        </w:rPr>
      </w:pPr>
      <w:r>
        <w:rPr>
          <w:rFonts w:hint="eastAsia" w:hAnsi="宋体" w:cs="宋体"/>
          <w:color w:val="auto"/>
          <w:szCs w:val="21"/>
          <w:highlight w:val="none"/>
        </w:rPr>
        <w:t>项目编号：</w:t>
      </w:r>
      <w:r>
        <w:rPr>
          <w:rFonts w:hint="eastAsia" w:hAnsi="宋体" w:cs="宋体"/>
          <w:color w:val="auto"/>
          <w:szCs w:val="21"/>
          <w:highlight w:val="none"/>
          <w:lang w:eastAsia="zh-CN"/>
        </w:rPr>
        <w:t xml:space="preserve">FCZC2026-C2-990132-GXZB  </w:t>
      </w:r>
    </w:p>
    <w:p w14:paraId="6875D354">
      <w:pPr>
        <w:snapToGrid w:val="0"/>
        <w:spacing w:line="400" w:lineRule="exact"/>
        <w:ind w:firstLine="420" w:firstLineChars="200"/>
        <w:rPr>
          <w:rFonts w:hint="eastAsia" w:hAnsi="宋体" w:eastAsia="宋体" w:cs="宋体"/>
          <w:color w:val="auto"/>
          <w:szCs w:val="21"/>
          <w:highlight w:val="none"/>
          <w:lang w:eastAsia="zh-CN"/>
        </w:rPr>
      </w:pPr>
      <w:r>
        <w:rPr>
          <w:rFonts w:hint="eastAsia" w:hAnsi="宋体" w:cs="宋体"/>
          <w:color w:val="auto"/>
          <w:szCs w:val="21"/>
          <w:highlight w:val="none"/>
        </w:rPr>
        <w:t>项目名称：</w:t>
      </w:r>
      <w:r>
        <w:rPr>
          <w:rFonts w:hint="eastAsia" w:hAnsi="宋体" w:cs="宋体"/>
          <w:color w:val="auto"/>
          <w:szCs w:val="21"/>
          <w:highlight w:val="none"/>
          <w:lang w:eastAsia="zh-CN"/>
        </w:rPr>
        <w:t>防城港市理工职业学校运动场跑道翻新项目</w:t>
      </w:r>
    </w:p>
    <w:p w14:paraId="2525CAC3">
      <w:pPr>
        <w:snapToGrid w:val="0"/>
        <w:spacing w:line="400" w:lineRule="exact"/>
        <w:ind w:firstLine="420" w:firstLineChars="200"/>
        <w:rPr>
          <w:rFonts w:hAnsi="宋体" w:cs="宋体"/>
          <w:color w:val="auto"/>
          <w:szCs w:val="21"/>
          <w:highlight w:val="none"/>
        </w:rPr>
      </w:pPr>
      <w:r>
        <w:rPr>
          <w:rFonts w:hint="eastAsia" w:hAnsi="宋体" w:cs="宋体"/>
          <w:color w:val="auto"/>
          <w:szCs w:val="21"/>
          <w:highlight w:val="none"/>
        </w:rPr>
        <w:t>采购方式：竞争性磋商</w:t>
      </w:r>
    </w:p>
    <w:p w14:paraId="32C05960">
      <w:pPr>
        <w:snapToGrid w:val="0"/>
        <w:spacing w:line="400" w:lineRule="exact"/>
        <w:ind w:firstLine="420" w:firstLineChars="200"/>
        <w:rPr>
          <w:rFonts w:hAnsi="宋体" w:cs="宋体"/>
          <w:color w:val="auto"/>
          <w:szCs w:val="21"/>
          <w:highlight w:val="none"/>
        </w:rPr>
      </w:pPr>
      <w:r>
        <w:rPr>
          <w:rFonts w:hint="eastAsia" w:hAnsi="宋体" w:cs="宋体"/>
          <w:color w:val="auto"/>
          <w:szCs w:val="21"/>
          <w:highlight w:val="none"/>
        </w:rPr>
        <w:t>预算金额（人民币）：</w:t>
      </w:r>
      <w:r>
        <w:rPr>
          <w:rFonts w:hint="eastAsia" w:hAnsi="宋体" w:cs="宋体"/>
          <w:color w:val="auto"/>
          <w:szCs w:val="21"/>
          <w:highlight w:val="none"/>
          <w:lang w:val="en-US" w:eastAsia="zh-CN"/>
        </w:rPr>
        <w:t>壹佰贰拾陆万壹仟柒佰叁拾伍元捌角贰分</w:t>
      </w:r>
      <w:r>
        <w:rPr>
          <w:rFonts w:hint="eastAsia" w:hAnsi="宋体" w:cs="宋体"/>
          <w:color w:val="auto"/>
          <w:szCs w:val="21"/>
          <w:highlight w:val="none"/>
          <w:lang w:eastAsia="zh-CN"/>
        </w:rPr>
        <w:t>（</w:t>
      </w:r>
      <w:r>
        <w:rPr>
          <w:rFonts w:hint="default" w:hAnsi="宋体" w:cs="宋体"/>
          <w:color w:val="auto"/>
          <w:szCs w:val="21"/>
          <w:highlight w:val="none"/>
          <w:lang w:eastAsia="zh-CN"/>
        </w:rPr>
        <w:t>¥</w:t>
      </w:r>
      <w:r>
        <w:rPr>
          <w:rFonts w:hint="eastAsia" w:hAnsi="宋体" w:cs="宋体"/>
          <w:color w:val="auto"/>
          <w:szCs w:val="21"/>
          <w:highlight w:val="none"/>
          <w:lang w:eastAsia="zh-CN"/>
        </w:rPr>
        <w:t>1261735.82）</w:t>
      </w:r>
    </w:p>
    <w:p w14:paraId="7D4A3265">
      <w:pPr>
        <w:snapToGrid w:val="0"/>
        <w:spacing w:line="400" w:lineRule="exact"/>
        <w:ind w:firstLine="420" w:firstLineChars="200"/>
        <w:rPr>
          <w:rFonts w:hAnsi="宋体" w:cs="宋体"/>
          <w:color w:val="auto"/>
          <w:szCs w:val="21"/>
          <w:highlight w:val="none"/>
        </w:rPr>
      </w:pPr>
      <w:r>
        <w:rPr>
          <w:rFonts w:hint="eastAsia" w:hAnsi="宋体" w:cs="宋体"/>
          <w:color w:val="auto"/>
          <w:szCs w:val="21"/>
          <w:highlight w:val="none"/>
        </w:rPr>
        <w:t>最高限价（人民币）：</w:t>
      </w:r>
      <w:r>
        <w:rPr>
          <w:rFonts w:hint="eastAsia" w:hAnsi="宋体" w:cs="宋体"/>
          <w:color w:val="auto"/>
          <w:szCs w:val="21"/>
          <w:highlight w:val="none"/>
          <w:lang w:eastAsia="zh-CN"/>
        </w:rPr>
        <w:t>壹佰贰拾陆万壹仟柒佰叁拾伍元捌角贰分（</w:t>
      </w:r>
      <w:r>
        <w:rPr>
          <w:rFonts w:hint="default" w:hAnsi="宋体" w:cs="宋体"/>
          <w:color w:val="auto"/>
          <w:szCs w:val="21"/>
          <w:highlight w:val="none"/>
          <w:lang w:eastAsia="zh-CN"/>
        </w:rPr>
        <w:t>¥</w:t>
      </w:r>
      <w:r>
        <w:rPr>
          <w:rFonts w:hint="eastAsia" w:hAnsi="宋体" w:cs="宋体"/>
          <w:color w:val="auto"/>
          <w:szCs w:val="21"/>
          <w:highlight w:val="none"/>
          <w:lang w:eastAsia="zh-CN"/>
        </w:rPr>
        <w:t>1261735.82）</w:t>
      </w:r>
    </w:p>
    <w:p w14:paraId="367E8CC2">
      <w:pPr>
        <w:snapToGrid w:val="0"/>
        <w:spacing w:line="400" w:lineRule="exact"/>
        <w:ind w:firstLine="420" w:firstLineChars="200"/>
        <w:rPr>
          <w:rFonts w:hint="eastAsia" w:hAnsi="宋体" w:cs="宋体"/>
          <w:color w:val="auto"/>
          <w:szCs w:val="21"/>
          <w:highlight w:val="none"/>
        </w:rPr>
      </w:pPr>
      <w:r>
        <w:rPr>
          <w:rFonts w:hint="eastAsia" w:hAnsi="宋体" w:cs="宋体"/>
          <w:color w:val="auto"/>
          <w:szCs w:val="21"/>
          <w:highlight w:val="none"/>
        </w:rPr>
        <w:t>采购需求：</w:t>
      </w:r>
      <w:r>
        <w:rPr>
          <w:rFonts w:hint="eastAsia" w:hAnsi="宋体" w:cs="宋体"/>
          <w:color w:val="auto"/>
          <w:szCs w:val="21"/>
          <w:highlight w:val="none"/>
          <w:lang w:eastAsia="zh-CN"/>
        </w:rPr>
        <w:t>防城港市理工职业学校运动场跑道翻新项目。具体内容详见施工图纸和工程量清单。</w:t>
      </w:r>
    </w:p>
    <w:p w14:paraId="347A88FD">
      <w:pPr>
        <w:snapToGrid w:val="0"/>
        <w:spacing w:line="400" w:lineRule="exact"/>
        <w:ind w:firstLine="420" w:firstLineChars="200"/>
        <w:rPr>
          <w:rFonts w:hint="default" w:hAnsi="宋体" w:cs="宋体"/>
          <w:color w:val="auto"/>
          <w:szCs w:val="21"/>
          <w:highlight w:val="none"/>
          <w:u w:val="none"/>
          <w:lang w:val="en-US"/>
        </w:rPr>
      </w:pPr>
      <w:r>
        <w:rPr>
          <w:rFonts w:hint="eastAsia" w:hAnsi="宋体" w:cs="宋体"/>
          <w:color w:val="auto"/>
          <w:szCs w:val="21"/>
          <w:highlight w:val="none"/>
          <w:lang w:eastAsia="zh-CN"/>
        </w:rPr>
        <w:t>施工</w:t>
      </w:r>
      <w:r>
        <w:rPr>
          <w:rFonts w:hint="eastAsia" w:hAnsi="宋体" w:cs="宋体"/>
          <w:color w:val="auto"/>
          <w:szCs w:val="21"/>
          <w:highlight w:val="none"/>
        </w:rPr>
        <w:t>工期：</w:t>
      </w:r>
      <w:r>
        <w:rPr>
          <w:rFonts w:hint="eastAsia" w:hAnsi="宋体" w:eastAsiaTheme="minorEastAsia"/>
          <w:color w:val="auto"/>
          <w:szCs w:val="21"/>
          <w:highlight w:val="none"/>
          <w:u w:val="none"/>
          <w:lang w:val="en-US" w:eastAsia="zh-CN"/>
        </w:rPr>
        <w:t>25日历天</w:t>
      </w:r>
    </w:p>
    <w:p w14:paraId="5E40D69C">
      <w:pPr>
        <w:snapToGrid w:val="0"/>
        <w:spacing w:line="400" w:lineRule="exact"/>
        <w:ind w:firstLine="420" w:firstLineChars="200"/>
        <w:rPr>
          <w:rFonts w:hAnsi="宋体" w:cs="宋体"/>
          <w:color w:val="auto"/>
          <w:szCs w:val="21"/>
          <w:highlight w:val="none"/>
        </w:rPr>
      </w:pPr>
      <w:r>
        <w:rPr>
          <w:rFonts w:hint="eastAsia" w:hAnsi="宋体" w:cs="宋体"/>
          <w:color w:val="auto"/>
          <w:szCs w:val="21"/>
          <w:highlight w:val="none"/>
        </w:rPr>
        <w:t>本项目不接受联合体磋商。</w:t>
      </w:r>
    </w:p>
    <w:p w14:paraId="2FAA112F">
      <w:pPr>
        <w:pStyle w:val="51"/>
        <w:snapToGrid w:val="0"/>
        <w:spacing w:before="240" w:beforeLines="100" w:beforeAutospacing="0" w:after="120" w:afterLines="50" w:afterAutospacing="0" w:line="340" w:lineRule="exact"/>
        <w:rPr>
          <w:rFonts w:cs="宋体"/>
          <w:b/>
          <w:bCs/>
          <w:color w:val="auto"/>
          <w:spacing w:val="2"/>
          <w:sz w:val="21"/>
          <w:szCs w:val="21"/>
          <w:highlight w:val="none"/>
        </w:rPr>
      </w:pPr>
      <w:r>
        <w:rPr>
          <w:rFonts w:hint="eastAsia" w:cs="宋体"/>
          <w:b/>
          <w:bCs/>
          <w:color w:val="auto"/>
          <w:spacing w:val="2"/>
          <w:sz w:val="21"/>
          <w:szCs w:val="21"/>
          <w:highlight w:val="none"/>
        </w:rPr>
        <w:t>二、申请人的资格要求：</w:t>
      </w:r>
    </w:p>
    <w:p w14:paraId="7D819F69">
      <w:pPr>
        <w:snapToGrid w:val="0"/>
        <w:spacing w:line="400" w:lineRule="exact"/>
        <w:ind w:firstLine="420" w:firstLineChars="200"/>
        <w:rPr>
          <w:rFonts w:hAnsi="宋体" w:cs="宋体"/>
          <w:color w:val="auto"/>
          <w:szCs w:val="21"/>
          <w:highlight w:val="none"/>
        </w:rPr>
      </w:pPr>
      <w:r>
        <w:rPr>
          <w:rFonts w:hint="eastAsia" w:hAnsi="宋体" w:cs="宋体"/>
          <w:color w:val="auto"/>
          <w:szCs w:val="21"/>
          <w:highlight w:val="none"/>
        </w:rPr>
        <w:t>1.满足《中华人民共和国政府采购法》第二十二条规定；</w:t>
      </w:r>
    </w:p>
    <w:p w14:paraId="2368FBD0">
      <w:pPr>
        <w:snapToGrid w:val="0"/>
        <w:spacing w:line="400" w:lineRule="exact"/>
        <w:ind w:firstLine="420" w:firstLineChars="200"/>
        <w:rPr>
          <w:rFonts w:hAnsi="宋体" w:cs="宋体"/>
          <w:color w:val="auto"/>
          <w:szCs w:val="21"/>
          <w:highlight w:val="none"/>
        </w:rPr>
      </w:pPr>
      <w:r>
        <w:rPr>
          <w:rFonts w:hint="eastAsia" w:hAnsi="宋体" w:cs="宋体"/>
          <w:color w:val="auto"/>
          <w:szCs w:val="21"/>
          <w:highlight w:val="none"/>
        </w:rPr>
        <w:t>2.落实政府采购政策需满足的资格要求：</w:t>
      </w:r>
      <w:r>
        <w:rPr>
          <w:rFonts w:hint="eastAsia" w:hAnsi="宋体" w:cs="宋体"/>
          <w:color w:val="auto"/>
          <w:szCs w:val="21"/>
          <w:highlight w:val="none"/>
          <w:lang w:eastAsia="zh-CN"/>
        </w:rPr>
        <w:t>本项目为专门面向中小企业采购的项目（供应商应为中型或小型或微型企业，监狱企业、残疾人福利性单位视同小微企业)</w:t>
      </w:r>
      <w:r>
        <w:rPr>
          <w:rFonts w:hint="eastAsia" w:hAnsi="宋体" w:cs="宋体"/>
          <w:color w:val="auto"/>
          <w:szCs w:val="21"/>
          <w:highlight w:val="none"/>
        </w:rPr>
        <w:t>；</w:t>
      </w:r>
    </w:p>
    <w:p w14:paraId="3F5B8CE7">
      <w:pPr>
        <w:snapToGrid w:val="0"/>
        <w:spacing w:line="400" w:lineRule="exact"/>
        <w:ind w:firstLine="420" w:firstLineChars="200"/>
        <w:rPr>
          <w:rFonts w:hAnsi="宋体" w:cs="宋体"/>
          <w:color w:val="auto"/>
          <w:szCs w:val="21"/>
          <w:highlight w:val="none"/>
        </w:rPr>
      </w:pPr>
      <w:r>
        <w:rPr>
          <w:rFonts w:hint="eastAsia" w:hAnsi="宋体" w:cs="宋体"/>
          <w:color w:val="auto"/>
          <w:szCs w:val="21"/>
          <w:highlight w:val="none"/>
        </w:rPr>
        <w:t>3.本项目的特定资格要求：①</w:t>
      </w:r>
      <w:r>
        <w:rPr>
          <w:rFonts w:hint="eastAsia" w:hAnsi="宋体" w:cs="宋体"/>
          <w:color w:val="auto"/>
          <w:szCs w:val="21"/>
          <w:highlight w:val="none"/>
          <w:lang w:eastAsia="zh-CN"/>
        </w:rPr>
        <w:t>具有市政公用工程施工总承包叁级以上(含叁级)资质</w:t>
      </w:r>
      <w:r>
        <w:rPr>
          <w:rFonts w:hint="eastAsia" w:hAnsi="宋体" w:cs="宋体"/>
          <w:color w:val="auto"/>
          <w:szCs w:val="21"/>
          <w:highlight w:val="none"/>
        </w:rPr>
        <w:t>，并在人员、设备、资金等方面具有相应能力的施工企业。</w:t>
      </w:r>
      <w:r>
        <w:rPr>
          <w:rFonts w:hint="default" w:hAnsi="宋体" w:cs="宋体"/>
          <w:color w:val="auto"/>
          <w:szCs w:val="21"/>
          <w:highlight w:val="none"/>
        </w:rPr>
        <w:t>②</w:t>
      </w:r>
      <w:r>
        <w:rPr>
          <w:rFonts w:hint="eastAsia" w:hAnsi="宋体" w:cs="宋体"/>
          <w:color w:val="auto"/>
          <w:szCs w:val="21"/>
          <w:highlight w:val="none"/>
        </w:rPr>
        <w:t>拟投入本项目的项目经理必须是具备[</w:t>
      </w:r>
      <w:r>
        <w:rPr>
          <w:rFonts w:hint="eastAsia" w:hAnsi="宋体" w:cs="宋体"/>
          <w:color w:val="auto"/>
          <w:szCs w:val="21"/>
          <w:highlight w:val="none"/>
          <w:lang w:eastAsia="zh-CN"/>
        </w:rPr>
        <w:t>市政公用工程</w:t>
      </w:r>
      <w:r>
        <w:rPr>
          <w:rFonts w:hint="eastAsia" w:hAnsi="宋体" w:cs="宋体"/>
          <w:color w:val="auto"/>
          <w:szCs w:val="21"/>
          <w:highlight w:val="none"/>
        </w:rPr>
        <w:t>专业贰级]及以上专业注册建造师执业资格，具备有效的安全生产考核合格证书（B类），并为本单位员工。本项目不接受有在建、已中标未开工或已列为其他项目中标候选人第一名的建造师作为项目经理。</w:t>
      </w:r>
    </w:p>
    <w:p w14:paraId="44A92057">
      <w:pPr>
        <w:pStyle w:val="51"/>
        <w:snapToGrid w:val="0"/>
        <w:spacing w:before="240" w:beforeLines="100" w:beforeAutospacing="0" w:after="120" w:afterLines="50" w:afterAutospacing="0" w:line="340" w:lineRule="exact"/>
        <w:rPr>
          <w:rFonts w:cs="宋体"/>
          <w:b/>
          <w:bCs/>
          <w:color w:val="auto"/>
          <w:spacing w:val="2"/>
          <w:sz w:val="21"/>
          <w:szCs w:val="21"/>
          <w:highlight w:val="none"/>
        </w:rPr>
      </w:pPr>
      <w:r>
        <w:rPr>
          <w:rFonts w:hint="eastAsia" w:cs="宋体"/>
          <w:b/>
          <w:bCs/>
          <w:color w:val="auto"/>
          <w:spacing w:val="2"/>
          <w:sz w:val="21"/>
          <w:szCs w:val="21"/>
          <w:highlight w:val="none"/>
        </w:rPr>
        <w:t>三、获取采购文件：</w:t>
      </w:r>
    </w:p>
    <w:p w14:paraId="43EEDFEC">
      <w:pPr>
        <w:snapToGrid w:val="0"/>
        <w:spacing w:line="400" w:lineRule="exact"/>
        <w:ind w:firstLine="420" w:firstLineChars="200"/>
        <w:rPr>
          <w:rFonts w:hAnsi="宋体" w:cs="宋体"/>
          <w:color w:val="auto"/>
          <w:szCs w:val="21"/>
          <w:highlight w:val="none"/>
        </w:rPr>
      </w:pPr>
      <w:r>
        <w:rPr>
          <w:rFonts w:hint="eastAsia" w:hAnsi="宋体" w:cs="宋体"/>
          <w:color w:val="auto"/>
          <w:szCs w:val="21"/>
          <w:highlight w:val="none"/>
        </w:rPr>
        <w:t>时间：</w:t>
      </w:r>
      <w:r>
        <w:rPr>
          <w:rFonts w:hint="eastAsia" w:hAnsi="宋体" w:cs="宋体"/>
          <w:color w:val="auto"/>
          <w:szCs w:val="21"/>
          <w:highlight w:val="none"/>
          <w:lang w:eastAsia="zh-CN"/>
        </w:rPr>
        <w:t>2026年</w:t>
      </w:r>
      <w:r>
        <w:rPr>
          <w:rFonts w:hint="eastAsia" w:hAnsi="宋体" w:cs="宋体"/>
          <w:color w:val="auto"/>
          <w:szCs w:val="21"/>
          <w:highlight w:val="none"/>
          <w:lang w:val="en-US" w:eastAsia="zh-CN"/>
        </w:rPr>
        <w:t>8月6</w:t>
      </w:r>
      <w:r>
        <w:rPr>
          <w:rFonts w:hint="eastAsia" w:hAnsi="宋体" w:cs="宋体"/>
          <w:color w:val="auto"/>
          <w:szCs w:val="21"/>
          <w:highlight w:val="none"/>
        </w:rPr>
        <w:t>日至</w:t>
      </w:r>
      <w:r>
        <w:rPr>
          <w:rFonts w:hint="eastAsia" w:hAnsi="宋体" w:cs="宋体"/>
          <w:color w:val="auto"/>
          <w:szCs w:val="21"/>
          <w:highlight w:val="none"/>
          <w:lang w:eastAsia="zh-CN"/>
        </w:rPr>
        <w:t>2026年</w:t>
      </w:r>
      <w:r>
        <w:rPr>
          <w:rFonts w:hint="eastAsia" w:hAnsi="宋体" w:cs="宋体"/>
          <w:color w:val="auto"/>
          <w:szCs w:val="21"/>
          <w:highlight w:val="none"/>
          <w:lang w:val="en-US" w:eastAsia="zh-CN"/>
        </w:rPr>
        <w:t>8月13</w:t>
      </w:r>
      <w:r>
        <w:rPr>
          <w:rFonts w:hint="eastAsia" w:hAnsi="宋体" w:cs="宋体"/>
          <w:color w:val="auto"/>
          <w:szCs w:val="21"/>
          <w:highlight w:val="none"/>
        </w:rPr>
        <w:t xml:space="preserve">日，每天上午 </w:t>
      </w:r>
      <w:r>
        <w:rPr>
          <w:rFonts w:hint="eastAsia" w:hAnsi="宋体" w:cs="宋体"/>
          <w:color w:val="auto"/>
          <w:szCs w:val="21"/>
          <w:highlight w:val="none"/>
          <w:lang w:val="en-US" w:eastAsia="zh-CN"/>
        </w:rPr>
        <w:t>08</w:t>
      </w:r>
      <w:r>
        <w:rPr>
          <w:rFonts w:hint="eastAsia" w:hAnsi="宋体" w:cs="宋体"/>
          <w:color w:val="auto"/>
          <w:szCs w:val="21"/>
          <w:highlight w:val="none"/>
        </w:rPr>
        <w:t>：00至12：00，下午1</w:t>
      </w:r>
      <w:r>
        <w:rPr>
          <w:rFonts w:hint="eastAsia" w:hAnsi="宋体" w:cs="宋体"/>
          <w:color w:val="auto"/>
          <w:szCs w:val="21"/>
          <w:highlight w:val="none"/>
          <w:lang w:val="en-US" w:eastAsia="zh-CN"/>
        </w:rPr>
        <w:t>5</w:t>
      </w:r>
      <w:r>
        <w:rPr>
          <w:rFonts w:hint="eastAsia" w:hAnsi="宋体" w:cs="宋体"/>
          <w:color w:val="auto"/>
          <w:szCs w:val="21"/>
          <w:highlight w:val="none"/>
        </w:rPr>
        <w:t>：00至</w:t>
      </w:r>
      <w:r>
        <w:rPr>
          <w:rFonts w:hint="eastAsia" w:hAnsi="宋体" w:cs="宋体"/>
          <w:color w:val="auto"/>
          <w:szCs w:val="21"/>
          <w:highlight w:val="none"/>
          <w:lang w:val="en-US" w:eastAsia="zh-CN"/>
        </w:rPr>
        <w:t>18</w:t>
      </w:r>
      <w:r>
        <w:rPr>
          <w:rFonts w:hint="eastAsia" w:hAnsi="宋体" w:cs="宋体"/>
          <w:color w:val="auto"/>
          <w:szCs w:val="21"/>
          <w:highlight w:val="none"/>
        </w:rPr>
        <w:t>：</w:t>
      </w:r>
      <w:r>
        <w:rPr>
          <w:rFonts w:hint="eastAsia" w:hAnsi="宋体" w:cs="宋体"/>
          <w:color w:val="auto"/>
          <w:szCs w:val="21"/>
          <w:highlight w:val="none"/>
          <w:lang w:val="en-US" w:eastAsia="zh-CN"/>
        </w:rPr>
        <w:t>00</w:t>
      </w:r>
      <w:r>
        <w:rPr>
          <w:rFonts w:hint="eastAsia" w:hAnsi="宋体" w:cs="宋体"/>
          <w:color w:val="auto"/>
          <w:szCs w:val="21"/>
          <w:highlight w:val="none"/>
        </w:rPr>
        <w:t>（北京时间，法定节假日除外）</w:t>
      </w:r>
    </w:p>
    <w:p w14:paraId="275E6E66">
      <w:pPr>
        <w:snapToGrid w:val="0"/>
        <w:spacing w:line="400" w:lineRule="exact"/>
        <w:ind w:firstLine="420" w:firstLineChars="200"/>
        <w:rPr>
          <w:rFonts w:hAnsi="宋体" w:cs="宋体"/>
          <w:color w:val="auto"/>
          <w:szCs w:val="21"/>
          <w:highlight w:val="none"/>
        </w:rPr>
      </w:pPr>
      <w:r>
        <w:rPr>
          <w:rFonts w:hint="eastAsia" w:hAnsi="宋体" w:cs="宋体"/>
          <w:color w:val="auto"/>
          <w:szCs w:val="21"/>
          <w:highlight w:val="none"/>
        </w:rPr>
        <w:t>地点：</w:t>
      </w:r>
      <w:r>
        <w:rPr>
          <w:rFonts w:hint="eastAsia" w:hAnsi="宋体" w:cs="宋体"/>
          <w:color w:val="auto"/>
          <w:szCs w:val="21"/>
          <w:highlight w:val="none"/>
          <w:lang w:val="en-US" w:eastAsia="zh-CN"/>
        </w:rPr>
        <w:t>广西政府采购</w:t>
      </w:r>
      <w:r>
        <w:rPr>
          <w:rFonts w:hint="eastAsia" w:hAnsi="宋体" w:cs="宋体"/>
          <w:color w:val="auto"/>
          <w:szCs w:val="21"/>
          <w:highlight w:val="none"/>
        </w:rPr>
        <w:t>云平台</w:t>
      </w:r>
    </w:p>
    <w:p w14:paraId="72AE75F4">
      <w:pPr>
        <w:snapToGrid w:val="0"/>
        <w:spacing w:line="400" w:lineRule="exact"/>
        <w:ind w:firstLine="420" w:firstLineChars="200"/>
        <w:rPr>
          <w:rFonts w:hAnsi="宋体" w:cs="宋体"/>
          <w:color w:val="auto"/>
          <w:szCs w:val="21"/>
          <w:highlight w:val="none"/>
        </w:rPr>
      </w:pPr>
      <w:r>
        <w:rPr>
          <w:rFonts w:hint="eastAsia" w:hAnsi="宋体" w:cs="宋体"/>
          <w:color w:val="auto"/>
          <w:szCs w:val="21"/>
          <w:highlight w:val="none"/>
        </w:rPr>
        <w:t>方式：网上下载。本项目不提供纸质文件，潜在供应商需使用账号登录或者使用CA登录</w:t>
      </w:r>
      <w:r>
        <w:rPr>
          <w:rFonts w:hint="eastAsia" w:hAnsi="宋体" w:cs="宋体"/>
          <w:color w:val="auto"/>
          <w:szCs w:val="21"/>
          <w:highlight w:val="none"/>
          <w:lang w:eastAsia="zh-CN"/>
        </w:rPr>
        <w:t>广西政府采购云平台</w:t>
      </w:r>
      <w:r>
        <w:rPr>
          <w:rFonts w:hint="eastAsia" w:hAnsi="宋体" w:cs="宋体"/>
          <w:color w:val="auto"/>
          <w:szCs w:val="21"/>
          <w:highlight w:val="none"/>
        </w:rPr>
        <w:t>-进入“项目采购”应用，在获取采购文件菜单中选择项目，获取采购文件（或在“政采云电子投标客户端-获取采购文件”跳转到政采云系统获取）。电子响应文件制作需要基于</w:t>
      </w:r>
      <w:r>
        <w:rPr>
          <w:rFonts w:hint="eastAsia" w:hAnsi="宋体" w:cs="宋体"/>
          <w:color w:val="auto"/>
          <w:szCs w:val="21"/>
          <w:highlight w:val="none"/>
          <w:lang w:eastAsia="zh-CN"/>
        </w:rPr>
        <w:t>广西政府采购云平台</w:t>
      </w:r>
      <w:r>
        <w:rPr>
          <w:rFonts w:hint="eastAsia" w:hAnsi="宋体" w:cs="宋体"/>
          <w:color w:val="auto"/>
          <w:szCs w:val="21"/>
          <w:highlight w:val="none"/>
        </w:rPr>
        <w:t>获取的采购文件编制，通过其他方式获取采购文件的，将有可能导致供应商无法在政采云平台编制及上传响应文件。未注册的供应商可登录政采云平台进行注册（政采云平台-商家入驻-注册），如在操作过程中遇到问题或者需要技术支持，请致电客服热线：</w:t>
      </w:r>
      <w:r>
        <w:rPr>
          <w:rFonts w:hint="eastAsia" w:hAnsi="宋体" w:cs="宋体"/>
          <w:color w:val="auto"/>
          <w:szCs w:val="21"/>
          <w:highlight w:val="none"/>
          <w:lang w:eastAsia="zh-CN"/>
        </w:rPr>
        <w:t>95763</w:t>
      </w:r>
      <w:r>
        <w:rPr>
          <w:rFonts w:hint="eastAsia" w:hAnsi="宋体" w:cs="宋体"/>
          <w:color w:val="auto"/>
          <w:szCs w:val="21"/>
          <w:highlight w:val="none"/>
        </w:rPr>
        <w:t>。供应商未按以上时间、方式获取本项目采购文件的，本公司将拒收其响应文件。已获取采购文件的供应商不等于符合本项目的供应商资格。</w:t>
      </w:r>
    </w:p>
    <w:p w14:paraId="151033B8">
      <w:pPr>
        <w:snapToGrid w:val="0"/>
        <w:spacing w:line="400" w:lineRule="exact"/>
        <w:ind w:firstLine="420" w:firstLineChars="200"/>
        <w:rPr>
          <w:rFonts w:hAnsi="宋体" w:cs="宋体"/>
          <w:color w:val="auto"/>
          <w:szCs w:val="21"/>
          <w:highlight w:val="none"/>
        </w:rPr>
      </w:pPr>
      <w:r>
        <w:rPr>
          <w:rFonts w:hint="eastAsia" w:hAnsi="宋体" w:cs="宋体"/>
          <w:color w:val="auto"/>
          <w:szCs w:val="21"/>
          <w:highlight w:val="none"/>
        </w:rPr>
        <w:t>售价：0元。</w:t>
      </w:r>
    </w:p>
    <w:p w14:paraId="2BB89F3B">
      <w:pPr>
        <w:pStyle w:val="51"/>
        <w:snapToGrid w:val="0"/>
        <w:spacing w:before="240" w:beforeLines="100" w:beforeAutospacing="0" w:after="120" w:afterLines="50" w:afterAutospacing="0" w:line="340" w:lineRule="exact"/>
        <w:rPr>
          <w:rFonts w:cs="宋体"/>
          <w:b/>
          <w:bCs/>
          <w:color w:val="auto"/>
          <w:spacing w:val="2"/>
          <w:sz w:val="21"/>
          <w:szCs w:val="21"/>
          <w:highlight w:val="none"/>
        </w:rPr>
      </w:pPr>
      <w:r>
        <w:rPr>
          <w:rFonts w:hint="eastAsia" w:cs="宋体"/>
          <w:b/>
          <w:bCs/>
          <w:color w:val="auto"/>
          <w:spacing w:val="2"/>
          <w:sz w:val="21"/>
          <w:szCs w:val="21"/>
          <w:highlight w:val="none"/>
        </w:rPr>
        <w:t>四、响应文件提交</w:t>
      </w:r>
    </w:p>
    <w:p w14:paraId="25C29120">
      <w:pPr>
        <w:snapToGrid w:val="0"/>
        <w:spacing w:line="400" w:lineRule="exact"/>
        <w:ind w:firstLine="420" w:firstLineChars="200"/>
        <w:rPr>
          <w:rFonts w:hAnsi="宋体" w:cs="宋体"/>
          <w:color w:val="auto"/>
          <w:szCs w:val="21"/>
          <w:highlight w:val="none"/>
        </w:rPr>
      </w:pPr>
      <w:r>
        <w:rPr>
          <w:rFonts w:hint="eastAsia" w:hAnsi="宋体" w:cs="宋体"/>
          <w:color w:val="auto"/>
          <w:szCs w:val="21"/>
          <w:highlight w:val="none"/>
        </w:rPr>
        <w:t>截止时间：</w:t>
      </w:r>
      <w:r>
        <w:rPr>
          <w:rFonts w:hint="eastAsia" w:hAnsi="宋体" w:cs="宋体"/>
          <w:color w:val="auto"/>
          <w:highlight w:val="none"/>
          <w:lang w:eastAsia="zh-CN"/>
        </w:rPr>
        <w:t>2026年</w:t>
      </w:r>
      <w:r>
        <w:rPr>
          <w:rFonts w:hint="eastAsia" w:hAnsi="宋体" w:cs="宋体"/>
          <w:color w:val="auto"/>
          <w:highlight w:val="none"/>
          <w:lang w:val="en-US" w:eastAsia="zh-CN"/>
        </w:rPr>
        <w:t>8</w:t>
      </w:r>
      <w:r>
        <w:rPr>
          <w:rFonts w:hint="eastAsia" w:hAnsi="宋体" w:cs="宋体"/>
          <w:color w:val="auto"/>
          <w:highlight w:val="none"/>
          <w:lang w:eastAsia="zh-CN"/>
        </w:rPr>
        <w:t>月</w:t>
      </w:r>
      <w:r>
        <w:rPr>
          <w:rFonts w:hint="eastAsia" w:hAnsi="宋体" w:cs="宋体"/>
          <w:color w:val="auto"/>
          <w:highlight w:val="none"/>
          <w:lang w:val="en-US" w:eastAsia="zh-CN"/>
        </w:rPr>
        <w:t>17</w:t>
      </w:r>
      <w:r>
        <w:rPr>
          <w:rFonts w:hint="eastAsia" w:hAnsi="宋体" w:cs="宋体"/>
          <w:color w:val="auto"/>
          <w:highlight w:val="none"/>
          <w:lang w:eastAsia="zh-CN"/>
        </w:rPr>
        <w:t>日</w:t>
      </w:r>
      <w:r>
        <w:rPr>
          <w:rFonts w:hint="eastAsia" w:hAnsi="宋体" w:cs="宋体"/>
          <w:color w:val="auto"/>
          <w:highlight w:val="none"/>
          <w:lang w:val="en-US" w:eastAsia="zh-CN"/>
        </w:rPr>
        <w:t>9时30分</w:t>
      </w:r>
      <w:r>
        <w:rPr>
          <w:rFonts w:hint="eastAsia" w:hAnsi="宋体" w:cs="宋体"/>
          <w:color w:val="auto"/>
          <w:szCs w:val="21"/>
          <w:highlight w:val="none"/>
        </w:rPr>
        <w:t>（北京时间）</w:t>
      </w:r>
    </w:p>
    <w:p w14:paraId="03BC9940">
      <w:pPr>
        <w:snapToGrid w:val="0"/>
        <w:spacing w:line="400" w:lineRule="exact"/>
        <w:ind w:firstLine="420" w:firstLineChars="200"/>
        <w:rPr>
          <w:rFonts w:hAnsi="宋体" w:cs="宋体"/>
          <w:color w:val="auto"/>
          <w:szCs w:val="21"/>
          <w:highlight w:val="none"/>
        </w:rPr>
      </w:pPr>
      <w:r>
        <w:rPr>
          <w:rFonts w:hint="eastAsia" w:hAnsi="宋体" w:cs="宋体"/>
          <w:color w:val="auto"/>
          <w:szCs w:val="21"/>
          <w:highlight w:val="none"/>
        </w:rPr>
        <w:t>地点：通过</w:t>
      </w:r>
      <w:r>
        <w:rPr>
          <w:rFonts w:hint="eastAsia" w:hAnsi="宋体" w:cs="宋体"/>
          <w:color w:val="auto"/>
          <w:szCs w:val="21"/>
          <w:highlight w:val="none"/>
          <w:lang w:eastAsia="zh-CN"/>
        </w:rPr>
        <w:t>广西政府采购云平台</w:t>
      </w:r>
      <w:r>
        <w:rPr>
          <w:rFonts w:hint="eastAsia" w:hAnsi="宋体" w:cs="宋体"/>
          <w:color w:val="auto"/>
          <w:szCs w:val="21"/>
          <w:highlight w:val="none"/>
        </w:rPr>
        <w:t>实行在线磋商。</w:t>
      </w:r>
    </w:p>
    <w:p w14:paraId="52E03733">
      <w:pPr>
        <w:pStyle w:val="51"/>
        <w:snapToGrid w:val="0"/>
        <w:spacing w:before="240" w:beforeLines="100" w:beforeAutospacing="0" w:after="120" w:afterLines="50" w:afterAutospacing="0" w:line="340" w:lineRule="exact"/>
        <w:rPr>
          <w:rFonts w:cs="宋体"/>
          <w:b/>
          <w:bCs/>
          <w:color w:val="auto"/>
          <w:spacing w:val="2"/>
          <w:sz w:val="21"/>
          <w:szCs w:val="21"/>
          <w:highlight w:val="none"/>
        </w:rPr>
      </w:pPr>
      <w:r>
        <w:rPr>
          <w:rFonts w:hint="eastAsia" w:cs="宋体"/>
          <w:b/>
          <w:bCs/>
          <w:color w:val="auto"/>
          <w:spacing w:val="2"/>
          <w:sz w:val="21"/>
          <w:szCs w:val="21"/>
          <w:highlight w:val="none"/>
        </w:rPr>
        <w:t>五、开启</w:t>
      </w:r>
    </w:p>
    <w:p w14:paraId="10784438">
      <w:pPr>
        <w:snapToGrid w:val="0"/>
        <w:spacing w:line="400" w:lineRule="exact"/>
        <w:ind w:firstLine="420" w:firstLineChars="200"/>
        <w:rPr>
          <w:rFonts w:hAnsi="宋体" w:cs="宋体"/>
          <w:color w:val="auto"/>
          <w:szCs w:val="21"/>
          <w:highlight w:val="none"/>
        </w:rPr>
      </w:pPr>
      <w:r>
        <w:rPr>
          <w:rFonts w:hint="eastAsia" w:hAnsi="宋体" w:cs="宋体"/>
          <w:color w:val="auto"/>
          <w:szCs w:val="21"/>
          <w:highlight w:val="none"/>
        </w:rPr>
        <w:t>时间：</w:t>
      </w:r>
      <w:r>
        <w:rPr>
          <w:rFonts w:hint="eastAsia" w:hAnsi="宋体" w:cs="宋体"/>
          <w:color w:val="auto"/>
          <w:highlight w:val="none"/>
          <w:lang w:eastAsia="zh-CN"/>
        </w:rPr>
        <w:t>2026年</w:t>
      </w:r>
      <w:r>
        <w:rPr>
          <w:rFonts w:hint="eastAsia" w:hAnsi="宋体" w:cs="宋体"/>
          <w:color w:val="auto"/>
          <w:highlight w:val="none"/>
          <w:lang w:val="en-US" w:eastAsia="zh-CN"/>
        </w:rPr>
        <w:t>8</w:t>
      </w:r>
      <w:r>
        <w:rPr>
          <w:rFonts w:hint="eastAsia" w:hAnsi="宋体" w:cs="宋体"/>
          <w:color w:val="auto"/>
          <w:highlight w:val="none"/>
          <w:lang w:eastAsia="zh-CN"/>
        </w:rPr>
        <w:t>月</w:t>
      </w:r>
      <w:r>
        <w:rPr>
          <w:rFonts w:hint="eastAsia" w:hAnsi="宋体" w:cs="宋体"/>
          <w:color w:val="auto"/>
          <w:highlight w:val="none"/>
          <w:lang w:val="en-US" w:eastAsia="zh-CN"/>
        </w:rPr>
        <w:t>17</w:t>
      </w:r>
      <w:r>
        <w:rPr>
          <w:rFonts w:hint="eastAsia" w:hAnsi="宋体" w:cs="宋体"/>
          <w:color w:val="auto"/>
          <w:highlight w:val="none"/>
          <w:lang w:eastAsia="zh-CN"/>
        </w:rPr>
        <w:t>日</w:t>
      </w:r>
      <w:r>
        <w:rPr>
          <w:rFonts w:hint="eastAsia" w:hAnsi="宋体" w:cs="宋体"/>
          <w:color w:val="auto"/>
          <w:highlight w:val="none"/>
          <w:lang w:val="en-US" w:eastAsia="zh-CN"/>
        </w:rPr>
        <w:t>9时30分</w:t>
      </w:r>
    </w:p>
    <w:p w14:paraId="0157A179">
      <w:pPr>
        <w:snapToGrid w:val="0"/>
        <w:spacing w:line="400" w:lineRule="exact"/>
        <w:ind w:firstLine="420" w:firstLineChars="200"/>
        <w:rPr>
          <w:rFonts w:hAnsi="宋体" w:cs="宋体"/>
          <w:color w:val="auto"/>
          <w:szCs w:val="21"/>
          <w:highlight w:val="none"/>
        </w:rPr>
      </w:pPr>
      <w:r>
        <w:rPr>
          <w:rFonts w:hint="eastAsia" w:hAnsi="宋体" w:cs="宋体"/>
          <w:color w:val="auto"/>
          <w:szCs w:val="21"/>
          <w:highlight w:val="none"/>
        </w:rPr>
        <w:t>地点：</w:t>
      </w:r>
      <w:r>
        <w:rPr>
          <w:rFonts w:hint="eastAsia" w:hAnsi="宋体" w:cs="宋体"/>
          <w:color w:val="auto"/>
          <w:szCs w:val="21"/>
          <w:highlight w:val="none"/>
          <w:lang w:eastAsia="zh-CN"/>
        </w:rPr>
        <w:t>广西政府采购云平台</w:t>
      </w:r>
      <w:r>
        <w:rPr>
          <w:rFonts w:hint="eastAsia" w:hAnsi="宋体" w:cs="宋体"/>
          <w:color w:val="auto"/>
          <w:szCs w:val="21"/>
          <w:highlight w:val="none"/>
        </w:rPr>
        <w:t>电子开标大厅【政府采购开评标室</w:t>
      </w:r>
      <w:r>
        <w:rPr>
          <w:rFonts w:hint="eastAsia" w:hAnsi="宋体" w:cs="宋体"/>
          <w:color w:val="auto"/>
          <w:szCs w:val="21"/>
          <w:highlight w:val="none"/>
          <w:u w:val="single"/>
          <w:lang w:val="en-US" w:eastAsia="zh-CN"/>
        </w:rPr>
        <w:t>2</w:t>
      </w:r>
      <w:r>
        <w:rPr>
          <w:rFonts w:hint="eastAsia" w:hAnsi="宋体" w:cs="宋体"/>
          <w:color w:val="auto"/>
          <w:szCs w:val="21"/>
          <w:highlight w:val="none"/>
        </w:rPr>
        <w:t>】在线解密开启。</w:t>
      </w:r>
    </w:p>
    <w:p w14:paraId="0213322B">
      <w:pPr>
        <w:pStyle w:val="51"/>
        <w:snapToGrid w:val="0"/>
        <w:spacing w:before="240" w:beforeLines="100" w:beforeAutospacing="0" w:after="120" w:afterLines="50" w:afterAutospacing="0" w:line="340" w:lineRule="exact"/>
        <w:rPr>
          <w:rFonts w:cs="宋体"/>
          <w:b/>
          <w:bCs/>
          <w:color w:val="auto"/>
          <w:spacing w:val="2"/>
          <w:sz w:val="21"/>
          <w:szCs w:val="21"/>
          <w:highlight w:val="none"/>
        </w:rPr>
      </w:pPr>
      <w:r>
        <w:rPr>
          <w:rFonts w:hint="eastAsia" w:cs="宋体"/>
          <w:b/>
          <w:bCs/>
          <w:color w:val="auto"/>
          <w:spacing w:val="2"/>
          <w:sz w:val="21"/>
          <w:szCs w:val="21"/>
          <w:highlight w:val="none"/>
        </w:rPr>
        <w:t>六、公告期限</w:t>
      </w:r>
    </w:p>
    <w:p w14:paraId="1B7C48EE">
      <w:pPr>
        <w:snapToGrid w:val="0"/>
        <w:spacing w:line="400" w:lineRule="exact"/>
        <w:ind w:firstLine="420" w:firstLineChars="200"/>
        <w:rPr>
          <w:rFonts w:hAnsi="宋体" w:cs="宋体"/>
          <w:color w:val="auto"/>
          <w:szCs w:val="21"/>
          <w:highlight w:val="none"/>
        </w:rPr>
      </w:pPr>
      <w:r>
        <w:rPr>
          <w:rFonts w:hint="eastAsia" w:hAnsi="宋体" w:cs="宋体"/>
          <w:color w:val="auto"/>
          <w:szCs w:val="21"/>
          <w:highlight w:val="none"/>
        </w:rPr>
        <w:t>自本公告发布之日起3个工作日。</w:t>
      </w:r>
    </w:p>
    <w:p w14:paraId="03DF6DF0">
      <w:pPr>
        <w:pStyle w:val="51"/>
        <w:snapToGrid w:val="0"/>
        <w:spacing w:before="240" w:beforeLines="100" w:beforeAutospacing="0" w:after="120" w:afterLines="50" w:afterAutospacing="0" w:line="340" w:lineRule="exact"/>
        <w:rPr>
          <w:rFonts w:cs="宋体"/>
          <w:b/>
          <w:bCs/>
          <w:color w:val="auto"/>
          <w:spacing w:val="2"/>
          <w:sz w:val="21"/>
          <w:szCs w:val="21"/>
          <w:highlight w:val="none"/>
        </w:rPr>
      </w:pPr>
      <w:r>
        <w:rPr>
          <w:rFonts w:hint="eastAsia" w:cs="宋体"/>
          <w:b/>
          <w:bCs/>
          <w:color w:val="auto"/>
          <w:spacing w:val="2"/>
          <w:sz w:val="21"/>
          <w:szCs w:val="21"/>
          <w:highlight w:val="none"/>
        </w:rPr>
        <w:t>七、其他补充事宜</w:t>
      </w:r>
    </w:p>
    <w:p w14:paraId="3F5024C2">
      <w:pPr>
        <w:keepNext w:val="0"/>
        <w:keepLines w:val="0"/>
        <w:pageBreakBefore w:val="0"/>
        <w:kinsoku/>
        <w:overflowPunct/>
        <w:topLinePunct w:val="0"/>
        <w:autoSpaceDE/>
        <w:autoSpaceDN/>
        <w:bidi w:val="0"/>
        <w:adjustRightInd/>
        <w:snapToGrid/>
        <w:spacing w:line="400" w:lineRule="exact"/>
        <w:ind w:firstLine="420" w:firstLineChars="200"/>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1</w:t>
      </w:r>
      <w:r>
        <w:rPr>
          <w:rFonts w:ascii="宋体" w:hAnsi="宋体" w:cs="宋体"/>
          <w:color w:val="auto"/>
          <w:kern w:val="0"/>
          <w:szCs w:val="21"/>
          <w:highlight w:val="none"/>
        </w:rPr>
        <w:t>.</w:t>
      </w:r>
      <w:r>
        <w:rPr>
          <w:rFonts w:hint="eastAsia" w:ascii="宋体" w:hAnsi="宋体" w:cs="宋体"/>
          <w:color w:val="auto"/>
          <w:kern w:val="0"/>
          <w:szCs w:val="21"/>
          <w:highlight w:val="none"/>
        </w:rPr>
        <w:t>网上查询地址: 中国政府采购网、广西壮族自治区政府采购网</w:t>
      </w:r>
      <w:r>
        <w:rPr>
          <w:rFonts w:hint="eastAsia" w:ascii="宋体" w:hAnsi="宋体" w:cs="宋体"/>
          <w:bCs/>
          <w:color w:val="auto"/>
          <w:kern w:val="0"/>
          <w:szCs w:val="21"/>
          <w:highlight w:val="none"/>
        </w:rPr>
        <w:t>、</w:t>
      </w:r>
      <w:r>
        <w:rPr>
          <w:rFonts w:hint="eastAsia" w:ascii="宋体" w:hAnsi="宋体" w:cs="宋体"/>
          <w:color w:val="auto"/>
          <w:kern w:val="0"/>
          <w:szCs w:val="21"/>
          <w:highlight w:val="none"/>
        </w:rPr>
        <w:t>全国公共资源交易平台（广西·防城港）。</w:t>
      </w:r>
    </w:p>
    <w:p w14:paraId="48566052">
      <w:pPr>
        <w:keepNext w:val="0"/>
        <w:keepLines w:val="0"/>
        <w:pageBreakBefore w:val="0"/>
        <w:kinsoku/>
        <w:overflowPunct/>
        <w:topLinePunct w:val="0"/>
        <w:autoSpaceDE/>
        <w:autoSpaceDN/>
        <w:bidi w:val="0"/>
        <w:adjustRightInd/>
        <w:snapToGrid/>
        <w:spacing w:line="400" w:lineRule="exact"/>
        <w:ind w:firstLine="424" w:firstLineChars="202"/>
        <w:textAlignment w:val="auto"/>
        <w:rPr>
          <w:rFonts w:hint="eastAsia" w:ascii="宋体" w:hAnsi="宋体" w:eastAsia="宋体" w:cs="宋体"/>
          <w:color w:val="auto"/>
          <w:kern w:val="0"/>
          <w:szCs w:val="21"/>
          <w:highlight w:val="none"/>
          <w:lang w:eastAsia="zh-CN"/>
        </w:rPr>
      </w:pPr>
      <w:bookmarkStart w:id="2" w:name="_Hlk37429674"/>
      <w:r>
        <w:rPr>
          <w:rFonts w:hint="eastAsia" w:ascii="宋体" w:hAnsi="宋体"/>
          <w:color w:val="auto"/>
          <w:szCs w:val="21"/>
          <w:highlight w:val="none"/>
        </w:rPr>
        <w:t>2</w:t>
      </w:r>
      <w:r>
        <w:rPr>
          <w:rFonts w:ascii="宋体" w:hAnsi="宋体"/>
          <w:color w:val="auto"/>
          <w:szCs w:val="21"/>
          <w:highlight w:val="none"/>
        </w:rPr>
        <w:t>.</w:t>
      </w:r>
      <w:r>
        <w:rPr>
          <w:rFonts w:hint="eastAsia" w:ascii="宋体" w:hAnsi="宋体" w:cs="宋体"/>
          <w:color w:val="auto"/>
          <w:kern w:val="0"/>
          <w:szCs w:val="21"/>
          <w:highlight w:val="none"/>
        </w:rPr>
        <w:t>本项目需要落实的政府采购政策</w:t>
      </w:r>
    </w:p>
    <w:bookmarkEnd w:id="2"/>
    <w:p w14:paraId="519681C2">
      <w:pPr>
        <w:keepNext w:val="0"/>
        <w:keepLines w:val="0"/>
        <w:pageBreakBefore w:val="0"/>
        <w:widowControl/>
        <w:kinsoku/>
        <w:overflowPunct/>
        <w:topLinePunct w:val="0"/>
        <w:autoSpaceDE/>
        <w:autoSpaceDN/>
        <w:bidi w:val="0"/>
        <w:adjustRightInd/>
        <w:snapToGrid/>
        <w:spacing w:line="400" w:lineRule="exact"/>
        <w:ind w:firstLine="420" w:firstLineChars="200"/>
        <w:jc w:val="left"/>
        <w:textAlignment w:val="auto"/>
        <w:rPr>
          <w:rFonts w:ascii="宋体" w:hAnsi="宋体" w:cs="宋体"/>
          <w:iCs/>
          <w:color w:val="auto"/>
          <w:kern w:val="0"/>
          <w:szCs w:val="21"/>
          <w:highlight w:val="none"/>
        </w:rPr>
      </w:pPr>
      <w:r>
        <w:rPr>
          <w:rFonts w:hint="eastAsia" w:ascii="宋体" w:hAnsi="宋体" w:cs="宋体"/>
          <w:iCs/>
          <w:color w:val="auto"/>
          <w:kern w:val="0"/>
          <w:szCs w:val="21"/>
          <w:highlight w:val="none"/>
        </w:rPr>
        <w:t>（1）政府采购促进中小企业发展。</w:t>
      </w:r>
    </w:p>
    <w:p w14:paraId="56A91530">
      <w:pPr>
        <w:keepNext w:val="0"/>
        <w:keepLines w:val="0"/>
        <w:pageBreakBefore w:val="0"/>
        <w:widowControl/>
        <w:kinsoku/>
        <w:overflowPunct/>
        <w:topLinePunct w:val="0"/>
        <w:autoSpaceDE/>
        <w:autoSpaceDN/>
        <w:bidi w:val="0"/>
        <w:adjustRightInd/>
        <w:snapToGrid/>
        <w:spacing w:line="400" w:lineRule="exact"/>
        <w:ind w:firstLine="420" w:firstLineChars="200"/>
        <w:jc w:val="left"/>
        <w:textAlignment w:val="auto"/>
        <w:rPr>
          <w:rFonts w:ascii="宋体" w:hAnsi="宋体" w:cs="宋体"/>
          <w:iCs/>
          <w:color w:val="auto"/>
          <w:kern w:val="0"/>
          <w:szCs w:val="21"/>
          <w:highlight w:val="none"/>
        </w:rPr>
      </w:pPr>
      <w:r>
        <w:rPr>
          <w:rFonts w:hint="eastAsia" w:ascii="宋体" w:hAnsi="宋体" w:cs="宋体"/>
          <w:iCs/>
          <w:color w:val="auto"/>
          <w:kern w:val="0"/>
          <w:szCs w:val="21"/>
          <w:highlight w:val="none"/>
        </w:rPr>
        <w:t>（2）政府采购支持采用本国产品的政策。</w:t>
      </w:r>
    </w:p>
    <w:p w14:paraId="4CE84E85">
      <w:pPr>
        <w:keepNext w:val="0"/>
        <w:keepLines w:val="0"/>
        <w:pageBreakBefore w:val="0"/>
        <w:widowControl/>
        <w:kinsoku/>
        <w:overflowPunct/>
        <w:topLinePunct w:val="0"/>
        <w:autoSpaceDE/>
        <w:autoSpaceDN/>
        <w:bidi w:val="0"/>
        <w:adjustRightInd/>
        <w:snapToGrid/>
        <w:spacing w:line="400" w:lineRule="exact"/>
        <w:ind w:firstLine="420" w:firstLineChars="200"/>
        <w:jc w:val="left"/>
        <w:textAlignment w:val="auto"/>
        <w:rPr>
          <w:rFonts w:ascii="宋体" w:hAnsi="宋体" w:cs="宋体"/>
          <w:iCs/>
          <w:color w:val="auto"/>
          <w:kern w:val="0"/>
          <w:szCs w:val="21"/>
          <w:highlight w:val="none"/>
        </w:rPr>
      </w:pPr>
      <w:r>
        <w:rPr>
          <w:rFonts w:hint="eastAsia" w:ascii="宋体" w:hAnsi="宋体" w:cs="宋体"/>
          <w:iCs/>
          <w:color w:val="auto"/>
          <w:kern w:val="0"/>
          <w:szCs w:val="21"/>
          <w:highlight w:val="none"/>
        </w:rPr>
        <w:t>（3）强制采购节能产品；优先采购节能产品、环境标志产品。</w:t>
      </w:r>
    </w:p>
    <w:p w14:paraId="416054BC">
      <w:pPr>
        <w:keepNext w:val="0"/>
        <w:keepLines w:val="0"/>
        <w:pageBreakBefore w:val="0"/>
        <w:widowControl/>
        <w:kinsoku/>
        <w:overflowPunct/>
        <w:topLinePunct w:val="0"/>
        <w:autoSpaceDE/>
        <w:autoSpaceDN/>
        <w:bidi w:val="0"/>
        <w:adjustRightInd/>
        <w:snapToGrid/>
        <w:spacing w:line="400" w:lineRule="exact"/>
        <w:ind w:firstLine="420" w:firstLineChars="200"/>
        <w:jc w:val="left"/>
        <w:textAlignment w:val="auto"/>
        <w:rPr>
          <w:rFonts w:ascii="宋体" w:hAnsi="宋体" w:cs="宋体"/>
          <w:iCs/>
          <w:color w:val="auto"/>
          <w:kern w:val="0"/>
          <w:szCs w:val="21"/>
          <w:highlight w:val="none"/>
        </w:rPr>
      </w:pPr>
      <w:r>
        <w:rPr>
          <w:rFonts w:hint="eastAsia" w:ascii="宋体" w:hAnsi="宋体" w:cs="宋体"/>
          <w:iCs/>
          <w:color w:val="auto"/>
          <w:kern w:val="0"/>
          <w:szCs w:val="21"/>
          <w:highlight w:val="none"/>
        </w:rPr>
        <w:t>（4）政府采购促进残疾人就业政策。</w:t>
      </w:r>
    </w:p>
    <w:p w14:paraId="48ED3E82">
      <w:pPr>
        <w:keepNext w:val="0"/>
        <w:keepLines w:val="0"/>
        <w:pageBreakBefore w:val="0"/>
        <w:widowControl/>
        <w:kinsoku/>
        <w:overflowPunct/>
        <w:topLinePunct w:val="0"/>
        <w:autoSpaceDE/>
        <w:autoSpaceDN/>
        <w:bidi w:val="0"/>
        <w:adjustRightInd/>
        <w:snapToGrid/>
        <w:spacing w:line="400" w:lineRule="exact"/>
        <w:ind w:firstLine="420" w:firstLineChars="200"/>
        <w:jc w:val="left"/>
        <w:textAlignment w:val="auto"/>
        <w:rPr>
          <w:rFonts w:hint="eastAsia" w:ascii="宋体" w:hAnsi="宋体" w:cs="宋体"/>
          <w:iCs/>
          <w:color w:val="auto"/>
          <w:kern w:val="0"/>
          <w:szCs w:val="21"/>
          <w:highlight w:val="none"/>
        </w:rPr>
      </w:pPr>
      <w:r>
        <w:rPr>
          <w:rFonts w:hint="eastAsia" w:ascii="宋体" w:hAnsi="宋体" w:cs="宋体"/>
          <w:iCs/>
          <w:color w:val="auto"/>
          <w:kern w:val="0"/>
          <w:szCs w:val="21"/>
          <w:highlight w:val="none"/>
        </w:rPr>
        <w:t>（5）政府采购支持监狱企业发展。</w:t>
      </w:r>
    </w:p>
    <w:p w14:paraId="64D3CC42">
      <w:pPr>
        <w:keepNext w:val="0"/>
        <w:keepLines w:val="0"/>
        <w:pageBreakBefore w:val="0"/>
        <w:widowControl/>
        <w:kinsoku/>
        <w:overflowPunct/>
        <w:topLinePunct w:val="0"/>
        <w:autoSpaceDE/>
        <w:autoSpaceDN/>
        <w:bidi w:val="0"/>
        <w:adjustRightInd/>
        <w:snapToGrid/>
        <w:spacing w:line="400" w:lineRule="exact"/>
        <w:ind w:firstLine="420" w:firstLineChars="200"/>
        <w:jc w:val="left"/>
        <w:textAlignment w:val="auto"/>
        <w:rPr>
          <w:rFonts w:ascii="宋体" w:hAnsi="宋体"/>
          <w:color w:val="auto"/>
          <w:szCs w:val="21"/>
          <w:highlight w:val="none"/>
        </w:rPr>
      </w:pPr>
      <w:r>
        <w:rPr>
          <w:rFonts w:hint="eastAsia" w:ascii="宋体" w:hAnsi="宋体" w:cs="宋体"/>
          <w:color w:val="auto"/>
          <w:kern w:val="0"/>
          <w:szCs w:val="21"/>
          <w:highlight w:val="none"/>
        </w:rPr>
        <w:t>3.供应商</w:t>
      </w:r>
      <w:r>
        <w:rPr>
          <w:rFonts w:hint="eastAsia" w:ascii="宋体" w:hAnsi="宋体"/>
          <w:color w:val="auto"/>
          <w:szCs w:val="21"/>
          <w:highlight w:val="none"/>
        </w:rPr>
        <w:t>竞标注意事项</w:t>
      </w:r>
    </w:p>
    <w:p w14:paraId="71A6B6E2">
      <w:pPr>
        <w:keepNext w:val="0"/>
        <w:keepLines w:val="0"/>
        <w:pageBreakBefore w:val="0"/>
        <w:widowControl/>
        <w:kinsoku/>
        <w:overflowPunct/>
        <w:topLinePunct w:val="0"/>
        <w:autoSpaceDE/>
        <w:autoSpaceDN/>
        <w:bidi w:val="0"/>
        <w:adjustRightInd/>
        <w:snapToGrid/>
        <w:spacing w:line="400" w:lineRule="exact"/>
        <w:ind w:firstLine="525" w:firstLineChars="250"/>
        <w:jc w:val="left"/>
        <w:textAlignment w:val="auto"/>
        <w:rPr>
          <w:rFonts w:hint="eastAsia" w:ascii="宋体" w:hAnsi="宋体"/>
          <w:color w:val="auto"/>
          <w:szCs w:val="21"/>
          <w:highlight w:val="none"/>
        </w:rPr>
      </w:pPr>
      <w:r>
        <w:rPr>
          <w:rFonts w:hint="eastAsia" w:ascii="宋体" w:hAnsi="宋体"/>
          <w:color w:val="auto"/>
          <w:szCs w:val="21"/>
          <w:highlight w:val="none"/>
        </w:rPr>
        <w:t>（1）本项目为全流程电子化采购项目，通过广西政府采购云平台实行在线电子竞标，供应商应按照本项目竞争性磋商文件和广西政府采购云平台的要求编制、加密后在响应文件递交截止时间前通过网络上传至广西政府采购云平台（加密的电子竞标文件是指后缀名为“jm</w:t>
      </w:r>
      <w:r>
        <w:rPr>
          <w:rFonts w:ascii="宋体" w:hAnsi="宋体"/>
          <w:color w:val="auto"/>
          <w:szCs w:val="21"/>
          <w:highlight w:val="none"/>
        </w:rPr>
        <w:t>bs</w:t>
      </w:r>
      <w:r>
        <w:rPr>
          <w:rFonts w:hint="eastAsia" w:ascii="宋体" w:hAnsi="宋体"/>
          <w:color w:val="auto"/>
          <w:szCs w:val="21"/>
          <w:highlight w:val="none"/>
        </w:rPr>
        <w:t>”的文件），</w:t>
      </w:r>
      <w:r>
        <w:rPr>
          <w:rFonts w:hint="eastAsia" w:ascii="宋体" w:hAnsi="宋体"/>
          <w:b/>
          <w:color w:val="auto"/>
          <w:szCs w:val="21"/>
          <w:highlight w:val="none"/>
        </w:rPr>
        <w:t>供应商在</w:t>
      </w:r>
      <w:r>
        <w:rPr>
          <w:rFonts w:hint="eastAsia" w:ascii="宋体" w:hAnsi="宋体"/>
          <w:color w:val="auto"/>
          <w:szCs w:val="21"/>
          <w:highlight w:val="none"/>
        </w:rPr>
        <w:t>广西政府采购云平台</w:t>
      </w:r>
      <w:r>
        <w:rPr>
          <w:rFonts w:hint="eastAsia" w:ascii="宋体" w:hAnsi="宋体"/>
          <w:b/>
          <w:color w:val="auto"/>
          <w:szCs w:val="21"/>
          <w:highlight w:val="none"/>
        </w:rPr>
        <w:t>提交电子响应文件时，请填写参加远程开标活动经办人联系方式。</w:t>
      </w:r>
      <w:r>
        <w:rPr>
          <w:rFonts w:hint="eastAsia" w:ascii="宋体" w:hAnsi="宋体"/>
          <w:color w:val="auto"/>
          <w:szCs w:val="21"/>
          <w:highlight w:val="none"/>
        </w:rPr>
        <w:t>供应商登录广西政府采购云平台，依次进入“服务中心-项目采购-操作流程-电子招投标-</w:t>
      </w:r>
      <w:r>
        <w:rPr>
          <w:rFonts w:ascii="宋体" w:hAnsi="宋体"/>
          <w:color w:val="auto"/>
          <w:szCs w:val="21"/>
          <w:highlight w:val="none"/>
        </w:rPr>
        <w:t>政府采购项目电子交易管理操作指南-供应商</w:t>
      </w:r>
      <w:r>
        <w:rPr>
          <w:rFonts w:hint="eastAsia" w:ascii="宋体" w:hAnsi="宋体"/>
          <w:color w:val="auto"/>
          <w:szCs w:val="21"/>
          <w:highlight w:val="none"/>
        </w:rPr>
        <w:t>”查看电子竞标具体操作流程。</w:t>
      </w:r>
    </w:p>
    <w:p w14:paraId="2D53D7CC">
      <w:pPr>
        <w:keepNext w:val="0"/>
        <w:keepLines w:val="0"/>
        <w:pageBreakBefore w:val="0"/>
        <w:widowControl/>
        <w:kinsoku/>
        <w:overflowPunct/>
        <w:topLinePunct w:val="0"/>
        <w:autoSpaceDE/>
        <w:autoSpaceDN/>
        <w:bidi w:val="0"/>
        <w:adjustRightInd/>
        <w:snapToGrid/>
        <w:spacing w:line="400" w:lineRule="exact"/>
        <w:ind w:firstLine="525" w:firstLineChars="250"/>
        <w:jc w:val="left"/>
        <w:textAlignment w:val="auto"/>
        <w:rPr>
          <w:rFonts w:ascii="宋体" w:hAnsi="宋体"/>
          <w:color w:val="auto"/>
          <w:szCs w:val="21"/>
          <w:highlight w:val="none"/>
        </w:rPr>
      </w:pPr>
      <w:r>
        <w:rPr>
          <w:rFonts w:hint="eastAsia" w:ascii="宋体" w:hAnsi="宋体"/>
          <w:color w:val="auto"/>
          <w:szCs w:val="21"/>
          <w:highlight w:val="none"/>
        </w:rPr>
        <w:t>（2）未进行网上注册并办理数字证书（CA认证）的供应商将无法参与本项目政府采购活动，竞标供应商应当在竞标截止时间前，完成电子交易平台上的CA数字证书办理及响应文件的提交（供应商可登录“广西政府采购网”，依次进入“办事服务-下载专区”或者登录广西政府采购云平台，依次进入“服务中心-入驻与配置”中查看CA数字证书办理操作流程。</w:t>
      </w:r>
      <w:r>
        <w:rPr>
          <w:rFonts w:hint="eastAsia" w:ascii="宋体" w:hAnsi="宋体"/>
          <w:bCs/>
          <w:color w:val="auto"/>
          <w:szCs w:val="21"/>
          <w:highlight w:val="none"/>
        </w:rPr>
        <w:t>如在操作过程中遇到问题或者需要技术支持，请致电客服热线：95763</w:t>
      </w:r>
      <w:r>
        <w:rPr>
          <w:rFonts w:hint="eastAsia" w:ascii="宋体" w:hAnsi="宋体"/>
          <w:color w:val="auto"/>
          <w:szCs w:val="21"/>
          <w:highlight w:val="none"/>
        </w:rPr>
        <w:t>）。</w:t>
      </w:r>
    </w:p>
    <w:p w14:paraId="3A99C2D7">
      <w:pPr>
        <w:keepNext w:val="0"/>
        <w:keepLines w:val="0"/>
        <w:pageBreakBefore w:val="0"/>
        <w:widowControl/>
        <w:kinsoku/>
        <w:overflowPunct/>
        <w:topLinePunct w:val="0"/>
        <w:autoSpaceDE/>
        <w:autoSpaceDN/>
        <w:bidi w:val="0"/>
        <w:adjustRightInd/>
        <w:snapToGrid/>
        <w:spacing w:line="400" w:lineRule="exact"/>
        <w:ind w:firstLine="525" w:firstLineChars="250"/>
        <w:jc w:val="left"/>
        <w:textAlignment w:val="auto"/>
        <w:rPr>
          <w:rFonts w:hint="eastAsia" w:ascii="宋体" w:hAnsi="宋体"/>
          <w:color w:val="auto"/>
          <w:szCs w:val="21"/>
          <w:highlight w:val="none"/>
        </w:rPr>
      </w:pPr>
      <w:r>
        <w:rPr>
          <w:rFonts w:hint="eastAsia" w:ascii="宋体" w:hAnsi="宋体"/>
          <w:color w:val="auto"/>
          <w:szCs w:val="21"/>
          <w:highlight w:val="none"/>
        </w:rPr>
        <w:t>（3）CA证书在线解密：供应商竞标时，需凭制作响应文件时用来加密的有效数字证书（CA认证）登录广西政府采购云平台电子开标大厅现场按规定时间对加密的响应文件进行解密，否则后果自负。</w:t>
      </w:r>
    </w:p>
    <w:p w14:paraId="6BA868A3">
      <w:pPr>
        <w:keepNext w:val="0"/>
        <w:keepLines w:val="0"/>
        <w:pageBreakBefore w:val="0"/>
        <w:widowControl/>
        <w:kinsoku/>
        <w:overflowPunct/>
        <w:topLinePunct w:val="0"/>
        <w:autoSpaceDE/>
        <w:autoSpaceDN/>
        <w:bidi w:val="0"/>
        <w:adjustRightInd/>
        <w:snapToGrid/>
        <w:spacing w:line="400" w:lineRule="exact"/>
        <w:ind w:firstLine="525" w:firstLineChars="250"/>
        <w:jc w:val="left"/>
        <w:textAlignment w:val="auto"/>
        <w:rPr>
          <w:rFonts w:hint="eastAsia" w:ascii="宋体" w:hAnsi="宋体"/>
          <w:color w:val="auto"/>
          <w:szCs w:val="21"/>
          <w:highlight w:val="none"/>
        </w:rPr>
      </w:pPr>
      <w:r>
        <w:rPr>
          <w:rFonts w:hint="eastAsia" w:ascii="宋体" w:hAnsi="宋体"/>
          <w:color w:val="auto"/>
          <w:szCs w:val="21"/>
          <w:highlight w:val="none"/>
        </w:rPr>
        <w:t>注：1）为确保网上操作合法、有效和安全，请供应商确保在电子竞标过程中能够对相关数据电文进行加密和使用电子签章，妥善保管C</w:t>
      </w:r>
      <w:r>
        <w:rPr>
          <w:rFonts w:ascii="宋体" w:hAnsi="宋体"/>
          <w:color w:val="auto"/>
          <w:szCs w:val="21"/>
          <w:highlight w:val="none"/>
        </w:rPr>
        <w:t>A</w:t>
      </w:r>
      <w:r>
        <w:rPr>
          <w:rFonts w:hint="eastAsia" w:ascii="宋体" w:hAnsi="宋体"/>
          <w:color w:val="auto"/>
          <w:szCs w:val="21"/>
          <w:highlight w:val="none"/>
        </w:rPr>
        <w:t>数字证书并使用有效的CA数字证书参与整个竞标活动。2）</w:t>
      </w:r>
      <w:r>
        <w:rPr>
          <w:rFonts w:hint="eastAsia" w:ascii="宋体" w:hAnsi="宋体"/>
          <w:bCs/>
          <w:color w:val="auto"/>
          <w:szCs w:val="21"/>
          <w:highlight w:val="none"/>
        </w:rPr>
        <w:t>供应商应当在响应文件递交截止时间前完成电子响应文件的上传、提交，响应文件递交截止时间前可以补充、修改或者撤回响应文件。补充或者修改响应文件的，应当先行撤回原响应文件，补充、修改后重新上传、提交，响应文件递交截止时间前未完成上传、提交的，视为撤回响应文件。响应文件递交截止时间以后上传递交的响应文件，</w:t>
      </w:r>
      <w:r>
        <w:rPr>
          <w:rFonts w:hint="eastAsia" w:ascii="宋体" w:hAnsi="宋体"/>
          <w:color w:val="auto"/>
          <w:szCs w:val="21"/>
          <w:highlight w:val="none"/>
        </w:rPr>
        <w:t>广西政府采购云平台</w:t>
      </w:r>
      <w:r>
        <w:rPr>
          <w:rFonts w:hint="eastAsia" w:ascii="宋体" w:hAnsi="宋体"/>
          <w:bCs/>
          <w:color w:val="auto"/>
          <w:szCs w:val="21"/>
          <w:highlight w:val="none"/>
        </w:rPr>
        <w:t>将予以拒收。</w:t>
      </w:r>
    </w:p>
    <w:p w14:paraId="14B6336C">
      <w:pPr>
        <w:keepNext w:val="0"/>
        <w:keepLines w:val="0"/>
        <w:pageBreakBefore w:val="0"/>
        <w:widowControl/>
        <w:kinsoku/>
        <w:overflowPunct/>
        <w:topLinePunct w:val="0"/>
        <w:autoSpaceDE/>
        <w:autoSpaceDN/>
        <w:bidi w:val="0"/>
        <w:adjustRightInd/>
        <w:snapToGrid/>
        <w:spacing w:line="400" w:lineRule="exact"/>
        <w:ind w:firstLine="525" w:firstLineChars="250"/>
        <w:jc w:val="left"/>
        <w:textAlignment w:val="auto"/>
        <w:rPr>
          <w:rFonts w:hint="eastAsia" w:ascii="宋体" w:hAnsi="宋体"/>
          <w:bCs/>
          <w:color w:val="auto"/>
          <w:szCs w:val="21"/>
          <w:highlight w:val="none"/>
        </w:rPr>
      </w:pPr>
      <w:r>
        <w:rPr>
          <w:rFonts w:hint="eastAsia" w:ascii="宋体" w:hAnsi="宋体"/>
          <w:bCs/>
          <w:color w:val="auto"/>
          <w:szCs w:val="21"/>
          <w:highlight w:val="none"/>
        </w:rPr>
        <w:t>4.磋商保证金：无。</w:t>
      </w:r>
    </w:p>
    <w:p w14:paraId="7510FC9E">
      <w:pPr>
        <w:keepNext w:val="0"/>
        <w:keepLines w:val="0"/>
        <w:pageBreakBefore w:val="0"/>
        <w:widowControl/>
        <w:kinsoku/>
        <w:overflowPunct/>
        <w:topLinePunct w:val="0"/>
        <w:autoSpaceDE/>
        <w:autoSpaceDN/>
        <w:bidi w:val="0"/>
        <w:adjustRightInd/>
        <w:snapToGrid/>
        <w:spacing w:line="400" w:lineRule="exact"/>
        <w:ind w:firstLine="420" w:firstLineChars="200"/>
        <w:jc w:val="left"/>
        <w:textAlignment w:val="auto"/>
        <w:rPr>
          <w:rFonts w:hint="eastAsia" w:ascii="宋体" w:hAnsi="宋体"/>
          <w:bCs/>
          <w:color w:val="auto"/>
          <w:szCs w:val="21"/>
          <w:highlight w:val="none"/>
        </w:rPr>
      </w:pPr>
      <w:r>
        <w:rPr>
          <w:rFonts w:hint="eastAsia" w:ascii="宋体" w:hAnsi="宋体"/>
          <w:bCs/>
          <w:color w:val="auto"/>
          <w:szCs w:val="21"/>
          <w:highlight w:val="none"/>
        </w:rPr>
        <w:t xml:space="preserve"> 5</w:t>
      </w:r>
      <w:r>
        <w:rPr>
          <w:rFonts w:ascii="宋体" w:hAnsi="宋体"/>
          <w:bCs/>
          <w:color w:val="auto"/>
          <w:szCs w:val="21"/>
          <w:highlight w:val="none"/>
        </w:rPr>
        <w:t>.</w:t>
      </w:r>
      <w:r>
        <w:rPr>
          <w:rFonts w:hint="eastAsia" w:ascii="宋体" w:hAnsi="宋体"/>
          <w:bCs/>
          <w:color w:val="auto"/>
          <w:szCs w:val="21"/>
          <w:highlight w:val="none"/>
        </w:rPr>
        <w:t>监督部门</w:t>
      </w:r>
      <w:r>
        <w:rPr>
          <w:rFonts w:hint="eastAsia" w:ascii="宋体" w:hAnsi="宋体"/>
          <w:bCs/>
          <w:color w:val="auto"/>
          <w:szCs w:val="21"/>
          <w:highlight w:val="none"/>
          <w:lang w:eastAsia="zh-CN"/>
        </w:rPr>
        <w:t>：</w:t>
      </w:r>
      <w:r>
        <w:rPr>
          <w:rFonts w:hint="eastAsia" w:ascii="宋体" w:hAnsi="宋体"/>
          <w:bCs/>
          <w:color w:val="auto"/>
          <w:szCs w:val="21"/>
          <w:highlight w:val="none"/>
        </w:rPr>
        <w:t>防城港市财政局</w:t>
      </w:r>
      <w:r>
        <w:rPr>
          <w:rFonts w:hint="eastAsia" w:ascii="宋体" w:hAnsi="宋体"/>
          <w:bCs/>
          <w:color w:val="auto"/>
          <w:szCs w:val="21"/>
          <w:highlight w:val="none"/>
          <w:lang w:eastAsia="zh-CN"/>
        </w:rPr>
        <w:t>；</w:t>
      </w:r>
      <w:r>
        <w:rPr>
          <w:rFonts w:hint="eastAsia" w:ascii="宋体" w:hAnsi="宋体"/>
          <w:bCs/>
          <w:color w:val="auto"/>
          <w:szCs w:val="21"/>
          <w:highlight w:val="none"/>
        </w:rPr>
        <w:t xml:space="preserve">电话：0770-6102319  </w:t>
      </w:r>
    </w:p>
    <w:p w14:paraId="0B55C273">
      <w:pPr>
        <w:snapToGrid w:val="0"/>
        <w:spacing w:line="400" w:lineRule="exact"/>
        <w:ind w:firstLine="420" w:firstLineChars="200"/>
        <w:rPr>
          <w:rFonts w:hint="eastAsia" w:hAnsi="宋体" w:cs="宋体"/>
          <w:color w:val="auto"/>
          <w:szCs w:val="21"/>
          <w:highlight w:val="none"/>
        </w:rPr>
      </w:pPr>
      <w:r>
        <w:rPr>
          <w:rFonts w:hint="eastAsia" w:ascii="宋体" w:hAnsi="宋体"/>
          <w:bCs/>
          <w:color w:val="auto"/>
          <w:szCs w:val="21"/>
          <w:highlight w:val="none"/>
          <w:lang w:val="en-US" w:eastAsia="zh-CN"/>
        </w:rPr>
        <w:t>6.评标说明：本项目为远程异地全流程电子评标，评标主会场地址：防城港市公共资源交易中心；评标分会场地址：</w:t>
      </w:r>
      <w:r>
        <w:rPr>
          <w:rFonts w:hint="eastAsia" w:hAnsi="宋体"/>
          <w:bCs/>
          <w:color w:val="auto"/>
          <w:szCs w:val="21"/>
          <w:highlight w:val="none"/>
          <w:lang w:val="en-US" w:eastAsia="zh-CN"/>
        </w:rPr>
        <w:t>玉林</w:t>
      </w:r>
      <w:r>
        <w:rPr>
          <w:rFonts w:hint="eastAsia" w:ascii="宋体" w:hAnsi="宋体"/>
          <w:bCs/>
          <w:color w:val="auto"/>
          <w:szCs w:val="21"/>
          <w:highlight w:val="none"/>
          <w:lang w:val="en-US" w:eastAsia="zh-CN"/>
        </w:rPr>
        <w:t>市</w:t>
      </w:r>
      <w:r>
        <w:rPr>
          <w:rFonts w:hint="eastAsia" w:hAnsi="宋体"/>
          <w:bCs/>
          <w:color w:val="auto"/>
          <w:szCs w:val="21"/>
          <w:highlight w:val="none"/>
          <w:lang w:val="en-US" w:eastAsia="zh-CN"/>
        </w:rPr>
        <w:t>博白县</w:t>
      </w:r>
      <w:r>
        <w:rPr>
          <w:rFonts w:hint="eastAsia" w:ascii="宋体" w:hAnsi="宋体"/>
          <w:bCs/>
          <w:color w:val="auto"/>
          <w:szCs w:val="21"/>
          <w:highlight w:val="none"/>
          <w:lang w:val="en-US" w:eastAsia="zh-CN"/>
        </w:rPr>
        <w:t>公共资源交易中心。</w:t>
      </w:r>
    </w:p>
    <w:p w14:paraId="6779A29B">
      <w:pPr>
        <w:pStyle w:val="51"/>
        <w:snapToGrid w:val="0"/>
        <w:spacing w:before="240" w:beforeLines="100" w:beforeAutospacing="0" w:after="120" w:afterLines="50" w:afterAutospacing="0" w:line="340" w:lineRule="exact"/>
        <w:rPr>
          <w:rFonts w:cs="宋体"/>
          <w:b/>
          <w:bCs/>
          <w:color w:val="auto"/>
          <w:spacing w:val="2"/>
          <w:sz w:val="21"/>
          <w:szCs w:val="21"/>
          <w:highlight w:val="none"/>
        </w:rPr>
      </w:pPr>
      <w:r>
        <w:rPr>
          <w:rFonts w:hint="eastAsia" w:cs="宋体"/>
          <w:b/>
          <w:bCs/>
          <w:color w:val="auto"/>
          <w:spacing w:val="2"/>
          <w:sz w:val="21"/>
          <w:szCs w:val="21"/>
          <w:highlight w:val="none"/>
        </w:rPr>
        <w:t>八、凡对本次采购提出询问，请按以下方式联系。</w:t>
      </w:r>
    </w:p>
    <w:p w14:paraId="213F40C2">
      <w:pPr>
        <w:snapToGrid w:val="0"/>
        <w:spacing w:line="400" w:lineRule="exact"/>
        <w:ind w:firstLine="420" w:firstLineChars="200"/>
        <w:rPr>
          <w:rFonts w:hAnsi="宋体" w:cs="宋体"/>
          <w:color w:val="auto"/>
          <w:szCs w:val="21"/>
          <w:highlight w:val="none"/>
        </w:rPr>
      </w:pPr>
      <w:r>
        <w:rPr>
          <w:rFonts w:hint="eastAsia" w:hAnsi="宋体" w:cs="宋体"/>
          <w:color w:val="auto"/>
          <w:szCs w:val="21"/>
          <w:highlight w:val="none"/>
        </w:rPr>
        <w:t>1.采购人信息</w:t>
      </w:r>
    </w:p>
    <w:p w14:paraId="7C98CDFB">
      <w:pPr>
        <w:snapToGrid w:val="0"/>
        <w:spacing w:line="400" w:lineRule="exact"/>
        <w:ind w:firstLine="420" w:firstLineChars="200"/>
        <w:rPr>
          <w:rFonts w:hint="eastAsia" w:hAnsi="宋体" w:eastAsia="宋体" w:cs="宋体"/>
          <w:color w:val="auto"/>
          <w:szCs w:val="21"/>
          <w:highlight w:val="none"/>
          <w:lang w:eastAsia="zh-CN"/>
        </w:rPr>
      </w:pPr>
      <w:r>
        <w:rPr>
          <w:rFonts w:hint="eastAsia" w:hAnsi="宋体" w:cs="宋体"/>
          <w:color w:val="auto"/>
          <w:szCs w:val="21"/>
          <w:highlight w:val="none"/>
        </w:rPr>
        <w:t>名  称：</w:t>
      </w:r>
      <w:r>
        <w:rPr>
          <w:rFonts w:hint="eastAsia" w:hAnsi="宋体" w:cs="宋体"/>
          <w:color w:val="auto"/>
          <w:szCs w:val="21"/>
          <w:highlight w:val="none"/>
          <w:lang w:eastAsia="zh-CN"/>
        </w:rPr>
        <w:t>防城港市理工职业学校</w:t>
      </w:r>
    </w:p>
    <w:p w14:paraId="6CADCD84">
      <w:pPr>
        <w:snapToGrid w:val="0"/>
        <w:spacing w:line="400" w:lineRule="exact"/>
        <w:ind w:firstLine="420" w:firstLineChars="200"/>
        <w:rPr>
          <w:rFonts w:hint="eastAsia" w:hAnsi="宋体" w:eastAsia="宋体" w:cs="宋体"/>
          <w:color w:val="auto"/>
          <w:szCs w:val="21"/>
          <w:highlight w:val="none"/>
          <w:lang w:eastAsia="zh-CN"/>
        </w:rPr>
      </w:pPr>
      <w:r>
        <w:rPr>
          <w:rFonts w:hint="eastAsia" w:hAnsi="宋体" w:cs="宋体"/>
          <w:color w:val="auto"/>
          <w:szCs w:val="21"/>
          <w:highlight w:val="none"/>
        </w:rPr>
        <w:t>地  址：</w:t>
      </w:r>
      <w:r>
        <w:rPr>
          <w:rFonts w:hint="eastAsia" w:ascii="宋体" w:hAnsi="宋体" w:eastAsia="宋体" w:cs="宋体"/>
          <w:color w:val="auto"/>
          <w:sz w:val="21"/>
          <w:szCs w:val="21"/>
          <w:highlight w:val="none"/>
        </w:rPr>
        <w:t>防城港市江山半岛科教园区</w:t>
      </w:r>
    </w:p>
    <w:p w14:paraId="5E0F6595">
      <w:pPr>
        <w:snapToGrid w:val="0"/>
        <w:spacing w:line="400" w:lineRule="exact"/>
        <w:ind w:firstLine="420" w:firstLineChars="200"/>
        <w:rPr>
          <w:rFonts w:hint="eastAsia" w:hAnsi="宋体" w:eastAsia="宋体" w:cs="宋体"/>
          <w:color w:val="auto"/>
          <w:szCs w:val="21"/>
          <w:highlight w:val="none"/>
          <w:lang w:eastAsia="zh-CN"/>
        </w:rPr>
      </w:pPr>
      <w:r>
        <w:rPr>
          <w:rFonts w:hint="eastAsia" w:hAnsi="宋体" w:cs="宋体"/>
          <w:color w:val="auto"/>
          <w:szCs w:val="21"/>
          <w:highlight w:val="none"/>
        </w:rPr>
        <w:t>联系方式：苏攀</w:t>
      </w:r>
      <w:r>
        <w:rPr>
          <w:rFonts w:hint="eastAsia" w:hAnsi="宋体" w:cs="宋体"/>
          <w:color w:val="auto"/>
          <w:szCs w:val="21"/>
          <w:highlight w:val="none"/>
          <w:lang w:eastAsia="zh-CN"/>
        </w:rPr>
        <w:t xml:space="preserve">  </w:t>
      </w:r>
      <w:r>
        <w:rPr>
          <w:rFonts w:hint="eastAsia" w:ascii="宋体" w:hAnsi="宋体" w:eastAsia="宋体" w:cs="宋体"/>
          <w:color w:val="auto"/>
          <w:sz w:val="21"/>
          <w:szCs w:val="21"/>
          <w:highlight w:val="none"/>
        </w:rPr>
        <w:t>0770-</w:t>
      </w:r>
      <w:r>
        <w:rPr>
          <w:rFonts w:hint="eastAsia" w:hAnsi="宋体" w:cs="宋体"/>
          <w:color w:val="auto"/>
          <w:sz w:val="21"/>
          <w:szCs w:val="21"/>
          <w:highlight w:val="none"/>
          <w:lang w:eastAsia="zh-CN"/>
        </w:rPr>
        <w:t>2810101</w:t>
      </w:r>
    </w:p>
    <w:p w14:paraId="5EF3136D">
      <w:pPr>
        <w:snapToGrid w:val="0"/>
        <w:spacing w:line="400" w:lineRule="exact"/>
        <w:ind w:firstLine="420" w:firstLineChars="200"/>
        <w:rPr>
          <w:rFonts w:hAnsi="宋体" w:cs="宋体"/>
          <w:color w:val="auto"/>
          <w:szCs w:val="21"/>
          <w:highlight w:val="none"/>
        </w:rPr>
      </w:pPr>
      <w:r>
        <w:rPr>
          <w:rFonts w:hint="eastAsia" w:hAnsi="宋体" w:cs="宋体"/>
          <w:color w:val="auto"/>
          <w:szCs w:val="21"/>
          <w:highlight w:val="none"/>
        </w:rPr>
        <w:t>2.采购代理机构信息</w:t>
      </w:r>
    </w:p>
    <w:p w14:paraId="11B473EA">
      <w:pPr>
        <w:snapToGrid w:val="0"/>
        <w:spacing w:line="400" w:lineRule="exact"/>
        <w:ind w:firstLine="420" w:firstLineChars="200"/>
        <w:rPr>
          <w:rFonts w:hint="eastAsia" w:hAnsi="宋体" w:eastAsia="宋体" w:cs="宋体"/>
          <w:color w:val="auto"/>
          <w:szCs w:val="21"/>
          <w:highlight w:val="none"/>
          <w:lang w:eastAsia="zh-CN"/>
        </w:rPr>
      </w:pPr>
      <w:r>
        <w:rPr>
          <w:rFonts w:hint="eastAsia" w:hAnsi="宋体" w:cs="宋体"/>
          <w:color w:val="auto"/>
          <w:szCs w:val="21"/>
          <w:highlight w:val="none"/>
        </w:rPr>
        <w:t>名  称：</w:t>
      </w:r>
      <w:r>
        <w:rPr>
          <w:rFonts w:hint="eastAsia" w:hAnsi="宋体" w:cs="宋体"/>
          <w:color w:val="auto"/>
          <w:szCs w:val="21"/>
          <w:highlight w:val="none"/>
          <w:lang w:eastAsia="zh-CN"/>
        </w:rPr>
        <w:t>广西港兴招标代理有限公司</w:t>
      </w:r>
    </w:p>
    <w:p w14:paraId="6EBDA0A3">
      <w:pPr>
        <w:snapToGrid w:val="0"/>
        <w:spacing w:line="400" w:lineRule="exact"/>
        <w:ind w:firstLine="420" w:firstLineChars="200"/>
        <w:rPr>
          <w:rFonts w:hint="eastAsia" w:hAnsi="宋体" w:eastAsia="宋体" w:cs="宋体"/>
          <w:color w:val="auto"/>
          <w:szCs w:val="21"/>
          <w:highlight w:val="none"/>
          <w:lang w:eastAsia="zh-CN"/>
        </w:rPr>
      </w:pPr>
      <w:r>
        <w:rPr>
          <w:rFonts w:hint="eastAsia" w:hAnsi="宋体" w:cs="宋体"/>
          <w:color w:val="auto"/>
          <w:szCs w:val="21"/>
          <w:highlight w:val="none"/>
        </w:rPr>
        <w:t>地  址：</w:t>
      </w:r>
      <w:r>
        <w:rPr>
          <w:rFonts w:hint="eastAsia" w:hAnsi="宋体" w:cs="宋体"/>
          <w:color w:val="auto"/>
          <w:szCs w:val="21"/>
          <w:highlight w:val="none"/>
          <w:lang w:eastAsia="zh-CN"/>
        </w:rPr>
        <w:t>防城港市港口区兴港大道48-3号3楼</w:t>
      </w:r>
    </w:p>
    <w:p w14:paraId="5EDB8987">
      <w:pPr>
        <w:snapToGrid w:val="0"/>
        <w:spacing w:line="400" w:lineRule="exact"/>
        <w:ind w:firstLine="420" w:firstLineChars="200"/>
        <w:rPr>
          <w:rFonts w:hint="eastAsia" w:hAnsi="宋体" w:eastAsia="宋体" w:cs="宋体"/>
          <w:color w:val="auto"/>
          <w:szCs w:val="21"/>
          <w:highlight w:val="none"/>
          <w:lang w:eastAsia="zh-CN"/>
        </w:rPr>
      </w:pPr>
      <w:r>
        <w:rPr>
          <w:rFonts w:hint="eastAsia" w:hAnsi="宋体" w:cs="宋体"/>
          <w:color w:val="auto"/>
          <w:szCs w:val="21"/>
          <w:highlight w:val="none"/>
        </w:rPr>
        <w:t>联系方式：</w:t>
      </w:r>
      <w:r>
        <w:rPr>
          <w:rFonts w:hint="eastAsia" w:hAnsi="宋体" w:cs="宋体"/>
          <w:color w:val="auto"/>
          <w:highlight w:val="none"/>
          <w:lang w:eastAsia="zh-CN"/>
        </w:rPr>
        <w:t>梁进华</w:t>
      </w:r>
      <w:r>
        <w:rPr>
          <w:rFonts w:hint="eastAsia" w:ascii="宋体" w:hAnsi="宋体" w:cs="宋体"/>
          <w:color w:val="auto"/>
          <w:highlight w:val="none"/>
          <w:lang w:val="en-US" w:eastAsia="zh-CN"/>
        </w:rPr>
        <w:t xml:space="preserve">  </w:t>
      </w:r>
      <w:r>
        <w:rPr>
          <w:rFonts w:hint="eastAsia" w:hAnsi="宋体" w:cs="宋体"/>
          <w:color w:val="auto"/>
          <w:highlight w:val="none"/>
          <w:lang w:val="en-US" w:eastAsia="zh-CN"/>
        </w:rPr>
        <w:t>0770-3838088</w:t>
      </w:r>
    </w:p>
    <w:p w14:paraId="5282F01E">
      <w:pPr>
        <w:snapToGrid w:val="0"/>
        <w:spacing w:line="400" w:lineRule="exact"/>
        <w:ind w:firstLine="420" w:firstLineChars="200"/>
        <w:rPr>
          <w:rFonts w:hAnsi="宋体" w:cs="宋体"/>
          <w:color w:val="auto"/>
          <w:szCs w:val="21"/>
          <w:highlight w:val="none"/>
        </w:rPr>
      </w:pPr>
      <w:r>
        <w:rPr>
          <w:rFonts w:hint="eastAsia" w:hAnsi="宋体" w:cs="宋体"/>
          <w:color w:val="auto"/>
          <w:szCs w:val="21"/>
          <w:highlight w:val="none"/>
        </w:rPr>
        <w:t>3.项目联系方式</w:t>
      </w:r>
    </w:p>
    <w:p w14:paraId="78031378">
      <w:pPr>
        <w:snapToGrid w:val="0"/>
        <w:spacing w:line="400" w:lineRule="exact"/>
        <w:ind w:firstLine="420" w:firstLineChars="200"/>
        <w:rPr>
          <w:rFonts w:hint="eastAsia" w:hAnsi="宋体" w:eastAsia="宋体" w:cs="宋体"/>
          <w:color w:val="auto"/>
          <w:szCs w:val="21"/>
          <w:highlight w:val="none"/>
          <w:lang w:eastAsia="zh-CN"/>
        </w:rPr>
      </w:pPr>
      <w:r>
        <w:rPr>
          <w:rFonts w:hint="eastAsia" w:hAnsi="宋体" w:cs="宋体"/>
          <w:color w:val="auto"/>
          <w:szCs w:val="21"/>
          <w:highlight w:val="none"/>
        </w:rPr>
        <w:t>项目联系人：</w:t>
      </w:r>
      <w:r>
        <w:rPr>
          <w:rFonts w:hint="eastAsia" w:hAnsi="宋体" w:cs="宋体"/>
          <w:color w:val="auto"/>
          <w:highlight w:val="none"/>
          <w:lang w:eastAsia="zh-CN"/>
        </w:rPr>
        <w:t>梁进华</w:t>
      </w:r>
    </w:p>
    <w:p w14:paraId="52B95A25">
      <w:pPr>
        <w:snapToGrid w:val="0"/>
        <w:spacing w:line="400" w:lineRule="exact"/>
        <w:ind w:firstLine="420" w:firstLineChars="200"/>
        <w:rPr>
          <w:rFonts w:hint="eastAsia" w:hAnsi="宋体" w:eastAsia="宋体" w:cs="宋体"/>
          <w:color w:val="auto"/>
          <w:szCs w:val="21"/>
          <w:highlight w:val="none"/>
          <w:lang w:eastAsia="zh-CN"/>
        </w:rPr>
      </w:pPr>
      <w:r>
        <w:rPr>
          <w:rFonts w:hint="eastAsia" w:hAnsi="宋体" w:cs="宋体"/>
          <w:color w:val="auto"/>
          <w:szCs w:val="21"/>
          <w:highlight w:val="none"/>
        </w:rPr>
        <w:t>电  话：</w:t>
      </w:r>
      <w:r>
        <w:rPr>
          <w:rFonts w:hint="eastAsia" w:hAnsi="宋体" w:cs="宋体"/>
          <w:color w:val="auto"/>
          <w:highlight w:val="none"/>
          <w:lang w:val="en-US" w:eastAsia="zh-CN"/>
        </w:rPr>
        <w:t>0770-</w:t>
      </w:r>
      <w:r>
        <w:rPr>
          <w:rFonts w:hint="eastAsia" w:ascii="宋体" w:hAnsi="宋体"/>
          <w:color w:val="auto"/>
          <w:kern w:val="0"/>
          <w:szCs w:val="21"/>
          <w:highlight w:val="none"/>
        </w:rPr>
        <w:t>3838088</w:t>
      </w:r>
    </w:p>
    <w:p w14:paraId="70247C88">
      <w:pPr>
        <w:snapToGrid w:val="0"/>
        <w:spacing w:line="400" w:lineRule="exact"/>
        <w:ind w:firstLine="420" w:firstLineChars="200"/>
        <w:jc w:val="right"/>
        <w:rPr>
          <w:rFonts w:hAnsi="宋体" w:cs="宋体"/>
          <w:color w:val="auto"/>
          <w:szCs w:val="21"/>
          <w:highlight w:val="none"/>
        </w:rPr>
      </w:pPr>
    </w:p>
    <w:p w14:paraId="573E8A9B">
      <w:pPr>
        <w:wordWrap w:val="0"/>
        <w:snapToGrid w:val="0"/>
        <w:spacing w:line="400" w:lineRule="exact"/>
        <w:ind w:firstLine="420" w:firstLineChars="200"/>
        <w:jc w:val="right"/>
        <w:rPr>
          <w:rFonts w:hint="eastAsia" w:hAnsi="宋体" w:cs="宋体"/>
          <w:color w:val="auto"/>
          <w:szCs w:val="21"/>
          <w:highlight w:val="none"/>
        </w:rPr>
      </w:pPr>
      <w:r>
        <w:rPr>
          <w:rFonts w:hint="eastAsia" w:hAnsi="宋体" w:cs="宋体"/>
          <w:color w:val="auto"/>
          <w:szCs w:val="21"/>
          <w:highlight w:val="none"/>
          <w:lang w:eastAsia="zh-CN"/>
        </w:rPr>
        <w:t>采购人：防城港市理工职业学校</w:t>
      </w:r>
    </w:p>
    <w:p w14:paraId="01DADD6E">
      <w:pPr>
        <w:wordWrap w:val="0"/>
        <w:snapToGrid w:val="0"/>
        <w:spacing w:line="400" w:lineRule="exact"/>
        <w:ind w:firstLine="420" w:firstLineChars="200"/>
        <w:jc w:val="right"/>
        <w:rPr>
          <w:rFonts w:hint="eastAsia" w:hAnsi="宋体" w:cs="宋体"/>
          <w:color w:val="auto"/>
          <w:szCs w:val="21"/>
          <w:highlight w:val="none"/>
          <w:lang w:eastAsia="zh-CN"/>
        </w:rPr>
      </w:pPr>
      <w:r>
        <w:rPr>
          <w:rFonts w:hint="eastAsia" w:hAnsi="宋体" w:cs="宋体"/>
          <w:color w:val="auto"/>
          <w:szCs w:val="21"/>
          <w:highlight w:val="none"/>
          <w:lang w:eastAsia="zh-CN"/>
        </w:rPr>
        <w:t>采购代理机构：广西港兴招标代理有限公司</w:t>
      </w:r>
    </w:p>
    <w:p w14:paraId="101E76FC">
      <w:pPr>
        <w:wordWrap w:val="0"/>
        <w:snapToGrid w:val="0"/>
        <w:spacing w:line="400" w:lineRule="exact"/>
        <w:ind w:firstLine="420" w:firstLineChars="200"/>
        <w:jc w:val="right"/>
        <w:rPr>
          <w:rFonts w:hAnsi="宋体" w:cs="宋体"/>
          <w:color w:val="auto"/>
          <w:szCs w:val="21"/>
          <w:highlight w:val="none"/>
        </w:rPr>
      </w:pPr>
      <w:r>
        <w:rPr>
          <w:rFonts w:hint="eastAsia" w:hAnsi="宋体" w:cs="宋体"/>
          <w:color w:val="auto"/>
          <w:szCs w:val="21"/>
          <w:highlight w:val="none"/>
          <w:lang w:eastAsia="zh-CN"/>
        </w:rPr>
        <w:t>2026年</w:t>
      </w:r>
      <w:r>
        <w:rPr>
          <w:rFonts w:hint="eastAsia" w:hAnsi="宋体" w:cs="宋体"/>
          <w:color w:val="auto"/>
          <w:szCs w:val="21"/>
          <w:highlight w:val="none"/>
          <w:lang w:val="en-US" w:eastAsia="zh-CN"/>
        </w:rPr>
        <w:t>8月6</w:t>
      </w:r>
      <w:r>
        <w:rPr>
          <w:rFonts w:hint="eastAsia" w:hAnsi="宋体" w:cs="宋体"/>
          <w:color w:val="auto"/>
          <w:szCs w:val="21"/>
          <w:highlight w:val="none"/>
        </w:rPr>
        <w:t>日</w:t>
      </w:r>
    </w:p>
    <w:p w14:paraId="00174757">
      <w:pPr>
        <w:spacing w:line="360" w:lineRule="auto"/>
        <w:jc w:val="center"/>
        <w:outlineLvl w:val="0"/>
        <w:rPr>
          <w:rFonts w:asciiTheme="minorEastAsia" w:hAnsiTheme="minorEastAsia" w:eastAsiaTheme="minorEastAsia"/>
          <w:b/>
          <w:color w:val="auto"/>
          <w:sz w:val="32"/>
          <w:szCs w:val="32"/>
          <w:highlight w:val="none"/>
        </w:rPr>
      </w:pPr>
      <w:bookmarkStart w:id="3" w:name="_Toc108835633"/>
      <w:bookmarkStart w:id="4" w:name="_Toc108836044"/>
      <w:r>
        <w:rPr>
          <w:rFonts w:hint="eastAsia" w:asciiTheme="minorEastAsia" w:hAnsiTheme="minorEastAsia" w:eastAsiaTheme="minorEastAsia"/>
          <w:color w:val="auto"/>
          <w:highlight w:val="none"/>
        </w:rPr>
        <w:br w:type="page"/>
      </w:r>
      <w:bookmarkStart w:id="5" w:name="_Toc11645"/>
      <w:bookmarkStart w:id="6" w:name="_Toc453681414"/>
      <w:r>
        <w:rPr>
          <w:rFonts w:hint="eastAsia" w:asciiTheme="minorEastAsia" w:hAnsiTheme="minorEastAsia" w:eastAsiaTheme="minorEastAsia"/>
          <w:b/>
          <w:color w:val="auto"/>
          <w:sz w:val="44"/>
          <w:szCs w:val="44"/>
          <w:highlight w:val="none"/>
        </w:rPr>
        <w:t>第二章  磋商须知及前附表</w:t>
      </w:r>
      <w:bookmarkEnd w:id="5"/>
    </w:p>
    <w:p w14:paraId="011CC252">
      <w:pPr>
        <w:spacing w:line="360" w:lineRule="auto"/>
        <w:jc w:val="center"/>
        <w:rPr>
          <w:rFonts w:asciiTheme="minorEastAsia" w:hAnsiTheme="minorEastAsia" w:eastAsiaTheme="minorEastAsia"/>
          <w:b/>
          <w:color w:val="auto"/>
          <w:sz w:val="30"/>
          <w:szCs w:val="30"/>
          <w:highlight w:val="none"/>
        </w:rPr>
      </w:pPr>
      <w:r>
        <w:rPr>
          <w:rFonts w:hint="eastAsia" w:asciiTheme="minorEastAsia" w:hAnsiTheme="minorEastAsia" w:eastAsiaTheme="minorEastAsia"/>
          <w:b/>
          <w:color w:val="auto"/>
          <w:sz w:val="30"/>
          <w:szCs w:val="30"/>
          <w:highlight w:val="none"/>
        </w:rPr>
        <w:t>磋商须知前附表</w:t>
      </w:r>
    </w:p>
    <w:tbl>
      <w:tblPr>
        <w:tblStyle w:val="57"/>
        <w:tblW w:w="9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6"/>
        <w:gridCol w:w="945"/>
        <w:gridCol w:w="7390"/>
      </w:tblGrid>
      <w:tr w14:paraId="5EEBE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726" w:type="dxa"/>
          </w:tcPr>
          <w:p w14:paraId="62C0018B">
            <w:pPr>
              <w:jc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序号</w:t>
            </w:r>
          </w:p>
        </w:tc>
        <w:tc>
          <w:tcPr>
            <w:tcW w:w="945" w:type="dxa"/>
          </w:tcPr>
          <w:p w14:paraId="4AF09857">
            <w:pPr>
              <w:jc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条款号</w:t>
            </w:r>
          </w:p>
        </w:tc>
        <w:tc>
          <w:tcPr>
            <w:tcW w:w="7390" w:type="dxa"/>
          </w:tcPr>
          <w:p w14:paraId="49F93688">
            <w:pPr>
              <w:jc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内    容</w:t>
            </w:r>
          </w:p>
        </w:tc>
      </w:tr>
      <w:tr w14:paraId="5E567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726" w:type="dxa"/>
            <w:vAlign w:val="center"/>
          </w:tcPr>
          <w:p w14:paraId="2B3BC03E">
            <w:pPr>
              <w:spacing w:line="400" w:lineRule="exact"/>
              <w:jc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w:t>
            </w:r>
          </w:p>
        </w:tc>
        <w:tc>
          <w:tcPr>
            <w:tcW w:w="945" w:type="dxa"/>
            <w:vAlign w:val="center"/>
          </w:tcPr>
          <w:p w14:paraId="00CB2215">
            <w:pPr>
              <w:spacing w:line="400" w:lineRule="exact"/>
              <w:jc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w:t>
            </w:r>
          </w:p>
        </w:tc>
        <w:tc>
          <w:tcPr>
            <w:tcW w:w="7390" w:type="dxa"/>
            <w:vAlign w:val="center"/>
          </w:tcPr>
          <w:p w14:paraId="5CCD0D7C">
            <w:pPr>
              <w:spacing w:line="400" w:lineRule="exact"/>
              <w:rPr>
                <w:rFonts w:hint="eastAsia" w:asciiTheme="minorEastAsia" w:hAnsiTheme="minorEastAsia" w:eastAsiaTheme="minorEastAsia"/>
                <w:color w:val="auto"/>
                <w:szCs w:val="21"/>
                <w:highlight w:val="none"/>
                <w:lang w:eastAsia="zh-CN"/>
              </w:rPr>
            </w:pPr>
            <w:r>
              <w:rPr>
                <w:rFonts w:hint="eastAsia" w:asciiTheme="minorEastAsia" w:hAnsiTheme="minorEastAsia" w:eastAsiaTheme="minorEastAsia"/>
                <w:color w:val="auto"/>
                <w:szCs w:val="21"/>
                <w:highlight w:val="none"/>
              </w:rPr>
              <w:t>项目名称：</w:t>
            </w:r>
            <w:r>
              <w:rPr>
                <w:rFonts w:hint="eastAsia" w:asciiTheme="minorEastAsia" w:hAnsiTheme="minorEastAsia" w:eastAsiaTheme="minorEastAsia"/>
                <w:color w:val="auto"/>
                <w:szCs w:val="21"/>
                <w:highlight w:val="none"/>
                <w:lang w:eastAsia="zh-CN"/>
              </w:rPr>
              <w:t>防城港市理工职业学校运动场跑道翻新项目</w:t>
            </w:r>
          </w:p>
          <w:p w14:paraId="34EF938C">
            <w:pPr>
              <w:spacing w:line="400" w:lineRule="exact"/>
              <w:rPr>
                <w:rFonts w:hint="eastAsia" w:asciiTheme="minorEastAsia" w:hAnsiTheme="minorEastAsia" w:eastAsiaTheme="minorEastAsia"/>
                <w:color w:val="auto"/>
                <w:szCs w:val="21"/>
                <w:highlight w:val="none"/>
                <w:u w:val="single"/>
                <w:lang w:eastAsia="zh-CN"/>
              </w:rPr>
            </w:pPr>
            <w:r>
              <w:rPr>
                <w:rFonts w:hint="eastAsia" w:asciiTheme="minorEastAsia" w:hAnsiTheme="minorEastAsia" w:eastAsiaTheme="minorEastAsia"/>
                <w:color w:val="auto"/>
                <w:szCs w:val="21"/>
                <w:highlight w:val="none"/>
              </w:rPr>
              <w:t>项目编号：</w:t>
            </w:r>
            <w:r>
              <w:rPr>
                <w:rFonts w:hint="eastAsia" w:asciiTheme="minorEastAsia" w:hAnsiTheme="minorEastAsia" w:eastAsiaTheme="minorEastAsia"/>
                <w:color w:val="auto"/>
                <w:szCs w:val="21"/>
                <w:highlight w:val="none"/>
                <w:lang w:eastAsia="zh-CN"/>
              </w:rPr>
              <w:t>FCZC2026-C2-990132-GXZB</w:t>
            </w:r>
            <w:r>
              <w:rPr>
                <w:rFonts w:hint="eastAsia" w:eastAsiaTheme="minorEastAsia"/>
                <w:color w:val="auto"/>
                <w:highlight w:val="none"/>
                <w:lang w:eastAsia="zh-CN"/>
              </w:rPr>
              <w:t xml:space="preserve">  </w:t>
            </w:r>
          </w:p>
          <w:p w14:paraId="36E70EA4">
            <w:pPr>
              <w:spacing w:line="400" w:lineRule="exact"/>
              <w:rPr>
                <w:rFonts w:hint="eastAsia" w:asciiTheme="minorEastAsia" w:hAnsiTheme="minorEastAsia" w:eastAsiaTheme="minorEastAsia"/>
                <w:color w:val="auto"/>
                <w:szCs w:val="21"/>
                <w:highlight w:val="none"/>
                <w:lang w:eastAsia="zh-CN"/>
              </w:rPr>
            </w:pPr>
            <w:r>
              <w:rPr>
                <w:rFonts w:asciiTheme="minorEastAsia" w:hAnsiTheme="minorEastAsia" w:eastAsiaTheme="minorEastAsia"/>
                <w:color w:val="auto"/>
                <w:szCs w:val="21"/>
                <w:highlight w:val="none"/>
              </w:rPr>
              <w:t>建设地点：</w:t>
            </w:r>
            <w:r>
              <w:rPr>
                <w:rFonts w:hint="eastAsia" w:asciiTheme="minorEastAsia" w:hAnsiTheme="minorEastAsia" w:eastAsiaTheme="minorEastAsia"/>
                <w:color w:val="auto"/>
                <w:szCs w:val="21"/>
                <w:highlight w:val="none"/>
                <w:lang w:eastAsia="zh-CN"/>
              </w:rPr>
              <w:t>防城港市理工职业学校</w:t>
            </w:r>
          </w:p>
          <w:p w14:paraId="5A4BDEDE">
            <w:pPr>
              <w:spacing w:line="400" w:lineRule="exact"/>
              <w:rPr>
                <w:rFonts w:hint="eastAsia"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采购</w:t>
            </w:r>
            <w:r>
              <w:rPr>
                <w:rFonts w:asciiTheme="minorEastAsia" w:hAnsiTheme="minorEastAsia" w:eastAsiaTheme="minorEastAsia"/>
                <w:color w:val="auto"/>
                <w:szCs w:val="21"/>
                <w:highlight w:val="none"/>
              </w:rPr>
              <w:t>范围：</w:t>
            </w:r>
            <w:r>
              <w:rPr>
                <w:rFonts w:hint="eastAsia" w:asciiTheme="minorEastAsia" w:hAnsiTheme="minorEastAsia" w:eastAsiaTheme="minorEastAsia"/>
                <w:color w:val="auto"/>
                <w:szCs w:val="21"/>
                <w:highlight w:val="none"/>
                <w:lang w:eastAsia="zh-CN"/>
              </w:rPr>
              <w:t>防城港市理工职业学校运动场跑道翻新项目。具体内容详见施工图纸和工程量清单</w:t>
            </w:r>
            <w:r>
              <w:rPr>
                <w:rFonts w:hint="eastAsia" w:asciiTheme="minorEastAsia" w:hAnsiTheme="minorEastAsia" w:eastAsiaTheme="minorEastAsia"/>
                <w:color w:val="auto"/>
                <w:szCs w:val="21"/>
                <w:highlight w:val="none"/>
              </w:rPr>
              <w:t>。</w:t>
            </w:r>
          </w:p>
          <w:p w14:paraId="5919DC53">
            <w:pPr>
              <w:spacing w:line="400" w:lineRule="exact"/>
              <w:rPr>
                <w:rFonts w:hint="eastAsia" w:hAnsi="宋体" w:cs="宋体" w:eastAsiaTheme="minorEastAsia"/>
                <w:color w:val="auto"/>
                <w:szCs w:val="21"/>
                <w:highlight w:val="none"/>
              </w:rPr>
            </w:pPr>
            <w:r>
              <w:rPr>
                <w:rFonts w:hint="eastAsia" w:asciiTheme="minorEastAsia" w:hAnsiTheme="minorEastAsia" w:eastAsiaTheme="minorEastAsia"/>
                <w:color w:val="auto"/>
                <w:szCs w:val="21"/>
                <w:highlight w:val="none"/>
              </w:rPr>
              <w:t>项目所属行业：建筑业</w:t>
            </w:r>
          </w:p>
          <w:p w14:paraId="3E53C4F1">
            <w:pPr>
              <w:spacing w:line="400" w:lineRule="exac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lang w:eastAsia="zh-CN"/>
              </w:rPr>
              <w:t>施工</w:t>
            </w:r>
            <w:r>
              <w:rPr>
                <w:rFonts w:asciiTheme="minorEastAsia" w:hAnsiTheme="minorEastAsia" w:eastAsiaTheme="minorEastAsia"/>
                <w:color w:val="auto"/>
                <w:szCs w:val="21"/>
                <w:highlight w:val="none"/>
              </w:rPr>
              <w:t>工期：</w:t>
            </w:r>
            <w:r>
              <w:rPr>
                <w:rFonts w:hint="eastAsia" w:hAnsi="宋体" w:eastAsiaTheme="minorEastAsia"/>
                <w:color w:val="auto"/>
                <w:szCs w:val="21"/>
                <w:highlight w:val="none"/>
                <w:u w:val="none"/>
                <w:lang w:val="en-US" w:eastAsia="zh-CN"/>
              </w:rPr>
              <w:t>25日历天</w:t>
            </w:r>
          </w:p>
          <w:p w14:paraId="0AA96045">
            <w:pPr>
              <w:spacing w:line="400" w:lineRule="exact"/>
              <w:rPr>
                <w:rFonts w:hint="eastAsia" w:asciiTheme="minorEastAsia" w:hAnsiTheme="minorEastAsia" w:eastAsiaTheme="minorEastAsia"/>
                <w:color w:val="auto"/>
                <w:szCs w:val="21"/>
                <w:highlight w:val="none"/>
                <w:u w:val="single"/>
                <w:lang w:eastAsia="zh-CN"/>
              </w:rPr>
            </w:pPr>
            <w:r>
              <w:rPr>
                <w:rFonts w:asciiTheme="minorEastAsia" w:hAnsiTheme="minorEastAsia" w:eastAsiaTheme="minorEastAsia"/>
                <w:color w:val="auto"/>
                <w:szCs w:val="21"/>
                <w:highlight w:val="none"/>
              </w:rPr>
              <w:t>质量要求：</w:t>
            </w:r>
            <w:r>
              <w:rPr>
                <w:rFonts w:hint="eastAsia" w:asciiTheme="minorEastAsia" w:hAnsiTheme="minorEastAsia" w:eastAsiaTheme="minorEastAsia"/>
                <w:color w:val="auto"/>
                <w:szCs w:val="21"/>
                <w:highlight w:val="none"/>
              </w:rPr>
              <w:t>工程质量符合国家施工验收规范合格标准</w:t>
            </w:r>
          </w:p>
        </w:tc>
      </w:tr>
      <w:tr w14:paraId="5B02F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726" w:type="dxa"/>
            <w:vAlign w:val="center"/>
          </w:tcPr>
          <w:p w14:paraId="6B98EDC8">
            <w:pPr>
              <w:spacing w:line="400" w:lineRule="exact"/>
              <w:jc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w:t>
            </w:r>
          </w:p>
        </w:tc>
        <w:tc>
          <w:tcPr>
            <w:tcW w:w="945" w:type="dxa"/>
            <w:vAlign w:val="center"/>
          </w:tcPr>
          <w:p w14:paraId="2B86E938">
            <w:pPr>
              <w:spacing w:line="400" w:lineRule="exact"/>
              <w:jc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3.1</w:t>
            </w:r>
          </w:p>
        </w:tc>
        <w:tc>
          <w:tcPr>
            <w:tcW w:w="7390" w:type="dxa"/>
            <w:vAlign w:val="center"/>
          </w:tcPr>
          <w:p w14:paraId="4943C76A">
            <w:pPr>
              <w:snapToGrid w:val="0"/>
              <w:spacing w:line="400" w:lineRule="exac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供应商资格要求：</w:t>
            </w:r>
          </w:p>
          <w:p w14:paraId="6113CAE1">
            <w:pPr>
              <w:snapToGrid w:val="0"/>
              <w:spacing w:line="370" w:lineRule="exact"/>
              <w:ind w:firstLine="420" w:firstLineChars="200"/>
              <w:rPr>
                <w:rFonts w:hAnsi="宋体" w:cs="宋体"/>
                <w:color w:val="auto"/>
                <w:szCs w:val="21"/>
                <w:highlight w:val="none"/>
              </w:rPr>
            </w:pPr>
            <w:r>
              <w:rPr>
                <w:rFonts w:hint="eastAsia" w:hAnsi="宋体" w:cs="宋体"/>
                <w:color w:val="auto"/>
                <w:szCs w:val="21"/>
                <w:highlight w:val="none"/>
              </w:rPr>
              <w:t>1.满足《中华人民共和国政府采购法》第二十二条规定；</w:t>
            </w:r>
          </w:p>
          <w:p w14:paraId="06756884">
            <w:pPr>
              <w:snapToGrid w:val="0"/>
              <w:spacing w:line="370" w:lineRule="exact"/>
              <w:ind w:firstLine="420" w:firstLineChars="200"/>
              <w:rPr>
                <w:rFonts w:hAnsi="宋体" w:cs="宋体"/>
                <w:color w:val="auto"/>
                <w:szCs w:val="21"/>
                <w:highlight w:val="none"/>
              </w:rPr>
            </w:pPr>
            <w:r>
              <w:rPr>
                <w:rFonts w:hint="eastAsia" w:hAnsi="宋体" w:cs="宋体"/>
                <w:color w:val="auto"/>
                <w:szCs w:val="21"/>
                <w:highlight w:val="none"/>
              </w:rPr>
              <w:t>2.落实政府采购政策需满足的资格要求：</w:t>
            </w:r>
            <w:r>
              <w:rPr>
                <w:rFonts w:hint="eastAsia" w:hAnsi="宋体" w:cs="宋体"/>
                <w:color w:val="auto"/>
                <w:szCs w:val="21"/>
                <w:highlight w:val="none"/>
                <w:lang w:eastAsia="zh-CN"/>
              </w:rPr>
              <w:t>本项目为专门面向中小企业采购的项目（供应商应为中型或小型或微型企业，监狱企业、残疾人福利性单位视同小微企业)</w:t>
            </w:r>
            <w:r>
              <w:rPr>
                <w:rFonts w:hint="eastAsia" w:hAnsi="宋体" w:cs="宋体"/>
                <w:color w:val="auto"/>
                <w:szCs w:val="21"/>
                <w:highlight w:val="none"/>
              </w:rPr>
              <w:t>；</w:t>
            </w:r>
          </w:p>
          <w:p w14:paraId="6726B690">
            <w:pPr>
              <w:snapToGrid w:val="0"/>
              <w:spacing w:line="400" w:lineRule="exact"/>
              <w:ind w:firstLine="420" w:firstLineChars="200"/>
              <w:rPr>
                <w:rFonts w:hint="eastAsia" w:eastAsia="宋体" w:cs="Arial" w:asciiTheme="minorEastAsia" w:hAnsiTheme="minorEastAsia"/>
                <w:color w:val="auto"/>
                <w:szCs w:val="21"/>
                <w:highlight w:val="none"/>
                <w:lang w:eastAsia="zh-CN"/>
              </w:rPr>
            </w:pPr>
            <w:r>
              <w:rPr>
                <w:rFonts w:hint="eastAsia" w:hAnsi="宋体" w:cs="宋体"/>
                <w:color w:val="auto"/>
                <w:szCs w:val="21"/>
                <w:highlight w:val="none"/>
              </w:rPr>
              <w:t>3.本项目的特定资格要求：①</w:t>
            </w:r>
            <w:r>
              <w:rPr>
                <w:rFonts w:hint="eastAsia" w:hAnsi="宋体" w:cs="宋体"/>
                <w:color w:val="auto"/>
                <w:szCs w:val="21"/>
                <w:highlight w:val="none"/>
                <w:lang w:eastAsia="zh-CN"/>
              </w:rPr>
              <w:t>具有市政公用工程施工总承包叁级以上(含叁级)资质</w:t>
            </w:r>
            <w:r>
              <w:rPr>
                <w:rFonts w:hint="eastAsia" w:hAnsi="宋体" w:cs="宋体"/>
                <w:color w:val="auto"/>
                <w:szCs w:val="21"/>
                <w:highlight w:val="none"/>
              </w:rPr>
              <w:t>，并在人员、设备、资金等方面具有相应能力的施工企业。</w:t>
            </w:r>
            <w:r>
              <w:rPr>
                <w:rFonts w:hint="default" w:hAnsi="宋体" w:cs="宋体"/>
                <w:color w:val="auto"/>
                <w:szCs w:val="21"/>
                <w:highlight w:val="none"/>
              </w:rPr>
              <w:t>②</w:t>
            </w:r>
            <w:r>
              <w:rPr>
                <w:rFonts w:hint="eastAsia" w:hAnsi="宋体" w:cs="宋体"/>
                <w:color w:val="auto"/>
                <w:szCs w:val="21"/>
                <w:highlight w:val="none"/>
              </w:rPr>
              <w:t>拟投入本项目的项目经理必须是具备[</w:t>
            </w:r>
            <w:r>
              <w:rPr>
                <w:rFonts w:hint="eastAsia" w:hAnsi="宋体" w:cs="宋体"/>
                <w:color w:val="auto"/>
                <w:szCs w:val="21"/>
                <w:highlight w:val="none"/>
                <w:lang w:eastAsia="zh-CN"/>
              </w:rPr>
              <w:t>市政公用工程</w:t>
            </w:r>
            <w:r>
              <w:rPr>
                <w:rFonts w:hint="eastAsia" w:hAnsi="宋体" w:cs="宋体"/>
                <w:color w:val="auto"/>
                <w:szCs w:val="21"/>
                <w:highlight w:val="none"/>
              </w:rPr>
              <w:t>专业贰级]及以上专业注册建造师执业资格，具备有效的安全生产考核合格证书（B类），并为本单位员工。本项目不接受有在建、已中标未开工或已列为其他项目中标候选人第一名的建造师作为项目经理。</w:t>
            </w:r>
          </w:p>
        </w:tc>
      </w:tr>
      <w:tr w14:paraId="6DD45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726" w:type="dxa"/>
            <w:vAlign w:val="center"/>
          </w:tcPr>
          <w:p w14:paraId="110F941A">
            <w:pPr>
              <w:spacing w:line="400" w:lineRule="exact"/>
              <w:jc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w:t>
            </w:r>
          </w:p>
        </w:tc>
        <w:tc>
          <w:tcPr>
            <w:tcW w:w="945" w:type="dxa"/>
            <w:vAlign w:val="center"/>
          </w:tcPr>
          <w:p w14:paraId="3A15F2BF">
            <w:pPr>
              <w:spacing w:line="400" w:lineRule="exact"/>
              <w:jc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10.1</w:t>
            </w:r>
          </w:p>
        </w:tc>
        <w:tc>
          <w:tcPr>
            <w:tcW w:w="7390" w:type="dxa"/>
            <w:vAlign w:val="center"/>
          </w:tcPr>
          <w:p w14:paraId="3021D19F">
            <w:pPr>
              <w:spacing w:line="400" w:lineRule="exac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响应文件有效期：响应文件递交截止日起90天。</w:t>
            </w:r>
          </w:p>
        </w:tc>
      </w:tr>
      <w:tr w14:paraId="290E6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726" w:type="dxa"/>
            <w:vAlign w:val="center"/>
          </w:tcPr>
          <w:p w14:paraId="26D556C7">
            <w:pPr>
              <w:spacing w:line="400" w:lineRule="exact"/>
              <w:jc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4</w:t>
            </w:r>
          </w:p>
        </w:tc>
        <w:tc>
          <w:tcPr>
            <w:tcW w:w="945" w:type="dxa"/>
            <w:vAlign w:val="center"/>
          </w:tcPr>
          <w:p w14:paraId="1D813FEF">
            <w:pPr>
              <w:spacing w:line="400" w:lineRule="exact"/>
              <w:jc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11.4</w:t>
            </w:r>
          </w:p>
        </w:tc>
        <w:tc>
          <w:tcPr>
            <w:tcW w:w="7390" w:type="dxa"/>
            <w:vAlign w:val="center"/>
          </w:tcPr>
          <w:p w14:paraId="0A78F1BE">
            <w:pPr>
              <w:spacing w:line="400" w:lineRule="exact"/>
              <w:rPr>
                <w:rFonts w:asciiTheme="minorEastAsia" w:hAnsiTheme="minorEastAsia" w:eastAsiaTheme="minorEastAsia"/>
                <w:color w:val="auto"/>
                <w:szCs w:val="21"/>
                <w:highlight w:val="none"/>
              </w:rPr>
            </w:pPr>
            <w:r>
              <w:rPr>
                <w:rFonts w:hint="eastAsia" w:hAnsi="宋体"/>
                <w:color w:val="auto"/>
                <w:szCs w:val="21"/>
                <w:highlight w:val="none"/>
              </w:rPr>
              <w:t>首次响应文件分为资格文件、价格文件、商务和技术文件三个部分。由磋商小组对通过资格审查的合格供应商的响应文件的响应报价、商务、技术等实质性要求进行符合性审查，以确定其是否满足竞争性磋商文件的实质性要求。</w:t>
            </w:r>
          </w:p>
        </w:tc>
      </w:tr>
      <w:tr w14:paraId="51D21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726" w:type="dxa"/>
            <w:vAlign w:val="center"/>
          </w:tcPr>
          <w:p w14:paraId="156DDFBD">
            <w:pPr>
              <w:spacing w:line="400" w:lineRule="exact"/>
              <w:jc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5</w:t>
            </w:r>
          </w:p>
        </w:tc>
        <w:tc>
          <w:tcPr>
            <w:tcW w:w="945" w:type="dxa"/>
            <w:vAlign w:val="center"/>
          </w:tcPr>
          <w:p w14:paraId="4D2EB113">
            <w:pPr>
              <w:spacing w:line="400" w:lineRule="exact"/>
              <w:jc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12.1</w:t>
            </w:r>
          </w:p>
        </w:tc>
        <w:tc>
          <w:tcPr>
            <w:tcW w:w="7390" w:type="dxa"/>
            <w:vAlign w:val="center"/>
          </w:tcPr>
          <w:p w14:paraId="0BAAFD29">
            <w:pPr>
              <w:spacing w:line="400" w:lineRule="exact"/>
              <w:rPr>
                <w:rFonts w:asciiTheme="minorEastAsia" w:hAnsiTheme="minorEastAsia" w:eastAsiaTheme="minorEastAsia"/>
                <w:color w:val="auto"/>
                <w:szCs w:val="21"/>
                <w:highlight w:val="none"/>
              </w:rPr>
            </w:pPr>
            <w:r>
              <w:rPr>
                <w:rFonts w:hint="eastAsia" w:hAnsi="宋体"/>
                <w:color w:val="auto"/>
                <w:szCs w:val="21"/>
                <w:highlight w:val="none"/>
              </w:rPr>
              <w:t>本项目不需要缴纳磋商保证金。</w:t>
            </w:r>
          </w:p>
        </w:tc>
      </w:tr>
      <w:tr w14:paraId="5DA7B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vAlign w:val="center"/>
          </w:tcPr>
          <w:p w14:paraId="4FD858FC">
            <w:pPr>
              <w:spacing w:line="400" w:lineRule="exact"/>
              <w:jc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6</w:t>
            </w:r>
          </w:p>
        </w:tc>
        <w:tc>
          <w:tcPr>
            <w:tcW w:w="945" w:type="dxa"/>
            <w:vAlign w:val="center"/>
          </w:tcPr>
          <w:p w14:paraId="568F990D">
            <w:pPr>
              <w:spacing w:line="400" w:lineRule="exact"/>
              <w:jc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13.4</w:t>
            </w:r>
          </w:p>
        </w:tc>
        <w:tc>
          <w:tcPr>
            <w:tcW w:w="7390" w:type="dxa"/>
            <w:shd w:val="clear" w:color="auto" w:fill="auto"/>
            <w:vAlign w:val="center"/>
          </w:tcPr>
          <w:p w14:paraId="37232A31">
            <w:pPr>
              <w:spacing w:line="360" w:lineRule="auto"/>
              <w:ind w:firstLine="420" w:firstLineChars="200"/>
              <w:rPr>
                <w:rFonts w:asciiTheme="minorEastAsia" w:hAnsiTheme="minorEastAsia" w:eastAsiaTheme="minorEastAsia"/>
                <w:color w:val="auto"/>
                <w:highlight w:val="none"/>
              </w:rPr>
            </w:pPr>
            <w:r>
              <w:rPr>
                <w:rFonts w:hint="eastAsia" w:asciiTheme="minorEastAsia" w:hAnsiTheme="minorEastAsia" w:eastAsiaTheme="minorEastAsia"/>
                <w:color w:val="auto"/>
                <w:szCs w:val="21"/>
                <w:highlight w:val="none"/>
              </w:rPr>
              <w:t>1、磋商报价：供应商</w:t>
            </w:r>
            <w:r>
              <w:rPr>
                <w:rFonts w:asciiTheme="minorEastAsia" w:hAnsiTheme="minorEastAsia" w:eastAsiaTheme="minorEastAsia"/>
                <w:color w:val="auto"/>
                <w:szCs w:val="21"/>
                <w:highlight w:val="none"/>
              </w:rPr>
              <w:t>应按第</w:t>
            </w:r>
            <w:r>
              <w:rPr>
                <w:rFonts w:hint="eastAsia" w:asciiTheme="minorEastAsia" w:hAnsiTheme="minorEastAsia" w:eastAsiaTheme="minorEastAsia"/>
                <w:color w:val="auto"/>
                <w:szCs w:val="21"/>
                <w:highlight w:val="none"/>
              </w:rPr>
              <w:t>四</w:t>
            </w:r>
            <w:r>
              <w:rPr>
                <w:rFonts w:asciiTheme="minorEastAsia" w:hAnsiTheme="minorEastAsia" w:eastAsiaTheme="minorEastAsia"/>
                <w:color w:val="auto"/>
                <w:szCs w:val="21"/>
                <w:highlight w:val="none"/>
              </w:rPr>
              <w:t>章“工程量清单”的要求填写相应表格。</w:t>
            </w:r>
            <w:r>
              <w:rPr>
                <w:rFonts w:hint="eastAsia" w:asciiTheme="minorEastAsia" w:hAnsiTheme="minorEastAsia" w:eastAsiaTheme="minorEastAsia"/>
                <w:color w:val="auto"/>
                <w:szCs w:val="21"/>
                <w:highlight w:val="none"/>
              </w:rPr>
              <w:t>供应商不得</w:t>
            </w:r>
            <w:r>
              <w:rPr>
                <w:rFonts w:hint="eastAsia" w:asciiTheme="minorEastAsia" w:hAnsiTheme="minorEastAsia" w:eastAsiaTheme="minorEastAsia"/>
                <w:color w:val="auto"/>
                <w:highlight w:val="none"/>
              </w:rPr>
              <w:t>修改工程量清单的项目结构、标段</w:t>
            </w:r>
            <w:r>
              <w:rPr>
                <w:rFonts w:hint="eastAsia" w:asciiTheme="minorEastAsia" w:hAnsiTheme="minorEastAsia" w:eastAsiaTheme="minorEastAsia"/>
                <w:color w:val="auto"/>
                <w:szCs w:val="21"/>
                <w:highlight w:val="none"/>
              </w:rPr>
              <w:t>名称、单项工程名称、单位工程名称、项目编码、项目名称、项目特征、计量单位、工程量、清单顺序和序号。不得对工程量清单项目进行增减调整。</w:t>
            </w:r>
          </w:p>
          <w:p w14:paraId="131C59D6">
            <w:pPr>
              <w:spacing w:line="360" w:lineRule="auto"/>
              <w:ind w:firstLine="420" w:firstLineChars="20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2、本项目的计税方式：</w:t>
            </w:r>
          </w:p>
          <w:p w14:paraId="22B159FA">
            <w:pPr>
              <w:spacing w:line="360" w:lineRule="auto"/>
              <w:ind w:firstLine="420" w:firstLineChars="200"/>
              <w:rPr>
                <w:rFonts w:asciiTheme="minorEastAsia" w:hAnsiTheme="minorEastAsia" w:eastAsiaTheme="minorEastAsia"/>
                <w:color w:val="auto"/>
                <w:highlight w:val="none"/>
              </w:rPr>
            </w:pPr>
            <w:r>
              <w:rPr>
                <w:rFonts w:hint="eastAsia" w:ascii="MS Mincho" w:hAnsi="MS Mincho" w:eastAsia="MS Mincho" w:cs="MS Mincho"/>
                <w:color w:val="auto"/>
                <w:szCs w:val="21"/>
                <w:highlight w:val="none"/>
              </w:rPr>
              <w:t>☑</w:t>
            </w:r>
            <w:r>
              <w:rPr>
                <w:rFonts w:hint="eastAsia" w:asciiTheme="minorEastAsia" w:hAnsiTheme="minorEastAsia" w:eastAsiaTheme="minorEastAsia"/>
                <w:color w:val="auto"/>
                <w:highlight w:val="none"/>
              </w:rPr>
              <w:t xml:space="preserve">一般计税法         </w:t>
            </w:r>
            <w:r>
              <w:rPr>
                <w:rFonts w:hint="eastAsia" w:asciiTheme="minorEastAsia" w:hAnsiTheme="minorEastAsia" w:eastAsiaTheme="minorEastAsia"/>
                <w:color w:val="auto"/>
                <w:highlight w:val="none"/>
              </w:rPr>
              <w:sym w:font="Wingdings 2" w:char="00A3"/>
            </w:r>
            <w:r>
              <w:rPr>
                <w:rFonts w:hint="eastAsia" w:asciiTheme="minorEastAsia" w:hAnsiTheme="minorEastAsia" w:eastAsiaTheme="minorEastAsia"/>
                <w:color w:val="auto"/>
                <w:highlight w:val="none"/>
              </w:rPr>
              <w:t>简易计税法</w:t>
            </w:r>
          </w:p>
          <w:p w14:paraId="5FDECA84">
            <w:pPr>
              <w:spacing w:line="360" w:lineRule="auto"/>
              <w:ind w:firstLine="420" w:firstLineChars="20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备注：按照《关于全面推开营业税改征增值税试点的通知》（财税〔2016〕36号）规定，营改增后，建设工程计价分为一般计税方法和简易计税方法。除清包工工程、甲供工程的建设工程可采用简易计税方法外，其他一般纳税人提供建筑服务的建设工程，采用一般计税方法。】</w:t>
            </w:r>
          </w:p>
          <w:p w14:paraId="20330FDB">
            <w:pPr>
              <w:pStyle w:val="27"/>
              <w:spacing w:line="420" w:lineRule="exact"/>
              <w:ind w:firstLine="422" w:firstLineChars="200"/>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采购预算：</w:t>
            </w:r>
            <w:r>
              <w:rPr>
                <w:rFonts w:hint="eastAsia" w:asciiTheme="minorEastAsia" w:hAnsiTheme="minorEastAsia" w:eastAsiaTheme="minorEastAsia"/>
                <w:b/>
                <w:color w:val="auto"/>
                <w:szCs w:val="21"/>
                <w:highlight w:val="none"/>
                <w:lang w:eastAsia="zh-CN"/>
              </w:rPr>
              <w:t>1261735.82</w:t>
            </w:r>
            <w:r>
              <w:rPr>
                <w:rFonts w:hint="eastAsia" w:asciiTheme="minorEastAsia" w:hAnsiTheme="minorEastAsia" w:eastAsiaTheme="minorEastAsia"/>
                <w:b/>
                <w:color w:val="auto"/>
                <w:szCs w:val="21"/>
                <w:highlight w:val="none"/>
              </w:rPr>
              <w:t>元，最高限价：</w:t>
            </w:r>
            <w:r>
              <w:rPr>
                <w:rFonts w:hint="eastAsia" w:asciiTheme="minorEastAsia" w:hAnsiTheme="minorEastAsia" w:eastAsiaTheme="minorEastAsia"/>
                <w:b/>
                <w:color w:val="auto"/>
                <w:szCs w:val="21"/>
                <w:highlight w:val="none"/>
                <w:lang w:eastAsia="zh-CN"/>
              </w:rPr>
              <w:t>1261735.82</w:t>
            </w:r>
            <w:r>
              <w:rPr>
                <w:rFonts w:hint="eastAsia" w:asciiTheme="minorEastAsia" w:hAnsiTheme="minorEastAsia" w:eastAsiaTheme="minorEastAsia"/>
                <w:b/>
                <w:color w:val="auto"/>
                <w:szCs w:val="21"/>
                <w:highlight w:val="none"/>
              </w:rPr>
              <w:t>元。供应商最终报价超出最高限价的，磋商无效。</w:t>
            </w:r>
          </w:p>
        </w:tc>
      </w:tr>
      <w:tr w14:paraId="6DA91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1" w:hRule="atLeast"/>
          <w:jc w:val="center"/>
        </w:trPr>
        <w:tc>
          <w:tcPr>
            <w:tcW w:w="726" w:type="dxa"/>
            <w:vAlign w:val="center"/>
          </w:tcPr>
          <w:p w14:paraId="7A80C5A0">
            <w:pPr>
              <w:spacing w:line="400" w:lineRule="exact"/>
              <w:jc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7</w:t>
            </w:r>
          </w:p>
        </w:tc>
        <w:tc>
          <w:tcPr>
            <w:tcW w:w="945" w:type="dxa"/>
            <w:vAlign w:val="center"/>
          </w:tcPr>
          <w:p w14:paraId="18510536">
            <w:pPr>
              <w:spacing w:line="400" w:lineRule="exact"/>
              <w:jc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17.1</w:t>
            </w:r>
          </w:p>
        </w:tc>
        <w:tc>
          <w:tcPr>
            <w:tcW w:w="7390" w:type="dxa"/>
            <w:vAlign w:val="center"/>
          </w:tcPr>
          <w:p w14:paraId="1429C316">
            <w:pPr>
              <w:pStyle w:val="27"/>
              <w:spacing w:line="400" w:lineRule="exact"/>
              <w:rPr>
                <w:rFonts w:hAnsi="宋体"/>
                <w:color w:val="auto"/>
                <w:szCs w:val="21"/>
                <w:highlight w:val="none"/>
              </w:rPr>
            </w:pPr>
            <w:r>
              <w:rPr>
                <w:rFonts w:hint="eastAsia" w:hAnsi="宋体"/>
                <w:color w:val="auto"/>
                <w:szCs w:val="21"/>
                <w:highlight w:val="none"/>
              </w:rPr>
              <w:t>首次响应文件递交截止时间：</w:t>
            </w:r>
            <w:r>
              <w:rPr>
                <w:rFonts w:hint="eastAsia" w:hAnsi="宋体" w:cs="宋体"/>
                <w:color w:val="auto"/>
                <w:highlight w:val="none"/>
                <w:lang w:eastAsia="zh-CN"/>
              </w:rPr>
              <w:t>2026年</w:t>
            </w:r>
            <w:r>
              <w:rPr>
                <w:rFonts w:hint="eastAsia" w:hAnsi="宋体" w:cs="宋体"/>
                <w:color w:val="auto"/>
                <w:highlight w:val="none"/>
                <w:lang w:val="en-US" w:eastAsia="zh-CN"/>
              </w:rPr>
              <w:t>8</w:t>
            </w:r>
            <w:r>
              <w:rPr>
                <w:rFonts w:hint="eastAsia" w:hAnsi="宋体" w:cs="宋体"/>
                <w:color w:val="auto"/>
                <w:highlight w:val="none"/>
                <w:lang w:eastAsia="zh-CN"/>
              </w:rPr>
              <w:t>月</w:t>
            </w:r>
            <w:r>
              <w:rPr>
                <w:rFonts w:hint="eastAsia" w:hAnsi="宋体" w:cs="宋体"/>
                <w:color w:val="auto"/>
                <w:highlight w:val="none"/>
                <w:lang w:val="en-US" w:eastAsia="zh-CN"/>
              </w:rPr>
              <w:t>17</w:t>
            </w:r>
            <w:r>
              <w:rPr>
                <w:rFonts w:hint="eastAsia" w:hAnsi="宋体" w:cs="宋体"/>
                <w:color w:val="auto"/>
                <w:highlight w:val="none"/>
                <w:lang w:eastAsia="zh-CN"/>
              </w:rPr>
              <w:t>日9时30分</w:t>
            </w:r>
          </w:p>
          <w:p w14:paraId="2525DF58">
            <w:pPr>
              <w:pStyle w:val="27"/>
              <w:spacing w:line="400" w:lineRule="exact"/>
              <w:rPr>
                <w:rFonts w:asciiTheme="minorEastAsia" w:hAnsiTheme="minorEastAsia" w:eastAsiaTheme="minorEastAsia"/>
                <w:color w:val="auto"/>
                <w:szCs w:val="21"/>
                <w:highlight w:val="none"/>
              </w:rPr>
            </w:pPr>
            <w:r>
              <w:rPr>
                <w:rFonts w:hint="eastAsia" w:hAnsi="宋体"/>
                <w:color w:val="auto"/>
                <w:szCs w:val="21"/>
                <w:highlight w:val="none"/>
              </w:rPr>
              <w:t>地址：通过</w:t>
            </w:r>
            <w:r>
              <w:rPr>
                <w:rFonts w:hint="eastAsia" w:hAnsi="宋体"/>
                <w:color w:val="auto"/>
                <w:szCs w:val="21"/>
                <w:highlight w:val="none"/>
                <w:lang w:eastAsia="zh-CN"/>
              </w:rPr>
              <w:t>广西政府采购云平台</w:t>
            </w:r>
            <w:r>
              <w:rPr>
                <w:rFonts w:hint="eastAsia" w:hAnsi="宋体"/>
                <w:color w:val="auto"/>
                <w:szCs w:val="21"/>
                <w:highlight w:val="none"/>
              </w:rPr>
              <w:t>实行在线磋商。</w:t>
            </w:r>
          </w:p>
        </w:tc>
      </w:tr>
      <w:tr w14:paraId="1C319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726" w:type="dxa"/>
            <w:vAlign w:val="center"/>
          </w:tcPr>
          <w:p w14:paraId="6025B9F4">
            <w:pPr>
              <w:spacing w:line="400" w:lineRule="exact"/>
              <w:jc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8</w:t>
            </w:r>
          </w:p>
        </w:tc>
        <w:tc>
          <w:tcPr>
            <w:tcW w:w="945" w:type="dxa"/>
            <w:vAlign w:val="center"/>
          </w:tcPr>
          <w:p w14:paraId="36D6B786">
            <w:pPr>
              <w:spacing w:line="400" w:lineRule="exact"/>
              <w:jc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17</w:t>
            </w:r>
          </w:p>
        </w:tc>
        <w:tc>
          <w:tcPr>
            <w:tcW w:w="7390" w:type="dxa"/>
            <w:vAlign w:val="center"/>
          </w:tcPr>
          <w:p w14:paraId="30BB042C">
            <w:pPr>
              <w:spacing w:line="400" w:lineRule="exact"/>
              <w:rPr>
                <w:rFonts w:hAnsi="宋体"/>
                <w:color w:val="auto"/>
                <w:szCs w:val="21"/>
                <w:highlight w:val="none"/>
              </w:rPr>
            </w:pPr>
            <w:r>
              <w:rPr>
                <w:rFonts w:hint="eastAsia" w:hAnsi="宋体"/>
                <w:color w:val="auto"/>
                <w:szCs w:val="21"/>
                <w:highlight w:val="none"/>
              </w:rPr>
              <w:t>磋商时间：</w:t>
            </w:r>
            <w:r>
              <w:rPr>
                <w:rFonts w:hint="eastAsia" w:hAnsi="宋体" w:cs="宋体"/>
                <w:color w:val="auto"/>
                <w:highlight w:val="none"/>
                <w:lang w:eastAsia="zh-CN"/>
              </w:rPr>
              <w:t>2026年</w:t>
            </w:r>
            <w:r>
              <w:rPr>
                <w:rFonts w:hint="eastAsia" w:hAnsi="宋体" w:cs="宋体"/>
                <w:color w:val="auto"/>
                <w:highlight w:val="none"/>
                <w:lang w:val="en-US" w:eastAsia="zh-CN"/>
              </w:rPr>
              <w:t xml:space="preserve"> 8</w:t>
            </w:r>
            <w:r>
              <w:rPr>
                <w:rFonts w:hint="eastAsia" w:hAnsi="宋体" w:cs="宋体"/>
                <w:color w:val="auto"/>
                <w:highlight w:val="none"/>
                <w:lang w:eastAsia="zh-CN"/>
              </w:rPr>
              <w:t>月</w:t>
            </w:r>
            <w:r>
              <w:rPr>
                <w:rFonts w:hint="eastAsia" w:hAnsi="宋体" w:cs="宋体"/>
                <w:color w:val="auto"/>
                <w:highlight w:val="none"/>
                <w:lang w:val="en-US" w:eastAsia="zh-CN"/>
              </w:rPr>
              <w:t>17</w:t>
            </w:r>
            <w:r>
              <w:rPr>
                <w:rFonts w:hint="eastAsia" w:hAnsi="宋体" w:cs="宋体"/>
                <w:color w:val="auto"/>
                <w:highlight w:val="none"/>
                <w:lang w:eastAsia="zh-CN"/>
              </w:rPr>
              <w:t>日</w:t>
            </w:r>
            <w:r>
              <w:rPr>
                <w:rFonts w:hint="eastAsia" w:hAnsi="宋体"/>
                <w:color w:val="auto"/>
                <w:szCs w:val="21"/>
                <w:highlight w:val="none"/>
              </w:rPr>
              <w:t>截标后</w:t>
            </w:r>
          </w:p>
          <w:p w14:paraId="2ACCEC33">
            <w:pPr>
              <w:spacing w:line="400" w:lineRule="exact"/>
              <w:rPr>
                <w:rFonts w:asciiTheme="minorEastAsia" w:hAnsiTheme="minorEastAsia" w:eastAsiaTheme="minorEastAsia"/>
                <w:color w:val="auto"/>
                <w:szCs w:val="21"/>
                <w:highlight w:val="none"/>
              </w:rPr>
            </w:pPr>
            <w:r>
              <w:rPr>
                <w:rFonts w:hint="eastAsia" w:hAnsi="宋体"/>
                <w:color w:val="auto"/>
                <w:szCs w:val="21"/>
                <w:highlight w:val="none"/>
              </w:rPr>
              <w:t>磋商地点：</w:t>
            </w:r>
            <w:r>
              <w:rPr>
                <w:rFonts w:hint="eastAsia" w:ascii="Times New Roman" w:hAnsi="宋体"/>
                <w:color w:val="auto"/>
                <w:szCs w:val="21"/>
                <w:highlight w:val="none"/>
              </w:rPr>
              <w:t>通过</w:t>
            </w:r>
            <w:r>
              <w:rPr>
                <w:rFonts w:hint="eastAsia" w:ascii="Times New Roman" w:hAnsi="宋体"/>
                <w:color w:val="auto"/>
                <w:szCs w:val="21"/>
                <w:highlight w:val="none"/>
                <w:lang w:eastAsia="zh-CN"/>
              </w:rPr>
              <w:t>广西政府采购云平台</w:t>
            </w:r>
            <w:r>
              <w:rPr>
                <w:rFonts w:hint="eastAsia" w:ascii="Times New Roman" w:hAnsi="宋体"/>
                <w:color w:val="auto"/>
                <w:szCs w:val="21"/>
                <w:highlight w:val="none"/>
              </w:rPr>
              <w:t>实行在线磋商。</w:t>
            </w:r>
          </w:p>
        </w:tc>
      </w:tr>
      <w:tr w14:paraId="210D9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726" w:type="dxa"/>
            <w:vAlign w:val="center"/>
          </w:tcPr>
          <w:p w14:paraId="7D0D24BF">
            <w:pPr>
              <w:spacing w:line="400" w:lineRule="exact"/>
              <w:jc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9</w:t>
            </w:r>
          </w:p>
        </w:tc>
        <w:tc>
          <w:tcPr>
            <w:tcW w:w="945" w:type="dxa"/>
            <w:vAlign w:val="center"/>
          </w:tcPr>
          <w:p w14:paraId="160A5CBD">
            <w:pPr>
              <w:spacing w:line="400" w:lineRule="exact"/>
              <w:jc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25</w:t>
            </w:r>
          </w:p>
        </w:tc>
        <w:tc>
          <w:tcPr>
            <w:tcW w:w="7390" w:type="dxa"/>
            <w:vAlign w:val="center"/>
          </w:tcPr>
          <w:p w14:paraId="613E22D4">
            <w:pPr>
              <w:spacing w:line="360" w:lineRule="auto"/>
              <w:rPr>
                <w:rFonts w:asciiTheme="minorEastAsia" w:hAnsiTheme="minorEastAsia" w:eastAsiaTheme="minorEastAsia"/>
                <w:color w:val="auto"/>
                <w:szCs w:val="21"/>
                <w:highlight w:val="none"/>
              </w:rPr>
            </w:pPr>
            <w:r>
              <w:rPr>
                <w:rFonts w:hint="eastAsia" w:asciiTheme="minorEastAsia" w:hAnsiTheme="minorEastAsia" w:eastAsiaTheme="minorEastAsia"/>
                <w:b/>
                <w:color w:val="auto"/>
                <w:highlight w:val="none"/>
              </w:rPr>
              <w:t>履约保证金：无</w:t>
            </w:r>
            <w:r>
              <w:rPr>
                <w:rFonts w:hint="eastAsia" w:asciiTheme="minorEastAsia" w:hAnsiTheme="minorEastAsia" w:eastAsiaTheme="minorEastAsia"/>
                <w:color w:val="auto"/>
                <w:highlight w:val="none"/>
              </w:rPr>
              <w:t>。</w:t>
            </w:r>
          </w:p>
        </w:tc>
      </w:tr>
      <w:tr w14:paraId="2AE65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jc w:val="center"/>
        </w:trPr>
        <w:tc>
          <w:tcPr>
            <w:tcW w:w="726" w:type="dxa"/>
            <w:vAlign w:val="center"/>
          </w:tcPr>
          <w:p w14:paraId="24E2537D">
            <w:pPr>
              <w:spacing w:line="400" w:lineRule="exact"/>
              <w:jc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10</w:t>
            </w:r>
          </w:p>
        </w:tc>
        <w:tc>
          <w:tcPr>
            <w:tcW w:w="945" w:type="dxa"/>
            <w:vAlign w:val="center"/>
          </w:tcPr>
          <w:p w14:paraId="124F5676">
            <w:pPr>
              <w:spacing w:line="400" w:lineRule="exact"/>
              <w:jc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31.1</w:t>
            </w:r>
          </w:p>
        </w:tc>
        <w:tc>
          <w:tcPr>
            <w:tcW w:w="7390" w:type="dxa"/>
            <w:vAlign w:val="center"/>
          </w:tcPr>
          <w:p w14:paraId="754B3A9D">
            <w:pPr>
              <w:spacing w:line="400" w:lineRule="exact"/>
              <w:rPr>
                <w:rFonts w:hint="eastAsia"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1.采购代理费支付方式：</w:t>
            </w:r>
          </w:p>
          <w:p w14:paraId="04205B99">
            <w:pPr>
              <w:spacing w:line="400" w:lineRule="exact"/>
              <w:ind w:firstLine="420" w:firstLineChars="200"/>
              <w:rPr>
                <w:rFonts w:hint="eastAsia"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本项目代理服务费按如下规定由成交供应商在领取成交通知书前，一次性向采购代理机构支付。</w:t>
            </w:r>
          </w:p>
          <w:p w14:paraId="75B24045">
            <w:pPr>
              <w:spacing w:line="400" w:lineRule="exact"/>
              <w:rPr>
                <w:rFonts w:hint="eastAsia"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2.采购代理费收取标准：</w:t>
            </w:r>
          </w:p>
          <w:p w14:paraId="1DE6BA2E">
            <w:pPr>
              <w:spacing w:line="400" w:lineRule="exact"/>
              <w:ind w:firstLine="420" w:firstLineChars="200"/>
              <w:rPr>
                <w:rFonts w:hint="eastAsia"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以成交金额为计费额，按采购文件</w:t>
            </w:r>
            <w:r>
              <w:rPr>
                <w:rFonts w:hint="eastAsia" w:asciiTheme="minorEastAsia" w:hAnsiTheme="minorEastAsia" w:eastAsiaTheme="minorEastAsia"/>
                <w:color w:val="auto"/>
                <w:szCs w:val="21"/>
                <w:highlight w:val="none"/>
                <w:lang w:val="en-US" w:eastAsia="zh-CN"/>
              </w:rPr>
              <w:t>磋商</w:t>
            </w:r>
            <w:r>
              <w:rPr>
                <w:rFonts w:hint="eastAsia" w:asciiTheme="minorEastAsia" w:hAnsiTheme="minorEastAsia" w:eastAsiaTheme="minorEastAsia"/>
                <w:color w:val="auto"/>
                <w:szCs w:val="21"/>
                <w:highlight w:val="none"/>
              </w:rPr>
              <w:t>须知</w:t>
            </w:r>
            <w:r>
              <w:rPr>
                <w:rFonts w:hint="eastAsia" w:asciiTheme="minorEastAsia" w:hAnsiTheme="minorEastAsia" w:eastAsiaTheme="minorEastAsia"/>
                <w:color w:val="auto"/>
                <w:szCs w:val="21"/>
                <w:highlight w:val="none"/>
                <w:lang w:val="en-US" w:eastAsia="zh-CN"/>
              </w:rPr>
              <w:t>正文30.2项</w:t>
            </w:r>
            <w:r>
              <w:rPr>
                <w:rFonts w:hint="eastAsia" w:asciiTheme="minorEastAsia" w:hAnsiTheme="minorEastAsia" w:eastAsiaTheme="minorEastAsia"/>
                <w:color w:val="auto"/>
                <w:szCs w:val="21"/>
                <w:highlight w:val="none"/>
              </w:rPr>
              <w:t>的</w:t>
            </w:r>
            <w:r>
              <w:rPr>
                <w:rFonts w:hint="eastAsia" w:asciiTheme="minorEastAsia" w:hAnsiTheme="minorEastAsia" w:eastAsiaTheme="minorEastAsia"/>
                <w:color w:val="auto"/>
                <w:szCs w:val="21"/>
                <w:highlight w:val="none"/>
                <w:lang w:eastAsia="zh-CN"/>
              </w:rPr>
              <w:t>工程</w:t>
            </w:r>
            <w:r>
              <w:rPr>
                <w:rFonts w:hint="eastAsia" w:asciiTheme="minorEastAsia" w:hAnsiTheme="minorEastAsia" w:eastAsiaTheme="minorEastAsia"/>
                <w:color w:val="auto"/>
                <w:szCs w:val="21"/>
                <w:highlight w:val="none"/>
              </w:rPr>
              <w:t>类标准采用差额定率累进法计算出收费基准价格，采购代理收费以收费基准价格收取，成交单位在领取成交通知书前，一次性向采购代理机构支付。</w:t>
            </w:r>
          </w:p>
          <w:p w14:paraId="3EF673DF">
            <w:pPr>
              <w:spacing w:line="400" w:lineRule="exact"/>
              <w:rPr>
                <w:rFonts w:hint="eastAsia"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 账户名称：</w:t>
            </w:r>
            <w:r>
              <w:rPr>
                <w:rFonts w:hint="eastAsia" w:asciiTheme="minorEastAsia" w:hAnsiTheme="minorEastAsia" w:eastAsiaTheme="minorEastAsia"/>
                <w:color w:val="auto"/>
                <w:szCs w:val="21"/>
                <w:highlight w:val="none"/>
                <w:lang w:eastAsia="zh-CN"/>
              </w:rPr>
              <w:t>广西港兴招标代理有限公司</w:t>
            </w:r>
          </w:p>
          <w:p w14:paraId="4EB00FA8">
            <w:pPr>
              <w:spacing w:line="400" w:lineRule="exact"/>
              <w:rPr>
                <w:rFonts w:hint="eastAsia" w:asciiTheme="minorEastAsia" w:hAnsiTheme="minorEastAsia" w:eastAsiaTheme="minorEastAsia"/>
                <w:color w:val="auto"/>
                <w:szCs w:val="21"/>
                <w:highlight w:val="none"/>
                <w:lang w:eastAsia="zh-CN"/>
              </w:rPr>
            </w:pPr>
            <w:r>
              <w:rPr>
                <w:rFonts w:hint="eastAsia" w:asciiTheme="minorEastAsia" w:hAnsiTheme="minorEastAsia" w:eastAsiaTheme="minorEastAsia"/>
                <w:color w:val="auto"/>
                <w:szCs w:val="21"/>
                <w:highlight w:val="none"/>
              </w:rPr>
              <w:t>银行账号：</w:t>
            </w:r>
            <w:r>
              <w:rPr>
                <w:rFonts w:hint="eastAsia" w:asciiTheme="minorEastAsia" w:hAnsiTheme="minorEastAsia" w:eastAsiaTheme="minorEastAsia"/>
                <w:color w:val="auto"/>
                <w:szCs w:val="21"/>
                <w:highlight w:val="none"/>
                <w:lang w:eastAsia="zh-CN"/>
              </w:rPr>
              <w:t>660000022405200010</w:t>
            </w:r>
          </w:p>
          <w:p w14:paraId="7FF94996">
            <w:pPr>
              <w:spacing w:line="400" w:lineRule="exact"/>
              <w:rPr>
                <w:rFonts w:hint="eastAsia" w:asciiTheme="minorEastAsia" w:hAnsiTheme="minorEastAsia" w:eastAsiaTheme="minorEastAsia"/>
                <w:color w:val="auto"/>
                <w:szCs w:val="21"/>
                <w:highlight w:val="none"/>
                <w:lang w:eastAsia="zh-CN"/>
              </w:rPr>
            </w:pPr>
            <w:r>
              <w:rPr>
                <w:rFonts w:hint="eastAsia" w:asciiTheme="minorEastAsia" w:hAnsiTheme="minorEastAsia" w:eastAsiaTheme="minorEastAsia"/>
                <w:color w:val="auto"/>
                <w:szCs w:val="21"/>
                <w:highlight w:val="none"/>
              </w:rPr>
              <w:t>开户银行：</w:t>
            </w:r>
            <w:r>
              <w:rPr>
                <w:rFonts w:hint="eastAsia" w:asciiTheme="minorEastAsia" w:hAnsiTheme="minorEastAsia" w:eastAsiaTheme="minorEastAsia"/>
                <w:color w:val="auto"/>
                <w:szCs w:val="21"/>
                <w:highlight w:val="none"/>
                <w:lang w:eastAsia="zh-CN"/>
              </w:rPr>
              <w:t>桂林银行股份有限公司防城港港口支行</w:t>
            </w:r>
          </w:p>
        </w:tc>
      </w:tr>
      <w:tr w14:paraId="7FDE5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jc w:val="center"/>
        </w:trPr>
        <w:tc>
          <w:tcPr>
            <w:tcW w:w="726" w:type="dxa"/>
            <w:vAlign w:val="center"/>
          </w:tcPr>
          <w:p w14:paraId="37B46E31">
            <w:pPr>
              <w:spacing w:line="400" w:lineRule="exact"/>
              <w:jc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11</w:t>
            </w:r>
          </w:p>
        </w:tc>
        <w:tc>
          <w:tcPr>
            <w:tcW w:w="945" w:type="dxa"/>
            <w:vAlign w:val="center"/>
          </w:tcPr>
          <w:p w14:paraId="0E5BAB29">
            <w:pPr>
              <w:spacing w:line="400" w:lineRule="exact"/>
              <w:jc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32</w:t>
            </w:r>
          </w:p>
        </w:tc>
        <w:tc>
          <w:tcPr>
            <w:tcW w:w="7390" w:type="dxa"/>
            <w:vAlign w:val="center"/>
          </w:tcPr>
          <w:p w14:paraId="26BC9456">
            <w:pPr>
              <w:snapToGrid w:val="0"/>
              <w:spacing w:line="400" w:lineRule="exac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本磋商文件中描述供应商的“公章”是指根据我国对公章的管理规定，用供应商法定主体行为名称制作的印章，除本磋商文件有特殊规定外，供应商的财务章、部门章、分公司章、工会章、合同章、投标专用章、业务专用章等其它形式印章均不能代替公章。</w:t>
            </w:r>
          </w:p>
          <w:p w14:paraId="32D0309F">
            <w:pPr>
              <w:spacing w:line="400" w:lineRule="exac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2、本磋商文件中描述供应商的“签字”是指供应商的法定代表人（负责人）或被授权人亲自在磋商文件规定签署处亲笔写上个人的名字的行为，私章、签字章、印鉴、影印等其它形式均不能代替亲笔签字。</w:t>
            </w:r>
          </w:p>
        </w:tc>
      </w:tr>
    </w:tbl>
    <w:p w14:paraId="583E5E01">
      <w:pPr>
        <w:rPr>
          <w:rFonts w:asciiTheme="minorEastAsia" w:hAnsiTheme="minorEastAsia" w:eastAsiaTheme="minorEastAsia"/>
          <w:color w:val="auto"/>
          <w:highlight w:val="none"/>
        </w:rPr>
      </w:pPr>
    </w:p>
    <w:p w14:paraId="04B8BEAA">
      <w:pPr>
        <w:spacing w:line="400" w:lineRule="exact"/>
        <w:jc w:val="center"/>
        <w:rPr>
          <w:rFonts w:asciiTheme="minorEastAsia" w:hAnsiTheme="minorEastAsia" w:eastAsiaTheme="minorEastAsia"/>
          <w:b/>
          <w:color w:val="auto"/>
          <w:sz w:val="30"/>
          <w:szCs w:val="30"/>
          <w:highlight w:val="none"/>
        </w:rPr>
        <w:sectPr>
          <w:footerReference r:id="rId6" w:type="first"/>
          <w:footerReference r:id="rId5" w:type="default"/>
          <w:pgSz w:w="11907" w:h="16840"/>
          <w:pgMar w:top="1304" w:right="1134" w:bottom="1304" w:left="1304" w:header="964" w:footer="737" w:gutter="0"/>
          <w:pgNumType w:start="1"/>
          <w:cols w:space="720" w:num="1"/>
          <w:titlePg/>
          <w:docGrid w:linePitch="312" w:charSpace="0"/>
        </w:sectPr>
      </w:pPr>
    </w:p>
    <w:p w14:paraId="6FF19F43">
      <w:pPr>
        <w:spacing w:line="400" w:lineRule="exact"/>
        <w:jc w:val="center"/>
        <w:outlineLvl w:val="1"/>
        <w:rPr>
          <w:rFonts w:asciiTheme="minorEastAsia" w:hAnsiTheme="minorEastAsia" w:eastAsiaTheme="minorEastAsia"/>
          <w:b/>
          <w:color w:val="auto"/>
          <w:sz w:val="30"/>
          <w:szCs w:val="30"/>
          <w:highlight w:val="none"/>
        </w:rPr>
      </w:pPr>
      <w:bookmarkStart w:id="7" w:name="_Toc31729"/>
      <w:r>
        <w:rPr>
          <w:rFonts w:hint="eastAsia" w:asciiTheme="minorEastAsia" w:hAnsiTheme="minorEastAsia" w:eastAsiaTheme="minorEastAsia"/>
          <w:b/>
          <w:color w:val="auto"/>
          <w:sz w:val="30"/>
          <w:szCs w:val="30"/>
          <w:highlight w:val="none"/>
        </w:rPr>
        <w:t>磋商须知</w:t>
      </w:r>
      <w:bookmarkEnd w:id="7"/>
    </w:p>
    <w:p w14:paraId="33C77764">
      <w:pPr>
        <w:spacing w:line="400" w:lineRule="exact"/>
        <w:ind w:firstLine="422" w:firstLineChars="200"/>
        <w:outlineLvl w:val="2"/>
        <w:rPr>
          <w:rFonts w:hAnsi="宋体"/>
          <w:b/>
          <w:color w:val="auto"/>
          <w:szCs w:val="21"/>
          <w:highlight w:val="none"/>
        </w:rPr>
      </w:pPr>
      <w:bookmarkStart w:id="8" w:name="_Toc13772"/>
      <w:r>
        <w:rPr>
          <w:rFonts w:hint="eastAsia" w:hAnsi="宋体"/>
          <w:b/>
          <w:color w:val="auto"/>
          <w:szCs w:val="21"/>
          <w:highlight w:val="none"/>
        </w:rPr>
        <w:t>一、总　则</w:t>
      </w:r>
      <w:bookmarkEnd w:id="8"/>
    </w:p>
    <w:p w14:paraId="7883D2D0">
      <w:pPr>
        <w:spacing w:line="400" w:lineRule="exact"/>
        <w:ind w:firstLine="422" w:firstLineChars="200"/>
        <w:rPr>
          <w:rFonts w:hAnsi="宋体"/>
          <w:b/>
          <w:color w:val="auto"/>
          <w:szCs w:val="21"/>
          <w:highlight w:val="none"/>
        </w:rPr>
      </w:pPr>
      <w:r>
        <w:rPr>
          <w:rFonts w:hint="eastAsia" w:hAnsi="宋体"/>
          <w:b/>
          <w:color w:val="auto"/>
          <w:szCs w:val="21"/>
          <w:highlight w:val="none"/>
        </w:rPr>
        <w:t>1.</w:t>
      </w:r>
      <w:r>
        <w:rPr>
          <w:rFonts w:hint="eastAsia" w:hAnsi="宋体"/>
          <w:color w:val="auto"/>
          <w:highlight w:val="none"/>
        </w:rPr>
        <w:t xml:space="preserve"> </w:t>
      </w:r>
      <w:r>
        <w:rPr>
          <w:rFonts w:hint="eastAsia" w:hAnsi="宋体"/>
          <w:b/>
          <w:color w:val="auto"/>
          <w:szCs w:val="21"/>
          <w:highlight w:val="none"/>
        </w:rPr>
        <w:t>项目概况</w:t>
      </w:r>
    </w:p>
    <w:p w14:paraId="0615473A">
      <w:pPr>
        <w:spacing w:line="400" w:lineRule="exact"/>
        <w:ind w:firstLine="420" w:firstLineChars="200"/>
        <w:rPr>
          <w:rFonts w:hAnsi="宋体"/>
          <w:color w:val="auto"/>
          <w:szCs w:val="21"/>
          <w:highlight w:val="none"/>
        </w:rPr>
      </w:pPr>
      <w:r>
        <w:rPr>
          <w:rFonts w:hint="eastAsia" w:hAnsi="宋体"/>
          <w:color w:val="auto"/>
          <w:szCs w:val="21"/>
          <w:highlight w:val="none"/>
        </w:rPr>
        <w:t>1.1</w:t>
      </w:r>
      <w:r>
        <w:rPr>
          <w:rFonts w:hAnsi="宋体"/>
          <w:color w:val="auto"/>
          <w:szCs w:val="21"/>
          <w:highlight w:val="none"/>
        </w:rPr>
        <w:t>本项目名称</w:t>
      </w:r>
      <w:r>
        <w:rPr>
          <w:rFonts w:hint="eastAsia" w:hAnsi="宋体"/>
          <w:color w:val="auto"/>
          <w:szCs w:val="21"/>
          <w:highlight w:val="none"/>
        </w:rPr>
        <w:t>及项目编号</w:t>
      </w:r>
      <w:r>
        <w:rPr>
          <w:rFonts w:hAnsi="宋体"/>
          <w:color w:val="auto"/>
          <w:szCs w:val="21"/>
          <w:highlight w:val="none"/>
        </w:rPr>
        <w:t>：见“</w:t>
      </w:r>
      <w:r>
        <w:rPr>
          <w:rFonts w:hint="eastAsia" w:hAnsi="宋体"/>
          <w:color w:val="auto"/>
          <w:szCs w:val="21"/>
          <w:highlight w:val="none"/>
        </w:rPr>
        <w:t>磋商</w:t>
      </w:r>
      <w:r>
        <w:rPr>
          <w:rFonts w:hAnsi="宋体"/>
          <w:color w:val="auto"/>
          <w:szCs w:val="21"/>
          <w:highlight w:val="none"/>
        </w:rPr>
        <w:t>须知前附表”。</w:t>
      </w:r>
    </w:p>
    <w:p w14:paraId="03265532">
      <w:pPr>
        <w:spacing w:line="400" w:lineRule="exact"/>
        <w:ind w:firstLine="420" w:firstLineChars="200"/>
        <w:rPr>
          <w:rFonts w:hAnsi="宋体"/>
          <w:color w:val="auto"/>
          <w:szCs w:val="21"/>
          <w:highlight w:val="none"/>
        </w:rPr>
      </w:pPr>
      <w:r>
        <w:rPr>
          <w:rFonts w:hint="eastAsia" w:hAnsi="宋体"/>
          <w:color w:val="auto"/>
          <w:szCs w:val="21"/>
          <w:highlight w:val="none"/>
        </w:rPr>
        <w:t>1.2</w:t>
      </w:r>
      <w:r>
        <w:rPr>
          <w:rFonts w:hAnsi="宋体"/>
          <w:color w:val="auto"/>
          <w:szCs w:val="21"/>
          <w:highlight w:val="none"/>
        </w:rPr>
        <w:t>本项目建设地点：见“</w:t>
      </w:r>
      <w:r>
        <w:rPr>
          <w:rFonts w:hint="eastAsia" w:hAnsi="宋体"/>
          <w:color w:val="auto"/>
          <w:szCs w:val="21"/>
          <w:highlight w:val="none"/>
        </w:rPr>
        <w:t>磋商</w:t>
      </w:r>
      <w:r>
        <w:rPr>
          <w:rFonts w:hAnsi="宋体"/>
          <w:color w:val="auto"/>
          <w:szCs w:val="21"/>
          <w:highlight w:val="none"/>
        </w:rPr>
        <w:t>须知前附表”。</w:t>
      </w:r>
    </w:p>
    <w:p w14:paraId="01856BC1">
      <w:pPr>
        <w:spacing w:line="400" w:lineRule="exact"/>
        <w:ind w:firstLine="420" w:firstLineChars="200"/>
        <w:rPr>
          <w:rFonts w:hAnsi="宋体"/>
          <w:color w:val="auto"/>
          <w:szCs w:val="21"/>
          <w:highlight w:val="none"/>
        </w:rPr>
      </w:pPr>
      <w:r>
        <w:rPr>
          <w:rFonts w:hAnsi="宋体"/>
          <w:color w:val="auto"/>
          <w:szCs w:val="21"/>
          <w:highlight w:val="none"/>
        </w:rPr>
        <w:t>1.3 本项目</w:t>
      </w:r>
      <w:r>
        <w:rPr>
          <w:rFonts w:hint="eastAsia" w:hAnsi="宋体"/>
          <w:color w:val="auto"/>
          <w:szCs w:val="21"/>
          <w:highlight w:val="none"/>
        </w:rPr>
        <w:t>采购</w:t>
      </w:r>
      <w:r>
        <w:rPr>
          <w:rFonts w:hAnsi="宋体"/>
          <w:color w:val="auto"/>
          <w:szCs w:val="21"/>
          <w:highlight w:val="none"/>
        </w:rPr>
        <w:t>范围：见“</w:t>
      </w:r>
      <w:r>
        <w:rPr>
          <w:rFonts w:hint="eastAsia" w:hAnsi="宋体"/>
          <w:color w:val="auto"/>
          <w:szCs w:val="21"/>
          <w:highlight w:val="none"/>
        </w:rPr>
        <w:t>磋商</w:t>
      </w:r>
      <w:r>
        <w:rPr>
          <w:rFonts w:hAnsi="宋体"/>
          <w:color w:val="auto"/>
          <w:szCs w:val="21"/>
          <w:highlight w:val="none"/>
        </w:rPr>
        <w:t>须知前附表”。</w:t>
      </w:r>
    </w:p>
    <w:p w14:paraId="312D74D4">
      <w:pPr>
        <w:spacing w:line="400" w:lineRule="exact"/>
        <w:ind w:firstLine="420" w:firstLineChars="200"/>
        <w:rPr>
          <w:rFonts w:hAnsi="宋体"/>
          <w:color w:val="auto"/>
          <w:szCs w:val="21"/>
          <w:highlight w:val="none"/>
        </w:rPr>
      </w:pPr>
      <w:r>
        <w:rPr>
          <w:rFonts w:hAnsi="宋体"/>
          <w:color w:val="auto"/>
          <w:szCs w:val="21"/>
          <w:highlight w:val="none"/>
        </w:rPr>
        <w:t>1.</w:t>
      </w:r>
      <w:r>
        <w:rPr>
          <w:rFonts w:hint="eastAsia" w:hAnsi="宋体"/>
          <w:color w:val="auto"/>
          <w:szCs w:val="21"/>
          <w:highlight w:val="none"/>
        </w:rPr>
        <w:t>4</w:t>
      </w:r>
      <w:r>
        <w:rPr>
          <w:rFonts w:hAnsi="宋体"/>
          <w:color w:val="auto"/>
          <w:szCs w:val="21"/>
          <w:highlight w:val="none"/>
        </w:rPr>
        <w:t xml:space="preserve"> 本项目的</w:t>
      </w:r>
      <w:r>
        <w:rPr>
          <w:rFonts w:hint="eastAsia" w:hAnsi="宋体"/>
          <w:color w:val="auto"/>
          <w:szCs w:val="21"/>
          <w:highlight w:val="none"/>
        </w:rPr>
        <w:t>要求</w:t>
      </w:r>
      <w:r>
        <w:rPr>
          <w:rFonts w:hAnsi="宋体"/>
          <w:color w:val="auto"/>
          <w:szCs w:val="21"/>
          <w:highlight w:val="none"/>
        </w:rPr>
        <w:t>工期：见“</w:t>
      </w:r>
      <w:r>
        <w:rPr>
          <w:rFonts w:hint="eastAsia" w:hAnsi="宋体"/>
          <w:color w:val="auto"/>
          <w:szCs w:val="21"/>
          <w:highlight w:val="none"/>
        </w:rPr>
        <w:t>磋商</w:t>
      </w:r>
      <w:r>
        <w:rPr>
          <w:rFonts w:hAnsi="宋体"/>
          <w:color w:val="auto"/>
          <w:szCs w:val="21"/>
          <w:highlight w:val="none"/>
        </w:rPr>
        <w:t>须知前附表”。</w:t>
      </w:r>
    </w:p>
    <w:p w14:paraId="283F0D38">
      <w:pPr>
        <w:spacing w:line="400" w:lineRule="exact"/>
        <w:ind w:firstLine="420" w:firstLineChars="200"/>
        <w:rPr>
          <w:rFonts w:hAnsi="宋体"/>
          <w:color w:val="auto"/>
          <w:szCs w:val="21"/>
          <w:highlight w:val="none"/>
        </w:rPr>
      </w:pPr>
      <w:r>
        <w:rPr>
          <w:rFonts w:hAnsi="宋体"/>
          <w:color w:val="auto"/>
          <w:szCs w:val="21"/>
          <w:highlight w:val="none"/>
        </w:rPr>
        <w:t>1.</w:t>
      </w:r>
      <w:r>
        <w:rPr>
          <w:rFonts w:hint="eastAsia" w:hAnsi="宋体"/>
          <w:color w:val="auto"/>
          <w:szCs w:val="21"/>
          <w:highlight w:val="none"/>
        </w:rPr>
        <w:t>5</w:t>
      </w:r>
      <w:r>
        <w:rPr>
          <w:rFonts w:hAnsi="宋体"/>
          <w:color w:val="auto"/>
          <w:szCs w:val="21"/>
          <w:highlight w:val="none"/>
        </w:rPr>
        <w:t xml:space="preserve"> 本项目的质量要求：见“</w:t>
      </w:r>
      <w:r>
        <w:rPr>
          <w:rFonts w:hint="eastAsia" w:hAnsi="宋体"/>
          <w:color w:val="auto"/>
          <w:szCs w:val="21"/>
          <w:highlight w:val="none"/>
        </w:rPr>
        <w:t>磋商</w:t>
      </w:r>
      <w:r>
        <w:rPr>
          <w:rFonts w:hAnsi="宋体"/>
          <w:color w:val="auto"/>
          <w:szCs w:val="21"/>
          <w:highlight w:val="none"/>
        </w:rPr>
        <w:t>须知前附表”。</w:t>
      </w:r>
    </w:p>
    <w:p w14:paraId="31153142">
      <w:pPr>
        <w:spacing w:line="400" w:lineRule="exact"/>
        <w:ind w:firstLine="422" w:firstLineChars="200"/>
        <w:rPr>
          <w:rFonts w:hAnsi="宋体"/>
          <w:b/>
          <w:color w:val="auto"/>
          <w:szCs w:val="21"/>
          <w:highlight w:val="none"/>
        </w:rPr>
      </w:pPr>
      <w:r>
        <w:rPr>
          <w:rFonts w:hint="eastAsia" w:hAnsi="宋体"/>
          <w:b/>
          <w:color w:val="auto"/>
          <w:szCs w:val="21"/>
          <w:highlight w:val="none"/>
        </w:rPr>
        <w:t>2.定义</w:t>
      </w:r>
    </w:p>
    <w:p w14:paraId="12A5FB14">
      <w:pPr>
        <w:spacing w:line="400" w:lineRule="exact"/>
        <w:ind w:firstLine="420" w:firstLineChars="200"/>
        <w:rPr>
          <w:rFonts w:hAnsi="宋体"/>
          <w:color w:val="auto"/>
          <w:szCs w:val="21"/>
          <w:highlight w:val="none"/>
        </w:rPr>
      </w:pPr>
      <w:r>
        <w:rPr>
          <w:rFonts w:hint="eastAsia" w:hAnsi="宋体"/>
          <w:color w:val="auto"/>
          <w:szCs w:val="21"/>
          <w:highlight w:val="none"/>
        </w:rPr>
        <w:t>2.1“采购人”是指：依法进行政府采购的国家机关、事业单位、团体组织</w:t>
      </w:r>
      <w:r>
        <w:rPr>
          <w:rFonts w:hint="eastAsia" w:hAnsi="宋体"/>
          <w:color w:val="auto"/>
          <w:szCs w:val="21"/>
          <w:highlight w:val="none"/>
          <w:lang w:eastAsia="zh-Hans"/>
        </w:rPr>
        <w:t>，本项目采购人为</w:t>
      </w:r>
      <w:r>
        <w:rPr>
          <w:rFonts w:hint="eastAsia" w:hAnsi="宋体"/>
          <w:color w:val="auto"/>
          <w:szCs w:val="21"/>
          <w:highlight w:val="none"/>
          <w:lang w:eastAsia="zh-CN"/>
        </w:rPr>
        <w:t>防城港市理工职业学校</w:t>
      </w:r>
      <w:r>
        <w:rPr>
          <w:rFonts w:hint="eastAsia" w:hAnsi="宋体"/>
          <w:color w:val="auto"/>
          <w:szCs w:val="21"/>
          <w:highlight w:val="none"/>
        </w:rPr>
        <w:t>。</w:t>
      </w:r>
    </w:p>
    <w:p w14:paraId="1CC939E2">
      <w:pPr>
        <w:spacing w:line="400" w:lineRule="exact"/>
        <w:ind w:firstLine="420" w:firstLineChars="200"/>
        <w:rPr>
          <w:rFonts w:hAnsi="宋体"/>
          <w:color w:val="auto"/>
          <w:szCs w:val="21"/>
          <w:highlight w:val="none"/>
        </w:rPr>
      </w:pPr>
      <w:r>
        <w:rPr>
          <w:rFonts w:hint="eastAsia" w:hAnsi="宋体"/>
          <w:color w:val="auto"/>
          <w:szCs w:val="21"/>
          <w:highlight w:val="none"/>
        </w:rPr>
        <w:t>2.2“采购代理机构”是指：根据采购人的委托办理采购事宜的机构，本项目的采购代理机构为</w:t>
      </w:r>
      <w:r>
        <w:rPr>
          <w:rFonts w:hint="eastAsia" w:hAnsi="宋体"/>
          <w:color w:val="auto"/>
          <w:szCs w:val="21"/>
          <w:highlight w:val="none"/>
          <w:lang w:eastAsia="zh-CN"/>
        </w:rPr>
        <w:t>广西港兴招标代理有限公司</w:t>
      </w:r>
      <w:r>
        <w:rPr>
          <w:rFonts w:hint="eastAsia" w:hAnsi="宋体"/>
          <w:color w:val="auto"/>
          <w:szCs w:val="21"/>
          <w:highlight w:val="none"/>
        </w:rPr>
        <w:t>。</w:t>
      </w:r>
    </w:p>
    <w:p w14:paraId="245F376B">
      <w:pPr>
        <w:spacing w:line="400" w:lineRule="exact"/>
        <w:ind w:firstLine="420" w:firstLineChars="200"/>
        <w:rPr>
          <w:rFonts w:hAnsi="宋体"/>
          <w:color w:val="auto"/>
          <w:szCs w:val="21"/>
          <w:highlight w:val="none"/>
        </w:rPr>
      </w:pPr>
      <w:r>
        <w:rPr>
          <w:rFonts w:hint="eastAsia" w:hAnsi="宋体"/>
          <w:color w:val="auto"/>
          <w:szCs w:val="21"/>
          <w:highlight w:val="none"/>
        </w:rPr>
        <w:t>2.3“供应商”是指购买了竞争性磋商文件，响应本文件要求，参加磋商的法人、其他组织或者自然人。如果该供应商在本次磋商中成交，即成为“成交供应商”。</w:t>
      </w:r>
    </w:p>
    <w:p w14:paraId="56D4E690">
      <w:pPr>
        <w:spacing w:line="400" w:lineRule="exact"/>
        <w:ind w:firstLine="420" w:firstLineChars="200"/>
        <w:rPr>
          <w:rFonts w:hAnsi="宋体"/>
          <w:color w:val="auto"/>
          <w:szCs w:val="21"/>
          <w:highlight w:val="none"/>
        </w:rPr>
      </w:pPr>
      <w:r>
        <w:rPr>
          <w:rFonts w:hint="eastAsia" w:hAnsi="宋体"/>
          <w:color w:val="auto"/>
          <w:szCs w:val="21"/>
          <w:highlight w:val="none"/>
        </w:rPr>
        <w:t>2.4“工程”是指建设工程，包括建筑物和构筑物的新建、改建、扩建及其相关的装修、拆除、修缮等。</w:t>
      </w:r>
    </w:p>
    <w:p w14:paraId="4943856B">
      <w:pPr>
        <w:spacing w:line="320" w:lineRule="exact"/>
        <w:ind w:firstLine="422" w:firstLineChars="201"/>
        <w:rPr>
          <w:rFonts w:ascii="Times New Roman" w:hAnsi="Times New Roman"/>
          <w:color w:val="auto"/>
          <w:szCs w:val="24"/>
          <w:highlight w:val="none"/>
        </w:rPr>
      </w:pPr>
      <w:r>
        <w:rPr>
          <w:rFonts w:hAnsi="宋体"/>
          <w:color w:val="auto"/>
          <w:szCs w:val="21"/>
          <w:highlight w:val="none"/>
        </w:rPr>
        <w:t>2.5</w:t>
      </w:r>
      <w:r>
        <w:rPr>
          <w:rFonts w:hint="eastAsia" w:hAnsi="宋体"/>
          <w:color w:val="auto"/>
          <w:szCs w:val="21"/>
          <w:highlight w:val="none"/>
        </w:rPr>
        <w:t>“服务”是指除货物和工程以外的其他采购对象。</w:t>
      </w:r>
    </w:p>
    <w:p w14:paraId="20E03B88">
      <w:pPr>
        <w:spacing w:line="400" w:lineRule="exact"/>
        <w:ind w:firstLine="420" w:firstLineChars="200"/>
        <w:rPr>
          <w:rFonts w:hAnsi="宋体"/>
          <w:color w:val="auto"/>
          <w:szCs w:val="21"/>
          <w:highlight w:val="none"/>
        </w:rPr>
      </w:pPr>
      <w:r>
        <w:rPr>
          <w:rFonts w:hint="eastAsia" w:hAnsi="宋体"/>
          <w:color w:val="auto"/>
          <w:szCs w:val="21"/>
          <w:highlight w:val="none"/>
        </w:rPr>
        <w:t>2.6“响应文件”是指：供应商根据本文件要求，编制包含报价、技术和服务等所有内容的文件。</w:t>
      </w:r>
    </w:p>
    <w:p w14:paraId="6C82C9EC">
      <w:pPr>
        <w:spacing w:line="400" w:lineRule="exact"/>
        <w:ind w:firstLine="422" w:firstLineChars="200"/>
        <w:rPr>
          <w:rFonts w:hAnsi="宋体"/>
          <w:b/>
          <w:color w:val="auto"/>
          <w:szCs w:val="21"/>
          <w:highlight w:val="none"/>
        </w:rPr>
      </w:pPr>
      <w:r>
        <w:rPr>
          <w:rFonts w:hint="eastAsia" w:hAnsi="宋体"/>
          <w:b/>
          <w:color w:val="auto"/>
          <w:szCs w:val="21"/>
          <w:highlight w:val="none"/>
        </w:rPr>
        <w:t>3.供应商的资格条件</w:t>
      </w:r>
    </w:p>
    <w:p w14:paraId="30BB661A">
      <w:pPr>
        <w:spacing w:line="400" w:lineRule="exact"/>
        <w:ind w:firstLine="420" w:firstLineChars="200"/>
        <w:rPr>
          <w:rFonts w:hAnsi="宋体" w:cs="Arial"/>
          <w:color w:val="auto"/>
          <w:szCs w:val="21"/>
          <w:highlight w:val="none"/>
        </w:rPr>
      </w:pPr>
      <w:r>
        <w:rPr>
          <w:rFonts w:hint="eastAsia" w:hAnsi="宋体"/>
          <w:color w:val="auto"/>
          <w:szCs w:val="21"/>
          <w:highlight w:val="none"/>
        </w:rPr>
        <w:t>3.1</w:t>
      </w:r>
      <w:r>
        <w:rPr>
          <w:rFonts w:hint="eastAsia" w:hAnsi="宋体" w:cs="Arial"/>
          <w:color w:val="auto"/>
          <w:szCs w:val="21"/>
          <w:highlight w:val="none"/>
        </w:rPr>
        <w:t>参加本项目的供应商必须满足符合《中华人民共和国政府采购法》第二十二条规定。</w:t>
      </w:r>
    </w:p>
    <w:p w14:paraId="6E379F51">
      <w:pPr>
        <w:spacing w:line="400" w:lineRule="exact"/>
        <w:ind w:firstLine="420" w:firstLineChars="200"/>
        <w:rPr>
          <w:rFonts w:hAnsi="宋体" w:cs="Arial"/>
          <w:color w:val="auto"/>
          <w:szCs w:val="21"/>
          <w:highlight w:val="none"/>
        </w:rPr>
      </w:pPr>
      <w:r>
        <w:rPr>
          <w:rFonts w:hint="eastAsia" w:hAnsi="宋体" w:cs="Arial"/>
          <w:color w:val="auto"/>
          <w:szCs w:val="21"/>
          <w:highlight w:val="none"/>
        </w:rPr>
        <w:t>3.2参加本项目的供应商应满足的其它特定资格条件：见“磋商须知前附表”。</w:t>
      </w:r>
    </w:p>
    <w:p w14:paraId="165868E7">
      <w:pPr>
        <w:spacing w:line="400" w:lineRule="exact"/>
        <w:ind w:firstLine="420" w:firstLineChars="200"/>
        <w:rPr>
          <w:rFonts w:hAnsi="宋体"/>
          <w:color w:val="auto"/>
          <w:szCs w:val="21"/>
          <w:highlight w:val="none"/>
        </w:rPr>
      </w:pPr>
      <w:r>
        <w:rPr>
          <w:rFonts w:hint="eastAsia" w:hAnsi="宋体" w:cs="Arial"/>
          <w:color w:val="auto"/>
          <w:szCs w:val="21"/>
          <w:highlight w:val="none"/>
        </w:rPr>
        <w:t>3.3本项目</w:t>
      </w:r>
      <w:r>
        <w:rPr>
          <w:rFonts w:hint="eastAsia" w:hAnsi="宋体"/>
          <w:color w:val="auto"/>
          <w:szCs w:val="21"/>
          <w:highlight w:val="none"/>
        </w:rPr>
        <w:t>不接受联合体磋商，供应商以联合体形式参加磋商的，磋商无效。</w:t>
      </w:r>
    </w:p>
    <w:p w14:paraId="276EC221">
      <w:pPr>
        <w:spacing w:line="400" w:lineRule="exact"/>
        <w:ind w:firstLine="422" w:firstLineChars="200"/>
        <w:rPr>
          <w:rFonts w:hAnsi="宋体"/>
          <w:b/>
          <w:color w:val="auto"/>
          <w:szCs w:val="21"/>
          <w:highlight w:val="none"/>
        </w:rPr>
      </w:pPr>
      <w:r>
        <w:rPr>
          <w:rFonts w:hint="eastAsia" w:hAnsi="宋体"/>
          <w:b/>
          <w:color w:val="auto"/>
          <w:szCs w:val="21"/>
          <w:highlight w:val="none"/>
        </w:rPr>
        <w:t>4. 磋商费用</w:t>
      </w:r>
    </w:p>
    <w:p w14:paraId="18A53A96">
      <w:pPr>
        <w:spacing w:line="400" w:lineRule="exact"/>
        <w:ind w:firstLine="420" w:firstLineChars="200"/>
        <w:rPr>
          <w:rFonts w:hAnsi="宋体"/>
          <w:color w:val="auto"/>
          <w:szCs w:val="21"/>
          <w:highlight w:val="none"/>
        </w:rPr>
      </w:pPr>
      <w:r>
        <w:rPr>
          <w:rFonts w:hint="eastAsia" w:hAnsi="宋体"/>
          <w:color w:val="auto"/>
          <w:szCs w:val="21"/>
          <w:highlight w:val="none"/>
        </w:rPr>
        <w:t xml:space="preserve">4.1 </w:t>
      </w:r>
      <w:r>
        <w:rPr>
          <w:rFonts w:hint="eastAsia" w:hAnsi="宋体" w:cs="Arial"/>
          <w:color w:val="auto"/>
          <w:szCs w:val="21"/>
          <w:highlight w:val="none"/>
        </w:rPr>
        <w:t>供应商</w:t>
      </w:r>
      <w:r>
        <w:rPr>
          <w:rFonts w:hint="eastAsia" w:hAnsi="宋体"/>
          <w:color w:val="auto"/>
          <w:szCs w:val="21"/>
          <w:highlight w:val="none"/>
        </w:rPr>
        <w:t>应自行承担所有与编写和提交响应文件有关的费用，不论磋商结果如何，采购人和采购代理机构在任何情况下无义务和责任承担此类费用。</w:t>
      </w:r>
    </w:p>
    <w:p w14:paraId="2BC12331">
      <w:pPr>
        <w:spacing w:line="400" w:lineRule="exact"/>
        <w:ind w:firstLine="422" w:firstLineChars="200"/>
        <w:outlineLvl w:val="2"/>
        <w:rPr>
          <w:rFonts w:hAnsi="宋体"/>
          <w:b/>
          <w:color w:val="auto"/>
          <w:szCs w:val="21"/>
          <w:highlight w:val="none"/>
        </w:rPr>
      </w:pPr>
      <w:bookmarkStart w:id="9" w:name="_Toc25480"/>
      <w:r>
        <w:rPr>
          <w:rFonts w:hint="eastAsia" w:hAnsi="宋体"/>
          <w:b/>
          <w:color w:val="auto"/>
          <w:szCs w:val="21"/>
          <w:highlight w:val="none"/>
        </w:rPr>
        <w:t>二、竞争性磋商文件</w:t>
      </w:r>
      <w:bookmarkEnd w:id="9"/>
    </w:p>
    <w:p w14:paraId="5EE0B7FD">
      <w:pPr>
        <w:spacing w:line="400" w:lineRule="exact"/>
        <w:ind w:firstLine="422" w:firstLineChars="200"/>
        <w:rPr>
          <w:rFonts w:hAnsi="宋体"/>
          <w:b/>
          <w:color w:val="auto"/>
          <w:szCs w:val="21"/>
          <w:highlight w:val="none"/>
        </w:rPr>
      </w:pPr>
      <w:r>
        <w:rPr>
          <w:rFonts w:hint="eastAsia" w:hAnsi="宋体"/>
          <w:b/>
          <w:color w:val="auto"/>
          <w:szCs w:val="21"/>
          <w:highlight w:val="none"/>
        </w:rPr>
        <w:t>5.竞争性磋商文件的组成</w:t>
      </w:r>
    </w:p>
    <w:p w14:paraId="4DCF3858">
      <w:pPr>
        <w:spacing w:line="400" w:lineRule="exact"/>
        <w:ind w:firstLine="420" w:firstLineChars="200"/>
        <w:rPr>
          <w:rFonts w:hAnsi="宋体"/>
          <w:color w:val="auto"/>
          <w:szCs w:val="21"/>
          <w:highlight w:val="none"/>
        </w:rPr>
      </w:pPr>
      <w:r>
        <w:rPr>
          <w:rFonts w:hint="eastAsia" w:hAnsi="宋体"/>
          <w:color w:val="auto"/>
          <w:szCs w:val="21"/>
          <w:highlight w:val="none"/>
        </w:rPr>
        <w:t>5.1 本竞争性磋商文件包括六个章节，各章的内容如下：</w:t>
      </w:r>
    </w:p>
    <w:p w14:paraId="5F423258">
      <w:pPr>
        <w:spacing w:line="400" w:lineRule="exact"/>
        <w:ind w:firstLine="420" w:firstLineChars="200"/>
        <w:rPr>
          <w:rFonts w:hAnsi="宋体"/>
          <w:color w:val="auto"/>
          <w:szCs w:val="21"/>
          <w:highlight w:val="none"/>
        </w:rPr>
      </w:pPr>
      <w:r>
        <w:rPr>
          <w:rFonts w:hint="eastAsia" w:hAnsi="宋体"/>
          <w:color w:val="auto"/>
          <w:szCs w:val="21"/>
          <w:highlight w:val="none"/>
        </w:rPr>
        <w:t>第一章  竞争性磋商公告</w:t>
      </w:r>
    </w:p>
    <w:p w14:paraId="30AD03F1">
      <w:pPr>
        <w:spacing w:line="400" w:lineRule="exact"/>
        <w:ind w:firstLine="420" w:firstLineChars="200"/>
        <w:rPr>
          <w:rFonts w:hAnsi="宋体"/>
          <w:color w:val="auto"/>
          <w:szCs w:val="21"/>
          <w:highlight w:val="none"/>
        </w:rPr>
      </w:pPr>
      <w:r>
        <w:rPr>
          <w:rFonts w:hint="eastAsia" w:hAnsi="宋体"/>
          <w:color w:val="auto"/>
          <w:szCs w:val="21"/>
          <w:highlight w:val="none"/>
        </w:rPr>
        <w:t>第二章  磋商须知及前附表</w:t>
      </w:r>
    </w:p>
    <w:p w14:paraId="786B33F8">
      <w:pPr>
        <w:spacing w:line="400" w:lineRule="exact"/>
        <w:ind w:firstLine="420" w:firstLineChars="200"/>
        <w:rPr>
          <w:rFonts w:hAnsi="宋体"/>
          <w:color w:val="auto"/>
          <w:szCs w:val="21"/>
          <w:highlight w:val="none"/>
        </w:rPr>
      </w:pPr>
      <w:r>
        <w:rPr>
          <w:rFonts w:hint="eastAsia" w:hAnsi="宋体"/>
          <w:color w:val="auto"/>
          <w:szCs w:val="21"/>
          <w:highlight w:val="none"/>
        </w:rPr>
        <w:t>第三章  评审方法</w:t>
      </w:r>
    </w:p>
    <w:p w14:paraId="1180CDA6">
      <w:pPr>
        <w:spacing w:line="400" w:lineRule="exact"/>
        <w:ind w:firstLine="420" w:firstLineChars="200"/>
        <w:rPr>
          <w:rFonts w:hAnsi="宋体"/>
          <w:color w:val="auto"/>
          <w:szCs w:val="21"/>
          <w:highlight w:val="none"/>
        </w:rPr>
      </w:pPr>
      <w:r>
        <w:rPr>
          <w:rFonts w:hint="eastAsia" w:hAnsi="宋体"/>
          <w:color w:val="auto"/>
          <w:szCs w:val="21"/>
          <w:highlight w:val="none"/>
        </w:rPr>
        <w:t>第四章  工程量清单和图纸</w:t>
      </w:r>
    </w:p>
    <w:p w14:paraId="43BA78FA">
      <w:pPr>
        <w:spacing w:line="400" w:lineRule="exact"/>
        <w:ind w:firstLine="420" w:firstLineChars="200"/>
        <w:rPr>
          <w:rFonts w:hAnsi="宋体"/>
          <w:color w:val="auto"/>
          <w:szCs w:val="21"/>
          <w:highlight w:val="none"/>
        </w:rPr>
      </w:pPr>
      <w:r>
        <w:rPr>
          <w:rFonts w:hint="eastAsia" w:hAnsi="宋体"/>
          <w:color w:val="auto"/>
          <w:szCs w:val="21"/>
          <w:highlight w:val="none"/>
        </w:rPr>
        <w:t>第五章  技术标准、规范</w:t>
      </w:r>
    </w:p>
    <w:p w14:paraId="4515FD85">
      <w:pPr>
        <w:spacing w:line="400" w:lineRule="exact"/>
        <w:ind w:firstLine="420" w:firstLineChars="200"/>
        <w:rPr>
          <w:rFonts w:hAnsi="宋体"/>
          <w:color w:val="auto"/>
          <w:szCs w:val="21"/>
          <w:highlight w:val="none"/>
        </w:rPr>
      </w:pPr>
      <w:r>
        <w:rPr>
          <w:rFonts w:hint="eastAsia" w:hAnsi="宋体"/>
          <w:color w:val="auto"/>
          <w:szCs w:val="21"/>
          <w:highlight w:val="none"/>
        </w:rPr>
        <w:t>第六章  合同条款及格式</w:t>
      </w:r>
    </w:p>
    <w:p w14:paraId="088D0739">
      <w:pPr>
        <w:spacing w:line="400" w:lineRule="exact"/>
        <w:ind w:firstLine="420" w:firstLineChars="200"/>
        <w:rPr>
          <w:rFonts w:hAnsi="宋体"/>
          <w:color w:val="auto"/>
          <w:szCs w:val="21"/>
          <w:highlight w:val="none"/>
        </w:rPr>
      </w:pPr>
      <w:r>
        <w:rPr>
          <w:rFonts w:hint="eastAsia" w:hAnsi="宋体"/>
          <w:color w:val="auto"/>
          <w:szCs w:val="21"/>
          <w:highlight w:val="none"/>
        </w:rPr>
        <w:t>第七章  响应文件基本格式</w:t>
      </w:r>
    </w:p>
    <w:p w14:paraId="61DD3339">
      <w:pPr>
        <w:spacing w:line="440" w:lineRule="exact"/>
        <w:ind w:firstLine="464" w:firstLineChars="221"/>
        <w:rPr>
          <w:rFonts w:hAnsi="宋体"/>
          <w:color w:val="auto"/>
          <w:szCs w:val="21"/>
          <w:highlight w:val="none"/>
        </w:rPr>
      </w:pPr>
      <w:r>
        <w:rPr>
          <w:rFonts w:hint="eastAsia" w:hAnsi="宋体"/>
          <w:color w:val="auto"/>
          <w:szCs w:val="21"/>
          <w:highlight w:val="none"/>
        </w:rPr>
        <w:t>5.2  根据本章第6.1项的规定对竞争性磋商文件所做的澄清、修改，构成竞争性磋商文件的组成部分。当竞争性磋商文件与竞争性磋商文件的澄清和修改就同一内容的表述不一致时，以最后发出的书面文件为准。</w:t>
      </w:r>
    </w:p>
    <w:p w14:paraId="7EB2ABC8">
      <w:pPr>
        <w:spacing w:line="440" w:lineRule="exact"/>
        <w:ind w:firstLine="466" w:firstLineChars="221"/>
        <w:rPr>
          <w:rFonts w:hAnsi="宋体"/>
          <w:b/>
          <w:bCs/>
          <w:color w:val="auto"/>
          <w:szCs w:val="21"/>
          <w:highlight w:val="none"/>
        </w:rPr>
      </w:pPr>
      <w:r>
        <w:rPr>
          <w:rFonts w:hint="eastAsia" w:hAnsi="宋体"/>
          <w:b/>
          <w:bCs/>
          <w:color w:val="auto"/>
          <w:szCs w:val="21"/>
          <w:highlight w:val="none"/>
        </w:rPr>
        <w:t>6. 竞争性磋商文件的澄清和修改</w:t>
      </w:r>
    </w:p>
    <w:p w14:paraId="5F4FD501">
      <w:pPr>
        <w:spacing w:line="440" w:lineRule="exact"/>
        <w:ind w:left="2" w:leftChars="1" w:firstLine="470" w:firstLineChars="224"/>
        <w:rPr>
          <w:rFonts w:hAnsi="宋体"/>
          <w:color w:val="auto"/>
          <w:szCs w:val="21"/>
          <w:highlight w:val="none"/>
        </w:rPr>
      </w:pPr>
      <w:r>
        <w:rPr>
          <w:rFonts w:hint="eastAsia" w:hAnsi="宋体"/>
          <w:color w:val="auto"/>
          <w:szCs w:val="21"/>
          <w:highlight w:val="none"/>
        </w:rPr>
        <w:t>6.1 采购人或采购代理机构对已发出的竞争性磋商文件进行必要澄清或修改的，应当在提交首次响应文件截止之日5日前，以书面形式通知所有竞争性磋商文件收受人，不足5日的，应当顺延提交响应文件截止之日；同时，采购代理机构在竞争性磋商公告的发布媒体上发布更正公告。</w:t>
      </w:r>
    </w:p>
    <w:p w14:paraId="326058D6">
      <w:pPr>
        <w:spacing w:line="440" w:lineRule="exact"/>
        <w:ind w:left="2" w:leftChars="1" w:firstLine="470" w:firstLineChars="224"/>
        <w:rPr>
          <w:rFonts w:hAnsi="宋体"/>
          <w:color w:val="auto"/>
          <w:szCs w:val="21"/>
          <w:highlight w:val="none"/>
        </w:rPr>
      </w:pPr>
      <w:r>
        <w:rPr>
          <w:rFonts w:hint="eastAsia" w:hAnsi="宋体"/>
          <w:color w:val="auto"/>
          <w:szCs w:val="21"/>
          <w:highlight w:val="none"/>
        </w:rPr>
        <w:t>6.2  采购人和采购代理机构可以视采购具体情况，延长首次响应文件递交截止时间，但应当在递交首次响应文件截止之日5日前，将变更时间书面通知所有竞争性磋商文件收受人，不足5日的，应当顺延递交首次响应文件截止之日。同时，采购代理机构在竞争性磋商公告的发布媒体上发布更正公告。</w:t>
      </w:r>
    </w:p>
    <w:p w14:paraId="25586CC0">
      <w:pPr>
        <w:spacing w:line="440" w:lineRule="exact"/>
        <w:ind w:left="2" w:leftChars="1" w:firstLine="470" w:firstLineChars="224"/>
        <w:outlineLvl w:val="2"/>
        <w:rPr>
          <w:rFonts w:hAnsi="宋体"/>
          <w:b/>
          <w:color w:val="auto"/>
          <w:szCs w:val="21"/>
          <w:highlight w:val="none"/>
        </w:rPr>
      </w:pPr>
      <w:bookmarkStart w:id="10" w:name="_Toc10139"/>
      <w:r>
        <w:rPr>
          <w:rFonts w:hint="eastAsia"/>
          <w:color w:val="auto"/>
          <w:szCs w:val="21"/>
          <w:highlight w:val="none"/>
        </w:rPr>
        <w:t>三、</w:t>
      </w:r>
      <w:r>
        <w:rPr>
          <w:rFonts w:hint="eastAsia" w:hAnsi="宋体"/>
          <w:b/>
          <w:color w:val="auto"/>
          <w:szCs w:val="21"/>
          <w:highlight w:val="none"/>
        </w:rPr>
        <w:t>首次响应文件</w:t>
      </w:r>
      <w:bookmarkEnd w:id="10"/>
    </w:p>
    <w:p w14:paraId="4C2E6E7B">
      <w:pPr>
        <w:spacing w:line="400" w:lineRule="exact"/>
        <w:ind w:firstLine="422" w:firstLineChars="200"/>
        <w:rPr>
          <w:rFonts w:hAnsi="宋体"/>
          <w:b/>
          <w:color w:val="auto"/>
          <w:szCs w:val="21"/>
          <w:highlight w:val="none"/>
        </w:rPr>
      </w:pPr>
      <w:r>
        <w:rPr>
          <w:rFonts w:hint="eastAsia" w:hAnsi="宋体"/>
          <w:b/>
          <w:color w:val="auto"/>
          <w:szCs w:val="21"/>
          <w:highlight w:val="none"/>
        </w:rPr>
        <w:t>7. 首次响应文件编制基本要求</w:t>
      </w:r>
    </w:p>
    <w:p w14:paraId="3522B8BF">
      <w:pPr>
        <w:spacing w:line="400" w:lineRule="exact"/>
        <w:ind w:firstLine="420" w:firstLineChars="200"/>
        <w:rPr>
          <w:rFonts w:hAnsi="宋体"/>
          <w:color w:val="auto"/>
          <w:szCs w:val="21"/>
          <w:highlight w:val="none"/>
        </w:rPr>
      </w:pPr>
      <w:r>
        <w:rPr>
          <w:rFonts w:hint="eastAsia" w:hAnsi="宋体"/>
          <w:color w:val="auto"/>
          <w:szCs w:val="21"/>
          <w:highlight w:val="none"/>
        </w:rPr>
        <w:t xml:space="preserve">7.1  </w:t>
      </w:r>
      <w:r>
        <w:rPr>
          <w:rFonts w:hint="eastAsia" w:hAnsi="宋体" w:cs="Arial"/>
          <w:color w:val="auto"/>
          <w:szCs w:val="21"/>
          <w:highlight w:val="none"/>
        </w:rPr>
        <w:t>供应商</w:t>
      </w:r>
      <w:r>
        <w:rPr>
          <w:rFonts w:hint="eastAsia" w:hAnsi="宋体"/>
          <w:color w:val="auto"/>
          <w:szCs w:val="21"/>
          <w:highlight w:val="none"/>
        </w:rPr>
        <w:t>应仔细阅读竞争性磋商文件，在充分了解采购的内容、服务要求和商务条款以及实质性要求和条件后，编写首次响应文件。</w:t>
      </w:r>
    </w:p>
    <w:p w14:paraId="2248595E">
      <w:pPr>
        <w:spacing w:line="400" w:lineRule="exact"/>
        <w:ind w:firstLine="420" w:firstLineChars="200"/>
        <w:rPr>
          <w:rFonts w:hAnsi="宋体"/>
          <w:color w:val="auto"/>
          <w:szCs w:val="21"/>
          <w:highlight w:val="none"/>
        </w:rPr>
      </w:pPr>
      <w:r>
        <w:rPr>
          <w:rFonts w:hint="eastAsia" w:hAnsi="宋体"/>
          <w:color w:val="auto"/>
          <w:szCs w:val="21"/>
          <w:highlight w:val="none"/>
        </w:rPr>
        <w:t>7.2  对竞争性磋商文件的实质性要求和条件作出响应是指</w:t>
      </w:r>
      <w:r>
        <w:rPr>
          <w:rFonts w:hint="eastAsia" w:hAnsi="宋体" w:cs="Arial"/>
          <w:color w:val="auto"/>
          <w:szCs w:val="21"/>
          <w:highlight w:val="none"/>
        </w:rPr>
        <w:t>供应商</w:t>
      </w:r>
      <w:r>
        <w:rPr>
          <w:rFonts w:hint="eastAsia" w:hAnsi="宋体"/>
          <w:color w:val="auto"/>
          <w:szCs w:val="21"/>
          <w:highlight w:val="none"/>
        </w:rPr>
        <w:t>必须对竞争性磋商文件中标注为实质性要求和条件的服务要求、商务条款及其它内容作出满足或者优于原要求和条件的承诺，必要时提供证明材料。竞争性磋商文件中标注</w:t>
      </w:r>
      <w:r>
        <w:rPr>
          <w:rFonts w:hint="eastAsia" w:hAnsi="宋体" w:cs="宋体"/>
          <w:color w:val="auto"/>
          <w:szCs w:val="21"/>
          <w:highlight w:val="none"/>
        </w:rPr>
        <w:t>▲</w:t>
      </w:r>
      <w:r>
        <w:rPr>
          <w:rFonts w:hint="eastAsia" w:hAnsi="宋体"/>
          <w:color w:val="auto"/>
          <w:szCs w:val="21"/>
          <w:highlight w:val="none"/>
        </w:rPr>
        <w:t>号的内容为实质性要求和条件。</w:t>
      </w:r>
    </w:p>
    <w:p w14:paraId="712B64E3">
      <w:pPr>
        <w:spacing w:line="400" w:lineRule="exact"/>
        <w:ind w:firstLine="420" w:firstLineChars="200"/>
        <w:rPr>
          <w:rFonts w:hAnsi="宋体"/>
          <w:color w:val="auto"/>
          <w:szCs w:val="21"/>
          <w:highlight w:val="none"/>
        </w:rPr>
      </w:pPr>
      <w:r>
        <w:rPr>
          <w:rFonts w:hint="eastAsia" w:hAnsi="宋体"/>
          <w:color w:val="auto"/>
          <w:szCs w:val="21"/>
          <w:highlight w:val="none"/>
        </w:rPr>
        <w:t xml:space="preserve">7.3  </w:t>
      </w:r>
      <w:r>
        <w:rPr>
          <w:rFonts w:hint="eastAsia" w:hAnsi="宋体" w:cs="Arial"/>
          <w:color w:val="auto"/>
          <w:szCs w:val="21"/>
          <w:highlight w:val="none"/>
        </w:rPr>
        <w:t>供应商</w:t>
      </w:r>
      <w:r>
        <w:rPr>
          <w:rFonts w:hint="eastAsia" w:hAnsi="宋体"/>
          <w:color w:val="auto"/>
          <w:szCs w:val="21"/>
          <w:highlight w:val="none"/>
        </w:rPr>
        <w:t>提交的首次响应文件以及</w:t>
      </w:r>
      <w:r>
        <w:rPr>
          <w:rFonts w:hint="eastAsia" w:hAnsi="宋体" w:cs="Arial"/>
          <w:color w:val="auto"/>
          <w:szCs w:val="21"/>
          <w:highlight w:val="none"/>
        </w:rPr>
        <w:t>供应商</w:t>
      </w:r>
      <w:r>
        <w:rPr>
          <w:rFonts w:hint="eastAsia" w:hAnsi="宋体"/>
          <w:color w:val="auto"/>
          <w:szCs w:val="21"/>
          <w:highlight w:val="none"/>
        </w:rPr>
        <w:t>与</w:t>
      </w:r>
      <w:r>
        <w:rPr>
          <w:rFonts w:hint="eastAsia" w:ascii="Times New Roman" w:hAnsi="Times New Roman"/>
          <w:color w:val="auto"/>
          <w:szCs w:val="21"/>
          <w:highlight w:val="none"/>
        </w:rPr>
        <w:t>采购代理机构</w:t>
      </w:r>
      <w:r>
        <w:rPr>
          <w:rFonts w:hint="eastAsia" w:hAnsi="宋体"/>
          <w:color w:val="auto"/>
          <w:szCs w:val="21"/>
          <w:highlight w:val="none"/>
        </w:rPr>
        <w:t>和采购人就有关磋商的所有来往函电均应使用中文。</w:t>
      </w:r>
      <w:r>
        <w:rPr>
          <w:rFonts w:hint="eastAsia" w:hAnsi="宋体" w:cs="Arial"/>
          <w:color w:val="auto"/>
          <w:szCs w:val="21"/>
          <w:highlight w:val="none"/>
        </w:rPr>
        <w:t>供应商</w:t>
      </w:r>
      <w:r>
        <w:rPr>
          <w:rFonts w:hint="eastAsia" w:hAnsi="宋体"/>
          <w:color w:val="auto"/>
          <w:szCs w:val="21"/>
          <w:highlight w:val="none"/>
        </w:rPr>
        <w:t>提交的支持文件和印刷的文献可以使用别的语言，但其相应内容必须附有中文翻译文本，在解释响应文件时以翻译文本为主。</w:t>
      </w:r>
    </w:p>
    <w:p w14:paraId="49D80DF5">
      <w:pPr>
        <w:spacing w:line="400" w:lineRule="exact"/>
        <w:ind w:firstLine="420" w:firstLineChars="200"/>
        <w:rPr>
          <w:rFonts w:hAnsi="宋体"/>
          <w:color w:val="auto"/>
          <w:szCs w:val="21"/>
          <w:highlight w:val="none"/>
        </w:rPr>
      </w:pPr>
      <w:r>
        <w:rPr>
          <w:rFonts w:hint="eastAsia" w:hAnsi="宋体"/>
          <w:color w:val="auto"/>
          <w:szCs w:val="21"/>
          <w:highlight w:val="none"/>
        </w:rPr>
        <w:t>7.4  第七章“响应文件基本格式”中规定了响应文件格式的，应按相应格式要求编写。</w:t>
      </w:r>
    </w:p>
    <w:p w14:paraId="4C503E57">
      <w:pPr>
        <w:pStyle w:val="27"/>
        <w:spacing w:line="440" w:lineRule="exact"/>
        <w:ind w:left="2" w:leftChars="1" w:firstLine="470" w:firstLineChars="224"/>
        <w:rPr>
          <w:rFonts w:asciiTheme="minorEastAsia" w:hAnsiTheme="minorEastAsia" w:eastAsiaTheme="minorEastAsia"/>
          <w:color w:val="auto"/>
          <w:szCs w:val="21"/>
          <w:highlight w:val="none"/>
        </w:rPr>
      </w:pPr>
      <w:r>
        <w:rPr>
          <w:rFonts w:hint="eastAsia" w:ascii="Times New Roman" w:hAnsi="宋体"/>
          <w:color w:val="auto"/>
          <w:szCs w:val="21"/>
          <w:highlight w:val="none"/>
        </w:rPr>
        <w:t>7.5  响应文件应编制目录，且页码清晰准确。</w:t>
      </w:r>
    </w:p>
    <w:p w14:paraId="7524DACE">
      <w:pPr>
        <w:spacing w:line="400" w:lineRule="exact"/>
        <w:ind w:firstLine="422" w:firstLineChars="200"/>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8. 首次响应文件的组成</w:t>
      </w:r>
    </w:p>
    <w:p w14:paraId="611419EC">
      <w:pPr>
        <w:spacing w:line="400" w:lineRule="exact"/>
        <w:ind w:firstLine="420" w:firstLineChars="2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8.1</w:t>
      </w:r>
      <w:r>
        <w:rPr>
          <w:rFonts w:hint="eastAsia" w:hAnsi="宋体"/>
          <w:color w:val="auto"/>
          <w:szCs w:val="21"/>
          <w:highlight w:val="none"/>
        </w:rPr>
        <w:t>8.1首次响应文件分为资格文件、价格文件、商务和技术文件三个部分。</w:t>
      </w:r>
      <w:r>
        <w:rPr>
          <w:rFonts w:hint="eastAsia" w:hAnsi="宋体"/>
          <w:b/>
          <w:color w:val="auto"/>
          <w:szCs w:val="21"/>
          <w:highlight w:val="none"/>
        </w:rPr>
        <w:t>属于必须提供的文件，如未提供或提供的文件无效，其响应文件按无效处理。</w:t>
      </w:r>
      <w:r>
        <w:rPr>
          <w:rFonts w:hint="eastAsia" w:hAnsi="宋体"/>
          <w:color w:val="auto"/>
          <w:szCs w:val="21"/>
          <w:highlight w:val="none"/>
        </w:rPr>
        <w:t>应递交的有关文件如未特别注明为原件的，可提交复印件。</w:t>
      </w:r>
    </w:p>
    <w:p w14:paraId="03E243EA">
      <w:pPr>
        <w:spacing w:line="400" w:lineRule="exact"/>
        <w:ind w:firstLine="420" w:firstLineChars="200"/>
        <w:rPr>
          <w:rFonts w:hAnsi="宋体"/>
          <w:color w:val="auto"/>
          <w:szCs w:val="21"/>
          <w:highlight w:val="none"/>
        </w:rPr>
      </w:pPr>
      <w:r>
        <w:rPr>
          <w:rFonts w:hint="eastAsia" w:hAnsi="宋体"/>
          <w:color w:val="auto"/>
          <w:szCs w:val="21"/>
          <w:highlight w:val="none"/>
        </w:rPr>
        <w:t>8.1.1资格文件</w:t>
      </w:r>
    </w:p>
    <w:p w14:paraId="5E2AB630">
      <w:pPr>
        <w:spacing w:line="440" w:lineRule="exact"/>
        <w:ind w:left="-27" w:leftChars="-13" w:firstLine="420" w:firstLineChars="200"/>
        <w:rPr>
          <w:rFonts w:ascii="Calibri" w:hAnsi="宋体"/>
          <w:b/>
          <w:color w:val="auto"/>
          <w:szCs w:val="21"/>
          <w:highlight w:val="none"/>
        </w:rPr>
      </w:pPr>
      <w:r>
        <w:rPr>
          <w:rFonts w:hint="eastAsia" w:hAnsi="宋体"/>
          <w:color w:val="auto"/>
          <w:szCs w:val="21"/>
          <w:highlight w:val="none"/>
        </w:rPr>
        <w:t>（1）</w:t>
      </w:r>
      <w:r>
        <w:rPr>
          <w:rFonts w:hint="eastAsia" w:hAnsi="宋体" w:cs="Arial"/>
          <w:color w:val="auto"/>
          <w:szCs w:val="21"/>
          <w:highlight w:val="none"/>
        </w:rPr>
        <w:t>提供相关注册或登记等证明材料，其中：供应商是企业（包括合伙企业）的，应提供其在工商部门注册的有效“企业法人营业执照”或“营业执照”的复印件；供应商是事业单位的，应提供其有效的“事业单位法人证书”复印件；供应商是非企业专业服务机构的，应提供其有效的执业许可证复印件；供应商是个体工商户的，应提供其有效的“个体工商户营业执照”复印件。</w:t>
      </w:r>
      <w:r>
        <w:rPr>
          <w:rFonts w:hint="eastAsia" w:ascii="Calibri" w:hAnsi="宋体"/>
          <w:b/>
          <w:color w:val="auto"/>
          <w:szCs w:val="21"/>
          <w:highlight w:val="none"/>
        </w:rPr>
        <w:t>（必须提供，并加盖电子公章，否则磋商无效。）</w:t>
      </w:r>
    </w:p>
    <w:p w14:paraId="4576E5C6">
      <w:pPr>
        <w:spacing w:line="440" w:lineRule="exact"/>
        <w:ind w:left="-27" w:leftChars="-13" w:firstLine="420" w:firstLineChars="200"/>
        <w:rPr>
          <w:rFonts w:hAnsi="宋体"/>
          <w:color w:val="auto"/>
          <w:szCs w:val="21"/>
          <w:highlight w:val="none"/>
        </w:rPr>
      </w:pPr>
      <w:r>
        <w:rPr>
          <w:rFonts w:hint="eastAsia" w:hAnsi="宋体"/>
          <w:color w:val="auto"/>
          <w:szCs w:val="21"/>
          <w:highlight w:val="none"/>
        </w:rPr>
        <w:t>（2）</w:t>
      </w:r>
      <w:r>
        <w:rPr>
          <w:rFonts w:hint="eastAsia" w:hAnsi="宋体" w:cs="宋体"/>
          <w:color w:val="auto"/>
          <w:szCs w:val="21"/>
          <w:highlight w:val="none"/>
        </w:rPr>
        <w:t>①</w:t>
      </w:r>
      <w:r>
        <w:rPr>
          <w:rFonts w:hint="eastAsia" w:hAnsi="宋体" w:cs="宋体"/>
          <w:color w:val="auto"/>
          <w:szCs w:val="21"/>
          <w:highlight w:val="none"/>
          <w:lang w:eastAsia="zh-CN"/>
        </w:rPr>
        <w:t>具有市政公用工程施工总承包叁级以上(含叁级)资质</w:t>
      </w:r>
      <w:r>
        <w:rPr>
          <w:rFonts w:hint="eastAsia" w:hAnsi="宋体" w:cs="宋体"/>
          <w:color w:val="auto"/>
          <w:szCs w:val="21"/>
          <w:highlight w:val="none"/>
        </w:rPr>
        <w:t>，并在人员、设备、资金等方面具有相应能力的施工企业。</w:t>
      </w:r>
      <w:r>
        <w:rPr>
          <w:rFonts w:hint="default" w:hAnsi="宋体" w:cs="宋体"/>
          <w:color w:val="auto"/>
          <w:szCs w:val="21"/>
          <w:highlight w:val="none"/>
        </w:rPr>
        <w:t>②</w:t>
      </w:r>
      <w:r>
        <w:rPr>
          <w:rFonts w:hint="eastAsia" w:hAnsi="宋体" w:cs="宋体"/>
          <w:color w:val="auto"/>
          <w:szCs w:val="21"/>
          <w:highlight w:val="none"/>
        </w:rPr>
        <w:t>拟投入本项目的项目经理必须是具备[</w:t>
      </w:r>
      <w:r>
        <w:rPr>
          <w:rFonts w:hint="eastAsia" w:hAnsi="宋体" w:cs="宋体"/>
          <w:color w:val="auto"/>
          <w:szCs w:val="21"/>
          <w:highlight w:val="none"/>
          <w:lang w:eastAsia="zh-CN"/>
        </w:rPr>
        <w:t>市政公用工程</w:t>
      </w:r>
      <w:r>
        <w:rPr>
          <w:rFonts w:hint="eastAsia" w:hAnsi="宋体" w:cs="宋体"/>
          <w:color w:val="auto"/>
          <w:szCs w:val="21"/>
          <w:highlight w:val="none"/>
        </w:rPr>
        <w:t>专业贰级]及以上专业注册建造师执业资格，具备有效的安全生产考核合格证书（B类），并为本单位员工。本项目不接受有在建、已中标未开工或已列为其他项目中标候选人第一名的建造师作为项目经理。</w:t>
      </w:r>
      <w:r>
        <w:rPr>
          <w:rFonts w:hint="eastAsia" w:hAnsi="宋体"/>
          <w:color w:val="auto"/>
          <w:szCs w:val="21"/>
          <w:highlight w:val="none"/>
        </w:rPr>
        <w:t>（</w:t>
      </w:r>
      <w:r>
        <w:rPr>
          <w:rFonts w:hint="eastAsia" w:ascii="Calibri" w:hAnsi="宋体"/>
          <w:b/>
          <w:color w:val="auto"/>
          <w:szCs w:val="21"/>
          <w:highlight w:val="none"/>
        </w:rPr>
        <w:t>必须提供相关资质证明材料，并加盖电子公章，否则磋商无效。）</w:t>
      </w:r>
    </w:p>
    <w:p w14:paraId="6D6F0B59">
      <w:pPr>
        <w:spacing w:line="440" w:lineRule="exact"/>
        <w:ind w:left="-27" w:leftChars="-13" w:firstLine="420" w:firstLineChars="200"/>
        <w:rPr>
          <w:rFonts w:hAnsi="宋体"/>
          <w:color w:val="auto"/>
          <w:szCs w:val="21"/>
          <w:highlight w:val="none"/>
        </w:rPr>
      </w:pPr>
      <w:r>
        <w:rPr>
          <w:rFonts w:hint="eastAsia" w:hAnsi="宋体"/>
          <w:color w:val="auto"/>
          <w:szCs w:val="21"/>
          <w:highlight w:val="none"/>
        </w:rPr>
        <w:t>（3）防城港市政府采购供应商信用承诺函（格式后附）；（</w:t>
      </w:r>
      <w:r>
        <w:rPr>
          <w:rFonts w:hint="eastAsia" w:hAnsi="宋体"/>
          <w:b/>
          <w:color w:val="auto"/>
          <w:szCs w:val="21"/>
          <w:highlight w:val="none"/>
        </w:rPr>
        <w:t>必须提供，</w:t>
      </w:r>
      <w:r>
        <w:rPr>
          <w:rFonts w:hint="eastAsia" w:ascii="Calibri" w:hAnsi="宋体"/>
          <w:b/>
          <w:color w:val="auto"/>
          <w:szCs w:val="21"/>
          <w:highlight w:val="none"/>
        </w:rPr>
        <w:t>并加盖电子公章，</w:t>
      </w:r>
      <w:r>
        <w:rPr>
          <w:rFonts w:hint="eastAsia" w:hAnsi="宋体"/>
          <w:b/>
          <w:color w:val="auto"/>
          <w:szCs w:val="21"/>
          <w:highlight w:val="none"/>
        </w:rPr>
        <w:t>否则</w:t>
      </w:r>
      <w:r>
        <w:rPr>
          <w:rFonts w:hint="eastAsia" w:ascii="Calibri" w:hAnsi="宋体"/>
          <w:b/>
          <w:color w:val="auto"/>
          <w:szCs w:val="21"/>
          <w:highlight w:val="none"/>
        </w:rPr>
        <w:t>磋商</w:t>
      </w:r>
      <w:r>
        <w:rPr>
          <w:rFonts w:hint="eastAsia" w:hAnsi="宋体"/>
          <w:b/>
          <w:color w:val="auto"/>
          <w:szCs w:val="21"/>
          <w:highlight w:val="none"/>
        </w:rPr>
        <w:t>无效</w:t>
      </w:r>
      <w:r>
        <w:rPr>
          <w:rFonts w:hint="eastAsia" w:hAnsi="宋体"/>
          <w:color w:val="auto"/>
          <w:szCs w:val="21"/>
          <w:highlight w:val="none"/>
        </w:rPr>
        <w:t>）</w:t>
      </w:r>
    </w:p>
    <w:p w14:paraId="1E862C5A">
      <w:pPr>
        <w:spacing w:line="440" w:lineRule="exact"/>
        <w:ind w:firstLine="420" w:firstLineChars="200"/>
        <w:rPr>
          <w:rFonts w:hAnsi="宋体"/>
          <w:color w:val="auto"/>
          <w:szCs w:val="21"/>
          <w:highlight w:val="none"/>
        </w:rPr>
      </w:pPr>
      <w:r>
        <w:rPr>
          <w:rFonts w:hint="eastAsia" w:hAnsi="宋体"/>
          <w:color w:val="auto"/>
          <w:szCs w:val="21"/>
          <w:highlight w:val="none"/>
        </w:rPr>
        <w:t>（</w:t>
      </w:r>
      <w:r>
        <w:rPr>
          <w:rFonts w:hint="eastAsia" w:hAnsi="宋体"/>
          <w:color w:val="auto"/>
          <w:szCs w:val="21"/>
          <w:highlight w:val="none"/>
          <w:lang w:val="en-US" w:eastAsia="zh-CN"/>
        </w:rPr>
        <w:t>4</w:t>
      </w:r>
      <w:r>
        <w:rPr>
          <w:rFonts w:hint="eastAsia" w:hAnsi="宋体"/>
          <w:color w:val="auto"/>
          <w:szCs w:val="21"/>
          <w:highlight w:val="none"/>
        </w:rPr>
        <w:t>）供应商直接控股股东信息（格式见第</w:t>
      </w:r>
      <w:r>
        <w:rPr>
          <w:rFonts w:hint="eastAsia" w:asciiTheme="minorEastAsia" w:hAnsiTheme="minorEastAsia" w:eastAsiaTheme="minorEastAsia"/>
          <w:color w:val="auto"/>
          <w:szCs w:val="21"/>
          <w:highlight w:val="none"/>
        </w:rPr>
        <w:t>七</w:t>
      </w:r>
      <w:r>
        <w:rPr>
          <w:rFonts w:hint="eastAsia" w:hAnsi="宋体"/>
          <w:color w:val="auto"/>
          <w:szCs w:val="21"/>
          <w:highlight w:val="none"/>
        </w:rPr>
        <w:t>章）。</w:t>
      </w:r>
      <w:r>
        <w:rPr>
          <w:rFonts w:hint="eastAsia" w:ascii="Calibri" w:hAnsi="宋体"/>
          <w:b/>
          <w:color w:val="auto"/>
          <w:szCs w:val="21"/>
          <w:highlight w:val="none"/>
        </w:rPr>
        <w:t>（必须提供，并加盖电子公章，否则磋商无效。）</w:t>
      </w:r>
    </w:p>
    <w:p w14:paraId="63E304EE">
      <w:pPr>
        <w:spacing w:line="440" w:lineRule="exact"/>
        <w:ind w:firstLine="420" w:firstLineChars="200"/>
        <w:rPr>
          <w:rFonts w:hAnsi="宋体"/>
          <w:color w:val="auto"/>
          <w:szCs w:val="21"/>
          <w:highlight w:val="none"/>
        </w:rPr>
      </w:pPr>
      <w:r>
        <w:rPr>
          <w:rFonts w:hint="eastAsia" w:hAnsi="宋体"/>
          <w:color w:val="auto"/>
          <w:szCs w:val="21"/>
          <w:highlight w:val="none"/>
        </w:rPr>
        <w:t>（</w:t>
      </w:r>
      <w:r>
        <w:rPr>
          <w:rFonts w:hint="eastAsia" w:hAnsi="宋体"/>
          <w:color w:val="auto"/>
          <w:szCs w:val="21"/>
          <w:highlight w:val="none"/>
          <w:lang w:val="en-US" w:eastAsia="zh-CN"/>
        </w:rPr>
        <w:t>5</w:t>
      </w:r>
      <w:r>
        <w:rPr>
          <w:rFonts w:hint="eastAsia" w:hAnsi="宋体"/>
          <w:color w:val="auto"/>
          <w:szCs w:val="21"/>
          <w:highlight w:val="none"/>
        </w:rPr>
        <w:t>）供应商直接管理关系信息表（格式见第</w:t>
      </w:r>
      <w:r>
        <w:rPr>
          <w:rFonts w:hint="eastAsia" w:asciiTheme="minorEastAsia" w:hAnsiTheme="minorEastAsia" w:eastAsiaTheme="minorEastAsia"/>
          <w:color w:val="auto"/>
          <w:szCs w:val="21"/>
          <w:highlight w:val="none"/>
        </w:rPr>
        <w:t>七</w:t>
      </w:r>
      <w:r>
        <w:rPr>
          <w:rFonts w:hint="eastAsia" w:hAnsi="宋体"/>
          <w:color w:val="auto"/>
          <w:szCs w:val="21"/>
          <w:highlight w:val="none"/>
        </w:rPr>
        <w:t>章）。</w:t>
      </w:r>
      <w:r>
        <w:rPr>
          <w:rFonts w:hint="eastAsia" w:ascii="Calibri" w:hAnsi="宋体"/>
          <w:b/>
          <w:color w:val="auto"/>
          <w:szCs w:val="21"/>
          <w:highlight w:val="none"/>
        </w:rPr>
        <w:t>（必须提供，并加盖电子公章，否则磋商无效。）</w:t>
      </w:r>
    </w:p>
    <w:p w14:paraId="736FEFDF">
      <w:pPr>
        <w:spacing w:line="400" w:lineRule="exact"/>
        <w:ind w:firstLine="420" w:firstLineChars="200"/>
        <w:rPr>
          <w:rFonts w:ascii="Calibri" w:hAnsi="宋体"/>
          <w:b/>
          <w:color w:val="auto"/>
          <w:szCs w:val="21"/>
          <w:highlight w:val="none"/>
        </w:rPr>
      </w:pPr>
      <w:r>
        <w:rPr>
          <w:rFonts w:hint="eastAsia" w:hAnsi="宋体"/>
          <w:color w:val="auto"/>
          <w:szCs w:val="21"/>
          <w:highlight w:val="none"/>
        </w:rPr>
        <w:t>（</w:t>
      </w:r>
      <w:r>
        <w:rPr>
          <w:rFonts w:hint="eastAsia" w:hAnsi="宋体"/>
          <w:color w:val="auto"/>
          <w:szCs w:val="21"/>
          <w:highlight w:val="none"/>
          <w:lang w:val="en-US" w:eastAsia="zh-CN"/>
        </w:rPr>
        <w:t>6</w:t>
      </w:r>
      <w:r>
        <w:rPr>
          <w:rFonts w:hint="eastAsia" w:hAnsi="宋体"/>
          <w:color w:val="auto"/>
          <w:szCs w:val="21"/>
          <w:highlight w:val="none"/>
        </w:rPr>
        <w:t>）资格声明函（格式见第</w:t>
      </w:r>
      <w:r>
        <w:rPr>
          <w:rFonts w:hint="eastAsia" w:asciiTheme="minorEastAsia" w:hAnsiTheme="minorEastAsia" w:eastAsiaTheme="minorEastAsia"/>
          <w:color w:val="auto"/>
          <w:szCs w:val="21"/>
          <w:highlight w:val="none"/>
        </w:rPr>
        <w:t>七</w:t>
      </w:r>
      <w:r>
        <w:rPr>
          <w:rFonts w:hint="eastAsia" w:hAnsi="宋体"/>
          <w:color w:val="auto"/>
          <w:szCs w:val="21"/>
          <w:highlight w:val="none"/>
        </w:rPr>
        <w:t>章）。</w:t>
      </w:r>
      <w:r>
        <w:rPr>
          <w:rFonts w:hint="eastAsia" w:ascii="Calibri" w:hAnsi="宋体"/>
          <w:b/>
          <w:color w:val="auto"/>
          <w:szCs w:val="21"/>
          <w:highlight w:val="none"/>
        </w:rPr>
        <w:t>（必须提供，并加盖电子公章，否则磋商无效。）</w:t>
      </w:r>
    </w:p>
    <w:p w14:paraId="38A377AF">
      <w:pPr>
        <w:spacing w:line="400" w:lineRule="exact"/>
        <w:ind w:firstLine="420" w:firstLineChars="200"/>
        <w:rPr>
          <w:rFonts w:hint="eastAsia" w:hAnsi="宋体" w:eastAsia="宋体"/>
          <w:color w:val="auto"/>
          <w:szCs w:val="21"/>
          <w:highlight w:val="none"/>
          <w:lang w:eastAsia="zh-CN"/>
        </w:rPr>
      </w:pPr>
      <w:r>
        <w:rPr>
          <w:rFonts w:hint="eastAsia" w:hAnsi="宋体"/>
          <w:color w:val="auto"/>
          <w:szCs w:val="21"/>
          <w:highlight w:val="none"/>
        </w:rPr>
        <w:t>（</w:t>
      </w:r>
      <w:r>
        <w:rPr>
          <w:rFonts w:hint="eastAsia" w:hAnsi="宋体"/>
          <w:color w:val="auto"/>
          <w:szCs w:val="21"/>
          <w:highlight w:val="none"/>
          <w:lang w:val="en-US" w:eastAsia="zh-CN"/>
        </w:rPr>
        <w:t>7</w:t>
      </w:r>
      <w:r>
        <w:rPr>
          <w:rFonts w:hint="eastAsia" w:hAnsi="宋体"/>
          <w:color w:val="auto"/>
          <w:szCs w:val="21"/>
          <w:highlight w:val="none"/>
        </w:rPr>
        <w:t>）中小企业声明函或监狱企业证明文件或残疾人福利性单位声明函。</w:t>
      </w:r>
      <w:r>
        <w:rPr>
          <w:rFonts w:hint="eastAsia" w:hAnsi="宋体"/>
          <w:b/>
          <w:color w:val="auto"/>
          <w:szCs w:val="21"/>
          <w:highlight w:val="none"/>
        </w:rPr>
        <w:t>（必须提供，并加盖电子公章，否则磋商无效。）</w:t>
      </w:r>
      <w:r>
        <w:rPr>
          <w:rFonts w:hint="eastAsia" w:hAnsi="宋体"/>
          <w:b/>
          <w:color w:val="auto"/>
          <w:szCs w:val="21"/>
          <w:highlight w:val="none"/>
          <w:lang w:eastAsia="zh-CN"/>
        </w:rPr>
        <w:t>【</w:t>
      </w:r>
      <w:r>
        <w:rPr>
          <w:rFonts w:hint="eastAsia" w:hAnsi="宋体"/>
          <w:b/>
          <w:color w:val="auto"/>
          <w:szCs w:val="21"/>
          <w:highlight w:val="none"/>
          <w:lang w:val="en-US" w:eastAsia="zh-CN"/>
        </w:rPr>
        <w:t>注：本项目为专门面向中小企业采购的项目（供应商应为中型或小型或微型企业，监狱企业、残疾人福利性单位视同小微企业)</w:t>
      </w:r>
      <w:r>
        <w:rPr>
          <w:rFonts w:hint="eastAsia" w:hAnsi="宋体"/>
          <w:b/>
          <w:color w:val="auto"/>
          <w:szCs w:val="21"/>
          <w:highlight w:val="none"/>
          <w:lang w:eastAsia="zh-CN"/>
        </w:rPr>
        <w:t>】</w:t>
      </w:r>
      <w:r>
        <w:rPr>
          <w:rFonts w:hint="eastAsia" w:hAnsi="宋体"/>
          <w:b/>
          <w:color w:val="auto"/>
          <w:szCs w:val="21"/>
          <w:highlight w:val="none"/>
          <w:lang w:val="en-US" w:eastAsia="zh-CN"/>
        </w:rPr>
        <w:t>；</w:t>
      </w:r>
    </w:p>
    <w:p w14:paraId="4D4D126B">
      <w:pPr>
        <w:spacing w:line="400" w:lineRule="exact"/>
        <w:ind w:firstLine="420" w:firstLineChars="200"/>
        <w:rPr>
          <w:rFonts w:hAnsi="宋体"/>
          <w:color w:val="auto"/>
          <w:szCs w:val="21"/>
          <w:highlight w:val="none"/>
        </w:rPr>
      </w:pPr>
      <w:r>
        <w:rPr>
          <w:rFonts w:hint="eastAsia" w:hAnsi="宋体"/>
          <w:color w:val="auto"/>
          <w:szCs w:val="21"/>
          <w:highlight w:val="none"/>
        </w:rPr>
        <w:t>8.1.2 商务和技术文件</w:t>
      </w:r>
    </w:p>
    <w:p w14:paraId="129F17E8">
      <w:pPr>
        <w:autoSpaceDE w:val="0"/>
        <w:autoSpaceDN w:val="0"/>
        <w:adjustRightInd w:val="0"/>
        <w:spacing w:line="400" w:lineRule="exact"/>
        <w:ind w:firstLine="420" w:firstLineChars="200"/>
        <w:jc w:val="left"/>
        <w:rPr>
          <w:rFonts w:hAnsi="宋体"/>
          <w:color w:val="auto"/>
          <w:szCs w:val="21"/>
          <w:highlight w:val="none"/>
        </w:rPr>
      </w:pPr>
      <w:r>
        <w:rPr>
          <w:rFonts w:hint="eastAsia" w:hAnsi="宋体"/>
          <w:color w:val="auto"/>
          <w:szCs w:val="21"/>
          <w:highlight w:val="none"/>
        </w:rPr>
        <w:t>（1）无串通磋商行为的承诺函。</w:t>
      </w:r>
      <w:r>
        <w:rPr>
          <w:rFonts w:hint="eastAsia" w:hAnsi="宋体"/>
          <w:b/>
          <w:color w:val="auto"/>
          <w:szCs w:val="21"/>
          <w:highlight w:val="none"/>
        </w:rPr>
        <w:t>（</w:t>
      </w:r>
      <w:r>
        <w:rPr>
          <w:rFonts w:hint="eastAsia" w:ascii="Calibri" w:hAnsi="宋体"/>
          <w:b/>
          <w:color w:val="auto"/>
          <w:szCs w:val="21"/>
          <w:highlight w:val="none"/>
        </w:rPr>
        <w:t>必须提供，并加盖电子公章，否则磋商无效。</w:t>
      </w:r>
      <w:r>
        <w:rPr>
          <w:rFonts w:hint="eastAsia" w:hAnsi="宋体"/>
          <w:b/>
          <w:color w:val="auto"/>
          <w:szCs w:val="21"/>
          <w:highlight w:val="none"/>
        </w:rPr>
        <w:t>）</w:t>
      </w:r>
    </w:p>
    <w:p w14:paraId="57969E48">
      <w:pPr>
        <w:spacing w:line="400" w:lineRule="exact"/>
        <w:ind w:left="-27" w:leftChars="-13" w:firstLine="420" w:firstLineChars="200"/>
        <w:rPr>
          <w:rFonts w:hAnsi="宋体"/>
          <w:b/>
          <w:color w:val="auto"/>
          <w:szCs w:val="21"/>
          <w:highlight w:val="none"/>
        </w:rPr>
      </w:pPr>
      <w:r>
        <w:rPr>
          <w:rFonts w:hint="eastAsia" w:hAnsi="宋体"/>
          <w:color w:val="auto"/>
          <w:szCs w:val="21"/>
          <w:highlight w:val="none"/>
        </w:rPr>
        <w:t>（2）法定代表人（负责人）身份证明原件及身份证复印件（法定代表人（负责人）签署响应文件时提供）或者法定代表人（负责人）授权书原件（格式见第</w:t>
      </w:r>
      <w:r>
        <w:rPr>
          <w:rFonts w:hint="eastAsia" w:asciiTheme="minorEastAsia" w:hAnsiTheme="minorEastAsia" w:eastAsiaTheme="minorEastAsia"/>
          <w:color w:val="auto"/>
          <w:szCs w:val="21"/>
          <w:highlight w:val="none"/>
        </w:rPr>
        <w:t>七</w:t>
      </w:r>
      <w:r>
        <w:rPr>
          <w:rFonts w:hint="eastAsia" w:hAnsi="宋体"/>
          <w:color w:val="auto"/>
          <w:szCs w:val="21"/>
          <w:highlight w:val="none"/>
        </w:rPr>
        <w:t>章）和委托代理人身份证复印件及法定代表人（负责人）身份证复印件（委托代理人签署响应文件时提供）。</w:t>
      </w:r>
      <w:r>
        <w:rPr>
          <w:rFonts w:hint="eastAsia" w:hAnsi="宋体"/>
          <w:b/>
          <w:color w:val="auto"/>
          <w:szCs w:val="21"/>
          <w:highlight w:val="none"/>
        </w:rPr>
        <w:t>（</w:t>
      </w:r>
      <w:r>
        <w:rPr>
          <w:rFonts w:hint="eastAsia" w:ascii="Calibri" w:hAnsi="宋体"/>
          <w:b/>
          <w:color w:val="auto"/>
          <w:szCs w:val="21"/>
          <w:highlight w:val="none"/>
        </w:rPr>
        <w:t>必须提供，并加盖电子公章，否则磋商无效。</w:t>
      </w:r>
      <w:r>
        <w:rPr>
          <w:rFonts w:hint="eastAsia" w:hAnsi="宋体"/>
          <w:b/>
          <w:color w:val="auto"/>
          <w:szCs w:val="21"/>
          <w:highlight w:val="none"/>
        </w:rPr>
        <w:t>）</w:t>
      </w:r>
    </w:p>
    <w:p w14:paraId="51B8B4EB">
      <w:pPr>
        <w:spacing w:line="400" w:lineRule="exact"/>
        <w:ind w:left="-27" w:leftChars="-13" w:firstLine="420" w:firstLineChars="200"/>
        <w:rPr>
          <w:rFonts w:hAnsi="宋体" w:cs="宋体"/>
          <w:color w:val="auto"/>
          <w:highlight w:val="none"/>
        </w:rPr>
      </w:pPr>
      <w:r>
        <w:rPr>
          <w:rFonts w:hint="eastAsia" w:hAnsi="宋体" w:cs="宋体"/>
          <w:color w:val="auto"/>
          <w:highlight w:val="none"/>
        </w:rPr>
        <w:t>（3）农民工工资保证金的交纳与使用承诺书（格式见第七章）；</w:t>
      </w:r>
      <w:r>
        <w:rPr>
          <w:rFonts w:hint="eastAsia" w:hAnsi="宋体" w:cs="宋体"/>
          <w:b/>
          <w:color w:val="auto"/>
          <w:highlight w:val="none"/>
        </w:rPr>
        <w:t>（必须提供，</w:t>
      </w:r>
      <w:r>
        <w:rPr>
          <w:rFonts w:hint="eastAsia" w:ascii="Calibri" w:hAnsi="宋体"/>
          <w:b/>
          <w:color w:val="auto"/>
          <w:szCs w:val="21"/>
          <w:highlight w:val="none"/>
        </w:rPr>
        <w:t>并加盖电子公章，</w:t>
      </w:r>
      <w:r>
        <w:rPr>
          <w:rFonts w:hint="eastAsia" w:hAnsi="宋体" w:cs="宋体"/>
          <w:b/>
          <w:color w:val="auto"/>
          <w:highlight w:val="none"/>
        </w:rPr>
        <w:t>否则磋商无效。）</w:t>
      </w:r>
    </w:p>
    <w:p w14:paraId="64DEB9E6">
      <w:pPr>
        <w:spacing w:line="400" w:lineRule="exact"/>
        <w:ind w:left="-27" w:leftChars="-13" w:firstLine="420" w:firstLineChars="200"/>
        <w:rPr>
          <w:rFonts w:hAnsi="宋体" w:cs="宋体"/>
          <w:color w:val="auto"/>
          <w:highlight w:val="none"/>
        </w:rPr>
      </w:pPr>
      <w:r>
        <w:rPr>
          <w:rFonts w:hint="eastAsia" w:hAnsi="宋体" w:cs="宋体"/>
          <w:color w:val="auto"/>
          <w:highlight w:val="none"/>
        </w:rPr>
        <w:t>（4）</w:t>
      </w:r>
      <w:r>
        <w:rPr>
          <w:rFonts w:hint="eastAsia" w:hAnsi="宋体" w:cs="宋体"/>
          <w:color w:val="auto"/>
          <w:szCs w:val="21"/>
          <w:highlight w:val="none"/>
        </w:rPr>
        <w:t>安全防护、文明施工措施方案及费用专用的承诺书（按桂建质[2015]16号文执行）</w:t>
      </w:r>
      <w:r>
        <w:rPr>
          <w:rFonts w:hint="eastAsia" w:hAnsi="宋体" w:cs="宋体"/>
          <w:color w:val="auto"/>
          <w:highlight w:val="none"/>
        </w:rPr>
        <w:t>（格式见第七章）；</w:t>
      </w:r>
      <w:r>
        <w:rPr>
          <w:rFonts w:hint="eastAsia" w:hAnsi="宋体" w:cs="宋体"/>
          <w:b/>
          <w:color w:val="auto"/>
          <w:highlight w:val="none"/>
        </w:rPr>
        <w:t>（必须提供，</w:t>
      </w:r>
      <w:r>
        <w:rPr>
          <w:rFonts w:hint="eastAsia" w:ascii="Calibri" w:hAnsi="宋体"/>
          <w:b/>
          <w:color w:val="auto"/>
          <w:szCs w:val="21"/>
          <w:highlight w:val="none"/>
        </w:rPr>
        <w:t>并加盖电子公章，</w:t>
      </w:r>
      <w:r>
        <w:rPr>
          <w:rFonts w:hint="eastAsia" w:hAnsi="宋体" w:cs="宋体"/>
          <w:b/>
          <w:color w:val="auto"/>
          <w:highlight w:val="none"/>
        </w:rPr>
        <w:t>否则磋商无效）</w:t>
      </w:r>
    </w:p>
    <w:p w14:paraId="5BE8F229">
      <w:pPr>
        <w:spacing w:line="400" w:lineRule="exact"/>
        <w:ind w:left="-27" w:leftChars="-13" w:firstLine="420" w:firstLineChars="200"/>
        <w:rPr>
          <w:rFonts w:hAnsi="宋体" w:cs="宋体"/>
          <w:color w:val="auto"/>
          <w:highlight w:val="none"/>
        </w:rPr>
      </w:pPr>
      <w:r>
        <w:rPr>
          <w:rFonts w:hint="eastAsia" w:hAnsi="宋体" w:cs="宋体"/>
          <w:color w:val="auto"/>
          <w:highlight w:val="none"/>
        </w:rPr>
        <w:t>（5）项目经理简历表（格式见第七章）；</w:t>
      </w:r>
      <w:r>
        <w:rPr>
          <w:rFonts w:hint="eastAsia" w:hAnsi="宋体" w:cs="宋体"/>
          <w:b/>
          <w:color w:val="auto"/>
          <w:highlight w:val="none"/>
        </w:rPr>
        <w:t>（必须提供，</w:t>
      </w:r>
      <w:r>
        <w:rPr>
          <w:rFonts w:hint="eastAsia" w:ascii="Calibri" w:hAnsi="宋体"/>
          <w:b/>
          <w:color w:val="auto"/>
          <w:szCs w:val="21"/>
          <w:highlight w:val="none"/>
        </w:rPr>
        <w:t>并加盖电子公章，</w:t>
      </w:r>
      <w:r>
        <w:rPr>
          <w:rFonts w:hint="eastAsia" w:hAnsi="宋体" w:cs="宋体"/>
          <w:b/>
          <w:color w:val="auto"/>
          <w:highlight w:val="none"/>
        </w:rPr>
        <w:t>否则磋商无效）</w:t>
      </w:r>
    </w:p>
    <w:p w14:paraId="1CB75FDA">
      <w:pPr>
        <w:spacing w:line="400" w:lineRule="exact"/>
        <w:ind w:left="-27" w:leftChars="-13" w:firstLine="420" w:firstLineChars="200"/>
        <w:rPr>
          <w:rFonts w:hAnsi="宋体" w:cs="宋体"/>
          <w:color w:val="auto"/>
          <w:highlight w:val="none"/>
        </w:rPr>
      </w:pPr>
      <w:r>
        <w:rPr>
          <w:rFonts w:hint="eastAsia" w:hAnsi="宋体" w:cs="宋体"/>
          <w:color w:val="auto"/>
          <w:highlight w:val="none"/>
        </w:rPr>
        <w:t>（6）项目技术负责人简历表（格式见第七章）；</w:t>
      </w:r>
      <w:r>
        <w:rPr>
          <w:rFonts w:hint="eastAsia" w:hAnsi="宋体" w:cs="宋体"/>
          <w:b/>
          <w:color w:val="auto"/>
          <w:highlight w:val="none"/>
        </w:rPr>
        <w:t>（必须提供，</w:t>
      </w:r>
      <w:r>
        <w:rPr>
          <w:rFonts w:hint="eastAsia" w:ascii="Calibri" w:hAnsi="宋体"/>
          <w:b/>
          <w:color w:val="auto"/>
          <w:szCs w:val="21"/>
          <w:highlight w:val="none"/>
        </w:rPr>
        <w:t>并加盖电子公章，</w:t>
      </w:r>
      <w:r>
        <w:rPr>
          <w:rFonts w:hint="eastAsia" w:hAnsi="宋体" w:cs="宋体"/>
          <w:b/>
          <w:color w:val="auto"/>
          <w:highlight w:val="none"/>
        </w:rPr>
        <w:t>否则磋商无效）</w:t>
      </w:r>
    </w:p>
    <w:p w14:paraId="0E52AB10">
      <w:pPr>
        <w:spacing w:line="400" w:lineRule="exact"/>
        <w:ind w:left="-27" w:leftChars="-13" w:firstLine="420" w:firstLineChars="200"/>
        <w:rPr>
          <w:rFonts w:hAnsi="宋体" w:cs="宋体"/>
          <w:color w:val="auto"/>
          <w:highlight w:val="none"/>
        </w:rPr>
      </w:pPr>
      <w:r>
        <w:rPr>
          <w:rFonts w:hint="eastAsia" w:hAnsi="宋体" w:cs="宋体"/>
          <w:color w:val="auto"/>
          <w:highlight w:val="none"/>
        </w:rPr>
        <w:t>（7）主要施工管理人员表（格式见第七章）；</w:t>
      </w:r>
      <w:r>
        <w:rPr>
          <w:rFonts w:hint="eastAsia" w:hAnsi="宋体" w:cs="宋体"/>
          <w:b/>
          <w:color w:val="auto"/>
          <w:highlight w:val="none"/>
        </w:rPr>
        <w:t>（必须提供，</w:t>
      </w:r>
      <w:r>
        <w:rPr>
          <w:rFonts w:hint="eastAsia" w:ascii="Calibri" w:hAnsi="宋体"/>
          <w:b/>
          <w:color w:val="auto"/>
          <w:szCs w:val="21"/>
          <w:highlight w:val="none"/>
        </w:rPr>
        <w:t>并加盖电子公章，</w:t>
      </w:r>
      <w:r>
        <w:rPr>
          <w:rFonts w:hint="eastAsia" w:hAnsi="宋体" w:cs="宋体"/>
          <w:b/>
          <w:color w:val="auto"/>
          <w:highlight w:val="none"/>
        </w:rPr>
        <w:t>否则磋商无效）</w:t>
      </w:r>
    </w:p>
    <w:p w14:paraId="3C6BFABB">
      <w:pPr>
        <w:spacing w:line="400" w:lineRule="exact"/>
        <w:ind w:firstLine="420" w:firstLineChars="200"/>
        <w:rPr>
          <w:rFonts w:hAnsi="宋体"/>
          <w:color w:val="auto"/>
          <w:szCs w:val="21"/>
          <w:highlight w:val="none"/>
        </w:rPr>
      </w:pPr>
      <w:r>
        <w:rPr>
          <w:rFonts w:hint="eastAsia" w:hAnsi="宋体"/>
          <w:color w:val="auto"/>
          <w:szCs w:val="21"/>
          <w:highlight w:val="none"/>
        </w:rPr>
        <w:t>（8）</w:t>
      </w:r>
      <w:r>
        <w:rPr>
          <w:rFonts w:hint="eastAsia" w:asciiTheme="minorEastAsia" w:hAnsiTheme="minorEastAsia" w:eastAsiaTheme="minorEastAsia"/>
          <w:color w:val="auto"/>
          <w:highlight w:val="none"/>
        </w:rPr>
        <w:t>施工组织设计；</w:t>
      </w:r>
      <w:r>
        <w:rPr>
          <w:rFonts w:hint="eastAsia" w:hAnsi="宋体"/>
          <w:color w:val="auto"/>
          <w:szCs w:val="21"/>
          <w:highlight w:val="none"/>
        </w:rPr>
        <w:t>（格式自拟，内容要求详见第三章评审方法中评分标准第2点）</w:t>
      </w:r>
    </w:p>
    <w:p w14:paraId="6FD59F81">
      <w:pPr>
        <w:spacing w:line="400" w:lineRule="exact"/>
        <w:ind w:left="-27" w:leftChars="-13" w:firstLine="420" w:firstLineChars="200"/>
        <w:rPr>
          <w:rFonts w:hAnsi="宋体" w:cs="宋体"/>
          <w:color w:val="auto"/>
          <w:highlight w:val="none"/>
        </w:rPr>
      </w:pPr>
      <w:r>
        <w:rPr>
          <w:rFonts w:hint="eastAsia" w:hAnsi="宋体" w:cs="宋体"/>
          <w:color w:val="auto"/>
          <w:highlight w:val="none"/>
        </w:rPr>
        <w:t>（9）供应商认为需要提供的有关资料。</w:t>
      </w:r>
    </w:p>
    <w:p w14:paraId="26D1CF1A">
      <w:pPr>
        <w:spacing w:line="400" w:lineRule="exact"/>
        <w:ind w:firstLine="342" w:firstLineChars="163"/>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8.1.3 价格文件</w:t>
      </w:r>
    </w:p>
    <w:p w14:paraId="01700B2B">
      <w:pPr>
        <w:spacing w:line="400" w:lineRule="exact"/>
        <w:ind w:firstLine="317" w:firstLineChars="151"/>
        <w:rPr>
          <w:rFonts w:asciiTheme="minorEastAsia" w:hAnsiTheme="minorEastAsia" w:eastAsiaTheme="minorEastAsia"/>
          <w:b/>
          <w:color w:val="auto"/>
          <w:szCs w:val="21"/>
          <w:highlight w:val="none"/>
        </w:rPr>
      </w:pPr>
      <w:r>
        <w:rPr>
          <w:rFonts w:hint="eastAsia" w:asciiTheme="minorEastAsia" w:hAnsiTheme="minorEastAsia" w:eastAsiaTheme="minorEastAsia"/>
          <w:color w:val="auto"/>
          <w:szCs w:val="21"/>
          <w:highlight w:val="none"/>
        </w:rPr>
        <w:t>（1）磋商响应函及磋商函附录（格式见第七章）；</w:t>
      </w:r>
      <w:r>
        <w:rPr>
          <w:rFonts w:hint="eastAsia" w:asciiTheme="minorEastAsia" w:hAnsiTheme="minorEastAsia" w:eastAsiaTheme="minorEastAsia"/>
          <w:b/>
          <w:color w:val="auto"/>
          <w:szCs w:val="21"/>
          <w:highlight w:val="none"/>
        </w:rPr>
        <w:t>（必须提供，</w:t>
      </w:r>
      <w:r>
        <w:rPr>
          <w:rFonts w:hint="eastAsia" w:ascii="Calibri" w:hAnsi="宋体"/>
          <w:b/>
          <w:color w:val="auto"/>
          <w:szCs w:val="21"/>
          <w:highlight w:val="none"/>
        </w:rPr>
        <w:t>并加盖电子公章，</w:t>
      </w:r>
      <w:r>
        <w:rPr>
          <w:rFonts w:hint="eastAsia" w:asciiTheme="minorEastAsia" w:hAnsiTheme="minorEastAsia" w:eastAsiaTheme="minorEastAsia"/>
          <w:b/>
          <w:color w:val="auto"/>
          <w:szCs w:val="21"/>
          <w:highlight w:val="none"/>
        </w:rPr>
        <w:t>否则磋商无效）</w:t>
      </w:r>
    </w:p>
    <w:p w14:paraId="3BB194E2">
      <w:pPr>
        <w:spacing w:line="400" w:lineRule="exact"/>
        <w:ind w:firstLine="317" w:firstLineChars="151"/>
        <w:rPr>
          <w:rFonts w:asciiTheme="minorEastAsia" w:hAnsiTheme="minorEastAsia" w:eastAsiaTheme="minorEastAsia"/>
          <w:b/>
          <w:color w:val="auto"/>
          <w:szCs w:val="21"/>
          <w:highlight w:val="none"/>
        </w:rPr>
      </w:pPr>
      <w:r>
        <w:rPr>
          <w:rFonts w:hint="eastAsia" w:asciiTheme="minorEastAsia" w:hAnsiTheme="minorEastAsia" w:eastAsiaTheme="minorEastAsia"/>
          <w:color w:val="auto"/>
          <w:szCs w:val="21"/>
          <w:highlight w:val="none"/>
        </w:rPr>
        <w:t>（2）磋商报价表；</w:t>
      </w:r>
      <w:r>
        <w:rPr>
          <w:rFonts w:hint="eastAsia" w:asciiTheme="minorEastAsia" w:hAnsiTheme="minorEastAsia" w:eastAsiaTheme="minorEastAsia"/>
          <w:b/>
          <w:color w:val="auto"/>
          <w:szCs w:val="21"/>
          <w:highlight w:val="none"/>
        </w:rPr>
        <w:t>（必须提供，</w:t>
      </w:r>
      <w:r>
        <w:rPr>
          <w:rFonts w:hint="eastAsia" w:ascii="Calibri" w:hAnsi="宋体"/>
          <w:b/>
          <w:color w:val="auto"/>
          <w:szCs w:val="21"/>
          <w:highlight w:val="none"/>
        </w:rPr>
        <w:t>并加盖电子公章，</w:t>
      </w:r>
      <w:r>
        <w:rPr>
          <w:rFonts w:hint="eastAsia" w:asciiTheme="minorEastAsia" w:hAnsiTheme="minorEastAsia" w:eastAsiaTheme="minorEastAsia"/>
          <w:b/>
          <w:color w:val="auto"/>
          <w:szCs w:val="21"/>
          <w:highlight w:val="none"/>
        </w:rPr>
        <w:t>否则磋商无效）</w:t>
      </w:r>
    </w:p>
    <w:p w14:paraId="01C7EEA0">
      <w:pPr>
        <w:spacing w:line="400" w:lineRule="exact"/>
        <w:ind w:firstLine="317" w:firstLineChars="15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w:t>
      </w:r>
      <w:r>
        <w:rPr>
          <w:rFonts w:asciiTheme="minorEastAsia" w:hAnsiTheme="minorEastAsia" w:eastAsiaTheme="minorEastAsia"/>
          <w:color w:val="auto"/>
          <w:highlight w:val="none"/>
        </w:rPr>
        <w:t>已标价工程量清单</w:t>
      </w:r>
      <w:r>
        <w:rPr>
          <w:rFonts w:hint="eastAsia" w:asciiTheme="minorEastAsia" w:hAnsiTheme="minorEastAsia" w:eastAsiaTheme="minorEastAsia"/>
          <w:color w:val="auto"/>
          <w:szCs w:val="21"/>
          <w:highlight w:val="none"/>
        </w:rPr>
        <w:t>（格式见第七章）；</w:t>
      </w:r>
      <w:r>
        <w:rPr>
          <w:rFonts w:hint="eastAsia" w:asciiTheme="minorEastAsia" w:hAnsiTheme="minorEastAsia" w:eastAsiaTheme="minorEastAsia"/>
          <w:b/>
          <w:color w:val="auto"/>
          <w:szCs w:val="21"/>
          <w:highlight w:val="none"/>
        </w:rPr>
        <w:t>（必须提供，</w:t>
      </w:r>
      <w:r>
        <w:rPr>
          <w:rFonts w:hint="eastAsia" w:ascii="Calibri" w:hAnsi="宋体"/>
          <w:b/>
          <w:color w:val="auto"/>
          <w:szCs w:val="21"/>
          <w:highlight w:val="none"/>
        </w:rPr>
        <w:t>并加盖电子公章，</w:t>
      </w:r>
      <w:r>
        <w:rPr>
          <w:rFonts w:hint="eastAsia" w:asciiTheme="minorEastAsia" w:hAnsiTheme="minorEastAsia" w:eastAsiaTheme="minorEastAsia"/>
          <w:b/>
          <w:color w:val="auto"/>
          <w:szCs w:val="21"/>
          <w:highlight w:val="none"/>
        </w:rPr>
        <w:t>否则磋商无效）</w:t>
      </w:r>
    </w:p>
    <w:p w14:paraId="338E46A1">
      <w:pPr>
        <w:spacing w:line="400" w:lineRule="exact"/>
        <w:ind w:firstLine="317" w:firstLineChars="15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（4）供应商针对报价需要说明的其他文件和说明（格式自拟）</w:t>
      </w:r>
    </w:p>
    <w:p w14:paraId="3A0C1DF4">
      <w:pPr>
        <w:spacing w:line="400" w:lineRule="exact"/>
        <w:ind w:firstLine="344" w:firstLineChars="163"/>
        <w:rPr>
          <w:rFonts w:asciiTheme="minorEastAsia" w:hAnsiTheme="minorEastAsia" w:eastAsiaTheme="minorEastAsia"/>
          <w:color w:val="auto"/>
          <w:szCs w:val="21"/>
          <w:highlight w:val="none"/>
        </w:rPr>
      </w:pPr>
      <w:r>
        <w:rPr>
          <w:rFonts w:hint="eastAsia" w:hAnsi="宋体"/>
          <w:b/>
          <w:bCs/>
          <w:color w:val="auto"/>
          <w:szCs w:val="21"/>
          <w:highlight w:val="none"/>
        </w:rPr>
        <w:t>注：以上要求提供的证书文件复印件均须加盖供应商单位电子</w:t>
      </w:r>
      <w:r>
        <w:rPr>
          <w:rFonts w:hint="eastAsia" w:hAnsi="宋体"/>
          <w:b/>
          <w:color w:val="auto"/>
          <w:szCs w:val="21"/>
          <w:highlight w:val="none"/>
        </w:rPr>
        <w:t>公</w:t>
      </w:r>
      <w:r>
        <w:rPr>
          <w:rFonts w:hint="eastAsia" w:hAnsi="宋体"/>
          <w:b/>
          <w:bCs/>
          <w:color w:val="auto"/>
          <w:szCs w:val="21"/>
          <w:highlight w:val="none"/>
        </w:rPr>
        <w:t>章，文件材料均须按照</w:t>
      </w:r>
      <w:r>
        <w:rPr>
          <w:rFonts w:hint="eastAsia" w:hAnsi="宋体"/>
          <w:b/>
          <w:color w:val="auto"/>
          <w:szCs w:val="21"/>
          <w:highlight w:val="none"/>
        </w:rPr>
        <w:t>“第七章 响应文件基本格式”在规定盖章的地方加盖单位</w:t>
      </w:r>
      <w:r>
        <w:rPr>
          <w:rFonts w:hint="eastAsia" w:hAnsi="宋体"/>
          <w:b/>
          <w:bCs/>
          <w:color w:val="auto"/>
          <w:szCs w:val="21"/>
          <w:highlight w:val="none"/>
        </w:rPr>
        <w:t>电子</w:t>
      </w:r>
      <w:r>
        <w:rPr>
          <w:rFonts w:hint="eastAsia" w:hAnsi="宋体"/>
          <w:b/>
          <w:color w:val="auto"/>
          <w:szCs w:val="21"/>
          <w:highlight w:val="none"/>
        </w:rPr>
        <w:t>公章，骑缝盖公章不视为在规定位置盖章。规定签字的部分先打印出来按要求由法定代表人（负责人）或授权代理人亲笔签字后再扫描上传并加盖单位电子公章，不可使用手绘签章或签名章，</w:t>
      </w:r>
      <w:r>
        <w:rPr>
          <w:rFonts w:hint="eastAsia" w:hAnsi="宋体"/>
          <w:b/>
          <w:bCs/>
          <w:color w:val="auto"/>
          <w:szCs w:val="21"/>
          <w:highlight w:val="none"/>
        </w:rPr>
        <w:t>否则磋商无效。</w:t>
      </w:r>
    </w:p>
    <w:p w14:paraId="0033D917">
      <w:pPr>
        <w:spacing w:line="400" w:lineRule="exact"/>
        <w:ind w:firstLine="342" w:firstLineChars="163"/>
        <w:rPr>
          <w:rFonts w:hAnsi="宋体"/>
          <w:color w:val="auto"/>
          <w:szCs w:val="21"/>
          <w:highlight w:val="none"/>
        </w:rPr>
      </w:pPr>
      <w:r>
        <w:rPr>
          <w:rFonts w:hint="eastAsia" w:hAnsi="宋体"/>
          <w:color w:val="auto"/>
          <w:szCs w:val="21"/>
          <w:highlight w:val="none"/>
        </w:rPr>
        <w:t>8.2供应商应仔细阅读磋商文件的所有内容，按照磋商文件的要求提交响应文件，并对所提供的全部资料的真实性承担法律责任。</w:t>
      </w:r>
    </w:p>
    <w:p w14:paraId="0A47ABCC">
      <w:pPr>
        <w:spacing w:line="400" w:lineRule="exact"/>
        <w:ind w:firstLine="420" w:firstLineChars="200"/>
        <w:rPr>
          <w:rFonts w:hAnsi="宋体"/>
          <w:color w:val="auto"/>
          <w:szCs w:val="21"/>
          <w:highlight w:val="none"/>
        </w:rPr>
      </w:pPr>
      <w:r>
        <w:rPr>
          <w:rFonts w:hint="eastAsia" w:hAnsi="宋体"/>
          <w:color w:val="auto"/>
          <w:szCs w:val="21"/>
          <w:highlight w:val="none"/>
        </w:rPr>
        <w:t>8.3供应商在磋商活动中提供任何虚假材料，其磋商无效，并报监管部门查处；成交后发现的，成交人须依照《中华人民共和国消费者权益保护法》第49条之规定双倍赔偿采购人，且民事赔偿并不免除违法供应商的行政与刑事责任。</w:t>
      </w:r>
    </w:p>
    <w:p w14:paraId="77D87C5F">
      <w:pPr>
        <w:spacing w:line="400" w:lineRule="exact"/>
        <w:ind w:firstLine="422" w:firstLineChars="200"/>
        <w:rPr>
          <w:rFonts w:hAnsi="宋体"/>
          <w:b/>
          <w:color w:val="auto"/>
          <w:szCs w:val="21"/>
          <w:highlight w:val="none"/>
        </w:rPr>
      </w:pPr>
      <w:r>
        <w:rPr>
          <w:rFonts w:hint="eastAsia" w:hAnsi="宋体"/>
          <w:b/>
          <w:color w:val="auto"/>
          <w:szCs w:val="21"/>
          <w:highlight w:val="none"/>
        </w:rPr>
        <w:t>9. 计量单位</w:t>
      </w:r>
    </w:p>
    <w:p w14:paraId="0C3E8DFA">
      <w:pPr>
        <w:spacing w:line="400" w:lineRule="exact"/>
        <w:ind w:firstLine="420" w:firstLineChars="200"/>
        <w:rPr>
          <w:rFonts w:hAnsi="宋体"/>
          <w:color w:val="auto"/>
          <w:szCs w:val="21"/>
          <w:highlight w:val="none"/>
        </w:rPr>
      </w:pPr>
      <w:r>
        <w:rPr>
          <w:rFonts w:hint="eastAsia" w:hAnsi="宋体"/>
          <w:color w:val="auto"/>
          <w:szCs w:val="21"/>
          <w:highlight w:val="none"/>
        </w:rPr>
        <w:t>9.1除技术要求中另有规定外，本文件所要求使用的计量单位均应采用国家法定计量单位。</w:t>
      </w:r>
    </w:p>
    <w:p w14:paraId="2FFDE4AA">
      <w:pPr>
        <w:spacing w:line="400" w:lineRule="exact"/>
        <w:ind w:firstLine="422" w:firstLineChars="200"/>
        <w:rPr>
          <w:rFonts w:hAnsi="宋体"/>
          <w:b/>
          <w:color w:val="auto"/>
          <w:szCs w:val="21"/>
          <w:highlight w:val="none"/>
        </w:rPr>
      </w:pPr>
      <w:r>
        <w:rPr>
          <w:rFonts w:hint="eastAsia" w:hAnsi="宋体"/>
          <w:b/>
          <w:color w:val="auto"/>
          <w:szCs w:val="21"/>
          <w:highlight w:val="none"/>
        </w:rPr>
        <w:t>10.响应文件的有效期</w:t>
      </w:r>
    </w:p>
    <w:p w14:paraId="2BA91398">
      <w:pPr>
        <w:spacing w:line="400" w:lineRule="exact"/>
        <w:ind w:firstLine="420" w:firstLineChars="200"/>
        <w:rPr>
          <w:rFonts w:hAnsi="宋体"/>
          <w:color w:val="auto"/>
          <w:szCs w:val="21"/>
          <w:highlight w:val="none"/>
        </w:rPr>
      </w:pPr>
      <w:r>
        <w:rPr>
          <w:rFonts w:hint="eastAsia" w:hAnsi="宋体"/>
          <w:color w:val="auto"/>
          <w:szCs w:val="21"/>
          <w:highlight w:val="none"/>
        </w:rPr>
        <w:t>10.1响应文件从递交首次响应文件截止日后90天内有效。</w:t>
      </w:r>
    </w:p>
    <w:p w14:paraId="5E619C54">
      <w:pPr>
        <w:spacing w:line="400" w:lineRule="exact"/>
        <w:ind w:firstLine="420" w:firstLineChars="200"/>
        <w:rPr>
          <w:rFonts w:hAnsi="宋体"/>
          <w:color w:val="auto"/>
          <w:szCs w:val="21"/>
          <w:highlight w:val="none"/>
        </w:rPr>
      </w:pPr>
      <w:r>
        <w:rPr>
          <w:rFonts w:hint="eastAsia" w:hAnsi="宋体"/>
          <w:color w:val="auto"/>
          <w:szCs w:val="21"/>
          <w:highlight w:val="none"/>
        </w:rPr>
        <w:t>10.2在特殊情况下，采购代理机构可酌情延长有效期。供应商可同意或不同意延长响应文件的有效期，不同意延长响应文件有效期的供应商，其保证金将在原响应文件的有效期满后5个工作日内予以退还，不计利息；同意延长响应文件有效期的供应商不能要求对原响应文件（经供应商与磋商小组磋商后确定的内容作为原响应文件的组成部分）作任何改变，并同意在延长的磋商有效期内遵循本响应文件，在延长的有效期满之前继续具有约束力。</w:t>
      </w:r>
    </w:p>
    <w:p w14:paraId="62AEAB45">
      <w:pPr>
        <w:spacing w:line="400" w:lineRule="exact"/>
        <w:ind w:firstLine="422" w:firstLineChars="200"/>
        <w:rPr>
          <w:rFonts w:hAnsi="宋体"/>
          <w:b/>
          <w:color w:val="auto"/>
          <w:szCs w:val="21"/>
          <w:highlight w:val="none"/>
        </w:rPr>
      </w:pPr>
      <w:r>
        <w:rPr>
          <w:rFonts w:hint="eastAsia" w:hAnsi="宋体"/>
          <w:b/>
          <w:color w:val="auto"/>
          <w:szCs w:val="21"/>
          <w:highlight w:val="none"/>
        </w:rPr>
        <w:t>11.响应文件签名、盖章要求</w:t>
      </w:r>
    </w:p>
    <w:p w14:paraId="21C68562">
      <w:pPr>
        <w:spacing w:line="440" w:lineRule="exact"/>
        <w:ind w:firstLine="420" w:firstLineChars="200"/>
        <w:rPr>
          <w:rFonts w:hAnsi="宋体"/>
          <w:color w:val="auto"/>
          <w:szCs w:val="21"/>
          <w:highlight w:val="none"/>
        </w:rPr>
      </w:pPr>
      <w:r>
        <w:rPr>
          <w:rFonts w:hint="eastAsia" w:hAnsi="宋体"/>
          <w:color w:val="auto"/>
          <w:szCs w:val="21"/>
          <w:highlight w:val="none"/>
        </w:rPr>
        <w:t>11.1响应文件修改处应由法定代表人（负责人）或委托代理人亲笔签名并加盖电子公章，否则其磋商无效。</w:t>
      </w:r>
    </w:p>
    <w:p w14:paraId="69DEBA26">
      <w:pPr>
        <w:spacing w:line="440" w:lineRule="exact"/>
        <w:ind w:firstLine="420" w:firstLineChars="200"/>
        <w:rPr>
          <w:rFonts w:hAnsi="宋体"/>
          <w:color w:val="auto"/>
          <w:szCs w:val="21"/>
          <w:highlight w:val="none"/>
        </w:rPr>
      </w:pPr>
      <w:r>
        <w:rPr>
          <w:rFonts w:hint="eastAsia" w:hAnsi="宋体"/>
          <w:color w:val="auto"/>
          <w:szCs w:val="21"/>
          <w:highlight w:val="none"/>
        </w:rPr>
        <w:t>11.2字迹潦草、表达不清或未按要求填写的响应文件可能将被认定为无效的磋商。</w:t>
      </w:r>
    </w:p>
    <w:p w14:paraId="51E3E32A">
      <w:pPr>
        <w:spacing w:line="440" w:lineRule="exact"/>
        <w:ind w:firstLine="420" w:firstLineChars="200"/>
        <w:rPr>
          <w:rFonts w:hAnsi="宋体"/>
          <w:color w:val="auto"/>
          <w:szCs w:val="21"/>
          <w:highlight w:val="none"/>
        </w:rPr>
      </w:pPr>
      <w:r>
        <w:rPr>
          <w:rFonts w:hint="eastAsia" w:hAnsi="宋体"/>
          <w:color w:val="auto"/>
          <w:szCs w:val="21"/>
          <w:highlight w:val="none"/>
        </w:rPr>
        <w:t>11.3响应文件应由法定代表人（负责人）或委托代理人在凡规定签章处逐一签名和盖公章，否则其磋商无效。</w:t>
      </w:r>
    </w:p>
    <w:p w14:paraId="5C2DB999">
      <w:pPr>
        <w:spacing w:line="400" w:lineRule="exact"/>
        <w:ind w:firstLine="420" w:firstLineChars="200"/>
        <w:rPr>
          <w:rFonts w:hAnsi="宋体"/>
          <w:color w:val="auto"/>
          <w:szCs w:val="21"/>
          <w:highlight w:val="none"/>
        </w:rPr>
      </w:pPr>
      <w:r>
        <w:rPr>
          <w:rFonts w:hint="eastAsia" w:hAnsi="Calibri" w:cs="宋体"/>
          <w:color w:val="auto"/>
          <w:kern w:val="0"/>
          <w:szCs w:val="21"/>
          <w:highlight w:val="none"/>
        </w:rPr>
        <w:t>11.4响应文件应避免涂改、行间插字或者删除，否则其响应文件按无效响应处理。</w:t>
      </w:r>
    </w:p>
    <w:p w14:paraId="30ADC844">
      <w:pPr>
        <w:spacing w:line="400" w:lineRule="exact"/>
        <w:ind w:firstLine="422" w:firstLineChars="200"/>
        <w:rPr>
          <w:rFonts w:hAnsi="宋体"/>
          <w:b/>
          <w:color w:val="auto"/>
          <w:szCs w:val="21"/>
          <w:highlight w:val="none"/>
        </w:rPr>
      </w:pPr>
      <w:r>
        <w:rPr>
          <w:rFonts w:hint="eastAsia" w:hAnsi="宋体"/>
          <w:b/>
          <w:color w:val="auto"/>
          <w:szCs w:val="21"/>
          <w:highlight w:val="none"/>
        </w:rPr>
        <w:t>12. 保证金</w:t>
      </w:r>
    </w:p>
    <w:p w14:paraId="5FD584B1">
      <w:pPr>
        <w:snapToGrid w:val="0"/>
        <w:spacing w:line="440" w:lineRule="exact"/>
        <w:ind w:firstLine="411" w:firstLineChars="196"/>
        <w:rPr>
          <w:rFonts w:asciiTheme="minorEastAsia" w:hAnsiTheme="minorEastAsia" w:eastAsiaTheme="minorEastAsia"/>
          <w:b/>
          <w:color w:val="auto"/>
          <w:szCs w:val="21"/>
          <w:highlight w:val="none"/>
        </w:rPr>
      </w:pPr>
      <w:r>
        <w:rPr>
          <w:rFonts w:hint="eastAsia" w:hAnsi="宋体"/>
          <w:color w:val="auto"/>
          <w:szCs w:val="21"/>
          <w:highlight w:val="none"/>
        </w:rPr>
        <w:t>12.1本项目不需要缴纳磋商保证金。</w:t>
      </w:r>
    </w:p>
    <w:p w14:paraId="5EBFFF40">
      <w:pPr>
        <w:spacing w:line="400" w:lineRule="exact"/>
        <w:ind w:firstLine="422" w:firstLineChars="200"/>
        <w:outlineLvl w:val="2"/>
        <w:rPr>
          <w:rFonts w:asciiTheme="minorEastAsia" w:hAnsiTheme="minorEastAsia" w:eastAsiaTheme="minorEastAsia"/>
          <w:b/>
          <w:color w:val="auto"/>
          <w:szCs w:val="21"/>
          <w:highlight w:val="none"/>
        </w:rPr>
      </w:pPr>
      <w:bookmarkStart w:id="11" w:name="_Toc5631"/>
      <w:r>
        <w:rPr>
          <w:rFonts w:hint="eastAsia" w:asciiTheme="minorEastAsia" w:hAnsiTheme="minorEastAsia" w:eastAsiaTheme="minorEastAsia"/>
          <w:b/>
          <w:color w:val="auto"/>
          <w:szCs w:val="21"/>
          <w:highlight w:val="none"/>
        </w:rPr>
        <w:t>四、磋商报价要求</w:t>
      </w:r>
      <w:bookmarkEnd w:id="11"/>
    </w:p>
    <w:p w14:paraId="640909D5">
      <w:pPr>
        <w:spacing w:line="400" w:lineRule="exact"/>
        <w:ind w:firstLine="422" w:firstLineChars="200"/>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13.磋商报价</w:t>
      </w:r>
    </w:p>
    <w:p w14:paraId="0BF4967C">
      <w:pPr>
        <w:spacing w:line="400" w:lineRule="exact"/>
        <w:ind w:firstLine="420" w:firstLineChars="2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13.1供应商应以人民币报价。</w:t>
      </w:r>
    </w:p>
    <w:p w14:paraId="2C947326">
      <w:pPr>
        <w:spacing w:line="400" w:lineRule="exact"/>
        <w:ind w:firstLine="420" w:firstLineChars="2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13.2磋商报价：供应商</w:t>
      </w:r>
      <w:r>
        <w:rPr>
          <w:rFonts w:asciiTheme="minorEastAsia" w:hAnsiTheme="minorEastAsia" w:eastAsiaTheme="minorEastAsia"/>
          <w:color w:val="auto"/>
          <w:szCs w:val="21"/>
          <w:highlight w:val="none"/>
        </w:rPr>
        <w:t>应按第</w:t>
      </w:r>
      <w:r>
        <w:rPr>
          <w:rFonts w:hint="eastAsia" w:asciiTheme="minorEastAsia" w:hAnsiTheme="minorEastAsia" w:eastAsiaTheme="minorEastAsia"/>
          <w:color w:val="auto"/>
          <w:szCs w:val="21"/>
          <w:highlight w:val="none"/>
        </w:rPr>
        <w:t>四</w:t>
      </w:r>
      <w:r>
        <w:rPr>
          <w:rFonts w:asciiTheme="minorEastAsia" w:hAnsiTheme="minorEastAsia" w:eastAsiaTheme="minorEastAsia"/>
          <w:color w:val="auto"/>
          <w:szCs w:val="21"/>
          <w:highlight w:val="none"/>
        </w:rPr>
        <w:t>章“工程量清单”的要求填写相应表格。</w:t>
      </w:r>
      <w:r>
        <w:rPr>
          <w:rFonts w:hint="eastAsia" w:asciiTheme="minorEastAsia" w:hAnsiTheme="minorEastAsia" w:eastAsiaTheme="minorEastAsia"/>
          <w:color w:val="auto"/>
          <w:szCs w:val="21"/>
          <w:highlight w:val="none"/>
        </w:rPr>
        <w:t>供应商不得修改工程量清单的项目结构、标段名称、单项工程名称、单位工程名称、项目编码、项目名称、项目特征、计量单位、工程量、清单顺序和序号。不得对工程量清单项目进行增减调整。</w:t>
      </w:r>
    </w:p>
    <w:p w14:paraId="4B1A3765">
      <w:pPr>
        <w:spacing w:line="400" w:lineRule="exact"/>
        <w:ind w:firstLine="420" w:firstLineChars="2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13.3应商应在磋商报价表上标明报价。磋商报价表内容与响应文件中相应内容不一致的，以磋商报价表为准；大写金额和小写金额不一致的，以大写金额为准；单价金额小数点或者百分比有明显错位的，以磋商报价表的总价为准，并修改单价；总价金额与按单价汇总金额不一致的，以单价金额计算结果为准。同时出现两种以上不一致的，按照以上规定的顺序修正。修正后的报价经供应商确认后产生约束力，供应商不确认的，其磋商无效。对不同文字文本响应文件的解释发生异议的，以中文文本为准。除上述原因以外，如果因供应商原因引起的报价失误，并在磋商时被接受，其后果由供应商自负。</w:t>
      </w:r>
    </w:p>
    <w:p w14:paraId="5F76DB7D">
      <w:pPr>
        <w:spacing w:line="400" w:lineRule="exact"/>
        <w:ind w:firstLine="420" w:firstLineChars="2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13.4磋商报价：按须知前附表中要求。</w:t>
      </w:r>
    </w:p>
    <w:p w14:paraId="7D8A5318">
      <w:pPr>
        <w:spacing w:line="400" w:lineRule="exact"/>
        <w:ind w:firstLine="422" w:firstLineChars="200"/>
        <w:outlineLvl w:val="2"/>
        <w:rPr>
          <w:rFonts w:hAnsi="宋体"/>
          <w:b/>
          <w:color w:val="auto"/>
          <w:szCs w:val="21"/>
          <w:highlight w:val="none"/>
        </w:rPr>
      </w:pPr>
      <w:bookmarkStart w:id="12" w:name="_Toc29607"/>
      <w:r>
        <w:rPr>
          <w:rFonts w:hint="eastAsia" w:hAnsi="宋体"/>
          <w:b/>
          <w:color w:val="auto"/>
          <w:szCs w:val="21"/>
          <w:highlight w:val="none"/>
        </w:rPr>
        <w:t>五、响应文件的封装和递交</w:t>
      </w:r>
      <w:bookmarkEnd w:id="12"/>
    </w:p>
    <w:p w14:paraId="47C0F69B">
      <w:pPr>
        <w:spacing w:line="440" w:lineRule="exact"/>
        <w:ind w:firstLine="422" w:firstLineChars="200"/>
        <w:rPr>
          <w:rFonts w:hAnsi="宋体"/>
          <w:b/>
          <w:color w:val="auto"/>
          <w:szCs w:val="21"/>
          <w:highlight w:val="none"/>
        </w:rPr>
      </w:pPr>
      <w:r>
        <w:rPr>
          <w:rFonts w:hint="eastAsia" w:hAnsi="宋体"/>
          <w:b/>
          <w:color w:val="auto"/>
          <w:szCs w:val="21"/>
          <w:highlight w:val="none"/>
        </w:rPr>
        <w:t>14.响应文件的封装、密封与标志</w:t>
      </w:r>
    </w:p>
    <w:p w14:paraId="6DFC2001">
      <w:pPr>
        <w:spacing w:line="440" w:lineRule="exact"/>
        <w:ind w:right="168" w:rightChars="80" w:firstLine="430" w:firstLineChars="205"/>
        <w:rPr>
          <w:rFonts w:hAnsi="宋体"/>
          <w:color w:val="auto"/>
          <w:szCs w:val="21"/>
          <w:highlight w:val="none"/>
        </w:rPr>
      </w:pPr>
      <w:r>
        <w:rPr>
          <w:rFonts w:hint="eastAsia" w:hAnsi="宋体"/>
          <w:color w:val="auto"/>
          <w:szCs w:val="21"/>
          <w:highlight w:val="none"/>
        </w:rPr>
        <w:t>14.1密封方式：供应商应将电子响应文件通过平台有效CA 加密后在</w:t>
      </w:r>
      <w:r>
        <w:rPr>
          <w:rFonts w:hint="eastAsia" w:hAnsi="宋体"/>
          <w:color w:val="auto"/>
          <w:szCs w:val="21"/>
          <w:highlight w:val="none"/>
          <w:lang w:eastAsia="zh-CN"/>
        </w:rPr>
        <w:t>广西政府采购云平台</w:t>
      </w:r>
      <w:r>
        <w:rPr>
          <w:rFonts w:hint="eastAsia" w:hAnsi="宋体"/>
          <w:color w:val="auto"/>
          <w:szCs w:val="21"/>
          <w:highlight w:val="none"/>
        </w:rPr>
        <w:t>投送。</w:t>
      </w:r>
    </w:p>
    <w:p w14:paraId="378498B5">
      <w:pPr>
        <w:spacing w:line="440" w:lineRule="exact"/>
        <w:ind w:right="168" w:rightChars="80" w:firstLine="430" w:firstLineChars="205"/>
        <w:rPr>
          <w:rFonts w:hAnsi="宋体"/>
          <w:color w:val="auto"/>
          <w:szCs w:val="21"/>
          <w:highlight w:val="none"/>
        </w:rPr>
      </w:pPr>
      <w:r>
        <w:rPr>
          <w:rFonts w:hint="eastAsia" w:hAnsi="宋体"/>
          <w:color w:val="auto"/>
          <w:szCs w:val="21"/>
          <w:highlight w:val="none"/>
        </w:rPr>
        <w:t>14.2供应商进行电子交易应安装客户端软件—“政采云电子交易客户端”，并按照竞争性磋商文件和电子交易平台的要求编制并加密响应文件。供应商未按规定加密的响应文件，电子交易平台将拒收并提示。</w:t>
      </w:r>
    </w:p>
    <w:p w14:paraId="55760EC2">
      <w:pPr>
        <w:spacing w:line="440" w:lineRule="exact"/>
        <w:ind w:right="168" w:rightChars="80" w:firstLine="430" w:firstLineChars="205"/>
        <w:rPr>
          <w:rFonts w:hAnsi="宋体"/>
          <w:color w:val="auto"/>
          <w:szCs w:val="21"/>
          <w:highlight w:val="none"/>
        </w:rPr>
      </w:pPr>
      <w:r>
        <w:rPr>
          <w:rFonts w:hint="eastAsia" w:hAnsi="宋体"/>
          <w:color w:val="auto"/>
          <w:szCs w:val="21"/>
          <w:highlight w:val="none"/>
        </w:rPr>
        <w:t>14.3 使用“政采云电子交易客户端”需要提前申领CA 数字证书，申领流程见该项目竞争性磋商公告。</w:t>
      </w:r>
    </w:p>
    <w:p w14:paraId="54D9DCD2">
      <w:pPr>
        <w:spacing w:line="400" w:lineRule="exact"/>
        <w:ind w:firstLine="329" w:firstLineChars="157"/>
        <w:rPr>
          <w:rFonts w:hAnsi="宋体"/>
          <w:color w:val="auto"/>
          <w:szCs w:val="21"/>
          <w:highlight w:val="none"/>
        </w:rPr>
      </w:pPr>
      <w:r>
        <w:rPr>
          <w:rFonts w:hint="eastAsia" w:hAnsi="宋体"/>
          <w:color w:val="auto"/>
          <w:szCs w:val="21"/>
          <w:highlight w:val="none"/>
        </w:rPr>
        <w:t>14.4 为确保网上操作合法、有效和安全，供应商应当在响应文件提交截止时间前完成在“政府采购云平台”的身份认证，确保在电子交易过程中能够对相关数据电文进行加密和使用电子签章。</w:t>
      </w:r>
    </w:p>
    <w:p w14:paraId="4B760C6C">
      <w:pPr>
        <w:spacing w:line="400" w:lineRule="exact"/>
        <w:ind w:firstLine="422" w:firstLineChars="200"/>
        <w:rPr>
          <w:rFonts w:hAnsi="宋体"/>
          <w:b/>
          <w:color w:val="auto"/>
          <w:szCs w:val="21"/>
          <w:highlight w:val="none"/>
        </w:rPr>
      </w:pPr>
      <w:r>
        <w:rPr>
          <w:rFonts w:hint="eastAsia" w:hAnsi="宋体"/>
          <w:b/>
          <w:color w:val="auto"/>
          <w:szCs w:val="21"/>
          <w:highlight w:val="none"/>
        </w:rPr>
        <w:t>15.响应文件的递交</w:t>
      </w:r>
    </w:p>
    <w:p w14:paraId="31DE5919">
      <w:pPr>
        <w:spacing w:line="440" w:lineRule="exact"/>
        <w:ind w:firstLine="420" w:firstLineChars="200"/>
        <w:rPr>
          <w:rFonts w:hAnsi="宋体"/>
          <w:color w:val="auto"/>
          <w:szCs w:val="21"/>
          <w:highlight w:val="none"/>
        </w:rPr>
      </w:pPr>
      <w:r>
        <w:rPr>
          <w:rFonts w:hint="eastAsia" w:hAnsi="宋体"/>
          <w:color w:val="auto"/>
          <w:szCs w:val="21"/>
          <w:highlight w:val="none"/>
        </w:rPr>
        <w:t>15.1所有响应文件应按“竞争性磋商公告”及“磋商须知前附表”中规定的时间前递交到规定地点。</w:t>
      </w:r>
    </w:p>
    <w:p w14:paraId="2BAA7571">
      <w:pPr>
        <w:spacing w:line="440" w:lineRule="exact"/>
        <w:ind w:firstLine="420" w:firstLineChars="200"/>
        <w:rPr>
          <w:rFonts w:hAnsi="Calibri" w:cs="宋体"/>
          <w:color w:val="auto"/>
          <w:kern w:val="0"/>
          <w:szCs w:val="21"/>
          <w:highlight w:val="none"/>
        </w:rPr>
      </w:pPr>
      <w:r>
        <w:rPr>
          <w:rFonts w:hint="eastAsia" w:hAnsi="Calibri" w:cs="宋体"/>
          <w:color w:val="auto"/>
          <w:kern w:val="0"/>
          <w:szCs w:val="21"/>
          <w:highlight w:val="none"/>
        </w:rPr>
        <w:t>15.2在提交“最后报价”后，供应商不能退出磋商。</w:t>
      </w:r>
    </w:p>
    <w:p w14:paraId="552FEEC5">
      <w:pPr>
        <w:spacing w:line="440" w:lineRule="exact"/>
        <w:ind w:firstLine="420" w:firstLineChars="200"/>
        <w:rPr>
          <w:rFonts w:hAnsi="宋体"/>
          <w:color w:val="auto"/>
          <w:szCs w:val="21"/>
          <w:highlight w:val="none"/>
        </w:rPr>
      </w:pPr>
      <w:r>
        <w:rPr>
          <w:rFonts w:hint="eastAsia" w:hAnsi="宋体"/>
          <w:color w:val="auto"/>
          <w:szCs w:val="21"/>
          <w:highlight w:val="none"/>
        </w:rPr>
        <w:t>15.3电子交易平台收到响应文件，将妥善保存并即时向供应商发出确认回执通知。在响应文件提交截止时间前，除供应商补充、修改或者撤回响应文件外，任何单位和个人不得解密或提取响应文件。</w:t>
      </w:r>
    </w:p>
    <w:p w14:paraId="7D380743">
      <w:pPr>
        <w:spacing w:line="440" w:lineRule="exact"/>
        <w:ind w:firstLine="420" w:firstLineChars="200"/>
        <w:rPr>
          <w:rFonts w:hAnsi="宋体"/>
          <w:color w:val="auto"/>
          <w:szCs w:val="21"/>
          <w:highlight w:val="none"/>
        </w:rPr>
      </w:pPr>
      <w:r>
        <w:rPr>
          <w:rFonts w:hint="eastAsia" w:hAnsi="宋体"/>
          <w:color w:val="auto"/>
          <w:szCs w:val="21"/>
          <w:highlight w:val="none"/>
        </w:rPr>
        <w:t>15.4 采购代理机构不可视情况延长提交响应文件的截止时间。</w:t>
      </w:r>
    </w:p>
    <w:p w14:paraId="20C7FF3A">
      <w:pPr>
        <w:spacing w:line="400" w:lineRule="exact"/>
        <w:ind w:firstLine="422" w:firstLineChars="200"/>
        <w:rPr>
          <w:rFonts w:hAnsi="宋体"/>
          <w:b/>
          <w:color w:val="auto"/>
          <w:szCs w:val="21"/>
          <w:highlight w:val="none"/>
        </w:rPr>
      </w:pPr>
      <w:r>
        <w:rPr>
          <w:rFonts w:hint="eastAsia" w:hAnsi="宋体"/>
          <w:b/>
          <w:color w:val="auto"/>
          <w:szCs w:val="21"/>
          <w:highlight w:val="none"/>
        </w:rPr>
        <w:t>16.迟交的响应文件</w:t>
      </w:r>
    </w:p>
    <w:p w14:paraId="58375F33">
      <w:pPr>
        <w:spacing w:line="400" w:lineRule="exact"/>
        <w:ind w:firstLine="420" w:firstLineChars="200"/>
        <w:rPr>
          <w:rFonts w:hAnsi="宋体"/>
          <w:color w:val="auto"/>
          <w:szCs w:val="21"/>
          <w:highlight w:val="none"/>
        </w:rPr>
      </w:pPr>
      <w:r>
        <w:rPr>
          <w:rFonts w:hint="eastAsia" w:hAnsi="宋体"/>
          <w:color w:val="auto"/>
          <w:szCs w:val="21"/>
          <w:highlight w:val="none"/>
        </w:rPr>
        <w:t>按《中华人民共和国政府采购法》的规定，在规定的提交响应文件截止时间之后提交的任何响应文件将被</w:t>
      </w:r>
      <w:r>
        <w:rPr>
          <w:rFonts w:hint="eastAsia" w:hAnsi="宋体"/>
          <w:color w:val="auto"/>
          <w:szCs w:val="21"/>
          <w:highlight w:val="none"/>
          <w:lang w:eastAsia="zh-CN"/>
        </w:rPr>
        <w:t>广西政府采购云平台</w:t>
      </w:r>
      <w:r>
        <w:rPr>
          <w:rFonts w:hint="eastAsia" w:hAnsi="宋体"/>
          <w:color w:val="auto"/>
          <w:szCs w:val="21"/>
          <w:highlight w:val="none"/>
        </w:rPr>
        <w:t>拒收。</w:t>
      </w:r>
    </w:p>
    <w:p w14:paraId="4A200CF3">
      <w:pPr>
        <w:spacing w:line="400" w:lineRule="exact"/>
        <w:ind w:firstLine="422" w:firstLineChars="200"/>
        <w:rPr>
          <w:rFonts w:hAnsi="宋体"/>
          <w:b/>
          <w:color w:val="auto"/>
          <w:szCs w:val="21"/>
          <w:highlight w:val="none"/>
        </w:rPr>
      </w:pPr>
      <w:r>
        <w:rPr>
          <w:rFonts w:hint="eastAsia" w:hAnsi="宋体"/>
          <w:b/>
          <w:color w:val="auto"/>
          <w:szCs w:val="21"/>
          <w:highlight w:val="none"/>
        </w:rPr>
        <w:t>17．递交响应文件截止时间、地点</w:t>
      </w:r>
    </w:p>
    <w:p w14:paraId="2C9B435A">
      <w:pPr>
        <w:spacing w:line="440" w:lineRule="exact"/>
        <w:ind w:firstLine="420" w:firstLineChars="200"/>
        <w:rPr>
          <w:rFonts w:hAnsi="宋体"/>
          <w:color w:val="auto"/>
          <w:szCs w:val="21"/>
          <w:highlight w:val="none"/>
        </w:rPr>
      </w:pPr>
      <w:r>
        <w:rPr>
          <w:rFonts w:hint="eastAsia" w:hAnsi="宋体"/>
          <w:color w:val="auto"/>
          <w:szCs w:val="21"/>
          <w:highlight w:val="none"/>
        </w:rPr>
        <w:t>17.1响应文件的递交不得迟于本须知前附表规定的截止时间。</w:t>
      </w:r>
    </w:p>
    <w:p w14:paraId="5E99C0B0">
      <w:pPr>
        <w:spacing w:line="400" w:lineRule="exact"/>
        <w:ind w:firstLine="420" w:firstLineChars="200"/>
        <w:rPr>
          <w:rFonts w:hAnsi="宋体"/>
          <w:color w:val="auto"/>
          <w:szCs w:val="21"/>
          <w:highlight w:val="none"/>
        </w:rPr>
      </w:pPr>
      <w:r>
        <w:rPr>
          <w:rFonts w:hint="eastAsia" w:hAnsi="宋体"/>
          <w:color w:val="auto"/>
          <w:szCs w:val="21"/>
          <w:highlight w:val="none"/>
        </w:rPr>
        <w:t>17.2供应商必须在规定时间内将响应文件提交到本须知前附表规定地点，超过截止时间送达的响应文件为无效文件，</w:t>
      </w:r>
      <w:r>
        <w:rPr>
          <w:rFonts w:hint="eastAsia" w:hAnsi="宋体"/>
          <w:color w:val="auto"/>
          <w:szCs w:val="21"/>
          <w:highlight w:val="none"/>
          <w:lang w:eastAsia="zh-CN"/>
        </w:rPr>
        <w:t>广西政府采购云平台</w:t>
      </w:r>
      <w:r>
        <w:rPr>
          <w:rFonts w:hint="eastAsia" w:hAnsi="宋体"/>
          <w:color w:val="auto"/>
          <w:szCs w:val="21"/>
          <w:highlight w:val="none"/>
        </w:rPr>
        <w:t>将拒收。</w:t>
      </w:r>
    </w:p>
    <w:p w14:paraId="4FE803A7">
      <w:pPr>
        <w:spacing w:line="400" w:lineRule="exact"/>
        <w:ind w:right="168" w:rightChars="80" w:firstLine="432" w:firstLineChars="205"/>
        <w:rPr>
          <w:rFonts w:hAnsi="宋体"/>
          <w:b/>
          <w:color w:val="auto"/>
          <w:szCs w:val="21"/>
          <w:highlight w:val="none"/>
        </w:rPr>
      </w:pPr>
      <w:r>
        <w:rPr>
          <w:rFonts w:hint="eastAsia" w:hAnsi="宋体"/>
          <w:b/>
          <w:color w:val="auto"/>
          <w:szCs w:val="21"/>
          <w:highlight w:val="none"/>
        </w:rPr>
        <w:t>18. 响应文件的修改与撤回</w:t>
      </w:r>
    </w:p>
    <w:p w14:paraId="1EFCC0AF">
      <w:pPr>
        <w:spacing w:line="400" w:lineRule="exact"/>
        <w:ind w:right="168" w:rightChars="80" w:firstLine="430" w:firstLineChars="205"/>
        <w:rPr>
          <w:rFonts w:hAnsi="宋体"/>
          <w:color w:val="auto"/>
          <w:szCs w:val="21"/>
          <w:highlight w:val="none"/>
        </w:rPr>
      </w:pPr>
      <w:r>
        <w:rPr>
          <w:rFonts w:hint="eastAsia" w:hAnsi="宋体"/>
          <w:color w:val="auto"/>
          <w:szCs w:val="21"/>
          <w:highlight w:val="none"/>
        </w:rPr>
        <w:t>18.1 供应商的修改或撤回通知，详见“竞争性磋商公告”。</w:t>
      </w:r>
    </w:p>
    <w:p w14:paraId="4FF448DF">
      <w:pPr>
        <w:spacing w:line="400" w:lineRule="exact"/>
        <w:ind w:right="168" w:rightChars="80" w:firstLine="430" w:firstLineChars="205"/>
        <w:rPr>
          <w:rFonts w:hAnsi="宋体"/>
          <w:color w:val="auto"/>
          <w:szCs w:val="21"/>
          <w:highlight w:val="none"/>
        </w:rPr>
      </w:pPr>
      <w:r>
        <w:rPr>
          <w:rFonts w:hint="eastAsia" w:hAnsi="宋体"/>
          <w:color w:val="auto"/>
          <w:szCs w:val="21"/>
          <w:highlight w:val="none"/>
        </w:rPr>
        <w:t>18.2 在提交响应文件截止时间以后，供应商不得修改响应文件。</w:t>
      </w:r>
    </w:p>
    <w:p w14:paraId="4F7D0A08">
      <w:pPr>
        <w:spacing w:line="400" w:lineRule="exact"/>
        <w:ind w:right="168" w:rightChars="80" w:firstLine="430" w:firstLineChars="205"/>
        <w:rPr>
          <w:rFonts w:asciiTheme="minorEastAsia" w:hAnsiTheme="minorEastAsia" w:eastAsiaTheme="minorEastAsia"/>
          <w:color w:val="auto"/>
          <w:szCs w:val="21"/>
          <w:highlight w:val="none"/>
        </w:rPr>
      </w:pPr>
      <w:r>
        <w:rPr>
          <w:rFonts w:hint="eastAsia" w:hAnsi="宋体"/>
          <w:color w:val="auto"/>
          <w:szCs w:val="21"/>
          <w:highlight w:val="none"/>
        </w:rPr>
        <w:t>18.3 在磋商有效期内，供应商不能撤回其响应文件。</w:t>
      </w:r>
    </w:p>
    <w:p w14:paraId="39392870">
      <w:pPr>
        <w:spacing w:line="400" w:lineRule="exact"/>
        <w:ind w:firstLine="422" w:firstLineChars="200"/>
        <w:outlineLvl w:val="2"/>
        <w:rPr>
          <w:rFonts w:asciiTheme="minorEastAsia" w:hAnsiTheme="minorEastAsia" w:eastAsiaTheme="minorEastAsia"/>
          <w:b/>
          <w:color w:val="auto"/>
          <w:szCs w:val="21"/>
          <w:highlight w:val="none"/>
        </w:rPr>
      </w:pPr>
      <w:bookmarkStart w:id="13" w:name="_Toc5666"/>
      <w:bookmarkStart w:id="14" w:name="_Toc254970532"/>
      <w:bookmarkStart w:id="15" w:name="_Toc254970673"/>
      <w:r>
        <w:rPr>
          <w:rFonts w:hint="eastAsia" w:asciiTheme="minorEastAsia" w:hAnsiTheme="minorEastAsia" w:eastAsiaTheme="minorEastAsia"/>
          <w:b/>
          <w:color w:val="auto"/>
          <w:szCs w:val="21"/>
          <w:highlight w:val="none"/>
        </w:rPr>
        <w:t>六、磋商与评审</w:t>
      </w:r>
      <w:bookmarkEnd w:id="13"/>
    </w:p>
    <w:p w14:paraId="264F21C2">
      <w:pPr>
        <w:pStyle w:val="27"/>
        <w:spacing w:line="440" w:lineRule="exact"/>
        <w:ind w:firstLine="466" w:firstLineChars="221"/>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19. 磋商</w:t>
      </w:r>
    </w:p>
    <w:p w14:paraId="3C09EE8F">
      <w:pPr>
        <w:pStyle w:val="27"/>
        <w:spacing w:line="440" w:lineRule="exact"/>
        <w:ind w:firstLine="464" w:firstLineChars="22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19.1  磋商小组确认磋商文件，并将在磋商须知前附表规定的地点与各供应商进行磋商。磋商内容包括：磋商报价、工期、施工组织方案等，供应商资格条件不列为磋商内容。</w:t>
      </w:r>
    </w:p>
    <w:p w14:paraId="56AC6BFD">
      <w:pPr>
        <w:pStyle w:val="27"/>
        <w:spacing w:line="440" w:lineRule="exact"/>
        <w:ind w:firstLine="464" w:firstLineChars="22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19.2  磋商小组对资格条件及响应文件进行评审，并从符合磋商文件规定的相应资格条件的供应商名单中确定不少于3家的供应商参加磋商。资格条件不符合的供应商或未实质性响应磋商文件的响应文件按无效处理，磋商小组应当告知有关供应商。</w:t>
      </w:r>
    </w:p>
    <w:p w14:paraId="3B9AFD72">
      <w:pPr>
        <w:pStyle w:val="27"/>
        <w:spacing w:line="440" w:lineRule="exact"/>
        <w:ind w:firstLine="464" w:firstLineChars="22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19.3  第一轮磋商</w:t>
      </w:r>
    </w:p>
    <w:p w14:paraId="05301204">
      <w:pPr>
        <w:pStyle w:val="27"/>
        <w:spacing w:line="440" w:lineRule="exact"/>
        <w:ind w:firstLine="464" w:firstLineChars="22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磋商小组按已确定的磋商顺序，磋商小组所有成员应当集中与单一供应商分别进行磋商，并给予所有参加磋商的供应商平等的磋商机会。</w:t>
      </w:r>
    </w:p>
    <w:p w14:paraId="5E6E98AE">
      <w:pPr>
        <w:pStyle w:val="27"/>
        <w:spacing w:line="440" w:lineRule="exact"/>
        <w:ind w:firstLine="464" w:firstLineChars="22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在磋商过程中，磋商小组可以根据磋商文件和磋商情况实质性变动采购需求中的要求以及合同草案条款。实质性变动的内容，须经采购人代表确认。</w:t>
      </w:r>
    </w:p>
    <w:p w14:paraId="15117879">
      <w:pPr>
        <w:pStyle w:val="27"/>
        <w:spacing w:line="440" w:lineRule="exact"/>
        <w:ind w:firstLine="464" w:firstLineChars="22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对磋商文件作出的实质性变动是磋商文件的有效组成部分，磋商小组应当及时通过政采云平台同时通知所有参加磋商的供应商。</w:t>
      </w:r>
    </w:p>
    <w:p w14:paraId="7DC945E9">
      <w:pPr>
        <w:pStyle w:val="27"/>
        <w:spacing w:line="440" w:lineRule="exact"/>
        <w:ind w:firstLine="464" w:firstLineChars="22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供应商应当按照磋商文件的变动情况和磋商小组的要求提交磋商应答响应文件，并由其法定代表人（负责人）或授权代表签字或者加盖电子公章。由授权代表签字的，应当附法定代表人（负责人）授权书。</w:t>
      </w:r>
    </w:p>
    <w:p w14:paraId="01B41501">
      <w:pPr>
        <w:pStyle w:val="27"/>
        <w:spacing w:line="440" w:lineRule="exact"/>
        <w:ind w:firstLine="464" w:firstLineChars="22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磋商中，磋商的任何一方不得透露与磋商有关的其他供应商的技术资料、价格和其他信息。</w:t>
      </w:r>
    </w:p>
    <w:p w14:paraId="141D375C">
      <w:pPr>
        <w:pStyle w:val="27"/>
        <w:spacing w:line="440" w:lineRule="exact"/>
        <w:ind w:firstLine="464" w:firstLineChars="22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采购代理机构对磋商过程和重要磋商内容进行记录，磋商双方在记录上签字确认。</w:t>
      </w:r>
    </w:p>
    <w:p w14:paraId="4E007B41">
      <w:pPr>
        <w:pStyle w:val="27"/>
        <w:spacing w:line="440" w:lineRule="exact"/>
        <w:ind w:firstLine="464" w:firstLineChars="22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磋商小组一致确定响应供应商符合磋商文件要求的，按磋商文件设定的方法和标准确定成交候选人。第一轮磋商小组未能确定成交候选人的，对磋商文件修正后进行第二轮磋商。</w:t>
      </w:r>
    </w:p>
    <w:p w14:paraId="236EC009">
      <w:pPr>
        <w:pStyle w:val="27"/>
        <w:spacing w:line="440" w:lineRule="exact"/>
        <w:ind w:firstLine="464" w:firstLineChars="22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19.4  磋商文件修正</w:t>
      </w:r>
    </w:p>
    <w:p w14:paraId="7E1C6F33">
      <w:pPr>
        <w:pStyle w:val="27"/>
        <w:spacing w:line="440" w:lineRule="exact"/>
        <w:ind w:firstLine="464" w:firstLineChars="22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（1）第一轮磋商结束后，各响应供应商退场等候，磋商小组进行合议。根据第一轮磋商掌握的情况，可以对磋商文件进行修改，确定采购内容的具体要求，优化采购方案。</w:t>
      </w:r>
    </w:p>
    <w:p w14:paraId="34B21F1A">
      <w:pPr>
        <w:pStyle w:val="27"/>
        <w:spacing w:line="440" w:lineRule="exact"/>
        <w:ind w:firstLine="464" w:firstLineChars="22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（2）采购代理机构通知响应供应商集中，磋商小组强调调整后的采购要求，将磋商文件的修改结果通过政采云平台通知响应供应商，向响应供应商提供较充分的修正时间。</w:t>
      </w:r>
    </w:p>
    <w:p w14:paraId="0C966E29">
      <w:pPr>
        <w:pStyle w:val="27"/>
        <w:spacing w:line="440" w:lineRule="exact"/>
        <w:ind w:firstLine="464" w:firstLineChars="22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响应供应商根据第一轮磋商情况和磋商文件修改通知内容，进行磋商应答响应，并将磋商应答响应文件签字（或盖电子公章）后提交政采云平台。逾时不交的，视同放弃磋商。磋商应答响应文件与首次响应文件同具法律效应。</w:t>
      </w:r>
    </w:p>
    <w:p w14:paraId="26AD63EC">
      <w:pPr>
        <w:pStyle w:val="27"/>
        <w:spacing w:line="440" w:lineRule="exact"/>
        <w:ind w:firstLine="464" w:firstLineChars="22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19.5  第二轮磋商</w:t>
      </w:r>
    </w:p>
    <w:p w14:paraId="67014B01">
      <w:pPr>
        <w:pStyle w:val="27"/>
        <w:spacing w:line="440" w:lineRule="exact"/>
        <w:ind w:firstLine="464" w:firstLineChars="22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磋商小组就修正后的磋商文件与响应供应商分别进行磋商。采购代理机构对磋商过程和重要磋商内容进行记录，磋商双方在记录上签字确认。磋商小组按磋商文件设定的方法和标准确定成交候选人。</w:t>
      </w:r>
    </w:p>
    <w:p w14:paraId="7186E630">
      <w:pPr>
        <w:pStyle w:val="27"/>
        <w:spacing w:line="440" w:lineRule="exact"/>
        <w:ind w:firstLine="464" w:firstLineChars="22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第二轮磋商小组未能确定成交候选人的，对磋商文件修正后进行第三轮磋商，以此类推。</w:t>
      </w:r>
    </w:p>
    <w:p w14:paraId="6FDC3BB4">
      <w:pPr>
        <w:pStyle w:val="27"/>
        <w:spacing w:line="440" w:lineRule="exact"/>
        <w:ind w:firstLine="464" w:firstLineChars="22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19.6  最后报价</w:t>
      </w:r>
    </w:p>
    <w:p w14:paraId="0229CA26">
      <w:pPr>
        <w:pStyle w:val="27"/>
        <w:spacing w:line="440" w:lineRule="exact"/>
        <w:ind w:firstLine="464" w:firstLineChars="22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（1）磋商文件能够详细列明采购标的的技术、服务要求的，磋商结束后，磋商小组应当要求所有继续参加磋商的供应商在规定时间内提交最后报价</w:t>
      </w:r>
      <w:r>
        <w:rPr>
          <w:rFonts w:hint="eastAsia" w:asciiTheme="minorEastAsia" w:hAnsiTheme="minorEastAsia" w:eastAsiaTheme="minorEastAsia"/>
          <w:b/>
          <w:color w:val="auto"/>
          <w:szCs w:val="21"/>
          <w:highlight w:val="none"/>
        </w:rPr>
        <w:t>（</w:t>
      </w:r>
      <w:r>
        <w:rPr>
          <w:rFonts w:hint="eastAsia" w:hAnsi="宋体"/>
          <w:b/>
          <w:color w:val="auto"/>
          <w:szCs w:val="21"/>
          <w:highlight w:val="none"/>
        </w:rPr>
        <w:t>如供应商最后的磋商报价有调整时，须附工程量清单，不得以总价下浮的方式做最后磋商报价，否则，其最后磋商报价无效，磋商小组将以其第一次报价为评审依据。</w:t>
      </w:r>
      <w:r>
        <w:rPr>
          <w:rFonts w:hint="eastAsia" w:asciiTheme="minorEastAsia" w:hAnsiTheme="minorEastAsia" w:eastAsiaTheme="minorEastAsia"/>
          <w:b/>
          <w:color w:val="auto"/>
          <w:szCs w:val="21"/>
          <w:highlight w:val="none"/>
        </w:rPr>
        <w:t>）</w:t>
      </w:r>
      <w:r>
        <w:rPr>
          <w:rFonts w:hint="eastAsia" w:asciiTheme="minorEastAsia" w:hAnsiTheme="minorEastAsia" w:eastAsiaTheme="minorEastAsia"/>
          <w:color w:val="auto"/>
          <w:szCs w:val="21"/>
          <w:highlight w:val="none"/>
        </w:rPr>
        <w:t>，提交最后报价的供应商不得少于3家。</w:t>
      </w:r>
    </w:p>
    <w:p w14:paraId="28AD50EC">
      <w:pPr>
        <w:pStyle w:val="27"/>
        <w:spacing w:line="440" w:lineRule="exact"/>
        <w:ind w:firstLine="464" w:firstLineChars="22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磋商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6423762C">
      <w:pPr>
        <w:pStyle w:val="27"/>
        <w:spacing w:line="440" w:lineRule="exact"/>
        <w:ind w:firstLine="464" w:firstLineChars="22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（3）最后报价是供应商响应文件的有效组成部分。</w:t>
      </w:r>
    </w:p>
    <w:p w14:paraId="34EB7E16">
      <w:pPr>
        <w:widowControl/>
        <w:tabs>
          <w:tab w:val="left" w:pos="540"/>
        </w:tabs>
        <w:spacing w:line="400" w:lineRule="exact"/>
        <w:ind w:firstLine="420" w:firstLineChars="200"/>
        <w:jc w:val="lef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4）已经提交响应文件的供应商，在提交最后报价之前，可以根据磋商情况退出磋商。采购人、采购代理机构将退还退出磋商的供应商的保证金。最终磋商结束后，磋商小组不得再与供应商进行任何形式的商谈。</w:t>
      </w:r>
    </w:p>
    <w:p w14:paraId="0790C836">
      <w:pPr>
        <w:pStyle w:val="27"/>
        <w:spacing w:line="440" w:lineRule="exact"/>
        <w:ind w:firstLine="464" w:firstLineChars="22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（5）磋商小组应当从质量和服务均能满足磋商文件实质性响应要求的供应商中，按照综合评分由高到低的顺序提出3名以上成交候选人，并编写评审报告。</w:t>
      </w:r>
    </w:p>
    <w:p w14:paraId="30950C9E">
      <w:pPr>
        <w:pStyle w:val="27"/>
        <w:spacing w:line="440" w:lineRule="exact"/>
        <w:ind w:firstLine="464" w:firstLineChars="22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6）公开招标的货物、服务采购项目，招标过程中提交投标文件或者经评审实质性响应招标文件要求的供应商只有两家时，采购人、采购代理机构经本级财政部门批准后可以与该两家供应商进行竞争性磋商采购。符合本款情形的，本须知第19.2条、第19.6条第（1）、（2）、（3）款的供应商最低数量可以为两家。</w:t>
      </w:r>
    </w:p>
    <w:p w14:paraId="2E319340">
      <w:pPr>
        <w:pStyle w:val="27"/>
        <w:spacing w:line="400" w:lineRule="exact"/>
        <w:ind w:firstLine="464" w:firstLineChars="22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19.7响应供应商的报价均超过了本项目最高限价，采购人不能支付的，磋商活动终止。</w:t>
      </w:r>
    </w:p>
    <w:p w14:paraId="2C624856">
      <w:pPr>
        <w:pStyle w:val="27"/>
        <w:spacing w:line="400" w:lineRule="exact"/>
        <w:ind w:firstLine="466" w:firstLineChars="221"/>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20. 评审方法</w:t>
      </w:r>
    </w:p>
    <w:p w14:paraId="2ECF3954">
      <w:pPr>
        <w:snapToGrid w:val="0"/>
        <w:spacing w:line="420" w:lineRule="exact"/>
        <w:ind w:firstLine="499" w:firstLineChars="238"/>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20.1  成立磋商小组：本采购项目的磋商小组分别由依法组成的评审专家、采购人代表等三人组成，其中专家人数不少于成员总数的三分之二。磋商与评审活动由依法组建的磋商小组负责。</w:t>
      </w:r>
    </w:p>
    <w:p w14:paraId="17487B49">
      <w:pPr>
        <w:snapToGrid w:val="0"/>
        <w:spacing w:line="420" w:lineRule="exact"/>
        <w:ind w:firstLine="499" w:firstLineChars="238"/>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20.2  评审原则：评审活动遵循公平、公正、科学和择优的原则。在评审过程中出现法律法规和磋商文件均没有明确规定的情形时，由磋商小组现场协商解决，协商不一致的，由全体磋商小组投票表决，以得票率二分之一以上专家的意见为准。</w:t>
      </w:r>
    </w:p>
    <w:p w14:paraId="73D2AE61">
      <w:pPr>
        <w:snapToGrid w:val="0"/>
        <w:spacing w:line="420" w:lineRule="exact"/>
        <w:ind w:firstLine="499" w:firstLineChars="238"/>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20.3  评审方法及评审程序：磋商小组按照磋商须知前附表和第三章“评审方法”规定的方法、程序、评审因素和标准对响应文件进行评审。在评审中，不得改变第三章“评审办法”规定的方法、评审因素和标准；第三章“评审办法”没有规定的方法、评审因素和标准，不作为评审依据。</w:t>
      </w:r>
    </w:p>
    <w:p w14:paraId="304CB7A7">
      <w:pPr>
        <w:snapToGrid w:val="0"/>
        <w:spacing w:line="420" w:lineRule="exact"/>
        <w:ind w:firstLine="499" w:firstLineChars="238"/>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20.4磋商小组可以要求供应商对响应文件中</w:t>
      </w:r>
      <w:r>
        <w:rPr>
          <w:rFonts w:hint="eastAsia" w:asciiTheme="minorEastAsia" w:hAnsiTheme="minorEastAsia" w:eastAsiaTheme="minorEastAsia"/>
          <w:b/>
          <w:color w:val="auto"/>
          <w:szCs w:val="21"/>
          <w:highlight w:val="none"/>
        </w:rPr>
        <w:t>含义不明确、同类问题表述不一致或者有明显文字和计算错误的内容</w:t>
      </w:r>
      <w:r>
        <w:rPr>
          <w:rFonts w:hint="eastAsia" w:asciiTheme="minorEastAsia" w:hAnsiTheme="minorEastAsia" w:eastAsiaTheme="minorEastAsia"/>
          <w:color w:val="auto"/>
          <w:szCs w:val="21"/>
          <w:highlight w:val="none"/>
        </w:rPr>
        <w:t>作出必要的澄清、说明或者补正。</w:t>
      </w:r>
    </w:p>
    <w:p w14:paraId="5956BB96">
      <w:pPr>
        <w:snapToGrid w:val="0"/>
        <w:spacing w:line="420" w:lineRule="exact"/>
        <w:ind w:firstLine="499" w:firstLineChars="238"/>
        <w:rPr>
          <w:rFonts w:hAnsi="宋体"/>
          <w:color w:val="auto"/>
          <w:szCs w:val="21"/>
          <w:highlight w:val="none"/>
        </w:rPr>
      </w:pPr>
      <w:r>
        <w:rPr>
          <w:rFonts w:hint="eastAsia" w:asciiTheme="minorEastAsia" w:hAnsiTheme="minorEastAsia" w:eastAsiaTheme="minorEastAsia"/>
          <w:color w:val="auto"/>
          <w:szCs w:val="21"/>
          <w:highlight w:val="none"/>
        </w:rPr>
        <w:t>供应商的澄清、说明或者更正应当以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公章。供应商为自然人的，必须由本人签字并附身份证明。</w:t>
      </w:r>
    </w:p>
    <w:p w14:paraId="7ABC22DB">
      <w:pPr>
        <w:snapToGrid w:val="0"/>
        <w:spacing w:line="400" w:lineRule="exact"/>
        <w:ind w:firstLine="411" w:firstLineChars="196"/>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20.5在评审中，供应商提交的响应文件或磋商应答文件出现下列情形之一的，磋商无效：</w:t>
      </w:r>
    </w:p>
    <w:p w14:paraId="21581C99">
      <w:pPr>
        <w:snapToGrid w:val="0"/>
        <w:spacing w:line="400" w:lineRule="exact"/>
        <w:ind w:firstLine="411" w:firstLineChars="196"/>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（1）不具备磋商文件中规定的资格要求的或未在规定时间内获取磋商文件的；</w:t>
      </w:r>
    </w:p>
    <w:p w14:paraId="4DBFD2E0">
      <w:pPr>
        <w:snapToGrid w:val="0"/>
        <w:spacing w:line="400" w:lineRule="exact"/>
        <w:ind w:firstLine="411" w:firstLineChars="196"/>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（2）首次提交的资格证明文件不全或模糊、辩认不清，不合格的；</w:t>
      </w:r>
    </w:p>
    <w:p w14:paraId="19A7947F">
      <w:pPr>
        <w:snapToGrid w:val="0"/>
        <w:spacing w:line="400" w:lineRule="exact"/>
        <w:ind w:firstLine="411" w:firstLineChars="196"/>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（3）响应文件或磋商应答文件无法定代表人（负责人）或其授权委托代理人签字，或未提供法定代表人（负责人）授权委托书；</w:t>
      </w:r>
    </w:p>
    <w:p w14:paraId="2213073C">
      <w:pPr>
        <w:snapToGrid w:val="0"/>
        <w:spacing w:line="400" w:lineRule="exact"/>
        <w:ind w:firstLine="411" w:firstLineChars="196"/>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（4）响应文件未按磋商文件要求签署、盖章的；</w:t>
      </w:r>
    </w:p>
    <w:p w14:paraId="05AB080C">
      <w:pPr>
        <w:snapToGrid w:val="0"/>
        <w:spacing w:line="400" w:lineRule="exact"/>
        <w:ind w:firstLine="411" w:firstLineChars="196"/>
        <w:rPr>
          <w:rFonts w:hAnsi="宋体" w:cs="宋体"/>
          <w:color w:val="auto"/>
          <w:szCs w:val="21"/>
          <w:highlight w:val="none"/>
        </w:rPr>
      </w:pPr>
      <w:r>
        <w:rPr>
          <w:rFonts w:hint="eastAsia" w:asciiTheme="minorEastAsia" w:hAnsiTheme="minorEastAsia" w:eastAsiaTheme="minorEastAsia"/>
          <w:color w:val="auto"/>
          <w:szCs w:val="21"/>
          <w:highlight w:val="none"/>
        </w:rPr>
        <w:t>（5）响应文件格式不符合第七章“响应文件基本格式”的要求的；</w:t>
      </w:r>
    </w:p>
    <w:p w14:paraId="0A9CA1A2">
      <w:pPr>
        <w:snapToGrid w:val="0"/>
        <w:spacing w:line="400" w:lineRule="exact"/>
        <w:ind w:firstLine="411" w:firstLineChars="196"/>
        <w:rPr>
          <w:rFonts w:hAnsi="宋体" w:cs="宋体"/>
          <w:color w:val="auto"/>
          <w:szCs w:val="21"/>
          <w:highlight w:val="none"/>
        </w:rPr>
      </w:pPr>
      <w:r>
        <w:rPr>
          <w:rFonts w:hint="eastAsia" w:hAnsi="宋体" w:cs="宋体"/>
          <w:color w:val="auto"/>
          <w:szCs w:val="21"/>
          <w:highlight w:val="none"/>
        </w:rPr>
        <w:t>（6）磋商有效期、工期、工程质量等不能满足磋商文件要求的；</w:t>
      </w:r>
    </w:p>
    <w:p w14:paraId="66C55EF1">
      <w:pPr>
        <w:snapToGrid w:val="0"/>
        <w:spacing w:line="400" w:lineRule="exact"/>
        <w:ind w:firstLine="411" w:firstLineChars="196"/>
        <w:rPr>
          <w:rFonts w:hAnsi="宋体" w:cs="宋体"/>
          <w:color w:val="auto"/>
          <w:szCs w:val="21"/>
          <w:highlight w:val="none"/>
        </w:rPr>
      </w:pPr>
      <w:r>
        <w:rPr>
          <w:rFonts w:hint="eastAsia" w:hAnsi="宋体" w:cs="宋体"/>
          <w:color w:val="auto"/>
          <w:szCs w:val="21"/>
          <w:highlight w:val="none"/>
        </w:rPr>
        <w:t>（7）未采用人民币报价或者未按照磋商文件标明的币种、计价规则报价的；</w:t>
      </w:r>
    </w:p>
    <w:p w14:paraId="51E42AA0">
      <w:pPr>
        <w:snapToGrid w:val="0"/>
        <w:spacing w:line="400" w:lineRule="exact"/>
        <w:ind w:firstLine="411" w:firstLineChars="196"/>
        <w:rPr>
          <w:rFonts w:hAnsi="宋体" w:cs="宋体"/>
          <w:color w:val="auto"/>
          <w:szCs w:val="21"/>
          <w:highlight w:val="none"/>
        </w:rPr>
      </w:pPr>
      <w:r>
        <w:rPr>
          <w:rFonts w:hint="eastAsia" w:hAnsi="宋体" w:cs="宋体"/>
          <w:color w:val="auto"/>
          <w:szCs w:val="21"/>
          <w:highlight w:val="none"/>
        </w:rPr>
        <w:t>（8）</w:t>
      </w:r>
      <w:r>
        <w:rPr>
          <w:rFonts w:hint="eastAsia"/>
          <w:color w:val="auto"/>
          <w:highlight w:val="none"/>
        </w:rPr>
        <w:t>最终报价不是唯一报价，具有选择性。</w:t>
      </w:r>
    </w:p>
    <w:p w14:paraId="11D92A85">
      <w:pPr>
        <w:snapToGrid w:val="0"/>
        <w:spacing w:line="400" w:lineRule="exact"/>
        <w:ind w:firstLine="411" w:firstLineChars="196"/>
        <w:rPr>
          <w:rFonts w:hAnsi="宋体" w:cs="宋体"/>
          <w:color w:val="auto"/>
          <w:szCs w:val="21"/>
          <w:highlight w:val="none"/>
        </w:rPr>
      </w:pPr>
      <w:r>
        <w:rPr>
          <w:rFonts w:hint="eastAsia" w:hAnsi="宋体" w:cs="宋体"/>
          <w:color w:val="auto"/>
          <w:szCs w:val="21"/>
          <w:highlight w:val="none"/>
        </w:rPr>
        <w:t>（9）最终报价超出最高限价，采购人不能支付的；</w:t>
      </w:r>
    </w:p>
    <w:p w14:paraId="1A5E18A9">
      <w:pPr>
        <w:snapToGrid w:val="0"/>
        <w:spacing w:line="400" w:lineRule="exact"/>
        <w:ind w:firstLine="411" w:firstLineChars="196"/>
        <w:rPr>
          <w:rFonts w:hAnsi="宋体" w:cs="宋体"/>
          <w:color w:val="auto"/>
          <w:szCs w:val="21"/>
          <w:highlight w:val="none"/>
        </w:rPr>
      </w:pPr>
      <w:r>
        <w:rPr>
          <w:rFonts w:hint="eastAsia" w:hAnsi="宋体" w:cs="宋体"/>
          <w:color w:val="auto"/>
          <w:szCs w:val="21"/>
          <w:highlight w:val="none"/>
        </w:rPr>
        <w:t>（10）磋商小组会认为供应商的最终报价明显低于其他通过符合性审查供应商的最终报价，有可能影响工程质量或者不能诚信履约，供应商不能证明其报价合理性的；</w:t>
      </w:r>
    </w:p>
    <w:p w14:paraId="36BEBA65">
      <w:pPr>
        <w:snapToGrid w:val="0"/>
        <w:spacing w:line="400" w:lineRule="exact"/>
        <w:ind w:firstLine="411" w:firstLineChars="196"/>
        <w:rPr>
          <w:rFonts w:hAnsi="宋体" w:cs="宋体"/>
          <w:color w:val="auto"/>
          <w:szCs w:val="21"/>
          <w:highlight w:val="none"/>
        </w:rPr>
      </w:pPr>
      <w:r>
        <w:rPr>
          <w:rFonts w:hint="eastAsia" w:hAnsi="宋体" w:cs="宋体"/>
          <w:color w:val="auto"/>
          <w:szCs w:val="21"/>
          <w:highlight w:val="none"/>
        </w:rPr>
        <w:t>（11）</w:t>
      </w:r>
      <w:r>
        <w:rPr>
          <w:rFonts w:hint="eastAsia" w:hAnsi="宋体" w:cs="宋体"/>
          <w:snapToGrid w:val="0"/>
          <w:color w:val="auto"/>
          <w:szCs w:val="21"/>
          <w:highlight w:val="none"/>
        </w:rPr>
        <w:t>供应商</w:t>
      </w:r>
      <w:r>
        <w:rPr>
          <w:rFonts w:hint="eastAsia" w:hAnsi="宋体"/>
          <w:color w:val="auto"/>
          <w:szCs w:val="21"/>
          <w:highlight w:val="none"/>
        </w:rPr>
        <w:t>代表拒绝磋商小组提出的响应文件澄清要求或者澄清的内容改变了响应文件的实质性内容的。</w:t>
      </w:r>
    </w:p>
    <w:p w14:paraId="47499AFA">
      <w:pPr>
        <w:snapToGrid w:val="0"/>
        <w:spacing w:line="400" w:lineRule="exact"/>
        <w:ind w:firstLine="411" w:firstLineChars="196"/>
        <w:rPr>
          <w:rFonts w:hAnsi="宋体" w:cs="宋体"/>
          <w:color w:val="auto"/>
          <w:szCs w:val="21"/>
          <w:highlight w:val="none"/>
        </w:rPr>
      </w:pPr>
      <w:r>
        <w:rPr>
          <w:rFonts w:hint="eastAsia" w:hAnsi="宋体" w:cs="宋体"/>
          <w:color w:val="auto"/>
          <w:szCs w:val="21"/>
          <w:highlight w:val="none"/>
        </w:rPr>
        <w:t>（12）响应文件或磋商应答文件附有采购人</w:t>
      </w:r>
      <w:r>
        <w:rPr>
          <w:rFonts w:hint="eastAsia" w:ascii="Times New Roman"/>
          <w:color w:val="auto"/>
          <w:szCs w:val="24"/>
          <w:highlight w:val="none"/>
        </w:rPr>
        <w:t>不能接受的附加条件的；</w:t>
      </w:r>
    </w:p>
    <w:p w14:paraId="2D3DB0A6">
      <w:pPr>
        <w:snapToGrid w:val="0"/>
        <w:spacing w:line="400" w:lineRule="exact"/>
        <w:ind w:firstLine="411" w:firstLineChars="196"/>
        <w:rPr>
          <w:rFonts w:hAnsi="宋体" w:cs="宋体"/>
          <w:color w:val="auto"/>
          <w:szCs w:val="21"/>
          <w:highlight w:val="none"/>
        </w:rPr>
      </w:pPr>
      <w:r>
        <w:rPr>
          <w:rFonts w:hint="eastAsia" w:hAnsi="宋体" w:cs="宋体"/>
          <w:color w:val="auto"/>
          <w:szCs w:val="21"/>
          <w:highlight w:val="none"/>
        </w:rPr>
        <w:t>（13）供应商存在如下串通行为：</w:t>
      </w:r>
    </w:p>
    <w:p w14:paraId="0FFDD8F7">
      <w:pPr>
        <w:widowControl/>
        <w:spacing w:line="396" w:lineRule="exact"/>
        <w:ind w:firstLine="965" w:firstLineChars="460"/>
        <w:jc w:val="left"/>
        <w:rPr>
          <w:rFonts w:hAnsi="宋体"/>
          <w:color w:val="auto"/>
          <w:szCs w:val="21"/>
          <w:highlight w:val="none"/>
        </w:rPr>
      </w:pPr>
      <w:r>
        <w:rPr>
          <w:rFonts w:hint="eastAsia" w:hAnsi="宋体"/>
          <w:color w:val="auto"/>
          <w:szCs w:val="21"/>
          <w:highlight w:val="none"/>
        </w:rPr>
        <w:t>A、不同供应商的响应文件由同一单位或者个人编制；或不同供应商报名的IP地址一致的。</w:t>
      </w:r>
    </w:p>
    <w:p w14:paraId="4F8C609A">
      <w:pPr>
        <w:widowControl/>
        <w:spacing w:line="396" w:lineRule="exact"/>
        <w:ind w:firstLine="965" w:firstLineChars="460"/>
        <w:jc w:val="left"/>
        <w:rPr>
          <w:rFonts w:hAnsi="宋体"/>
          <w:color w:val="auto"/>
          <w:szCs w:val="21"/>
          <w:highlight w:val="none"/>
        </w:rPr>
      </w:pPr>
      <w:r>
        <w:rPr>
          <w:rFonts w:hint="eastAsia" w:hAnsi="宋体"/>
          <w:color w:val="auto"/>
          <w:szCs w:val="21"/>
          <w:highlight w:val="none"/>
        </w:rPr>
        <w:t>B、不同供应商委托同一单位或者个人办理磋商事宜。</w:t>
      </w:r>
    </w:p>
    <w:p w14:paraId="5A66975B">
      <w:pPr>
        <w:widowControl/>
        <w:spacing w:line="396" w:lineRule="exact"/>
        <w:ind w:firstLine="965" w:firstLineChars="460"/>
        <w:jc w:val="left"/>
        <w:rPr>
          <w:rFonts w:hAnsi="宋体"/>
          <w:color w:val="auto"/>
          <w:szCs w:val="21"/>
          <w:highlight w:val="none"/>
        </w:rPr>
      </w:pPr>
      <w:r>
        <w:rPr>
          <w:rFonts w:hint="eastAsia" w:hAnsi="宋体"/>
          <w:color w:val="auto"/>
          <w:szCs w:val="21"/>
          <w:highlight w:val="none"/>
        </w:rPr>
        <w:t>C、不同供应商的投标文件载明的项目管理成员或者联系人员为同一人。</w:t>
      </w:r>
    </w:p>
    <w:p w14:paraId="0535A73B">
      <w:pPr>
        <w:widowControl/>
        <w:spacing w:line="396" w:lineRule="exact"/>
        <w:ind w:firstLine="965" w:firstLineChars="460"/>
        <w:jc w:val="left"/>
        <w:rPr>
          <w:rFonts w:hAnsi="宋体"/>
          <w:color w:val="auto"/>
          <w:szCs w:val="21"/>
          <w:highlight w:val="none"/>
        </w:rPr>
      </w:pPr>
      <w:r>
        <w:rPr>
          <w:rFonts w:hint="eastAsia" w:hAnsi="宋体"/>
          <w:color w:val="auto"/>
          <w:szCs w:val="21"/>
          <w:highlight w:val="none"/>
        </w:rPr>
        <w:t>D、不同供应商的响应文件异常一致或磋商报价呈规律性差异。</w:t>
      </w:r>
    </w:p>
    <w:p w14:paraId="1DD831D3">
      <w:pPr>
        <w:widowControl/>
        <w:spacing w:line="360" w:lineRule="exact"/>
        <w:ind w:firstLine="965" w:firstLineChars="460"/>
        <w:jc w:val="left"/>
        <w:rPr>
          <w:rFonts w:hint="eastAsia" w:hAnsi="宋体"/>
          <w:color w:val="auto"/>
          <w:szCs w:val="21"/>
          <w:highlight w:val="none"/>
        </w:rPr>
      </w:pPr>
      <w:r>
        <w:rPr>
          <w:rFonts w:hint="eastAsia" w:hAnsi="宋体"/>
          <w:color w:val="auto"/>
          <w:szCs w:val="21"/>
          <w:highlight w:val="none"/>
        </w:rPr>
        <w:t>E、不同供应商的响应文件相互混装</w:t>
      </w:r>
    </w:p>
    <w:p w14:paraId="714D2725">
      <w:pPr>
        <w:widowControl/>
        <w:spacing w:line="360" w:lineRule="exact"/>
        <w:ind w:firstLine="965" w:firstLineChars="460"/>
        <w:jc w:val="left"/>
        <w:rPr>
          <w:rFonts w:asciiTheme="minorEastAsia" w:hAnsiTheme="minorEastAsia" w:eastAsiaTheme="minorEastAsia"/>
          <w:color w:val="auto"/>
          <w:szCs w:val="21"/>
          <w:highlight w:val="none"/>
        </w:rPr>
      </w:pPr>
      <w:r>
        <w:rPr>
          <w:rFonts w:hint="eastAsia" w:hAnsi="宋体"/>
          <w:color w:val="auto"/>
          <w:szCs w:val="21"/>
          <w:highlight w:val="none"/>
          <w:lang w:val="en-US" w:eastAsia="zh-CN"/>
        </w:rPr>
        <w:t>F、</w:t>
      </w:r>
      <w:r>
        <w:rPr>
          <w:rFonts w:hint="eastAsia" w:hAnsi="宋体"/>
          <w:color w:val="auto"/>
          <w:szCs w:val="21"/>
          <w:highlight w:val="none"/>
        </w:rPr>
        <w:t>不同供应商的</w:t>
      </w:r>
      <w:r>
        <w:rPr>
          <w:rFonts w:hint="eastAsia" w:hAnsi="宋体"/>
          <w:color w:val="auto"/>
          <w:szCs w:val="21"/>
          <w:highlight w:val="none"/>
          <w:lang w:eastAsia="zh-CN"/>
        </w:rPr>
        <w:t>磋商</w:t>
      </w:r>
      <w:r>
        <w:rPr>
          <w:rFonts w:hint="eastAsia" w:hAnsi="宋体"/>
          <w:color w:val="auto"/>
          <w:szCs w:val="21"/>
          <w:highlight w:val="none"/>
        </w:rPr>
        <w:t>保证金从同一单位或者个人的账户转出。</w:t>
      </w:r>
    </w:p>
    <w:p w14:paraId="1483AA1E">
      <w:pPr>
        <w:snapToGrid w:val="0"/>
        <w:spacing w:line="400" w:lineRule="exact"/>
        <w:ind w:firstLine="411" w:firstLineChars="196"/>
        <w:rPr>
          <w:rFonts w:hAnsi="宋体" w:cs="宋体"/>
          <w:color w:val="auto"/>
          <w:szCs w:val="21"/>
          <w:highlight w:val="none"/>
        </w:rPr>
      </w:pPr>
      <w:r>
        <w:rPr>
          <w:rFonts w:hint="eastAsia" w:hAnsi="宋体" w:cs="宋体"/>
          <w:color w:val="auto"/>
          <w:szCs w:val="21"/>
          <w:highlight w:val="none"/>
        </w:rPr>
        <w:t>（14）法律、法规和磋商文件规定的其他无效情形。</w:t>
      </w:r>
    </w:p>
    <w:p w14:paraId="0B8B9E3A">
      <w:pPr>
        <w:pStyle w:val="21"/>
        <w:snapToGrid w:val="0"/>
        <w:spacing w:line="420" w:lineRule="exact"/>
        <w:ind w:firstLine="443" w:firstLineChars="210"/>
        <w:rPr>
          <w:rFonts w:asciiTheme="minorEastAsia" w:hAnsiTheme="minorEastAsia" w:eastAsiaTheme="minorEastAsia"/>
          <w:b/>
          <w:color w:val="auto"/>
          <w:sz w:val="21"/>
          <w:szCs w:val="21"/>
          <w:highlight w:val="none"/>
        </w:rPr>
      </w:pPr>
      <w:r>
        <w:rPr>
          <w:rFonts w:hint="eastAsia" w:asciiTheme="minorEastAsia" w:hAnsiTheme="minorEastAsia" w:eastAsiaTheme="minorEastAsia"/>
          <w:b/>
          <w:color w:val="auto"/>
          <w:sz w:val="21"/>
          <w:szCs w:val="21"/>
          <w:highlight w:val="none"/>
        </w:rPr>
        <w:t>20.6在磋商采购中，出现下列情形之一的，采购项目予以废标：</w:t>
      </w:r>
    </w:p>
    <w:p w14:paraId="125F4153">
      <w:pPr>
        <w:snapToGrid w:val="0"/>
        <w:spacing w:line="400" w:lineRule="exact"/>
        <w:ind w:firstLine="411" w:firstLineChars="196"/>
        <w:rPr>
          <w:rFonts w:hint="eastAsia" w:hAnsi="宋体" w:cs="宋体"/>
          <w:color w:val="auto"/>
          <w:szCs w:val="21"/>
          <w:highlight w:val="none"/>
        </w:rPr>
      </w:pPr>
      <w:r>
        <w:rPr>
          <w:rFonts w:hint="eastAsia" w:hAnsi="宋体" w:cs="宋体"/>
          <w:color w:val="auto"/>
          <w:szCs w:val="21"/>
          <w:highlight w:val="none"/>
        </w:rPr>
        <w:t>（1）因情况变化，不再符合规定的竞争性磋商采购方式适用情形的。</w:t>
      </w:r>
    </w:p>
    <w:p w14:paraId="206E8266">
      <w:pPr>
        <w:snapToGrid w:val="0"/>
        <w:spacing w:line="400" w:lineRule="exact"/>
        <w:ind w:firstLine="411" w:firstLineChars="196"/>
        <w:rPr>
          <w:rFonts w:hint="eastAsia" w:hAnsi="宋体" w:cs="宋体"/>
          <w:color w:val="auto"/>
          <w:szCs w:val="21"/>
          <w:highlight w:val="none"/>
        </w:rPr>
      </w:pPr>
      <w:r>
        <w:rPr>
          <w:rFonts w:hint="eastAsia" w:hAnsi="宋体" w:cs="宋体"/>
          <w:color w:val="auto"/>
          <w:szCs w:val="21"/>
          <w:highlight w:val="none"/>
        </w:rPr>
        <w:t>（2）出现影响采购公正的违法、违规行为的。</w:t>
      </w:r>
    </w:p>
    <w:p w14:paraId="1BD46CAB">
      <w:pPr>
        <w:snapToGrid w:val="0"/>
        <w:spacing w:line="400" w:lineRule="exact"/>
        <w:ind w:firstLine="411" w:firstLineChars="196"/>
        <w:rPr>
          <w:rFonts w:asciiTheme="minorEastAsia" w:hAnsiTheme="minorEastAsia" w:eastAsiaTheme="minorEastAsia"/>
          <w:color w:val="auto"/>
          <w:sz w:val="21"/>
          <w:szCs w:val="21"/>
          <w:highlight w:val="none"/>
        </w:rPr>
      </w:pPr>
      <w:r>
        <w:rPr>
          <w:rFonts w:hint="eastAsia" w:hAnsi="宋体" w:cs="宋体"/>
          <w:color w:val="auto"/>
          <w:szCs w:val="21"/>
          <w:highlight w:val="none"/>
        </w:rPr>
        <w:t>（3）在采购过程中符合竞争</w:t>
      </w:r>
      <w:r>
        <w:rPr>
          <w:rFonts w:hint="eastAsia" w:asciiTheme="minorEastAsia" w:hAnsiTheme="minorEastAsia" w:eastAsiaTheme="minorEastAsia"/>
          <w:color w:val="auto"/>
          <w:sz w:val="21"/>
          <w:szCs w:val="21"/>
          <w:highlight w:val="none"/>
        </w:rPr>
        <w:t>要求的供应商或者报价未超过本项目最高限价的供应商不足3家的，但本须知第19.6（6）款规定的情形除外。</w:t>
      </w:r>
    </w:p>
    <w:p w14:paraId="4C647371">
      <w:pPr>
        <w:widowControl/>
        <w:spacing w:line="360" w:lineRule="exact"/>
        <w:ind w:firstLine="378" w:firstLineChars="180"/>
        <w:jc w:val="lef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（4）因重大变故，采购任务取消的。</w:t>
      </w:r>
    </w:p>
    <w:bookmarkEnd w:id="14"/>
    <w:bookmarkEnd w:id="15"/>
    <w:p w14:paraId="5993F72F">
      <w:pPr>
        <w:spacing w:line="400" w:lineRule="exact"/>
        <w:ind w:firstLine="422" w:firstLineChars="200"/>
        <w:outlineLvl w:val="2"/>
        <w:rPr>
          <w:rFonts w:asciiTheme="minorEastAsia" w:hAnsiTheme="minorEastAsia" w:eastAsiaTheme="minorEastAsia"/>
          <w:b/>
          <w:color w:val="auto"/>
          <w:szCs w:val="21"/>
          <w:highlight w:val="none"/>
        </w:rPr>
      </w:pPr>
      <w:bookmarkStart w:id="16" w:name="_Toc6797"/>
      <w:bookmarkStart w:id="17" w:name="_Toc254970674"/>
      <w:bookmarkStart w:id="18" w:name="_Toc254970533"/>
      <w:r>
        <w:rPr>
          <w:rFonts w:hint="eastAsia" w:asciiTheme="minorEastAsia" w:hAnsiTheme="minorEastAsia" w:eastAsiaTheme="minorEastAsia"/>
          <w:b/>
          <w:bCs/>
          <w:color w:val="auto"/>
          <w:szCs w:val="21"/>
          <w:highlight w:val="none"/>
        </w:rPr>
        <w:t>七、</w:t>
      </w:r>
      <w:r>
        <w:rPr>
          <w:rFonts w:hint="eastAsia" w:asciiTheme="minorEastAsia" w:hAnsiTheme="minorEastAsia" w:eastAsiaTheme="minorEastAsia"/>
          <w:b/>
          <w:color w:val="auto"/>
          <w:szCs w:val="21"/>
          <w:highlight w:val="none"/>
        </w:rPr>
        <w:t>确定成交供应商办法</w:t>
      </w:r>
      <w:bookmarkEnd w:id="16"/>
    </w:p>
    <w:p w14:paraId="135DF0EB">
      <w:pPr>
        <w:widowControl/>
        <w:tabs>
          <w:tab w:val="left" w:pos="540"/>
        </w:tabs>
        <w:spacing w:line="400" w:lineRule="exact"/>
        <w:ind w:firstLine="420" w:firstLineChars="200"/>
        <w:jc w:val="left"/>
        <w:rPr>
          <w:rFonts w:hAnsi="宋体"/>
          <w:color w:val="auto"/>
          <w:szCs w:val="21"/>
          <w:highlight w:val="none"/>
        </w:rPr>
      </w:pPr>
      <w:r>
        <w:rPr>
          <w:rFonts w:hint="eastAsia" w:hAnsi="宋体"/>
          <w:color w:val="auto"/>
          <w:szCs w:val="21"/>
          <w:highlight w:val="none"/>
        </w:rPr>
        <w:t>21.经磋商确定最终采购需求和提交最后报价的供应商后，由磋商小组采用综合评分法对提交最后报价的供应商的响应文件和最后报价进行综合评分。综合评分，是指响应文件满足磋商文件全部实质性要求且按评审因素的量化指标评审得分最高的供应商为成交候选供应商的评审方法（见第三章评审方法）。</w:t>
      </w:r>
    </w:p>
    <w:p w14:paraId="7D0AD27E">
      <w:pPr>
        <w:widowControl/>
        <w:tabs>
          <w:tab w:val="left" w:pos="540"/>
        </w:tabs>
        <w:spacing w:line="400" w:lineRule="exact"/>
        <w:ind w:firstLine="420" w:firstLineChars="200"/>
        <w:jc w:val="left"/>
        <w:rPr>
          <w:rFonts w:hAnsi="宋体"/>
          <w:color w:val="auto"/>
          <w:szCs w:val="21"/>
          <w:highlight w:val="none"/>
        </w:rPr>
      </w:pPr>
      <w:r>
        <w:rPr>
          <w:rFonts w:hint="eastAsia" w:hAnsi="宋体"/>
          <w:color w:val="auto"/>
          <w:szCs w:val="21"/>
          <w:highlight w:val="none"/>
        </w:rPr>
        <w:t>22.采购人在收到评审报告后5个工作日内，从评审报告提出的成交候选供应商中，按照排序由高到低的原则确定成交供应商。采购人逾期未确定成交供应商且不提出异议的，视为确定评审报告提出的排序第一的供应商为成交供应商。</w:t>
      </w:r>
    </w:p>
    <w:p w14:paraId="31F79565">
      <w:pPr>
        <w:spacing w:line="400" w:lineRule="exact"/>
        <w:ind w:firstLine="422" w:firstLineChars="200"/>
        <w:outlineLvl w:val="2"/>
        <w:rPr>
          <w:rFonts w:asciiTheme="minorEastAsia" w:hAnsiTheme="minorEastAsia" w:eastAsiaTheme="minorEastAsia"/>
          <w:b/>
          <w:bCs/>
          <w:color w:val="auto"/>
          <w:szCs w:val="21"/>
          <w:highlight w:val="none"/>
        </w:rPr>
      </w:pPr>
      <w:bookmarkStart w:id="19" w:name="_Toc12076"/>
      <w:r>
        <w:rPr>
          <w:rFonts w:hint="eastAsia" w:asciiTheme="minorEastAsia" w:hAnsiTheme="minorEastAsia" w:eastAsiaTheme="minorEastAsia"/>
          <w:b/>
          <w:color w:val="auto"/>
          <w:szCs w:val="21"/>
          <w:highlight w:val="none"/>
        </w:rPr>
        <w:t>八、</w:t>
      </w:r>
      <w:r>
        <w:rPr>
          <w:rFonts w:hint="eastAsia" w:asciiTheme="minorEastAsia" w:hAnsiTheme="minorEastAsia" w:eastAsiaTheme="minorEastAsia"/>
          <w:b/>
          <w:bCs/>
          <w:color w:val="auto"/>
          <w:szCs w:val="21"/>
          <w:highlight w:val="none"/>
        </w:rPr>
        <w:t>质疑和投诉</w:t>
      </w:r>
      <w:bookmarkEnd w:id="17"/>
      <w:bookmarkEnd w:id="18"/>
      <w:bookmarkEnd w:id="19"/>
    </w:p>
    <w:p w14:paraId="4F560615">
      <w:pPr>
        <w:spacing w:line="400" w:lineRule="exact"/>
        <w:ind w:firstLine="420" w:firstLineChars="200"/>
        <w:rPr>
          <w:rFonts w:asciiTheme="minorEastAsia" w:hAnsiTheme="minorEastAsia" w:eastAsiaTheme="minorEastAsia"/>
          <w:bCs/>
          <w:color w:val="auto"/>
          <w:szCs w:val="21"/>
          <w:highlight w:val="none"/>
        </w:rPr>
      </w:pPr>
      <w:r>
        <w:rPr>
          <w:rFonts w:hint="eastAsia" w:asciiTheme="minorEastAsia" w:hAnsiTheme="minorEastAsia" w:eastAsiaTheme="minorEastAsia"/>
          <w:bCs/>
          <w:color w:val="auto"/>
          <w:szCs w:val="21"/>
          <w:highlight w:val="none"/>
        </w:rPr>
        <w:t>23.供应商认为磋商文件、磋商过程或成交结果使自己的合法权益受到损害的，应当在知道或者应知其权益受到损害之日起七个工作日内，以书面形式向采购人、采购代理机构提出质疑。</w:t>
      </w:r>
      <w:r>
        <w:rPr>
          <w:rFonts w:hint="eastAsia" w:asciiTheme="minorEastAsia" w:hAnsiTheme="minorEastAsia" w:eastAsiaTheme="minorEastAsia"/>
          <w:color w:val="auto"/>
          <w:szCs w:val="21"/>
          <w:highlight w:val="none"/>
        </w:rPr>
        <w:t>供应商对采购单位的质疑答复不满意或者采购单位未在规定时间内作出答复的，可以在答复期满后十五个工作日内向同级采购监管部门投诉。</w:t>
      </w:r>
    </w:p>
    <w:p w14:paraId="61897418">
      <w:pPr>
        <w:spacing w:line="400" w:lineRule="exact"/>
        <w:ind w:firstLine="420" w:firstLineChars="200"/>
        <w:rPr>
          <w:rFonts w:asciiTheme="minorEastAsia" w:hAnsiTheme="minorEastAsia" w:eastAsiaTheme="minorEastAsia"/>
          <w:bCs/>
          <w:color w:val="auto"/>
          <w:szCs w:val="21"/>
          <w:highlight w:val="none"/>
        </w:rPr>
      </w:pPr>
      <w:r>
        <w:rPr>
          <w:rFonts w:hint="eastAsia" w:asciiTheme="minorEastAsia" w:hAnsiTheme="minorEastAsia" w:eastAsiaTheme="minorEastAsia"/>
          <w:bCs/>
          <w:color w:val="auto"/>
          <w:szCs w:val="21"/>
          <w:highlight w:val="none"/>
        </w:rPr>
        <w:t>24.质疑、投诉应当采用书面形式，质疑书、投诉书均应明确阐述磋商文件、采购过程或成交结果中使自己合法权益受到损害的实质性内容，提供相关事实、依据和证据及其来源或线索，便于有关单位调查、答复和处理。</w:t>
      </w:r>
    </w:p>
    <w:p w14:paraId="3C9FD956">
      <w:pPr>
        <w:spacing w:line="400" w:lineRule="exact"/>
        <w:ind w:left="420" w:leftChars="200" w:firstLine="105" w:firstLineChars="50"/>
        <w:outlineLvl w:val="2"/>
        <w:rPr>
          <w:rFonts w:asciiTheme="minorEastAsia" w:hAnsiTheme="minorEastAsia" w:eastAsiaTheme="minorEastAsia"/>
          <w:b/>
          <w:color w:val="auto"/>
          <w:szCs w:val="21"/>
          <w:highlight w:val="none"/>
        </w:rPr>
      </w:pPr>
      <w:bookmarkStart w:id="20" w:name="_Toc7004"/>
      <w:r>
        <w:rPr>
          <w:rFonts w:hint="eastAsia" w:asciiTheme="minorEastAsia" w:hAnsiTheme="minorEastAsia" w:eastAsiaTheme="minorEastAsia"/>
          <w:b/>
          <w:color w:val="auto"/>
          <w:szCs w:val="21"/>
          <w:highlight w:val="none"/>
        </w:rPr>
        <w:t>九、履约保证金</w:t>
      </w:r>
      <w:bookmarkEnd w:id="20"/>
    </w:p>
    <w:p w14:paraId="5E6CC016">
      <w:pPr>
        <w:pStyle w:val="27"/>
        <w:spacing w:line="420" w:lineRule="exact"/>
        <w:ind w:firstLine="434"/>
        <w:rPr>
          <w:rFonts w:hAnsi="宋体"/>
          <w:color w:val="auto"/>
          <w:highlight w:val="none"/>
        </w:rPr>
      </w:pPr>
      <w:r>
        <w:rPr>
          <w:rFonts w:hint="eastAsia" w:asciiTheme="minorEastAsia" w:hAnsiTheme="minorEastAsia" w:eastAsiaTheme="minorEastAsia"/>
          <w:color w:val="auto"/>
          <w:szCs w:val="21"/>
          <w:highlight w:val="none"/>
        </w:rPr>
        <w:t>25.本项目不收取履约保证金。</w:t>
      </w:r>
    </w:p>
    <w:p w14:paraId="34B56491">
      <w:pPr>
        <w:spacing w:line="400" w:lineRule="exact"/>
        <w:ind w:left="420" w:leftChars="200" w:firstLine="105" w:firstLineChars="50"/>
        <w:outlineLvl w:val="2"/>
        <w:rPr>
          <w:rFonts w:asciiTheme="minorEastAsia" w:hAnsiTheme="minorEastAsia" w:eastAsiaTheme="minorEastAsia"/>
          <w:b/>
          <w:color w:val="auto"/>
          <w:szCs w:val="21"/>
          <w:highlight w:val="none"/>
        </w:rPr>
      </w:pPr>
      <w:bookmarkStart w:id="21" w:name="_Toc27022"/>
      <w:r>
        <w:rPr>
          <w:rFonts w:hint="eastAsia" w:asciiTheme="minorEastAsia" w:hAnsiTheme="minorEastAsia" w:eastAsiaTheme="minorEastAsia"/>
          <w:b/>
          <w:color w:val="auto"/>
          <w:szCs w:val="21"/>
          <w:highlight w:val="none"/>
        </w:rPr>
        <w:t>十、签订合同</w:t>
      </w:r>
      <w:bookmarkEnd w:id="21"/>
    </w:p>
    <w:p w14:paraId="1C2C6F5D">
      <w:pPr>
        <w:pStyle w:val="27"/>
        <w:spacing w:line="420" w:lineRule="exact"/>
        <w:ind w:firstLine="420" w:firstLineChars="2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26.成交供应商接到成交通知书后，应自成交通知书发出之日起25天内与采购人签订合同。</w:t>
      </w:r>
    </w:p>
    <w:p w14:paraId="6CB94A29">
      <w:pPr>
        <w:pStyle w:val="27"/>
        <w:spacing w:line="420" w:lineRule="exact"/>
        <w:ind w:firstLine="403" w:firstLineChars="192"/>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27.如成交供应商不按成交通知书的规定签订合同，则按成交供应商违约处理。</w:t>
      </w:r>
    </w:p>
    <w:p w14:paraId="58F56C97">
      <w:pPr>
        <w:pStyle w:val="27"/>
        <w:spacing w:line="420" w:lineRule="exact"/>
        <w:ind w:firstLine="420" w:firstLineChars="2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28.成交供应商因不可抗力或者拒绝签订政府采购合同的，采购人可以与成交供应商之后排名第一的成交候选供应商签订采购合同，以此类推。采购人也可以重新开展政府采购活动。拒绝签订政府采购合同的成交供应商不得参加对该项目重新开展的采购活动。</w:t>
      </w:r>
    </w:p>
    <w:p w14:paraId="7E52AEB0">
      <w:pPr>
        <w:pStyle w:val="27"/>
        <w:spacing w:line="420" w:lineRule="exact"/>
        <w:ind w:firstLine="420" w:firstLineChars="2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29.政府采购合同公告</w:t>
      </w:r>
    </w:p>
    <w:p w14:paraId="5B01D420">
      <w:pPr>
        <w:pStyle w:val="27"/>
        <w:spacing w:line="420" w:lineRule="exact"/>
        <w:ind w:firstLine="420" w:firstLineChars="2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290935EF">
      <w:pPr>
        <w:spacing w:line="400" w:lineRule="exact"/>
        <w:ind w:left="420" w:leftChars="200" w:firstLine="105" w:firstLineChars="50"/>
        <w:outlineLvl w:val="2"/>
        <w:rPr>
          <w:rFonts w:asciiTheme="minorEastAsia" w:hAnsiTheme="minorEastAsia" w:eastAsiaTheme="minorEastAsia"/>
          <w:b/>
          <w:color w:val="auto"/>
          <w:szCs w:val="21"/>
          <w:highlight w:val="none"/>
        </w:rPr>
      </w:pPr>
      <w:bookmarkStart w:id="22" w:name="_Toc21475"/>
      <w:r>
        <w:rPr>
          <w:rFonts w:hint="eastAsia" w:asciiTheme="minorEastAsia" w:hAnsiTheme="minorEastAsia" w:eastAsiaTheme="minorEastAsia"/>
          <w:b/>
          <w:color w:val="auto"/>
          <w:szCs w:val="21"/>
          <w:highlight w:val="none"/>
        </w:rPr>
        <w:t>十一、其他事项</w:t>
      </w:r>
      <w:bookmarkEnd w:id="22"/>
    </w:p>
    <w:p w14:paraId="0651FA88">
      <w:pPr>
        <w:pStyle w:val="27"/>
        <w:spacing w:line="420" w:lineRule="exact"/>
        <w:ind w:firstLine="411" w:firstLineChars="196"/>
        <w:rPr>
          <w:rFonts w:asciiTheme="minorEastAsia" w:hAnsiTheme="minorEastAsia" w:eastAsiaTheme="minorEastAsia"/>
          <w:b/>
          <w:color w:val="auto"/>
          <w:szCs w:val="21"/>
          <w:highlight w:val="none"/>
        </w:rPr>
      </w:pPr>
      <w:r>
        <w:rPr>
          <w:rFonts w:hint="eastAsia" w:asciiTheme="minorEastAsia" w:hAnsiTheme="minorEastAsia" w:eastAsiaTheme="minorEastAsia"/>
          <w:color w:val="auto"/>
          <w:szCs w:val="21"/>
          <w:highlight w:val="none"/>
        </w:rPr>
        <w:t>30.</w:t>
      </w:r>
      <w:r>
        <w:rPr>
          <w:rFonts w:hint="eastAsia" w:asciiTheme="minorEastAsia" w:hAnsiTheme="minorEastAsia" w:eastAsiaTheme="minorEastAsia"/>
          <w:b/>
          <w:color w:val="auto"/>
          <w:szCs w:val="21"/>
          <w:highlight w:val="none"/>
        </w:rPr>
        <w:t xml:space="preserve"> 代理服务费</w:t>
      </w:r>
    </w:p>
    <w:p w14:paraId="595675FE">
      <w:pPr>
        <w:pStyle w:val="27"/>
        <w:spacing w:line="420" w:lineRule="exact"/>
        <w:ind w:firstLine="420" w:firstLineChars="2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30.1代理服务费参照原国家发展计划委员会计价格〔2002〕1980号《招标代理服务费管理暂行办法》及国家发改委发改价格〔2011〕534号文收费标准，收费标准以成交金额为计算基数，按“工程招标”费率计算。签订合同前，成交人应向采购代理机构一次付清代理服务费。</w:t>
      </w:r>
    </w:p>
    <w:p w14:paraId="34070A0B">
      <w:pPr>
        <w:pStyle w:val="27"/>
        <w:spacing w:line="420" w:lineRule="exact"/>
        <w:ind w:firstLine="420" w:firstLineChars="2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30.2代理服务收费标准(按工程招标类)：</w:t>
      </w:r>
    </w:p>
    <w:tbl>
      <w:tblPr>
        <w:tblStyle w:val="57"/>
        <w:tblW w:w="0" w:type="auto"/>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92"/>
        <w:gridCol w:w="2011"/>
        <w:gridCol w:w="1701"/>
        <w:gridCol w:w="1721"/>
      </w:tblGrid>
      <w:tr w14:paraId="461A7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trPr>
        <w:tc>
          <w:tcPr>
            <w:tcW w:w="3092" w:type="dxa"/>
          </w:tcPr>
          <w:p w14:paraId="2E2C65A8">
            <w:pPr>
              <w:spacing w:line="420" w:lineRule="exact"/>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mc:AlternateContent>
                <mc:Choice Requires="wps">
                  <w:drawing>
                    <wp:anchor distT="0" distB="0" distL="114300" distR="114300" simplePos="0" relativeHeight="251660288" behindDoc="0" locked="0" layoutInCell="1" allowOverlap="1">
                      <wp:simplePos x="0" y="0"/>
                      <wp:positionH relativeFrom="column">
                        <wp:posOffset>-68580</wp:posOffset>
                      </wp:positionH>
                      <wp:positionV relativeFrom="paragraph">
                        <wp:posOffset>-6350</wp:posOffset>
                      </wp:positionV>
                      <wp:extent cx="1951990" cy="592455"/>
                      <wp:effectExtent l="1270" t="4445" r="8890" b="12700"/>
                      <wp:wrapNone/>
                      <wp:docPr id="1" name="Line 17071"/>
                      <wp:cNvGraphicFramePr/>
                      <a:graphic xmlns:a="http://schemas.openxmlformats.org/drawingml/2006/main">
                        <a:graphicData uri="http://schemas.microsoft.com/office/word/2010/wordprocessingShape">
                          <wps:wsp>
                            <wps:cNvCnPr/>
                            <wps:spPr>
                              <a:xfrm>
                                <a:off x="0" y="0"/>
                                <a:ext cx="1951990" cy="59245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Line 17071" o:spid="_x0000_s1026" o:spt="20" style="position:absolute;left:0pt;margin-left:-5.4pt;margin-top:-0.5pt;height:46.65pt;width:153.7pt;z-index:251660288;mso-width-relative:page;mso-height-relative:page;" filled="f" stroked="t" coordsize="21600,21600" o:gfxdata="UEsDBAoAAAAAAIdO4kAAAAAAAAAAAAAAAAAEAAAAZHJzL1BLAwQUAAAACACHTuJAIfth/9cAAAAJ&#10;AQAADwAAAGRycy9kb3ducmV2LnhtbE2PzU7DMBCE70h9B2uRuFStnVSKaBqnh0JuXCggrtt4m0TE&#10;6zR2f58ewwVuO9rRzDfF+mJ7caLRd441JHMFgrh2puNGw/tbNXsE4QOywd4xabiSh3U5uSswN+7M&#10;r3TahkbEEPY5amhDGHIpfd2SRT93A3H87d1oMUQ5NtKMeI7htpepUpm02HFsaHGgTUv11/ZoNfjq&#10;gw7VbVpP1eeicZQenl6eUeuH+0StQAS6hD8z/OBHdCgj084d2XjRa5glKqKH3wNENKTLLAOx07BM&#10;FyDLQv5fUH4DUEsDBBQAAAAIAIdO4kBU9VBx2QEAANYDAAAOAAAAZHJzL2Uyb0RvYy54bWytU01v&#10;2zAMvQ/YfxB0XxwH87oYcXpo1l2KLcC6H6BItC1AXxDVOPn3o+Qs3bpLDvNBpkTyke+J2tyfrGFH&#10;iKi963i9WHIGTnql3dDxn8+PHz5zhkk4JYx30PEzIL/fvn+3mUILKz96oyAyAnHYTqHjY0qhrSqU&#10;I1iBCx/AkbP30YpE2zhUKoqJ0K2pVsvlp2ryUYXoJSDS6W528gtivAXQ972WsPPyxYJLM2oEIxJR&#10;wlEH5NvSbd+DTN/7HiEx03FimspKRcg+5LXabkQ7RBFGLS8tiFtaeMPJCu2o6BVqJ5JgL1H/A2W1&#10;jB59nxbS22omUhQhFvXyjTY/RhGgcCGpMVxFx/8HK78d95FpRZPAmROWLvxJO2D13fKuzupMAVsK&#10;enD7eNlh2MdM9dRHm/9Egp2KoueronBKTNJhvW7q9ZrEluRr1quPTZNBq9fsEDF9BW9ZNjpuqHgR&#10;UhyfMM2hv0NyMePY1PF1s2oIU9D49XTtZNpAFNANJRe90epRG5MzMA6HBxPZUeQRKN+lhb/CcpGd&#10;wHGOK64cJtoRhPriFEvnQOI4ehM8t2BBcWaAnlC2SmQS2twSSeyNIxGytLOY2Tp4dS4al3O67iLT&#10;ZTTzPP25L9mvz3H7C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CH7Yf/XAAAACQEAAA8AAAAAAAAA&#10;AQAgAAAAIgAAAGRycy9kb3ducmV2LnhtbFBLAQIUABQAAAAIAIdO4kBU9VBx2QEAANYDAAAOAAAA&#10;AAAAAAEAIAAAACYBAABkcnMvZTJvRG9jLnhtbFBLBQYAAAAABgAGAFkBAABxBQAAAAA=&#10;">
                      <v:fill on="f" focussize="0,0"/>
                      <v:stroke color="#000000" joinstyle="round"/>
                      <v:imagedata o:title=""/>
                      <o:lock v:ext="edit" aspectratio="f"/>
                    </v:line>
                  </w:pict>
                </mc:Fallback>
              </mc:AlternateContent>
            </w:r>
            <w:r>
              <w:rPr>
                <w:rFonts w:hint="eastAsia" w:asciiTheme="minorEastAsia" w:hAnsiTheme="minorEastAsia" w:eastAsiaTheme="minorEastAsia"/>
                <w:color w:val="auto"/>
                <w:szCs w:val="21"/>
                <w:highlight w:val="none"/>
              </w:rPr>
              <w:t xml:space="preserve">          费率</w:t>
            </w:r>
          </w:p>
          <w:p w14:paraId="4E26D3E8">
            <w:pPr>
              <w:spacing w:line="420" w:lineRule="exac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中标金额</w:t>
            </w:r>
          </w:p>
        </w:tc>
        <w:tc>
          <w:tcPr>
            <w:tcW w:w="2011" w:type="dxa"/>
            <w:vAlign w:val="center"/>
          </w:tcPr>
          <w:p w14:paraId="4FAE8D48">
            <w:pPr>
              <w:spacing w:line="420" w:lineRule="exact"/>
              <w:ind w:firstLine="105" w:firstLineChars="50"/>
              <w:jc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货物招标</w:t>
            </w:r>
          </w:p>
        </w:tc>
        <w:tc>
          <w:tcPr>
            <w:tcW w:w="1701" w:type="dxa"/>
            <w:vAlign w:val="center"/>
          </w:tcPr>
          <w:p w14:paraId="6DAD5AC3">
            <w:pPr>
              <w:spacing w:line="420" w:lineRule="exact"/>
              <w:jc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服务招标</w:t>
            </w:r>
          </w:p>
        </w:tc>
        <w:tc>
          <w:tcPr>
            <w:tcW w:w="1721" w:type="dxa"/>
            <w:vAlign w:val="center"/>
          </w:tcPr>
          <w:p w14:paraId="7B16021C">
            <w:pPr>
              <w:spacing w:line="420" w:lineRule="exact"/>
              <w:jc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工程招标</w:t>
            </w:r>
          </w:p>
        </w:tc>
      </w:tr>
      <w:tr w14:paraId="4E665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3092" w:type="dxa"/>
          </w:tcPr>
          <w:p w14:paraId="4349B7B0">
            <w:pPr>
              <w:spacing w:line="420" w:lineRule="exac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100万元以下</w:t>
            </w:r>
          </w:p>
        </w:tc>
        <w:tc>
          <w:tcPr>
            <w:tcW w:w="2011" w:type="dxa"/>
          </w:tcPr>
          <w:p w14:paraId="1C9BB600">
            <w:pPr>
              <w:spacing w:line="420" w:lineRule="exact"/>
              <w:rPr>
                <w:rFonts w:asciiTheme="minorEastAsia" w:hAnsiTheme="minorEastAsia" w:eastAsiaTheme="minorEastAsia"/>
                <w:color w:val="auto"/>
                <w:szCs w:val="21"/>
                <w:highlight w:val="none"/>
              </w:rPr>
            </w:pPr>
            <w:r>
              <w:rPr>
                <w:rFonts w:hint="eastAsia" w:cs="宋体" w:asciiTheme="minorEastAsia" w:hAnsiTheme="minorEastAsia" w:eastAsiaTheme="minorEastAsia"/>
                <w:color w:val="auto"/>
                <w:kern w:val="0"/>
                <w:szCs w:val="21"/>
                <w:highlight w:val="none"/>
              </w:rPr>
              <w:t xml:space="preserve">  1.5%                </w:t>
            </w:r>
          </w:p>
        </w:tc>
        <w:tc>
          <w:tcPr>
            <w:tcW w:w="1701" w:type="dxa"/>
          </w:tcPr>
          <w:p w14:paraId="2597B46D">
            <w:pPr>
              <w:spacing w:line="420" w:lineRule="exact"/>
              <w:ind w:firstLine="210" w:firstLineChars="100"/>
              <w:rPr>
                <w:rFonts w:asciiTheme="minorEastAsia" w:hAnsiTheme="minorEastAsia" w:eastAsiaTheme="minorEastAsia"/>
                <w:color w:val="auto"/>
                <w:szCs w:val="21"/>
                <w:highlight w:val="none"/>
              </w:rPr>
            </w:pPr>
            <w:r>
              <w:rPr>
                <w:rFonts w:hint="eastAsia" w:cs="宋体" w:asciiTheme="minorEastAsia" w:hAnsiTheme="minorEastAsia" w:eastAsiaTheme="minorEastAsia"/>
                <w:color w:val="auto"/>
                <w:kern w:val="0"/>
                <w:szCs w:val="21"/>
                <w:highlight w:val="none"/>
              </w:rPr>
              <w:t>1.5%</w:t>
            </w:r>
          </w:p>
        </w:tc>
        <w:tc>
          <w:tcPr>
            <w:tcW w:w="1721" w:type="dxa"/>
          </w:tcPr>
          <w:p w14:paraId="219E3BEA">
            <w:pPr>
              <w:spacing w:line="420" w:lineRule="exact"/>
              <w:ind w:firstLine="210" w:firstLineChars="100"/>
              <w:rPr>
                <w:rFonts w:asciiTheme="minorEastAsia" w:hAnsiTheme="minorEastAsia" w:eastAsiaTheme="minorEastAsia"/>
                <w:color w:val="auto"/>
                <w:szCs w:val="21"/>
                <w:highlight w:val="none"/>
              </w:rPr>
            </w:pPr>
            <w:r>
              <w:rPr>
                <w:rFonts w:hint="eastAsia" w:cs="宋体" w:asciiTheme="minorEastAsia" w:hAnsiTheme="minorEastAsia" w:eastAsiaTheme="minorEastAsia"/>
                <w:color w:val="auto"/>
                <w:kern w:val="0"/>
                <w:szCs w:val="21"/>
                <w:highlight w:val="none"/>
              </w:rPr>
              <w:t xml:space="preserve">1.0% </w:t>
            </w:r>
          </w:p>
        </w:tc>
      </w:tr>
      <w:tr w14:paraId="226AA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3092" w:type="dxa"/>
          </w:tcPr>
          <w:p w14:paraId="30E316C0">
            <w:pPr>
              <w:spacing w:line="420" w:lineRule="exac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100～500万元</w:t>
            </w:r>
          </w:p>
        </w:tc>
        <w:tc>
          <w:tcPr>
            <w:tcW w:w="2011" w:type="dxa"/>
          </w:tcPr>
          <w:p w14:paraId="5F817E99">
            <w:pPr>
              <w:spacing w:line="420" w:lineRule="exact"/>
              <w:ind w:firstLine="210" w:firstLineChars="100"/>
              <w:rPr>
                <w:rFonts w:asciiTheme="minorEastAsia" w:hAnsiTheme="minorEastAsia" w:eastAsiaTheme="minorEastAsia"/>
                <w:color w:val="auto"/>
                <w:szCs w:val="21"/>
                <w:highlight w:val="none"/>
              </w:rPr>
            </w:pPr>
            <w:r>
              <w:rPr>
                <w:rFonts w:hint="eastAsia" w:cs="宋体" w:asciiTheme="minorEastAsia" w:hAnsiTheme="minorEastAsia" w:eastAsiaTheme="minorEastAsia"/>
                <w:color w:val="auto"/>
                <w:kern w:val="0"/>
                <w:szCs w:val="21"/>
                <w:highlight w:val="none"/>
              </w:rPr>
              <w:t xml:space="preserve">1.1%                 </w:t>
            </w:r>
          </w:p>
        </w:tc>
        <w:tc>
          <w:tcPr>
            <w:tcW w:w="1701" w:type="dxa"/>
          </w:tcPr>
          <w:p w14:paraId="72DC8E69">
            <w:pPr>
              <w:spacing w:line="420" w:lineRule="exact"/>
              <w:ind w:firstLine="210" w:firstLineChars="100"/>
              <w:rPr>
                <w:rFonts w:asciiTheme="minorEastAsia" w:hAnsiTheme="minorEastAsia" w:eastAsiaTheme="minorEastAsia"/>
                <w:color w:val="auto"/>
                <w:szCs w:val="21"/>
                <w:highlight w:val="none"/>
              </w:rPr>
            </w:pPr>
            <w:r>
              <w:rPr>
                <w:rFonts w:hint="eastAsia" w:cs="宋体" w:asciiTheme="minorEastAsia" w:hAnsiTheme="minorEastAsia" w:eastAsiaTheme="minorEastAsia"/>
                <w:color w:val="auto"/>
                <w:kern w:val="0"/>
                <w:szCs w:val="21"/>
                <w:highlight w:val="none"/>
              </w:rPr>
              <w:t>0.8%</w:t>
            </w:r>
          </w:p>
        </w:tc>
        <w:tc>
          <w:tcPr>
            <w:tcW w:w="1721" w:type="dxa"/>
          </w:tcPr>
          <w:p w14:paraId="5B473CE8">
            <w:pPr>
              <w:spacing w:line="420" w:lineRule="exact"/>
              <w:ind w:firstLine="210" w:firstLineChars="100"/>
              <w:rPr>
                <w:rFonts w:asciiTheme="minorEastAsia" w:hAnsiTheme="minorEastAsia" w:eastAsiaTheme="minorEastAsia"/>
                <w:color w:val="auto"/>
                <w:szCs w:val="21"/>
                <w:highlight w:val="none"/>
              </w:rPr>
            </w:pPr>
            <w:r>
              <w:rPr>
                <w:rFonts w:hint="eastAsia" w:cs="宋体" w:asciiTheme="minorEastAsia" w:hAnsiTheme="minorEastAsia" w:eastAsiaTheme="minorEastAsia"/>
                <w:color w:val="auto"/>
                <w:kern w:val="0"/>
                <w:szCs w:val="21"/>
                <w:highlight w:val="none"/>
              </w:rPr>
              <w:t xml:space="preserve">0.7% </w:t>
            </w:r>
          </w:p>
        </w:tc>
      </w:tr>
      <w:tr w14:paraId="69FF1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3092" w:type="dxa"/>
          </w:tcPr>
          <w:p w14:paraId="0DD50782">
            <w:pPr>
              <w:spacing w:line="420" w:lineRule="exac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500～1000万元</w:t>
            </w:r>
          </w:p>
        </w:tc>
        <w:tc>
          <w:tcPr>
            <w:tcW w:w="2011" w:type="dxa"/>
          </w:tcPr>
          <w:p w14:paraId="5F7F909F">
            <w:pPr>
              <w:spacing w:line="420" w:lineRule="exact"/>
              <w:rPr>
                <w:rFonts w:asciiTheme="minorEastAsia" w:hAnsiTheme="minorEastAsia" w:eastAsiaTheme="minorEastAsia"/>
                <w:color w:val="auto"/>
                <w:szCs w:val="21"/>
                <w:highlight w:val="none"/>
              </w:rPr>
            </w:pPr>
            <w:r>
              <w:rPr>
                <w:rFonts w:hint="eastAsia" w:cs="宋体" w:asciiTheme="minorEastAsia" w:hAnsiTheme="minorEastAsia" w:eastAsiaTheme="minorEastAsia"/>
                <w:color w:val="auto"/>
                <w:kern w:val="0"/>
                <w:szCs w:val="21"/>
                <w:highlight w:val="none"/>
              </w:rPr>
              <w:t xml:space="preserve">  0.8%                </w:t>
            </w:r>
          </w:p>
        </w:tc>
        <w:tc>
          <w:tcPr>
            <w:tcW w:w="1701" w:type="dxa"/>
          </w:tcPr>
          <w:p w14:paraId="5CE95A23">
            <w:pPr>
              <w:spacing w:line="420" w:lineRule="exact"/>
              <w:ind w:firstLine="210" w:firstLineChars="100"/>
              <w:rPr>
                <w:rFonts w:asciiTheme="minorEastAsia" w:hAnsiTheme="minorEastAsia" w:eastAsiaTheme="minorEastAsia"/>
                <w:color w:val="auto"/>
                <w:szCs w:val="21"/>
                <w:highlight w:val="none"/>
              </w:rPr>
            </w:pPr>
            <w:r>
              <w:rPr>
                <w:rFonts w:hint="eastAsia" w:cs="宋体" w:asciiTheme="minorEastAsia" w:hAnsiTheme="minorEastAsia" w:eastAsiaTheme="minorEastAsia"/>
                <w:color w:val="auto"/>
                <w:kern w:val="0"/>
                <w:szCs w:val="21"/>
                <w:highlight w:val="none"/>
              </w:rPr>
              <w:t>0.45%</w:t>
            </w:r>
          </w:p>
        </w:tc>
        <w:tc>
          <w:tcPr>
            <w:tcW w:w="1721" w:type="dxa"/>
          </w:tcPr>
          <w:p w14:paraId="0E15F307">
            <w:pPr>
              <w:spacing w:line="420" w:lineRule="exact"/>
              <w:ind w:firstLine="210" w:firstLineChars="100"/>
              <w:rPr>
                <w:rFonts w:asciiTheme="minorEastAsia" w:hAnsiTheme="minorEastAsia" w:eastAsiaTheme="minorEastAsia"/>
                <w:color w:val="auto"/>
                <w:szCs w:val="21"/>
                <w:highlight w:val="none"/>
              </w:rPr>
            </w:pPr>
            <w:r>
              <w:rPr>
                <w:rFonts w:hint="eastAsia" w:cs="宋体" w:asciiTheme="minorEastAsia" w:hAnsiTheme="minorEastAsia" w:eastAsiaTheme="minorEastAsia"/>
                <w:color w:val="auto"/>
                <w:kern w:val="0"/>
                <w:szCs w:val="21"/>
                <w:highlight w:val="none"/>
              </w:rPr>
              <w:t>0.55%</w:t>
            </w:r>
          </w:p>
        </w:tc>
      </w:tr>
      <w:tr w14:paraId="0F054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3092" w:type="dxa"/>
          </w:tcPr>
          <w:p w14:paraId="6DCB5864">
            <w:pPr>
              <w:spacing w:line="420" w:lineRule="exac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1000～5000万元</w:t>
            </w:r>
          </w:p>
        </w:tc>
        <w:tc>
          <w:tcPr>
            <w:tcW w:w="2011" w:type="dxa"/>
          </w:tcPr>
          <w:p w14:paraId="3837D6B4">
            <w:pPr>
              <w:spacing w:line="420" w:lineRule="exact"/>
              <w:ind w:firstLine="210" w:firstLineChars="100"/>
              <w:rPr>
                <w:rFonts w:asciiTheme="minorEastAsia" w:hAnsiTheme="minorEastAsia" w:eastAsiaTheme="minorEastAsia"/>
                <w:color w:val="auto"/>
                <w:szCs w:val="21"/>
                <w:highlight w:val="none"/>
              </w:rPr>
            </w:pPr>
            <w:r>
              <w:rPr>
                <w:rFonts w:hint="eastAsia" w:cs="宋体" w:asciiTheme="minorEastAsia" w:hAnsiTheme="minorEastAsia" w:eastAsiaTheme="minorEastAsia"/>
                <w:color w:val="auto"/>
                <w:kern w:val="0"/>
                <w:szCs w:val="21"/>
                <w:highlight w:val="none"/>
              </w:rPr>
              <w:t xml:space="preserve">0.5%                </w:t>
            </w:r>
          </w:p>
        </w:tc>
        <w:tc>
          <w:tcPr>
            <w:tcW w:w="1701" w:type="dxa"/>
          </w:tcPr>
          <w:p w14:paraId="2B3A6F94">
            <w:pPr>
              <w:spacing w:line="420" w:lineRule="exact"/>
              <w:ind w:firstLine="210" w:firstLineChars="100"/>
              <w:rPr>
                <w:rFonts w:asciiTheme="minorEastAsia" w:hAnsiTheme="minorEastAsia" w:eastAsiaTheme="minorEastAsia"/>
                <w:color w:val="auto"/>
                <w:szCs w:val="21"/>
                <w:highlight w:val="none"/>
              </w:rPr>
            </w:pPr>
            <w:r>
              <w:rPr>
                <w:rFonts w:hint="eastAsia" w:cs="宋体" w:asciiTheme="minorEastAsia" w:hAnsiTheme="minorEastAsia" w:eastAsiaTheme="minorEastAsia"/>
                <w:color w:val="auto"/>
                <w:kern w:val="0"/>
                <w:szCs w:val="21"/>
                <w:highlight w:val="none"/>
              </w:rPr>
              <w:t>0.25%</w:t>
            </w:r>
          </w:p>
        </w:tc>
        <w:tc>
          <w:tcPr>
            <w:tcW w:w="1721" w:type="dxa"/>
          </w:tcPr>
          <w:p w14:paraId="391344A9">
            <w:pPr>
              <w:spacing w:line="420" w:lineRule="exact"/>
              <w:ind w:firstLine="210" w:firstLineChars="100"/>
              <w:rPr>
                <w:rFonts w:asciiTheme="minorEastAsia" w:hAnsiTheme="minorEastAsia" w:eastAsiaTheme="minorEastAsia"/>
                <w:color w:val="auto"/>
                <w:szCs w:val="21"/>
                <w:highlight w:val="none"/>
              </w:rPr>
            </w:pPr>
            <w:r>
              <w:rPr>
                <w:rFonts w:hint="eastAsia" w:cs="宋体" w:asciiTheme="minorEastAsia" w:hAnsiTheme="minorEastAsia" w:eastAsiaTheme="minorEastAsia"/>
                <w:color w:val="auto"/>
                <w:kern w:val="0"/>
                <w:szCs w:val="21"/>
                <w:highlight w:val="none"/>
              </w:rPr>
              <w:t xml:space="preserve">0.35% </w:t>
            </w:r>
          </w:p>
        </w:tc>
      </w:tr>
      <w:tr w14:paraId="07F57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3092" w:type="dxa"/>
          </w:tcPr>
          <w:p w14:paraId="2BD6F073">
            <w:pPr>
              <w:spacing w:line="420" w:lineRule="exac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5000万元～1亿元</w:t>
            </w:r>
          </w:p>
        </w:tc>
        <w:tc>
          <w:tcPr>
            <w:tcW w:w="2011" w:type="dxa"/>
          </w:tcPr>
          <w:p w14:paraId="1C1C9492">
            <w:pPr>
              <w:spacing w:line="420" w:lineRule="exact"/>
              <w:ind w:firstLine="210" w:firstLineChars="100"/>
              <w:rPr>
                <w:rFonts w:asciiTheme="minorEastAsia" w:hAnsiTheme="minorEastAsia" w:eastAsiaTheme="minorEastAsia"/>
                <w:color w:val="auto"/>
                <w:szCs w:val="21"/>
                <w:highlight w:val="none"/>
              </w:rPr>
            </w:pPr>
            <w:r>
              <w:rPr>
                <w:rFonts w:hint="eastAsia" w:cs="宋体" w:asciiTheme="minorEastAsia" w:hAnsiTheme="minorEastAsia" w:eastAsiaTheme="minorEastAsia"/>
                <w:color w:val="auto"/>
                <w:kern w:val="0"/>
                <w:szCs w:val="21"/>
                <w:highlight w:val="none"/>
              </w:rPr>
              <w:t xml:space="preserve">0.25%                 </w:t>
            </w:r>
          </w:p>
        </w:tc>
        <w:tc>
          <w:tcPr>
            <w:tcW w:w="1701" w:type="dxa"/>
          </w:tcPr>
          <w:p w14:paraId="007981B4">
            <w:pPr>
              <w:spacing w:line="420" w:lineRule="exact"/>
              <w:ind w:firstLine="210" w:firstLineChars="100"/>
              <w:rPr>
                <w:rFonts w:asciiTheme="minorEastAsia" w:hAnsiTheme="minorEastAsia" w:eastAsiaTheme="minorEastAsia"/>
                <w:color w:val="auto"/>
                <w:szCs w:val="21"/>
                <w:highlight w:val="none"/>
              </w:rPr>
            </w:pPr>
            <w:r>
              <w:rPr>
                <w:rFonts w:hint="eastAsia" w:cs="宋体" w:asciiTheme="minorEastAsia" w:hAnsiTheme="minorEastAsia" w:eastAsiaTheme="minorEastAsia"/>
                <w:color w:val="auto"/>
                <w:kern w:val="0"/>
                <w:szCs w:val="21"/>
                <w:highlight w:val="none"/>
              </w:rPr>
              <w:t>0.1%</w:t>
            </w:r>
          </w:p>
        </w:tc>
        <w:tc>
          <w:tcPr>
            <w:tcW w:w="1721" w:type="dxa"/>
          </w:tcPr>
          <w:p w14:paraId="6E9D1E74">
            <w:pPr>
              <w:spacing w:line="420" w:lineRule="exact"/>
              <w:ind w:firstLine="210" w:firstLineChars="100"/>
              <w:rPr>
                <w:rFonts w:asciiTheme="minorEastAsia" w:hAnsiTheme="minorEastAsia" w:eastAsiaTheme="minorEastAsia"/>
                <w:color w:val="auto"/>
                <w:szCs w:val="21"/>
                <w:highlight w:val="none"/>
              </w:rPr>
            </w:pPr>
            <w:r>
              <w:rPr>
                <w:rFonts w:hint="eastAsia" w:cs="宋体" w:asciiTheme="minorEastAsia" w:hAnsiTheme="minorEastAsia" w:eastAsiaTheme="minorEastAsia"/>
                <w:color w:val="auto"/>
                <w:kern w:val="0"/>
                <w:szCs w:val="21"/>
                <w:highlight w:val="none"/>
              </w:rPr>
              <w:t>0.2%</w:t>
            </w:r>
          </w:p>
        </w:tc>
      </w:tr>
      <w:tr w14:paraId="7B9C9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3092" w:type="dxa"/>
          </w:tcPr>
          <w:p w14:paraId="1FD25647">
            <w:pPr>
              <w:spacing w:line="420" w:lineRule="exac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1～5亿元</w:t>
            </w:r>
          </w:p>
        </w:tc>
        <w:tc>
          <w:tcPr>
            <w:tcW w:w="2011" w:type="dxa"/>
          </w:tcPr>
          <w:p w14:paraId="169B52CE">
            <w:pPr>
              <w:spacing w:line="420" w:lineRule="exact"/>
              <w:ind w:firstLine="210" w:firstLineChars="1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0.05%</w:t>
            </w:r>
          </w:p>
        </w:tc>
        <w:tc>
          <w:tcPr>
            <w:tcW w:w="1701" w:type="dxa"/>
          </w:tcPr>
          <w:p w14:paraId="7DCB6E47">
            <w:pPr>
              <w:spacing w:line="420" w:lineRule="exac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 xml:space="preserve">  0.05%</w:t>
            </w:r>
          </w:p>
        </w:tc>
        <w:tc>
          <w:tcPr>
            <w:tcW w:w="1721" w:type="dxa"/>
          </w:tcPr>
          <w:p w14:paraId="4D4B5FFF">
            <w:pPr>
              <w:spacing w:line="420" w:lineRule="exac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 xml:space="preserve">  0.05%</w:t>
            </w:r>
          </w:p>
        </w:tc>
      </w:tr>
      <w:tr w14:paraId="4E5D0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3092" w:type="dxa"/>
          </w:tcPr>
          <w:p w14:paraId="6058E835">
            <w:pPr>
              <w:spacing w:line="420" w:lineRule="exac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5～10亿元</w:t>
            </w:r>
          </w:p>
        </w:tc>
        <w:tc>
          <w:tcPr>
            <w:tcW w:w="2011" w:type="dxa"/>
          </w:tcPr>
          <w:p w14:paraId="358A7E91">
            <w:pPr>
              <w:spacing w:line="420" w:lineRule="exact"/>
              <w:ind w:firstLine="105" w:firstLineChars="5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0.035%</w:t>
            </w:r>
          </w:p>
        </w:tc>
        <w:tc>
          <w:tcPr>
            <w:tcW w:w="1701" w:type="dxa"/>
          </w:tcPr>
          <w:p w14:paraId="0A888B3D">
            <w:pPr>
              <w:spacing w:line="420" w:lineRule="exac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 xml:space="preserve">  0.035%</w:t>
            </w:r>
          </w:p>
        </w:tc>
        <w:tc>
          <w:tcPr>
            <w:tcW w:w="1721" w:type="dxa"/>
          </w:tcPr>
          <w:p w14:paraId="1C4B560D">
            <w:pPr>
              <w:spacing w:line="420" w:lineRule="exact"/>
              <w:ind w:firstLine="105" w:firstLineChars="5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0.035%</w:t>
            </w:r>
          </w:p>
        </w:tc>
      </w:tr>
      <w:tr w14:paraId="519CE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3092" w:type="dxa"/>
          </w:tcPr>
          <w:p w14:paraId="0961D05C">
            <w:pPr>
              <w:spacing w:line="420" w:lineRule="exac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10～50亿元</w:t>
            </w:r>
          </w:p>
        </w:tc>
        <w:tc>
          <w:tcPr>
            <w:tcW w:w="2011" w:type="dxa"/>
          </w:tcPr>
          <w:p w14:paraId="364F2013">
            <w:pPr>
              <w:spacing w:line="420" w:lineRule="exact"/>
              <w:ind w:firstLine="105" w:firstLineChars="5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0.008%</w:t>
            </w:r>
          </w:p>
        </w:tc>
        <w:tc>
          <w:tcPr>
            <w:tcW w:w="1701" w:type="dxa"/>
          </w:tcPr>
          <w:p w14:paraId="3F48F55B">
            <w:pPr>
              <w:spacing w:line="420" w:lineRule="exact"/>
              <w:ind w:firstLine="210" w:firstLineChars="1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0.008%</w:t>
            </w:r>
          </w:p>
        </w:tc>
        <w:tc>
          <w:tcPr>
            <w:tcW w:w="1721" w:type="dxa"/>
          </w:tcPr>
          <w:p w14:paraId="4D4BCA55">
            <w:pPr>
              <w:spacing w:line="420" w:lineRule="exact"/>
              <w:ind w:firstLine="105" w:firstLineChars="5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0.008%</w:t>
            </w:r>
          </w:p>
        </w:tc>
      </w:tr>
      <w:tr w14:paraId="671EB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3092" w:type="dxa"/>
          </w:tcPr>
          <w:p w14:paraId="7BA2ADEC">
            <w:pPr>
              <w:spacing w:line="420" w:lineRule="exac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50～100亿元</w:t>
            </w:r>
          </w:p>
        </w:tc>
        <w:tc>
          <w:tcPr>
            <w:tcW w:w="2011" w:type="dxa"/>
          </w:tcPr>
          <w:p w14:paraId="1BD8E0F6">
            <w:pPr>
              <w:spacing w:line="420" w:lineRule="exac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 xml:space="preserve"> 0.006%</w:t>
            </w:r>
          </w:p>
        </w:tc>
        <w:tc>
          <w:tcPr>
            <w:tcW w:w="1701" w:type="dxa"/>
          </w:tcPr>
          <w:p w14:paraId="7D419C85">
            <w:pPr>
              <w:spacing w:line="420" w:lineRule="exact"/>
              <w:ind w:firstLine="210" w:firstLineChars="1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0.006%</w:t>
            </w:r>
          </w:p>
        </w:tc>
        <w:tc>
          <w:tcPr>
            <w:tcW w:w="1721" w:type="dxa"/>
          </w:tcPr>
          <w:p w14:paraId="3A2283EF">
            <w:pPr>
              <w:spacing w:line="420" w:lineRule="exact"/>
              <w:ind w:firstLine="105" w:firstLineChars="5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0.006%</w:t>
            </w:r>
          </w:p>
        </w:tc>
      </w:tr>
      <w:tr w14:paraId="4690D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3092" w:type="dxa"/>
          </w:tcPr>
          <w:p w14:paraId="2BC6FCF8">
            <w:pPr>
              <w:spacing w:line="420" w:lineRule="exac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100亿以上</w:t>
            </w:r>
          </w:p>
        </w:tc>
        <w:tc>
          <w:tcPr>
            <w:tcW w:w="2011" w:type="dxa"/>
          </w:tcPr>
          <w:p w14:paraId="36FD8E6E">
            <w:pPr>
              <w:spacing w:line="420" w:lineRule="exac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 xml:space="preserve"> 0.004%</w:t>
            </w:r>
          </w:p>
        </w:tc>
        <w:tc>
          <w:tcPr>
            <w:tcW w:w="1701" w:type="dxa"/>
          </w:tcPr>
          <w:p w14:paraId="62595894">
            <w:pPr>
              <w:spacing w:line="420" w:lineRule="exact"/>
              <w:ind w:firstLine="210" w:firstLineChars="1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0.004%</w:t>
            </w:r>
          </w:p>
        </w:tc>
        <w:tc>
          <w:tcPr>
            <w:tcW w:w="1721" w:type="dxa"/>
          </w:tcPr>
          <w:p w14:paraId="63AE30D3">
            <w:pPr>
              <w:spacing w:line="420" w:lineRule="exact"/>
              <w:ind w:firstLine="105" w:firstLineChars="5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0.004%</w:t>
            </w:r>
          </w:p>
        </w:tc>
      </w:tr>
    </w:tbl>
    <w:p w14:paraId="4EFC4F65">
      <w:pPr>
        <w:pStyle w:val="27"/>
        <w:spacing w:line="420" w:lineRule="exact"/>
        <w:rPr>
          <w:rFonts w:asciiTheme="minorEastAsia" w:hAnsiTheme="minorEastAsia" w:eastAsiaTheme="minorEastAsia"/>
          <w:b/>
          <w:color w:val="auto"/>
          <w:szCs w:val="21"/>
          <w:highlight w:val="none"/>
        </w:rPr>
      </w:pPr>
      <w:r>
        <w:rPr>
          <w:rFonts w:hint="eastAsia" w:asciiTheme="minorEastAsia" w:hAnsiTheme="minorEastAsia" w:eastAsiaTheme="minorEastAsia"/>
          <w:color w:val="auto"/>
          <w:szCs w:val="21"/>
          <w:highlight w:val="none"/>
        </w:rPr>
        <w:t>注：招标代理服务收费按差额定率累进法计算。</w:t>
      </w:r>
    </w:p>
    <w:p w14:paraId="2764FDFA">
      <w:pPr>
        <w:widowControl/>
        <w:tabs>
          <w:tab w:val="left" w:pos="540"/>
        </w:tabs>
        <w:spacing w:line="400" w:lineRule="exact"/>
        <w:ind w:firstLine="420" w:firstLineChars="200"/>
        <w:jc w:val="lef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31.采购当事人的一切活动均适用于《中华人民共和国政府采购法》、《中华人民共和国政府采购法实施条例》及相关规定。</w:t>
      </w:r>
    </w:p>
    <w:p w14:paraId="694CA4E6">
      <w:pPr>
        <w:widowControl/>
        <w:tabs>
          <w:tab w:val="left" w:pos="540"/>
        </w:tabs>
        <w:spacing w:line="400" w:lineRule="exact"/>
        <w:ind w:firstLine="420" w:firstLineChars="200"/>
        <w:jc w:val="left"/>
        <w:rPr>
          <w:rFonts w:asciiTheme="minorEastAsia" w:hAnsiTheme="minorEastAsia" w:eastAsiaTheme="minorEastAsia"/>
          <w:color w:val="auto"/>
          <w:szCs w:val="21"/>
          <w:highlight w:val="none"/>
        </w:rPr>
      </w:pPr>
    </w:p>
    <w:bookmarkEnd w:id="3"/>
    <w:bookmarkEnd w:id="4"/>
    <w:bookmarkEnd w:id="6"/>
    <w:p w14:paraId="2923B60E">
      <w:pPr>
        <w:spacing w:line="500" w:lineRule="exact"/>
        <w:jc w:val="left"/>
        <w:rPr>
          <w:rFonts w:hAnsi="宋体"/>
          <w:b/>
          <w:color w:val="auto"/>
          <w:sz w:val="24"/>
          <w:szCs w:val="24"/>
          <w:highlight w:val="none"/>
        </w:rPr>
        <w:sectPr>
          <w:pgSz w:w="11907" w:h="16840"/>
          <w:pgMar w:top="1304" w:right="1304" w:bottom="1304" w:left="1304" w:header="964" w:footer="737" w:gutter="0"/>
          <w:cols w:space="720" w:num="1"/>
          <w:titlePg/>
          <w:docGrid w:linePitch="312" w:charSpace="0"/>
        </w:sectPr>
      </w:pPr>
      <w:bookmarkStart w:id="23" w:name="_Toc453681440"/>
      <w:bookmarkStart w:id="24" w:name="_Toc108836086"/>
      <w:bookmarkStart w:id="25" w:name="_Toc108835675"/>
    </w:p>
    <w:p w14:paraId="0F542E06">
      <w:pPr>
        <w:spacing w:line="500" w:lineRule="exact"/>
        <w:jc w:val="left"/>
        <w:outlineLvl w:val="2"/>
        <w:rPr>
          <w:rFonts w:hAnsi="宋体"/>
          <w:b/>
          <w:color w:val="auto"/>
          <w:sz w:val="24"/>
          <w:szCs w:val="24"/>
          <w:highlight w:val="none"/>
        </w:rPr>
      </w:pPr>
      <w:bookmarkStart w:id="26" w:name="_Toc11923"/>
      <w:r>
        <w:rPr>
          <w:rFonts w:hint="eastAsia" w:hAnsi="宋体"/>
          <w:b/>
          <w:color w:val="auto"/>
          <w:sz w:val="24"/>
          <w:szCs w:val="24"/>
          <w:highlight w:val="none"/>
        </w:rPr>
        <w:t>附件1</w:t>
      </w:r>
      <w:bookmarkEnd w:id="26"/>
    </w:p>
    <w:p w14:paraId="6273C779">
      <w:pPr>
        <w:widowControl/>
        <w:shd w:val="clear" w:color="auto" w:fill="FFFFFF"/>
        <w:spacing w:line="480" w:lineRule="atLeast"/>
        <w:jc w:val="center"/>
        <w:outlineLvl w:val="2"/>
        <w:rPr>
          <w:rFonts w:cs="宋体" w:asciiTheme="minorEastAsia" w:hAnsiTheme="minorEastAsia" w:eastAsiaTheme="minorEastAsia"/>
          <w:color w:val="auto"/>
          <w:kern w:val="0"/>
          <w:sz w:val="32"/>
          <w:szCs w:val="32"/>
          <w:highlight w:val="none"/>
        </w:rPr>
      </w:pPr>
      <w:bookmarkStart w:id="27" w:name="_Toc18475"/>
      <w:r>
        <w:rPr>
          <w:rFonts w:hint="eastAsia" w:cs="黑体" w:asciiTheme="minorEastAsia" w:hAnsiTheme="minorEastAsia" w:eastAsiaTheme="minorEastAsia"/>
          <w:color w:val="auto"/>
          <w:kern w:val="0"/>
          <w:sz w:val="32"/>
          <w:szCs w:val="32"/>
          <w:highlight w:val="none"/>
        </w:rPr>
        <w:t>广西壮族自治区政府采购项目合同验收书</w:t>
      </w:r>
      <w:r>
        <w:rPr>
          <w:rFonts w:hint="eastAsia" w:cs="宋体" w:asciiTheme="minorEastAsia" w:hAnsiTheme="minorEastAsia" w:eastAsiaTheme="minorEastAsia"/>
          <w:color w:val="auto"/>
          <w:kern w:val="0"/>
          <w:sz w:val="32"/>
          <w:szCs w:val="32"/>
          <w:highlight w:val="none"/>
        </w:rPr>
        <w:t>（格式）</w:t>
      </w:r>
      <w:bookmarkEnd w:id="27"/>
    </w:p>
    <w:p w14:paraId="257B5F66">
      <w:pPr>
        <w:widowControl/>
        <w:shd w:val="clear" w:color="auto" w:fill="FFFFFF"/>
        <w:spacing w:line="480" w:lineRule="atLeast"/>
        <w:jc w:val="center"/>
        <w:rPr>
          <w:rFonts w:ascii="仿宋" w:hAnsi="仿宋" w:eastAsia="仿宋" w:cs="宋体"/>
          <w:color w:val="auto"/>
          <w:kern w:val="0"/>
          <w:sz w:val="32"/>
          <w:szCs w:val="32"/>
          <w:highlight w:val="none"/>
        </w:rPr>
      </w:pPr>
    </w:p>
    <w:p w14:paraId="56E854AF">
      <w:pPr>
        <w:widowControl/>
        <w:shd w:val="clear" w:color="auto" w:fill="FFFFFF"/>
        <w:snapToGrid w:val="0"/>
        <w:spacing w:line="320" w:lineRule="atLeast"/>
        <w:ind w:firstLine="480"/>
        <w:jc w:val="left"/>
        <w:rPr>
          <w:rFonts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根据政府采购项目（</w:t>
      </w:r>
      <w:r>
        <w:rPr>
          <w:rFonts w:hint="eastAsia" w:cs="宋体" w:asciiTheme="minorEastAsia" w:hAnsiTheme="minorEastAsia" w:eastAsiaTheme="minorEastAsia"/>
          <w:color w:val="auto"/>
          <w:kern w:val="0"/>
          <w:szCs w:val="21"/>
          <w:highlight w:val="none"/>
          <w:u w:val="single"/>
        </w:rPr>
        <w:t>采购合同编号：</w:t>
      </w:r>
      <w:r>
        <w:rPr>
          <w:rFonts w:hint="eastAsia" w:cs="宋体" w:asciiTheme="minorEastAsia" w:hAnsiTheme="minorEastAsia" w:eastAsiaTheme="minorEastAsia"/>
          <w:color w:val="auto"/>
          <w:kern w:val="0"/>
          <w:szCs w:val="21"/>
          <w:highlight w:val="none"/>
          <w:u w:val="single"/>
        </w:rPr>
        <w:softHyphen/>
      </w:r>
      <w:r>
        <w:rPr>
          <w:rFonts w:hint="eastAsia" w:cs="宋体" w:asciiTheme="minorEastAsia" w:hAnsiTheme="minorEastAsia" w:eastAsiaTheme="minorEastAsia"/>
          <w:color w:val="auto"/>
          <w:kern w:val="0"/>
          <w:szCs w:val="21"/>
          <w:highlight w:val="none"/>
          <w:u w:val="single"/>
        </w:rPr>
        <w:t xml:space="preserve"> </w:t>
      </w:r>
      <w:r>
        <w:rPr>
          <w:rFonts w:hint="eastAsia" w:cs="宋体" w:asciiTheme="minorEastAsia" w:hAnsiTheme="minorEastAsia" w:eastAsiaTheme="minorEastAsia"/>
          <w:color w:val="auto"/>
          <w:kern w:val="0"/>
          <w:szCs w:val="21"/>
          <w:highlight w:val="none"/>
        </w:rPr>
        <w:t>）的约定，我单位对（</w:t>
      </w:r>
      <w:r>
        <w:rPr>
          <w:rFonts w:hint="eastAsia" w:cs="宋体" w:asciiTheme="minorEastAsia" w:hAnsiTheme="minorEastAsia" w:eastAsiaTheme="minorEastAsia"/>
          <w:color w:val="auto"/>
          <w:kern w:val="0"/>
          <w:szCs w:val="21"/>
          <w:highlight w:val="none"/>
          <w:u w:val="single"/>
        </w:rPr>
        <w:t xml:space="preserve"> 项目名称 </w:t>
      </w:r>
      <w:r>
        <w:rPr>
          <w:rFonts w:hint="eastAsia" w:cs="宋体" w:asciiTheme="minorEastAsia" w:hAnsiTheme="minorEastAsia" w:eastAsiaTheme="minorEastAsia"/>
          <w:color w:val="auto"/>
          <w:kern w:val="0"/>
          <w:szCs w:val="21"/>
          <w:highlight w:val="none"/>
        </w:rPr>
        <w:t>） 政府采购项目中标（或成交）供应商（</w:t>
      </w:r>
      <w:r>
        <w:rPr>
          <w:rFonts w:hint="eastAsia" w:cs="宋体" w:asciiTheme="minorEastAsia" w:hAnsiTheme="minorEastAsia" w:eastAsiaTheme="minorEastAsia"/>
          <w:color w:val="auto"/>
          <w:kern w:val="0"/>
          <w:szCs w:val="21"/>
          <w:highlight w:val="none"/>
          <w:u w:val="single"/>
        </w:rPr>
        <w:t xml:space="preserve"> 公司名称 </w:t>
      </w:r>
      <w:r>
        <w:rPr>
          <w:rFonts w:hint="eastAsia" w:cs="宋体" w:asciiTheme="minorEastAsia" w:hAnsiTheme="minorEastAsia" w:eastAsiaTheme="minorEastAsia"/>
          <w:color w:val="auto"/>
          <w:kern w:val="0"/>
          <w:szCs w:val="21"/>
          <w:highlight w:val="none"/>
        </w:rPr>
        <w:t>） 提供的货物（或工程、服务）进行了验收，验收情况如下：</w:t>
      </w:r>
    </w:p>
    <w:tbl>
      <w:tblPr>
        <w:tblStyle w:val="57"/>
        <w:tblW w:w="0" w:type="auto"/>
        <w:jc w:val="center"/>
        <w:tblLayout w:type="fixed"/>
        <w:tblCellMar>
          <w:top w:w="0" w:type="dxa"/>
          <w:left w:w="0" w:type="dxa"/>
          <w:bottom w:w="0" w:type="dxa"/>
          <w:right w:w="0" w:type="dxa"/>
        </w:tblCellMar>
      </w:tblPr>
      <w:tblGrid>
        <w:gridCol w:w="1331"/>
        <w:gridCol w:w="1921"/>
        <w:gridCol w:w="798"/>
        <w:gridCol w:w="102"/>
        <w:gridCol w:w="2002"/>
        <w:gridCol w:w="178"/>
        <w:gridCol w:w="685"/>
        <w:gridCol w:w="1913"/>
      </w:tblGrid>
      <w:tr w14:paraId="79D20864">
        <w:tblPrEx>
          <w:tblCellMar>
            <w:top w:w="0" w:type="dxa"/>
            <w:left w:w="0" w:type="dxa"/>
            <w:bottom w:w="0" w:type="dxa"/>
            <w:right w:w="0" w:type="dxa"/>
          </w:tblCellMar>
        </w:tblPrEx>
        <w:trPr>
          <w:trHeight w:val="497" w:hRule="atLeast"/>
          <w:jc w:val="center"/>
        </w:trPr>
        <w:tc>
          <w:tcPr>
            <w:tcW w:w="3252" w:type="dxa"/>
            <w:gridSpan w:val="2"/>
            <w:tcBorders>
              <w:top w:val="single" w:color="auto" w:sz="8" w:space="0"/>
              <w:left w:val="single" w:color="auto" w:sz="8" w:space="0"/>
              <w:bottom w:val="single" w:color="auto" w:sz="8" w:space="0"/>
              <w:right w:val="single" w:color="auto" w:sz="8" w:space="0"/>
            </w:tcBorders>
            <w:vAlign w:val="center"/>
          </w:tcPr>
          <w:p w14:paraId="52F35A30">
            <w:pPr>
              <w:widowControl/>
              <w:snapToGrid w:val="0"/>
              <w:spacing w:before="100" w:beforeAutospacing="1" w:after="100" w:afterAutospacing="1" w:line="320" w:lineRule="atLeast"/>
              <w:ind w:firstLine="5"/>
              <w:jc w:val="center"/>
              <w:rPr>
                <w:rFonts w:cs="宋体" w:asciiTheme="minorEastAsia" w:hAnsiTheme="minorEastAsia" w:eastAsiaTheme="minorEastAsia"/>
                <w:color w:val="auto"/>
                <w:kern w:val="0"/>
                <w:szCs w:val="21"/>
                <w:highlight w:val="none"/>
              </w:rPr>
            </w:pPr>
            <w:r>
              <w:rPr>
                <w:rFonts w:cs="宋体" w:asciiTheme="minorEastAsia" w:hAnsiTheme="minorEastAsia" w:eastAsiaTheme="minorEastAsia"/>
                <w:color w:val="auto"/>
                <w:kern w:val="0"/>
                <w:szCs w:val="21"/>
                <w:highlight w:val="none"/>
              </w:rPr>
              <w:t>验收方式：</w:t>
            </w:r>
          </w:p>
        </w:tc>
        <w:tc>
          <w:tcPr>
            <w:tcW w:w="5678" w:type="dxa"/>
            <w:gridSpan w:val="6"/>
            <w:tcBorders>
              <w:top w:val="single" w:color="auto" w:sz="8" w:space="0"/>
              <w:left w:val="nil"/>
              <w:bottom w:val="single" w:color="auto" w:sz="8" w:space="0"/>
              <w:right w:val="single" w:color="auto" w:sz="8" w:space="0"/>
            </w:tcBorders>
            <w:vAlign w:val="center"/>
          </w:tcPr>
          <w:p w14:paraId="6934A5E0">
            <w:pPr>
              <w:widowControl/>
              <w:snapToGrid w:val="0"/>
              <w:spacing w:before="100" w:beforeAutospacing="1" w:after="100" w:afterAutospacing="1" w:line="320" w:lineRule="atLeast"/>
              <w:ind w:firstLine="480"/>
              <w:jc w:val="center"/>
              <w:rPr>
                <w:rFonts w:cs="宋体" w:asciiTheme="minorEastAsia" w:hAnsiTheme="minorEastAsia" w:eastAsiaTheme="minorEastAsia"/>
                <w:color w:val="auto"/>
                <w:kern w:val="0"/>
                <w:szCs w:val="21"/>
                <w:highlight w:val="none"/>
              </w:rPr>
            </w:pPr>
            <w:r>
              <w:rPr>
                <w:rFonts w:cs="宋体" w:asciiTheme="minorEastAsia" w:hAnsiTheme="minorEastAsia" w:eastAsiaTheme="minorEastAsia"/>
                <w:color w:val="auto"/>
                <w:kern w:val="0"/>
                <w:szCs w:val="21"/>
                <w:highlight w:val="none"/>
              </w:rPr>
              <w:t>□自行验收 □委托验收</w:t>
            </w:r>
          </w:p>
        </w:tc>
      </w:tr>
      <w:tr w14:paraId="178DCEB1">
        <w:tblPrEx>
          <w:tblCellMar>
            <w:top w:w="0" w:type="dxa"/>
            <w:left w:w="0" w:type="dxa"/>
            <w:bottom w:w="0" w:type="dxa"/>
            <w:right w:w="0" w:type="dxa"/>
          </w:tblCellMar>
        </w:tblPrEx>
        <w:trPr>
          <w:trHeight w:val="622" w:hRule="atLeast"/>
          <w:jc w:val="center"/>
        </w:trPr>
        <w:tc>
          <w:tcPr>
            <w:tcW w:w="1331" w:type="dxa"/>
            <w:tcBorders>
              <w:top w:val="nil"/>
              <w:left w:val="single" w:color="auto" w:sz="8" w:space="0"/>
              <w:bottom w:val="single" w:color="auto" w:sz="8" w:space="0"/>
              <w:right w:val="single" w:color="auto" w:sz="8" w:space="0"/>
            </w:tcBorders>
            <w:vAlign w:val="center"/>
          </w:tcPr>
          <w:p w14:paraId="30608379">
            <w:pPr>
              <w:widowControl/>
              <w:snapToGrid w:val="0"/>
              <w:spacing w:before="100" w:beforeAutospacing="1" w:after="100" w:afterAutospacing="1" w:line="320" w:lineRule="atLeast"/>
              <w:ind w:firstLine="2"/>
              <w:jc w:val="center"/>
              <w:rPr>
                <w:rFonts w:cs="宋体" w:asciiTheme="minorEastAsia" w:hAnsiTheme="minorEastAsia" w:eastAsiaTheme="minorEastAsia"/>
                <w:color w:val="auto"/>
                <w:kern w:val="0"/>
                <w:szCs w:val="21"/>
                <w:highlight w:val="none"/>
              </w:rPr>
            </w:pPr>
            <w:r>
              <w:rPr>
                <w:rFonts w:cs="宋体" w:asciiTheme="minorEastAsia" w:hAnsiTheme="minorEastAsia" w:eastAsiaTheme="minorEastAsia"/>
                <w:color w:val="auto"/>
                <w:kern w:val="0"/>
                <w:szCs w:val="21"/>
                <w:highlight w:val="none"/>
              </w:rPr>
              <w:t>序号</w:t>
            </w:r>
          </w:p>
        </w:tc>
        <w:tc>
          <w:tcPr>
            <w:tcW w:w="1921" w:type="dxa"/>
            <w:tcBorders>
              <w:top w:val="nil"/>
              <w:left w:val="nil"/>
              <w:bottom w:val="single" w:color="auto" w:sz="8" w:space="0"/>
              <w:right w:val="single" w:color="auto" w:sz="8" w:space="0"/>
            </w:tcBorders>
            <w:vAlign w:val="center"/>
          </w:tcPr>
          <w:p w14:paraId="169C5D48">
            <w:pPr>
              <w:widowControl/>
              <w:snapToGrid w:val="0"/>
              <w:spacing w:before="100" w:beforeAutospacing="1" w:after="100" w:afterAutospacing="1" w:line="320" w:lineRule="atLeast"/>
              <w:ind w:firstLine="2"/>
              <w:jc w:val="center"/>
              <w:rPr>
                <w:rFonts w:cs="宋体" w:asciiTheme="minorEastAsia" w:hAnsiTheme="minorEastAsia" w:eastAsiaTheme="minorEastAsia"/>
                <w:color w:val="auto"/>
                <w:kern w:val="0"/>
                <w:szCs w:val="21"/>
                <w:highlight w:val="none"/>
              </w:rPr>
            </w:pPr>
            <w:r>
              <w:rPr>
                <w:rFonts w:cs="宋体" w:asciiTheme="minorEastAsia" w:hAnsiTheme="minorEastAsia" w:eastAsiaTheme="minorEastAsia"/>
                <w:color w:val="auto"/>
                <w:kern w:val="0"/>
                <w:szCs w:val="21"/>
                <w:highlight w:val="none"/>
              </w:rPr>
              <w:t>名 称</w:t>
            </w:r>
          </w:p>
        </w:tc>
        <w:tc>
          <w:tcPr>
            <w:tcW w:w="2902" w:type="dxa"/>
            <w:gridSpan w:val="3"/>
            <w:tcBorders>
              <w:top w:val="nil"/>
              <w:left w:val="nil"/>
              <w:bottom w:val="single" w:color="auto" w:sz="8" w:space="0"/>
              <w:right w:val="single" w:color="auto" w:sz="8" w:space="0"/>
            </w:tcBorders>
            <w:vAlign w:val="center"/>
          </w:tcPr>
          <w:p w14:paraId="2AA5CEFB">
            <w:pPr>
              <w:widowControl/>
              <w:snapToGrid w:val="0"/>
              <w:spacing w:before="100" w:beforeAutospacing="1" w:after="100" w:afterAutospacing="1" w:line="320" w:lineRule="atLeast"/>
              <w:ind w:firstLine="2"/>
              <w:jc w:val="center"/>
              <w:rPr>
                <w:rFonts w:cs="宋体" w:asciiTheme="minorEastAsia" w:hAnsiTheme="minorEastAsia" w:eastAsiaTheme="minorEastAsia"/>
                <w:color w:val="auto"/>
                <w:kern w:val="0"/>
                <w:szCs w:val="21"/>
                <w:highlight w:val="none"/>
              </w:rPr>
            </w:pPr>
            <w:r>
              <w:rPr>
                <w:rFonts w:cs="宋体" w:asciiTheme="minorEastAsia" w:hAnsiTheme="minorEastAsia" w:eastAsiaTheme="minorEastAsia"/>
                <w:color w:val="auto"/>
                <w:kern w:val="0"/>
                <w:szCs w:val="21"/>
                <w:highlight w:val="none"/>
              </w:rPr>
              <w:t>货物型号规格、标准及配置等（或服务内容、标准）</w:t>
            </w:r>
          </w:p>
        </w:tc>
        <w:tc>
          <w:tcPr>
            <w:tcW w:w="863" w:type="dxa"/>
            <w:gridSpan w:val="2"/>
            <w:tcBorders>
              <w:top w:val="nil"/>
              <w:left w:val="nil"/>
              <w:bottom w:val="single" w:color="auto" w:sz="8" w:space="0"/>
              <w:right w:val="single" w:color="auto" w:sz="8" w:space="0"/>
            </w:tcBorders>
            <w:vAlign w:val="center"/>
          </w:tcPr>
          <w:p w14:paraId="14D9EC82">
            <w:pPr>
              <w:widowControl/>
              <w:snapToGrid w:val="0"/>
              <w:spacing w:before="100" w:beforeAutospacing="1" w:after="100" w:afterAutospacing="1" w:line="320" w:lineRule="atLeast"/>
              <w:jc w:val="center"/>
              <w:rPr>
                <w:rFonts w:cs="宋体" w:asciiTheme="minorEastAsia" w:hAnsiTheme="minorEastAsia" w:eastAsiaTheme="minorEastAsia"/>
                <w:color w:val="auto"/>
                <w:kern w:val="0"/>
                <w:szCs w:val="21"/>
                <w:highlight w:val="none"/>
              </w:rPr>
            </w:pPr>
            <w:r>
              <w:rPr>
                <w:rFonts w:cs="宋体" w:asciiTheme="minorEastAsia" w:hAnsiTheme="minorEastAsia" w:eastAsiaTheme="minorEastAsia"/>
                <w:color w:val="auto"/>
                <w:kern w:val="0"/>
                <w:szCs w:val="21"/>
                <w:highlight w:val="none"/>
              </w:rPr>
              <w:t>数量</w:t>
            </w:r>
          </w:p>
        </w:tc>
        <w:tc>
          <w:tcPr>
            <w:tcW w:w="1913" w:type="dxa"/>
            <w:tcBorders>
              <w:top w:val="nil"/>
              <w:left w:val="nil"/>
              <w:bottom w:val="single" w:color="auto" w:sz="8" w:space="0"/>
              <w:right w:val="single" w:color="auto" w:sz="8" w:space="0"/>
            </w:tcBorders>
            <w:vAlign w:val="center"/>
          </w:tcPr>
          <w:p w14:paraId="20393889">
            <w:pPr>
              <w:widowControl/>
              <w:snapToGrid w:val="0"/>
              <w:spacing w:before="100" w:beforeAutospacing="1" w:after="100" w:afterAutospacing="1" w:line="320" w:lineRule="atLeast"/>
              <w:ind w:firstLine="2"/>
              <w:jc w:val="center"/>
              <w:rPr>
                <w:rFonts w:cs="宋体" w:asciiTheme="minorEastAsia" w:hAnsiTheme="minorEastAsia" w:eastAsiaTheme="minorEastAsia"/>
                <w:color w:val="auto"/>
                <w:kern w:val="0"/>
                <w:szCs w:val="21"/>
                <w:highlight w:val="none"/>
              </w:rPr>
            </w:pPr>
            <w:r>
              <w:rPr>
                <w:rFonts w:cs="宋体" w:asciiTheme="minorEastAsia" w:hAnsiTheme="minorEastAsia" w:eastAsiaTheme="minorEastAsia"/>
                <w:color w:val="auto"/>
                <w:kern w:val="0"/>
                <w:szCs w:val="21"/>
                <w:highlight w:val="none"/>
              </w:rPr>
              <w:t>金 额</w:t>
            </w:r>
          </w:p>
        </w:tc>
      </w:tr>
      <w:tr w14:paraId="6AC161E1">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vAlign w:val="center"/>
          </w:tcPr>
          <w:p w14:paraId="0B6E4BDC">
            <w:pPr>
              <w:widowControl/>
              <w:spacing w:before="100" w:beforeAutospacing="1" w:after="100" w:afterAutospacing="1" w:line="240" w:lineRule="atLeast"/>
              <w:jc w:val="center"/>
              <w:rPr>
                <w:rFonts w:cs="宋体" w:asciiTheme="minorEastAsia" w:hAnsiTheme="minorEastAsia" w:eastAsiaTheme="minorEastAsia"/>
                <w:color w:val="auto"/>
                <w:kern w:val="0"/>
                <w:szCs w:val="21"/>
                <w:highlight w:val="none"/>
              </w:rPr>
            </w:pPr>
          </w:p>
        </w:tc>
        <w:tc>
          <w:tcPr>
            <w:tcW w:w="1921" w:type="dxa"/>
            <w:tcBorders>
              <w:top w:val="nil"/>
              <w:left w:val="nil"/>
              <w:bottom w:val="single" w:color="auto" w:sz="8" w:space="0"/>
              <w:right w:val="single" w:color="auto" w:sz="8" w:space="0"/>
            </w:tcBorders>
            <w:vAlign w:val="center"/>
          </w:tcPr>
          <w:p w14:paraId="78141716">
            <w:pPr>
              <w:widowControl/>
              <w:spacing w:before="100" w:beforeAutospacing="1" w:after="100" w:afterAutospacing="1" w:line="240" w:lineRule="atLeast"/>
              <w:jc w:val="center"/>
              <w:rPr>
                <w:rFonts w:cs="宋体" w:asciiTheme="minorEastAsia" w:hAnsiTheme="minorEastAsia" w:eastAsiaTheme="minorEastAsia"/>
                <w:color w:val="auto"/>
                <w:kern w:val="0"/>
                <w:szCs w:val="21"/>
                <w:highlight w:val="none"/>
              </w:rPr>
            </w:pPr>
          </w:p>
        </w:tc>
        <w:tc>
          <w:tcPr>
            <w:tcW w:w="2902" w:type="dxa"/>
            <w:gridSpan w:val="3"/>
            <w:tcBorders>
              <w:top w:val="nil"/>
              <w:left w:val="nil"/>
              <w:bottom w:val="single" w:color="auto" w:sz="8" w:space="0"/>
              <w:right w:val="single" w:color="auto" w:sz="8" w:space="0"/>
            </w:tcBorders>
            <w:vAlign w:val="center"/>
          </w:tcPr>
          <w:p w14:paraId="303D1AE8">
            <w:pPr>
              <w:widowControl/>
              <w:spacing w:before="100" w:beforeAutospacing="1" w:after="100" w:afterAutospacing="1" w:line="240" w:lineRule="atLeast"/>
              <w:jc w:val="center"/>
              <w:rPr>
                <w:rFonts w:cs="宋体" w:asciiTheme="minorEastAsia" w:hAnsiTheme="minorEastAsia" w:eastAsiaTheme="minorEastAsia"/>
                <w:color w:val="auto"/>
                <w:kern w:val="0"/>
                <w:szCs w:val="21"/>
                <w:highlight w:val="none"/>
              </w:rPr>
            </w:pPr>
          </w:p>
        </w:tc>
        <w:tc>
          <w:tcPr>
            <w:tcW w:w="863" w:type="dxa"/>
            <w:gridSpan w:val="2"/>
            <w:tcBorders>
              <w:top w:val="nil"/>
              <w:left w:val="nil"/>
              <w:bottom w:val="single" w:color="auto" w:sz="8" w:space="0"/>
              <w:right w:val="single" w:color="auto" w:sz="8" w:space="0"/>
            </w:tcBorders>
            <w:vAlign w:val="center"/>
          </w:tcPr>
          <w:p w14:paraId="7D447C50">
            <w:pPr>
              <w:widowControl/>
              <w:spacing w:before="100" w:beforeAutospacing="1" w:after="100" w:afterAutospacing="1" w:line="240" w:lineRule="atLeast"/>
              <w:jc w:val="center"/>
              <w:rPr>
                <w:rFonts w:cs="宋体" w:asciiTheme="minorEastAsia" w:hAnsiTheme="minorEastAsia" w:eastAsiaTheme="minorEastAsia"/>
                <w:color w:val="auto"/>
                <w:kern w:val="0"/>
                <w:szCs w:val="21"/>
                <w:highlight w:val="none"/>
              </w:rPr>
            </w:pPr>
          </w:p>
        </w:tc>
        <w:tc>
          <w:tcPr>
            <w:tcW w:w="1913" w:type="dxa"/>
            <w:tcBorders>
              <w:top w:val="nil"/>
              <w:left w:val="nil"/>
              <w:bottom w:val="single" w:color="auto" w:sz="8" w:space="0"/>
              <w:right w:val="single" w:color="auto" w:sz="8" w:space="0"/>
            </w:tcBorders>
            <w:vAlign w:val="center"/>
          </w:tcPr>
          <w:p w14:paraId="77CEBD37">
            <w:pPr>
              <w:widowControl/>
              <w:spacing w:before="100" w:beforeAutospacing="1" w:after="100" w:afterAutospacing="1" w:line="240" w:lineRule="atLeast"/>
              <w:jc w:val="center"/>
              <w:rPr>
                <w:rFonts w:cs="宋体" w:asciiTheme="minorEastAsia" w:hAnsiTheme="minorEastAsia" w:eastAsiaTheme="minorEastAsia"/>
                <w:color w:val="auto"/>
                <w:kern w:val="0"/>
                <w:szCs w:val="21"/>
                <w:highlight w:val="none"/>
              </w:rPr>
            </w:pPr>
          </w:p>
        </w:tc>
      </w:tr>
      <w:tr w14:paraId="49B128C3">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vAlign w:val="center"/>
          </w:tcPr>
          <w:p w14:paraId="76FC0DA8">
            <w:pPr>
              <w:widowControl/>
              <w:spacing w:before="100" w:beforeAutospacing="1" w:after="100" w:afterAutospacing="1" w:line="240" w:lineRule="atLeast"/>
              <w:jc w:val="center"/>
              <w:rPr>
                <w:rFonts w:cs="宋体" w:asciiTheme="minorEastAsia" w:hAnsiTheme="minorEastAsia" w:eastAsiaTheme="minorEastAsia"/>
                <w:color w:val="auto"/>
                <w:kern w:val="0"/>
                <w:szCs w:val="21"/>
                <w:highlight w:val="none"/>
              </w:rPr>
            </w:pPr>
          </w:p>
        </w:tc>
        <w:tc>
          <w:tcPr>
            <w:tcW w:w="1921" w:type="dxa"/>
            <w:tcBorders>
              <w:top w:val="nil"/>
              <w:left w:val="nil"/>
              <w:bottom w:val="single" w:color="auto" w:sz="8" w:space="0"/>
              <w:right w:val="single" w:color="auto" w:sz="8" w:space="0"/>
            </w:tcBorders>
            <w:vAlign w:val="center"/>
          </w:tcPr>
          <w:p w14:paraId="59D8B7F2">
            <w:pPr>
              <w:widowControl/>
              <w:spacing w:before="100" w:beforeAutospacing="1" w:after="100" w:afterAutospacing="1" w:line="240" w:lineRule="atLeast"/>
              <w:jc w:val="center"/>
              <w:rPr>
                <w:rFonts w:cs="宋体" w:asciiTheme="minorEastAsia" w:hAnsiTheme="minorEastAsia" w:eastAsiaTheme="minorEastAsia"/>
                <w:color w:val="auto"/>
                <w:kern w:val="0"/>
                <w:szCs w:val="21"/>
                <w:highlight w:val="none"/>
              </w:rPr>
            </w:pPr>
          </w:p>
        </w:tc>
        <w:tc>
          <w:tcPr>
            <w:tcW w:w="2902" w:type="dxa"/>
            <w:gridSpan w:val="3"/>
            <w:tcBorders>
              <w:top w:val="nil"/>
              <w:left w:val="nil"/>
              <w:bottom w:val="single" w:color="auto" w:sz="8" w:space="0"/>
              <w:right w:val="single" w:color="auto" w:sz="8" w:space="0"/>
            </w:tcBorders>
            <w:vAlign w:val="center"/>
          </w:tcPr>
          <w:p w14:paraId="71B64B93">
            <w:pPr>
              <w:widowControl/>
              <w:spacing w:before="100" w:beforeAutospacing="1" w:after="100" w:afterAutospacing="1" w:line="240" w:lineRule="atLeast"/>
              <w:jc w:val="center"/>
              <w:rPr>
                <w:rFonts w:cs="宋体" w:asciiTheme="minorEastAsia" w:hAnsiTheme="minorEastAsia" w:eastAsiaTheme="minorEastAsia"/>
                <w:color w:val="auto"/>
                <w:kern w:val="0"/>
                <w:szCs w:val="21"/>
                <w:highlight w:val="none"/>
              </w:rPr>
            </w:pPr>
          </w:p>
        </w:tc>
        <w:tc>
          <w:tcPr>
            <w:tcW w:w="863" w:type="dxa"/>
            <w:gridSpan w:val="2"/>
            <w:tcBorders>
              <w:top w:val="nil"/>
              <w:left w:val="nil"/>
              <w:bottom w:val="single" w:color="auto" w:sz="8" w:space="0"/>
              <w:right w:val="single" w:color="auto" w:sz="8" w:space="0"/>
            </w:tcBorders>
            <w:vAlign w:val="center"/>
          </w:tcPr>
          <w:p w14:paraId="29361A1E">
            <w:pPr>
              <w:widowControl/>
              <w:spacing w:before="100" w:beforeAutospacing="1" w:after="100" w:afterAutospacing="1" w:line="240" w:lineRule="atLeast"/>
              <w:jc w:val="center"/>
              <w:rPr>
                <w:rFonts w:cs="宋体" w:asciiTheme="minorEastAsia" w:hAnsiTheme="minorEastAsia" w:eastAsiaTheme="minorEastAsia"/>
                <w:color w:val="auto"/>
                <w:kern w:val="0"/>
                <w:szCs w:val="21"/>
                <w:highlight w:val="none"/>
              </w:rPr>
            </w:pPr>
          </w:p>
        </w:tc>
        <w:tc>
          <w:tcPr>
            <w:tcW w:w="1913" w:type="dxa"/>
            <w:tcBorders>
              <w:top w:val="nil"/>
              <w:left w:val="nil"/>
              <w:bottom w:val="single" w:color="auto" w:sz="8" w:space="0"/>
              <w:right w:val="single" w:color="auto" w:sz="8" w:space="0"/>
            </w:tcBorders>
            <w:vAlign w:val="center"/>
          </w:tcPr>
          <w:p w14:paraId="63F5AE49">
            <w:pPr>
              <w:widowControl/>
              <w:spacing w:before="100" w:beforeAutospacing="1" w:after="100" w:afterAutospacing="1" w:line="240" w:lineRule="atLeast"/>
              <w:jc w:val="center"/>
              <w:rPr>
                <w:rFonts w:cs="宋体" w:asciiTheme="minorEastAsia" w:hAnsiTheme="minorEastAsia" w:eastAsiaTheme="minorEastAsia"/>
                <w:color w:val="auto"/>
                <w:kern w:val="0"/>
                <w:szCs w:val="21"/>
                <w:highlight w:val="none"/>
              </w:rPr>
            </w:pPr>
          </w:p>
        </w:tc>
      </w:tr>
      <w:tr w14:paraId="16822B5D">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vAlign w:val="center"/>
          </w:tcPr>
          <w:p w14:paraId="42E1146D">
            <w:pPr>
              <w:widowControl/>
              <w:spacing w:before="100" w:beforeAutospacing="1" w:after="100" w:afterAutospacing="1" w:line="240" w:lineRule="atLeast"/>
              <w:jc w:val="center"/>
              <w:rPr>
                <w:rFonts w:cs="宋体" w:asciiTheme="minorEastAsia" w:hAnsiTheme="minorEastAsia" w:eastAsiaTheme="minorEastAsia"/>
                <w:color w:val="auto"/>
                <w:kern w:val="0"/>
                <w:szCs w:val="21"/>
                <w:highlight w:val="none"/>
              </w:rPr>
            </w:pPr>
          </w:p>
        </w:tc>
        <w:tc>
          <w:tcPr>
            <w:tcW w:w="1921" w:type="dxa"/>
            <w:tcBorders>
              <w:top w:val="nil"/>
              <w:left w:val="nil"/>
              <w:bottom w:val="single" w:color="auto" w:sz="8" w:space="0"/>
              <w:right w:val="single" w:color="auto" w:sz="8" w:space="0"/>
            </w:tcBorders>
            <w:vAlign w:val="center"/>
          </w:tcPr>
          <w:p w14:paraId="58254C2A">
            <w:pPr>
              <w:widowControl/>
              <w:spacing w:before="100" w:beforeAutospacing="1" w:after="100" w:afterAutospacing="1" w:line="240" w:lineRule="atLeast"/>
              <w:jc w:val="center"/>
              <w:rPr>
                <w:rFonts w:cs="宋体" w:asciiTheme="minorEastAsia" w:hAnsiTheme="minorEastAsia" w:eastAsiaTheme="minorEastAsia"/>
                <w:color w:val="auto"/>
                <w:kern w:val="0"/>
                <w:szCs w:val="21"/>
                <w:highlight w:val="none"/>
              </w:rPr>
            </w:pPr>
          </w:p>
        </w:tc>
        <w:tc>
          <w:tcPr>
            <w:tcW w:w="2902" w:type="dxa"/>
            <w:gridSpan w:val="3"/>
            <w:tcBorders>
              <w:top w:val="nil"/>
              <w:left w:val="nil"/>
              <w:bottom w:val="single" w:color="auto" w:sz="8" w:space="0"/>
              <w:right w:val="single" w:color="auto" w:sz="8" w:space="0"/>
            </w:tcBorders>
            <w:vAlign w:val="center"/>
          </w:tcPr>
          <w:p w14:paraId="46B5C88E">
            <w:pPr>
              <w:widowControl/>
              <w:spacing w:before="100" w:beforeAutospacing="1" w:after="100" w:afterAutospacing="1" w:line="240" w:lineRule="atLeast"/>
              <w:jc w:val="center"/>
              <w:rPr>
                <w:rFonts w:cs="宋体" w:asciiTheme="minorEastAsia" w:hAnsiTheme="minorEastAsia" w:eastAsiaTheme="minorEastAsia"/>
                <w:color w:val="auto"/>
                <w:kern w:val="0"/>
                <w:szCs w:val="21"/>
                <w:highlight w:val="none"/>
              </w:rPr>
            </w:pPr>
          </w:p>
        </w:tc>
        <w:tc>
          <w:tcPr>
            <w:tcW w:w="863" w:type="dxa"/>
            <w:gridSpan w:val="2"/>
            <w:tcBorders>
              <w:top w:val="nil"/>
              <w:left w:val="nil"/>
              <w:bottom w:val="single" w:color="auto" w:sz="8" w:space="0"/>
              <w:right w:val="single" w:color="auto" w:sz="8" w:space="0"/>
            </w:tcBorders>
            <w:vAlign w:val="center"/>
          </w:tcPr>
          <w:p w14:paraId="5A9F9A39">
            <w:pPr>
              <w:widowControl/>
              <w:spacing w:before="100" w:beforeAutospacing="1" w:after="100" w:afterAutospacing="1" w:line="240" w:lineRule="atLeast"/>
              <w:jc w:val="center"/>
              <w:rPr>
                <w:rFonts w:cs="宋体" w:asciiTheme="minorEastAsia" w:hAnsiTheme="minorEastAsia" w:eastAsiaTheme="minorEastAsia"/>
                <w:color w:val="auto"/>
                <w:kern w:val="0"/>
                <w:szCs w:val="21"/>
                <w:highlight w:val="none"/>
              </w:rPr>
            </w:pPr>
          </w:p>
        </w:tc>
        <w:tc>
          <w:tcPr>
            <w:tcW w:w="1913" w:type="dxa"/>
            <w:tcBorders>
              <w:top w:val="nil"/>
              <w:left w:val="nil"/>
              <w:bottom w:val="single" w:color="auto" w:sz="8" w:space="0"/>
              <w:right w:val="single" w:color="auto" w:sz="8" w:space="0"/>
            </w:tcBorders>
            <w:vAlign w:val="center"/>
          </w:tcPr>
          <w:p w14:paraId="1F699B2E">
            <w:pPr>
              <w:widowControl/>
              <w:spacing w:before="100" w:beforeAutospacing="1" w:after="100" w:afterAutospacing="1" w:line="240" w:lineRule="atLeast"/>
              <w:jc w:val="center"/>
              <w:rPr>
                <w:rFonts w:cs="宋体" w:asciiTheme="minorEastAsia" w:hAnsiTheme="minorEastAsia" w:eastAsiaTheme="minorEastAsia"/>
                <w:color w:val="auto"/>
                <w:kern w:val="0"/>
                <w:szCs w:val="21"/>
                <w:highlight w:val="none"/>
              </w:rPr>
            </w:pPr>
          </w:p>
        </w:tc>
      </w:tr>
      <w:tr w14:paraId="2DD1CF75">
        <w:tblPrEx>
          <w:tblCellMar>
            <w:top w:w="0" w:type="dxa"/>
            <w:left w:w="0" w:type="dxa"/>
            <w:bottom w:w="0" w:type="dxa"/>
            <w:right w:w="0" w:type="dxa"/>
          </w:tblCellMar>
        </w:tblPrEx>
        <w:trPr>
          <w:trHeight w:val="487" w:hRule="atLeast"/>
          <w:jc w:val="center"/>
        </w:trPr>
        <w:tc>
          <w:tcPr>
            <w:tcW w:w="6154" w:type="dxa"/>
            <w:gridSpan w:val="5"/>
            <w:tcBorders>
              <w:top w:val="nil"/>
              <w:left w:val="single" w:color="auto" w:sz="8" w:space="0"/>
              <w:bottom w:val="single" w:color="auto" w:sz="8" w:space="0"/>
              <w:right w:val="single" w:color="auto" w:sz="8" w:space="0"/>
            </w:tcBorders>
            <w:vAlign w:val="center"/>
          </w:tcPr>
          <w:p w14:paraId="3DAC38C4">
            <w:pPr>
              <w:widowControl/>
              <w:snapToGrid w:val="0"/>
              <w:spacing w:before="100" w:beforeAutospacing="1" w:after="100" w:afterAutospacing="1" w:line="320" w:lineRule="atLeast"/>
              <w:ind w:firstLine="5"/>
              <w:jc w:val="center"/>
              <w:rPr>
                <w:rFonts w:cs="宋体" w:asciiTheme="minorEastAsia" w:hAnsiTheme="minorEastAsia" w:eastAsiaTheme="minorEastAsia"/>
                <w:color w:val="auto"/>
                <w:kern w:val="0"/>
                <w:szCs w:val="21"/>
                <w:highlight w:val="none"/>
              </w:rPr>
            </w:pPr>
            <w:r>
              <w:rPr>
                <w:rFonts w:cs="宋体" w:asciiTheme="minorEastAsia" w:hAnsiTheme="minorEastAsia" w:eastAsiaTheme="minorEastAsia"/>
                <w:color w:val="auto"/>
                <w:kern w:val="0"/>
                <w:szCs w:val="21"/>
                <w:highlight w:val="none"/>
              </w:rPr>
              <w:t>合 计</w:t>
            </w:r>
          </w:p>
        </w:tc>
        <w:tc>
          <w:tcPr>
            <w:tcW w:w="863" w:type="dxa"/>
            <w:gridSpan w:val="2"/>
            <w:tcBorders>
              <w:top w:val="nil"/>
              <w:left w:val="nil"/>
              <w:bottom w:val="single" w:color="auto" w:sz="8" w:space="0"/>
              <w:right w:val="single" w:color="auto" w:sz="8" w:space="0"/>
            </w:tcBorders>
            <w:vAlign w:val="center"/>
          </w:tcPr>
          <w:p w14:paraId="04356409">
            <w:pPr>
              <w:widowControl/>
              <w:spacing w:before="100" w:beforeAutospacing="1" w:after="100" w:afterAutospacing="1" w:line="240" w:lineRule="atLeast"/>
              <w:jc w:val="center"/>
              <w:rPr>
                <w:rFonts w:cs="宋体" w:asciiTheme="minorEastAsia" w:hAnsiTheme="minorEastAsia" w:eastAsiaTheme="minorEastAsia"/>
                <w:color w:val="auto"/>
                <w:kern w:val="0"/>
                <w:szCs w:val="21"/>
                <w:highlight w:val="none"/>
              </w:rPr>
            </w:pPr>
          </w:p>
        </w:tc>
        <w:tc>
          <w:tcPr>
            <w:tcW w:w="1913" w:type="dxa"/>
            <w:tcBorders>
              <w:top w:val="nil"/>
              <w:left w:val="nil"/>
              <w:bottom w:val="single" w:color="auto" w:sz="8" w:space="0"/>
              <w:right w:val="single" w:color="auto" w:sz="8" w:space="0"/>
            </w:tcBorders>
            <w:vAlign w:val="center"/>
          </w:tcPr>
          <w:p w14:paraId="590D4B10">
            <w:pPr>
              <w:widowControl/>
              <w:spacing w:before="100" w:beforeAutospacing="1" w:after="100" w:afterAutospacing="1" w:line="240" w:lineRule="atLeast"/>
              <w:jc w:val="center"/>
              <w:rPr>
                <w:rFonts w:cs="宋体" w:asciiTheme="minorEastAsia" w:hAnsiTheme="minorEastAsia" w:eastAsiaTheme="minorEastAsia"/>
                <w:color w:val="auto"/>
                <w:kern w:val="0"/>
                <w:szCs w:val="21"/>
                <w:highlight w:val="none"/>
              </w:rPr>
            </w:pPr>
          </w:p>
        </w:tc>
      </w:tr>
      <w:tr w14:paraId="3BD30B99">
        <w:tblPrEx>
          <w:tblCellMar>
            <w:top w:w="0" w:type="dxa"/>
            <w:left w:w="0" w:type="dxa"/>
            <w:bottom w:w="0" w:type="dxa"/>
            <w:right w:w="0" w:type="dxa"/>
          </w:tblCellMar>
        </w:tblPrEx>
        <w:trPr>
          <w:trHeight w:val="641" w:hRule="atLeast"/>
          <w:jc w:val="center"/>
        </w:trPr>
        <w:tc>
          <w:tcPr>
            <w:tcW w:w="8930" w:type="dxa"/>
            <w:gridSpan w:val="8"/>
            <w:tcBorders>
              <w:top w:val="nil"/>
              <w:left w:val="single" w:color="auto" w:sz="8" w:space="0"/>
              <w:bottom w:val="single" w:color="auto" w:sz="8" w:space="0"/>
              <w:right w:val="single" w:color="auto" w:sz="8" w:space="0"/>
            </w:tcBorders>
            <w:vAlign w:val="center"/>
          </w:tcPr>
          <w:p w14:paraId="40B49F9F">
            <w:pPr>
              <w:widowControl/>
              <w:snapToGrid w:val="0"/>
              <w:spacing w:before="100" w:beforeAutospacing="1" w:after="100" w:afterAutospacing="1" w:line="320" w:lineRule="atLeast"/>
              <w:ind w:firstLine="2"/>
              <w:jc w:val="left"/>
              <w:rPr>
                <w:rFonts w:cs="宋体" w:asciiTheme="minorEastAsia" w:hAnsiTheme="minorEastAsia" w:eastAsiaTheme="minorEastAsia"/>
                <w:color w:val="auto"/>
                <w:kern w:val="0"/>
                <w:szCs w:val="21"/>
                <w:highlight w:val="none"/>
              </w:rPr>
            </w:pPr>
            <w:r>
              <w:rPr>
                <w:rFonts w:cs="宋体" w:asciiTheme="minorEastAsia" w:hAnsiTheme="minorEastAsia" w:eastAsiaTheme="minorEastAsia"/>
                <w:color w:val="auto"/>
                <w:kern w:val="0"/>
                <w:szCs w:val="21"/>
                <w:highlight w:val="none"/>
              </w:rPr>
              <w:t>合计大写金额： 仟 佰 拾 万 仟 佰 拾 元</w:t>
            </w:r>
          </w:p>
        </w:tc>
      </w:tr>
      <w:tr w14:paraId="60BDBBEC">
        <w:tblPrEx>
          <w:tblCellMar>
            <w:top w:w="0" w:type="dxa"/>
            <w:left w:w="0" w:type="dxa"/>
            <w:bottom w:w="0" w:type="dxa"/>
            <w:right w:w="0" w:type="dxa"/>
          </w:tblCellMar>
        </w:tblPrEx>
        <w:trPr>
          <w:trHeight w:val="641" w:hRule="atLeast"/>
          <w:jc w:val="center"/>
        </w:trPr>
        <w:tc>
          <w:tcPr>
            <w:tcW w:w="1331" w:type="dxa"/>
            <w:tcBorders>
              <w:top w:val="nil"/>
              <w:left w:val="single" w:color="auto" w:sz="8" w:space="0"/>
              <w:bottom w:val="single" w:color="auto" w:sz="8" w:space="0"/>
              <w:right w:val="single" w:color="auto" w:sz="8" w:space="0"/>
            </w:tcBorders>
            <w:vAlign w:val="center"/>
          </w:tcPr>
          <w:p w14:paraId="57829DAF">
            <w:pPr>
              <w:widowControl/>
              <w:snapToGrid w:val="0"/>
              <w:spacing w:before="100" w:beforeAutospacing="1" w:after="100" w:afterAutospacing="1" w:line="320" w:lineRule="atLeast"/>
              <w:ind w:firstLine="2"/>
              <w:jc w:val="center"/>
              <w:rPr>
                <w:rFonts w:cs="宋体" w:asciiTheme="minorEastAsia" w:hAnsiTheme="minorEastAsia" w:eastAsiaTheme="minorEastAsia"/>
                <w:color w:val="auto"/>
                <w:kern w:val="0"/>
                <w:szCs w:val="21"/>
                <w:highlight w:val="none"/>
              </w:rPr>
            </w:pPr>
            <w:r>
              <w:rPr>
                <w:rFonts w:cs="宋体" w:asciiTheme="minorEastAsia" w:hAnsiTheme="minorEastAsia" w:eastAsiaTheme="minorEastAsia"/>
                <w:color w:val="auto"/>
                <w:kern w:val="0"/>
                <w:szCs w:val="21"/>
                <w:highlight w:val="none"/>
              </w:rPr>
              <w:t>实际供货日期</w:t>
            </w:r>
          </w:p>
        </w:tc>
        <w:tc>
          <w:tcPr>
            <w:tcW w:w="2719" w:type="dxa"/>
            <w:gridSpan w:val="2"/>
            <w:tcBorders>
              <w:top w:val="nil"/>
              <w:left w:val="nil"/>
              <w:bottom w:val="single" w:color="auto" w:sz="8" w:space="0"/>
              <w:right w:val="single" w:color="auto" w:sz="8" w:space="0"/>
            </w:tcBorders>
            <w:vAlign w:val="center"/>
          </w:tcPr>
          <w:p w14:paraId="0781A183">
            <w:pPr>
              <w:widowControl/>
              <w:spacing w:before="100" w:beforeAutospacing="1" w:after="100" w:afterAutospacing="1" w:line="240" w:lineRule="atLeast"/>
              <w:jc w:val="center"/>
              <w:rPr>
                <w:rFonts w:cs="宋体" w:asciiTheme="minorEastAsia" w:hAnsiTheme="minorEastAsia" w:eastAsiaTheme="minorEastAsia"/>
                <w:color w:val="auto"/>
                <w:kern w:val="0"/>
                <w:szCs w:val="21"/>
                <w:highlight w:val="none"/>
              </w:rPr>
            </w:pPr>
          </w:p>
        </w:tc>
        <w:tc>
          <w:tcPr>
            <w:tcW w:w="2282" w:type="dxa"/>
            <w:gridSpan w:val="3"/>
            <w:tcBorders>
              <w:top w:val="nil"/>
              <w:left w:val="nil"/>
              <w:bottom w:val="single" w:color="auto" w:sz="8" w:space="0"/>
              <w:right w:val="single" w:color="auto" w:sz="8" w:space="0"/>
            </w:tcBorders>
            <w:vAlign w:val="center"/>
          </w:tcPr>
          <w:p w14:paraId="55D9D973">
            <w:pPr>
              <w:widowControl/>
              <w:snapToGrid w:val="0"/>
              <w:spacing w:before="100" w:beforeAutospacing="1" w:after="100" w:afterAutospacing="1" w:line="320" w:lineRule="atLeast"/>
              <w:ind w:firstLine="46"/>
              <w:jc w:val="center"/>
              <w:rPr>
                <w:rFonts w:cs="宋体" w:asciiTheme="minorEastAsia" w:hAnsiTheme="minorEastAsia" w:eastAsiaTheme="minorEastAsia"/>
                <w:color w:val="auto"/>
                <w:kern w:val="0"/>
                <w:szCs w:val="21"/>
                <w:highlight w:val="none"/>
              </w:rPr>
            </w:pPr>
            <w:r>
              <w:rPr>
                <w:rFonts w:cs="宋体" w:asciiTheme="minorEastAsia" w:hAnsiTheme="minorEastAsia" w:eastAsiaTheme="minorEastAsia"/>
                <w:color w:val="auto"/>
                <w:kern w:val="0"/>
                <w:szCs w:val="21"/>
                <w:highlight w:val="none"/>
              </w:rPr>
              <w:t>合同交货验收日期</w:t>
            </w:r>
          </w:p>
        </w:tc>
        <w:tc>
          <w:tcPr>
            <w:tcW w:w="2598" w:type="dxa"/>
            <w:gridSpan w:val="2"/>
            <w:tcBorders>
              <w:top w:val="nil"/>
              <w:left w:val="nil"/>
              <w:bottom w:val="single" w:color="auto" w:sz="8" w:space="0"/>
              <w:right w:val="single" w:color="auto" w:sz="8" w:space="0"/>
            </w:tcBorders>
            <w:vAlign w:val="center"/>
          </w:tcPr>
          <w:p w14:paraId="334A0DDF">
            <w:pPr>
              <w:widowControl/>
              <w:spacing w:before="100" w:beforeAutospacing="1" w:after="100" w:afterAutospacing="1" w:line="240" w:lineRule="atLeast"/>
              <w:jc w:val="center"/>
              <w:rPr>
                <w:rFonts w:cs="宋体" w:asciiTheme="minorEastAsia" w:hAnsiTheme="minorEastAsia" w:eastAsiaTheme="minorEastAsia"/>
                <w:color w:val="auto"/>
                <w:kern w:val="0"/>
                <w:szCs w:val="21"/>
                <w:highlight w:val="none"/>
              </w:rPr>
            </w:pPr>
          </w:p>
        </w:tc>
      </w:tr>
      <w:tr w14:paraId="1672B75D">
        <w:tblPrEx>
          <w:tblCellMar>
            <w:top w:w="0" w:type="dxa"/>
            <w:left w:w="0" w:type="dxa"/>
            <w:bottom w:w="0" w:type="dxa"/>
            <w:right w:w="0" w:type="dxa"/>
          </w:tblCellMar>
        </w:tblPrEx>
        <w:trPr>
          <w:trHeight w:val="394" w:hRule="atLeast"/>
          <w:jc w:val="center"/>
        </w:trPr>
        <w:tc>
          <w:tcPr>
            <w:tcW w:w="1331" w:type="dxa"/>
            <w:tcBorders>
              <w:top w:val="nil"/>
              <w:left w:val="single" w:color="auto" w:sz="8" w:space="0"/>
              <w:bottom w:val="single" w:color="auto" w:sz="8" w:space="0"/>
              <w:right w:val="single" w:color="auto" w:sz="8" w:space="0"/>
            </w:tcBorders>
            <w:vAlign w:val="center"/>
          </w:tcPr>
          <w:p w14:paraId="3E77AEE0">
            <w:pPr>
              <w:widowControl/>
              <w:spacing w:before="100" w:beforeAutospacing="1" w:after="100" w:afterAutospacing="1" w:line="240" w:lineRule="atLeast"/>
              <w:jc w:val="center"/>
              <w:rPr>
                <w:rFonts w:cs="宋体" w:asciiTheme="minorEastAsia" w:hAnsiTheme="minorEastAsia" w:eastAsiaTheme="minorEastAsia"/>
                <w:color w:val="auto"/>
                <w:kern w:val="0"/>
                <w:szCs w:val="21"/>
                <w:highlight w:val="none"/>
              </w:rPr>
            </w:pPr>
          </w:p>
        </w:tc>
        <w:tc>
          <w:tcPr>
            <w:tcW w:w="2719" w:type="dxa"/>
            <w:gridSpan w:val="2"/>
            <w:tcBorders>
              <w:top w:val="nil"/>
              <w:left w:val="nil"/>
              <w:bottom w:val="single" w:color="auto" w:sz="8" w:space="0"/>
              <w:right w:val="single" w:color="auto" w:sz="8" w:space="0"/>
            </w:tcBorders>
            <w:vAlign w:val="center"/>
          </w:tcPr>
          <w:p w14:paraId="39DA8519">
            <w:pPr>
              <w:widowControl/>
              <w:spacing w:before="100" w:beforeAutospacing="1" w:after="100" w:afterAutospacing="1" w:line="240" w:lineRule="atLeast"/>
              <w:jc w:val="center"/>
              <w:rPr>
                <w:rFonts w:cs="宋体" w:asciiTheme="minorEastAsia" w:hAnsiTheme="minorEastAsia" w:eastAsiaTheme="minorEastAsia"/>
                <w:color w:val="auto"/>
                <w:kern w:val="0"/>
                <w:szCs w:val="21"/>
                <w:highlight w:val="none"/>
              </w:rPr>
            </w:pPr>
          </w:p>
        </w:tc>
        <w:tc>
          <w:tcPr>
            <w:tcW w:w="2282" w:type="dxa"/>
            <w:gridSpan w:val="3"/>
            <w:tcBorders>
              <w:top w:val="nil"/>
              <w:left w:val="nil"/>
              <w:bottom w:val="single" w:color="auto" w:sz="8" w:space="0"/>
              <w:right w:val="single" w:color="auto" w:sz="8" w:space="0"/>
            </w:tcBorders>
            <w:vAlign w:val="center"/>
          </w:tcPr>
          <w:p w14:paraId="0926AA09">
            <w:pPr>
              <w:widowControl/>
              <w:spacing w:before="100" w:beforeAutospacing="1" w:after="100" w:afterAutospacing="1" w:line="240" w:lineRule="atLeast"/>
              <w:jc w:val="center"/>
              <w:rPr>
                <w:rFonts w:cs="宋体" w:asciiTheme="minorEastAsia" w:hAnsiTheme="minorEastAsia" w:eastAsiaTheme="minorEastAsia"/>
                <w:color w:val="auto"/>
                <w:kern w:val="0"/>
                <w:szCs w:val="21"/>
                <w:highlight w:val="none"/>
              </w:rPr>
            </w:pPr>
          </w:p>
        </w:tc>
        <w:tc>
          <w:tcPr>
            <w:tcW w:w="2598" w:type="dxa"/>
            <w:gridSpan w:val="2"/>
            <w:tcBorders>
              <w:top w:val="nil"/>
              <w:left w:val="nil"/>
              <w:bottom w:val="single" w:color="auto" w:sz="8" w:space="0"/>
              <w:right w:val="single" w:color="auto" w:sz="8" w:space="0"/>
            </w:tcBorders>
            <w:vAlign w:val="center"/>
          </w:tcPr>
          <w:p w14:paraId="0C2169E4">
            <w:pPr>
              <w:widowControl/>
              <w:spacing w:before="100" w:beforeAutospacing="1" w:after="100" w:afterAutospacing="1" w:line="240" w:lineRule="atLeast"/>
              <w:jc w:val="center"/>
              <w:rPr>
                <w:rFonts w:cs="宋体" w:asciiTheme="minorEastAsia" w:hAnsiTheme="minorEastAsia" w:eastAsiaTheme="minorEastAsia"/>
                <w:color w:val="auto"/>
                <w:kern w:val="0"/>
                <w:szCs w:val="21"/>
                <w:highlight w:val="none"/>
              </w:rPr>
            </w:pPr>
          </w:p>
        </w:tc>
      </w:tr>
      <w:tr w14:paraId="196B9F24">
        <w:tblPrEx>
          <w:tblCellMar>
            <w:top w:w="0" w:type="dxa"/>
            <w:left w:w="0" w:type="dxa"/>
            <w:bottom w:w="0" w:type="dxa"/>
            <w:right w:w="0" w:type="dxa"/>
          </w:tblCellMar>
        </w:tblPrEx>
        <w:trPr>
          <w:trHeight w:val="693" w:hRule="atLeast"/>
          <w:jc w:val="center"/>
        </w:trPr>
        <w:tc>
          <w:tcPr>
            <w:tcW w:w="133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4F94699">
            <w:pPr>
              <w:widowControl/>
              <w:snapToGrid w:val="0"/>
              <w:spacing w:before="100" w:beforeAutospacing="1" w:after="100" w:afterAutospacing="1" w:line="320" w:lineRule="atLeast"/>
              <w:jc w:val="left"/>
              <w:rPr>
                <w:rFonts w:cs="宋体" w:asciiTheme="minorEastAsia" w:hAnsiTheme="minorEastAsia" w:eastAsiaTheme="minorEastAsia"/>
                <w:color w:val="auto"/>
                <w:kern w:val="0"/>
                <w:szCs w:val="21"/>
                <w:highlight w:val="none"/>
              </w:rPr>
            </w:pPr>
            <w:r>
              <w:rPr>
                <w:rFonts w:cs="宋体" w:asciiTheme="minorEastAsia" w:hAnsiTheme="minorEastAsia" w:eastAsiaTheme="minorEastAsia"/>
                <w:color w:val="auto"/>
                <w:kern w:val="0"/>
                <w:szCs w:val="21"/>
                <w:highlight w:val="none"/>
              </w:rPr>
              <w:t>验收具体内容</w:t>
            </w:r>
          </w:p>
        </w:tc>
        <w:tc>
          <w:tcPr>
            <w:tcW w:w="7599" w:type="dxa"/>
            <w:gridSpan w:val="7"/>
            <w:tcBorders>
              <w:top w:val="nil"/>
              <w:left w:val="nil"/>
              <w:bottom w:val="single" w:color="auto" w:sz="8" w:space="0"/>
              <w:right w:val="single" w:color="auto" w:sz="8" w:space="0"/>
            </w:tcBorders>
            <w:tcMar>
              <w:top w:w="0" w:type="dxa"/>
              <w:left w:w="108" w:type="dxa"/>
              <w:bottom w:w="0" w:type="dxa"/>
              <w:right w:w="108" w:type="dxa"/>
            </w:tcMar>
            <w:vAlign w:val="center"/>
          </w:tcPr>
          <w:p w14:paraId="18B6A5C1">
            <w:pPr>
              <w:widowControl/>
              <w:snapToGrid w:val="0"/>
              <w:spacing w:before="100" w:beforeAutospacing="1" w:after="100" w:afterAutospacing="1" w:line="320" w:lineRule="atLeast"/>
              <w:jc w:val="left"/>
              <w:rPr>
                <w:rFonts w:cs="宋体" w:asciiTheme="minorEastAsia" w:hAnsiTheme="minorEastAsia" w:eastAsiaTheme="minorEastAsia"/>
                <w:color w:val="auto"/>
                <w:kern w:val="0"/>
                <w:szCs w:val="21"/>
                <w:highlight w:val="none"/>
              </w:rPr>
            </w:pPr>
            <w:r>
              <w:rPr>
                <w:rFonts w:cs="宋体" w:asciiTheme="minorEastAsia" w:hAnsiTheme="minorEastAsia" w:eastAsiaTheme="minorEastAsia"/>
                <w:color w:val="auto"/>
                <w:kern w:val="0"/>
                <w:szCs w:val="21"/>
                <w:highlight w:val="none"/>
              </w:rPr>
              <w:t>（应按采购合同、采购文件、投标响应文件及验收方案等进行验收；并核对中标或者成交供应商在安装调试等方面是否违反合同约定或服务规范要求、提供的质量保证证明材料是否齐全、应有的配件及附件是否达到合同约定等。可附件)</w:t>
            </w:r>
          </w:p>
        </w:tc>
      </w:tr>
      <w:tr w14:paraId="7B078D4C">
        <w:tblPrEx>
          <w:tblCellMar>
            <w:top w:w="0" w:type="dxa"/>
            <w:left w:w="0" w:type="dxa"/>
            <w:bottom w:w="0" w:type="dxa"/>
            <w:right w:w="0" w:type="dxa"/>
          </w:tblCellMar>
        </w:tblPrEx>
        <w:trPr>
          <w:trHeight w:val="1281" w:hRule="atLeast"/>
          <w:jc w:val="center"/>
        </w:trPr>
        <w:tc>
          <w:tcPr>
            <w:tcW w:w="1331"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E9E2A0C">
            <w:pPr>
              <w:widowControl/>
              <w:spacing w:before="100" w:beforeAutospacing="1" w:after="100" w:afterAutospacing="1" w:line="320" w:lineRule="atLeast"/>
              <w:jc w:val="left"/>
              <w:rPr>
                <w:rFonts w:cs="宋体" w:asciiTheme="minorEastAsia" w:hAnsiTheme="minorEastAsia" w:eastAsiaTheme="minorEastAsia"/>
                <w:color w:val="auto"/>
                <w:kern w:val="0"/>
                <w:szCs w:val="21"/>
                <w:highlight w:val="none"/>
              </w:rPr>
            </w:pPr>
            <w:r>
              <w:rPr>
                <w:rFonts w:cs="宋体" w:asciiTheme="minorEastAsia" w:hAnsiTheme="minorEastAsia" w:eastAsiaTheme="minorEastAsia"/>
                <w:color w:val="auto"/>
                <w:kern w:val="0"/>
                <w:szCs w:val="21"/>
                <w:highlight w:val="none"/>
              </w:rPr>
              <w:t>验收小组意见</w:t>
            </w:r>
          </w:p>
        </w:tc>
        <w:tc>
          <w:tcPr>
            <w:tcW w:w="7599" w:type="dxa"/>
            <w:gridSpan w:val="7"/>
            <w:tcBorders>
              <w:top w:val="nil"/>
              <w:left w:val="nil"/>
              <w:bottom w:val="single" w:color="auto" w:sz="8" w:space="0"/>
              <w:right w:val="single" w:color="auto" w:sz="8" w:space="0"/>
            </w:tcBorders>
            <w:vAlign w:val="center"/>
          </w:tcPr>
          <w:p w14:paraId="5F14F261">
            <w:pPr>
              <w:widowControl/>
              <w:spacing w:before="100" w:beforeAutospacing="1" w:after="100" w:afterAutospacing="1" w:line="320" w:lineRule="atLeast"/>
              <w:jc w:val="left"/>
              <w:rPr>
                <w:rFonts w:cs="宋体" w:asciiTheme="minorEastAsia" w:hAnsiTheme="minorEastAsia" w:eastAsiaTheme="minorEastAsia"/>
                <w:color w:val="auto"/>
                <w:kern w:val="0"/>
                <w:szCs w:val="21"/>
                <w:highlight w:val="none"/>
              </w:rPr>
            </w:pPr>
            <w:r>
              <w:rPr>
                <w:rFonts w:cs="宋体" w:asciiTheme="minorEastAsia" w:hAnsiTheme="minorEastAsia" w:eastAsiaTheme="minorEastAsia"/>
                <w:color w:val="auto"/>
                <w:kern w:val="0"/>
                <w:szCs w:val="21"/>
                <w:highlight w:val="none"/>
              </w:rPr>
              <w:t>验收结论性意见：</w:t>
            </w:r>
          </w:p>
        </w:tc>
      </w:tr>
      <w:tr w14:paraId="68657ACD">
        <w:tblPrEx>
          <w:tblCellMar>
            <w:top w:w="0" w:type="dxa"/>
            <w:left w:w="0" w:type="dxa"/>
            <w:bottom w:w="0" w:type="dxa"/>
            <w:right w:w="0" w:type="dxa"/>
          </w:tblCellMar>
        </w:tblPrEx>
        <w:trPr>
          <w:trHeight w:val="607" w:hRule="atLeast"/>
          <w:jc w:val="center"/>
        </w:trPr>
        <w:tc>
          <w:tcPr>
            <w:tcW w:w="1331" w:type="dxa"/>
            <w:vMerge w:val="continue"/>
            <w:tcBorders>
              <w:top w:val="nil"/>
              <w:left w:val="single" w:color="auto" w:sz="8" w:space="0"/>
              <w:bottom w:val="single" w:color="auto" w:sz="8" w:space="0"/>
              <w:right w:val="single" w:color="auto" w:sz="8" w:space="0"/>
            </w:tcBorders>
            <w:vAlign w:val="center"/>
          </w:tcPr>
          <w:p w14:paraId="5ED51F25">
            <w:pPr>
              <w:widowControl/>
              <w:jc w:val="left"/>
              <w:rPr>
                <w:rFonts w:cs="宋体" w:asciiTheme="minorEastAsia" w:hAnsiTheme="minorEastAsia" w:eastAsiaTheme="minorEastAsia"/>
                <w:color w:val="auto"/>
                <w:kern w:val="0"/>
                <w:szCs w:val="21"/>
                <w:highlight w:val="none"/>
              </w:rPr>
            </w:pPr>
          </w:p>
        </w:tc>
        <w:tc>
          <w:tcPr>
            <w:tcW w:w="7599" w:type="dxa"/>
            <w:gridSpan w:val="7"/>
            <w:tcBorders>
              <w:top w:val="nil"/>
              <w:left w:val="nil"/>
              <w:bottom w:val="single" w:color="auto" w:sz="8" w:space="0"/>
              <w:right w:val="single" w:color="auto" w:sz="8" w:space="0"/>
            </w:tcBorders>
            <w:vAlign w:val="center"/>
          </w:tcPr>
          <w:p w14:paraId="3897FD38">
            <w:pPr>
              <w:widowControl/>
              <w:spacing w:before="100" w:beforeAutospacing="1" w:after="100" w:afterAutospacing="1" w:line="320" w:lineRule="atLeast"/>
              <w:ind w:firstLine="96"/>
              <w:jc w:val="left"/>
              <w:rPr>
                <w:rFonts w:cs="宋体" w:asciiTheme="minorEastAsia" w:hAnsiTheme="minorEastAsia" w:eastAsiaTheme="minorEastAsia"/>
                <w:color w:val="auto"/>
                <w:kern w:val="0"/>
                <w:szCs w:val="21"/>
                <w:highlight w:val="none"/>
              </w:rPr>
            </w:pPr>
            <w:r>
              <w:rPr>
                <w:rFonts w:cs="宋体" w:asciiTheme="minorEastAsia" w:hAnsiTheme="minorEastAsia" w:eastAsiaTheme="minorEastAsia"/>
                <w:color w:val="auto"/>
                <w:kern w:val="0"/>
                <w:szCs w:val="21"/>
                <w:highlight w:val="none"/>
              </w:rPr>
              <w:t>有异议的意见和说明理由：</w:t>
            </w:r>
          </w:p>
          <w:p w14:paraId="6066C58B">
            <w:pPr>
              <w:widowControl/>
              <w:spacing w:before="100" w:beforeAutospacing="1" w:after="100" w:afterAutospacing="1" w:line="320" w:lineRule="atLeast"/>
              <w:jc w:val="left"/>
              <w:rPr>
                <w:rFonts w:cs="宋体" w:asciiTheme="minorEastAsia" w:hAnsiTheme="minorEastAsia" w:eastAsiaTheme="minorEastAsia"/>
                <w:color w:val="auto"/>
                <w:kern w:val="0"/>
                <w:szCs w:val="21"/>
                <w:highlight w:val="none"/>
              </w:rPr>
            </w:pPr>
            <w:r>
              <w:rPr>
                <w:rFonts w:cs="宋体" w:asciiTheme="minorEastAsia" w:hAnsiTheme="minorEastAsia" w:eastAsiaTheme="minorEastAsia"/>
                <w:color w:val="auto"/>
                <w:kern w:val="0"/>
                <w:szCs w:val="21"/>
                <w:highlight w:val="none"/>
              </w:rPr>
              <w:t>签字：</w:t>
            </w:r>
          </w:p>
        </w:tc>
      </w:tr>
      <w:tr w14:paraId="484B001D">
        <w:tblPrEx>
          <w:tblCellMar>
            <w:top w:w="0" w:type="dxa"/>
            <w:left w:w="0" w:type="dxa"/>
            <w:bottom w:w="0" w:type="dxa"/>
            <w:right w:w="0" w:type="dxa"/>
          </w:tblCellMar>
        </w:tblPrEx>
        <w:trPr>
          <w:trHeight w:val="507" w:hRule="atLeast"/>
          <w:jc w:val="center"/>
        </w:trPr>
        <w:tc>
          <w:tcPr>
            <w:tcW w:w="8930" w:type="dxa"/>
            <w:gridSpan w:val="8"/>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D0C678F">
            <w:pPr>
              <w:widowControl/>
              <w:spacing w:before="100" w:beforeAutospacing="1" w:after="100" w:afterAutospacing="1" w:line="320" w:lineRule="atLeast"/>
              <w:jc w:val="left"/>
              <w:rPr>
                <w:rFonts w:cs="宋体" w:asciiTheme="minorEastAsia" w:hAnsiTheme="minorEastAsia" w:eastAsiaTheme="minorEastAsia"/>
                <w:color w:val="auto"/>
                <w:kern w:val="0"/>
                <w:szCs w:val="21"/>
                <w:highlight w:val="none"/>
              </w:rPr>
            </w:pPr>
            <w:r>
              <w:rPr>
                <w:rFonts w:cs="宋体" w:asciiTheme="minorEastAsia" w:hAnsiTheme="minorEastAsia" w:eastAsiaTheme="minorEastAsia"/>
                <w:color w:val="auto"/>
                <w:kern w:val="0"/>
                <w:szCs w:val="21"/>
                <w:highlight w:val="none"/>
              </w:rPr>
              <w:t>验收小组成员签字：</w:t>
            </w:r>
          </w:p>
        </w:tc>
      </w:tr>
      <w:tr w14:paraId="45EAD82C">
        <w:tblPrEx>
          <w:tblCellMar>
            <w:top w:w="0" w:type="dxa"/>
            <w:left w:w="0" w:type="dxa"/>
            <w:bottom w:w="0" w:type="dxa"/>
            <w:right w:w="0" w:type="dxa"/>
          </w:tblCellMar>
        </w:tblPrEx>
        <w:trPr>
          <w:trHeight w:val="736" w:hRule="atLeast"/>
          <w:jc w:val="center"/>
        </w:trPr>
        <w:tc>
          <w:tcPr>
            <w:tcW w:w="8930" w:type="dxa"/>
            <w:gridSpan w:val="8"/>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A1F2011">
            <w:pPr>
              <w:widowControl/>
              <w:spacing w:before="100" w:beforeAutospacing="1" w:after="100" w:afterAutospacing="1" w:line="320" w:lineRule="atLeast"/>
              <w:jc w:val="left"/>
              <w:rPr>
                <w:rFonts w:cs="宋体" w:asciiTheme="minorEastAsia" w:hAnsiTheme="minorEastAsia" w:eastAsiaTheme="minorEastAsia"/>
                <w:color w:val="auto"/>
                <w:kern w:val="0"/>
                <w:szCs w:val="21"/>
                <w:highlight w:val="none"/>
              </w:rPr>
            </w:pPr>
            <w:r>
              <w:rPr>
                <w:rFonts w:cs="宋体" w:asciiTheme="minorEastAsia" w:hAnsiTheme="minorEastAsia" w:eastAsiaTheme="minorEastAsia"/>
                <w:color w:val="auto"/>
                <w:kern w:val="0"/>
                <w:szCs w:val="21"/>
                <w:highlight w:val="none"/>
              </w:rPr>
              <w:t>监督人员或其他相关人员签字：</w:t>
            </w:r>
          </w:p>
          <w:p w14:paraId="4B19AE04">
            <w:pPr>
              <w:widowControl/>
              <w:spacing w:before="100" w:beforeAutospacing="1" w:after="100" w:afterAutospacing="1" w:line="320" w:lineRule="atLeast"/>
              <w:ind w:firstLine="74"/>
              <w:jc w:val="left"/>
              <w:rPr>
                <w:rFonts w:cs="宋体" w:asciiTheme="minorEastAsia" w:hAnsiTheme="minorEastAsia" w:eastAsiaTheme="minorEastAsia"/>
                <w:color w:val="auto"/>
                <w:kern w:val="0"/>
                <w:szCs w:val="21"/>
                <w:highlight w:val="none"/>
              </w:rPr>
            </w:pPr>
            <w:r>
              <w:rPr>
                <w:rFonts w:cs="宋体" w:asciiTheme="minorEastAsia" w:hAnsiTheme="minorEastAsia" w:eastAsiaTheme="minorEastAsia"/>
                <w:color w:val="auto"/>
                <w:kern w:val="0"/>
                <w:szCs w:val="21"/>
                <w:highlight w:val="none"/>
              </w:rPr>
              <w:t>或受邀机构的意见（盖章）：</w:t>
            </w:r>
          </w:p>
        </w:tc>
      </w:tr>
      <w:tr w14:paraId="745B33CD">
        <w:tblPrEx>
          <w:tblCellMar>
            <w:top w:w="0" w:type="dxa"/>
            <w:left w:w="0" w:type="dxa"/>
            <w:bottom w:w="0" w:type="dxa"/>
            <w:right w:w="0" w:type="dxa"/>
          </w:tblCellMar>
        </w:tblPrEx>
        <w:trPr>
          <w:trHeight w:val="1879" w:hRule="atLeast"/>
          <w:jc w:val="center"/>
        </w:trPr>
        <w:tc>
          <w:tcPr>
            <w:tcW w:w="4152" w:type="dxa"/>
            <w:gridSpan w:val="4"/>
            <w:tcBorders>
              <w:top w:val="nil"/>
              <w:left w:val="single" w:color="auto" w:sz="8" w:space="0"/>
              <w:bottom w:val="single" w:color="auto" w:sz="8" w:space="0"/>
              <w:right w:val="nil"/>
            </w:tcBorders>
            <w:tcMar>
              <w:top w:w="0" w:type="dxa"/>
              <w:left w:w="108" w:type="dxa"/>
              <w:bottom w:w="0" w:type="dxa"/>
              <w:right w:w="108" w:type="dxa"/>
            </w:tcMar>
            <w:vAlign w:val="center"/>
          </w:tcPr>
          <w:p w14:paraId="05B7BF51">
            <w:pPr>
              <w:widowControl/>
              <w:spacing w:before="100" w:beforeAutospacing="1" w:after="100" w:afterAutospacing="1" w:line="320" w:lineRule="atLeast"/>
              <w:ind w:firstLine="74"/>
              <w:jc w:val="left"/>
              <w:rPr>
                <w:rFonts w:cs="宋体" w:asciiTheme="minorEastAsia" w:hAnsiTheme="minorEastAsia" w:eastAsiaTheme="minorEastAsia"/>
                <w:color w:val="auto"/>
                <w:kern w:val="0"/>
                <w:szCs w:val="21"/>
                <w:highlight w:val="none"/>
              </w:rPr>
            </w:pPr>
            <w:r>
              <w:rPr>
                <w:rFonts w:cs="宋体" w:asciiTheme="minorEastAsia" w:hAnsiTheme="minorEastAsia" w:eastAsiaTheme="minorEastAsia"/>
                <w:color w:val="auto"/>
                <w:kern w:val="0"/>
                <w:szCs w:val="21"/>
                <w:highlight w:val="none"/>
              </w:rPr>
              <w:t>中标或者成交供应商负责人签字或盖章：</w:t>
            </w:r>
            <w:r>
              <w:rPr>
                <w:rFonts w:hint="eastAsia" w:cs="宋体" w:asciiTheme="minorEastAsia" w:hAnsiTheme="minorEastAsia" w:eastAsiaTheme="minorEastAsia"/>
                <w:color w:val="auto"/>
                <w:kern w:val="0"/>
                <w:szCs w:val="21"/>
                <w:highlight w:val="none"/>
              </w:rPr>
              <w:t xml:space="preserve">   </w:t>
            </w:r>
          </w:p>
          <w:p w14:paraId="213AC3AA">
            <w:pPr>
              <w:widowControl/>
              <w:spacing w:before="100" w:beforeAutospacing="1" w:after="100" w:afterAutospacing="1" w:line="320" w:lineRule="atLeast"/>
              <w:jc w:val="left"/>
              <w:rPr>
                <w:rFonts w:cs="宋体" w:asciiTheme="minorEastAsia" w:hAnsiTheme="minorEastAsia" w:eastAsiaTheme="minorEastAsia"/>
                <w:color w:val="auto"/>
                <w:kern w:val="0"/>
                <w:szCs w:val="21"/>
                <w:highlight w:val="none"/>
              </w:rPr>
            </w:pPr>
          </w:p>
          <w:p w14:paraId="4F3515E1">
            <w:pPr>
              <w:widowControl/>
              <w:spacing w:before="100" w:beforeAutospacing="1" w:after="100" w:afterAutospacing="1" w:line="320" w:lineRule="atLeast"/>
              <w:ind w:firstLine="315" w:firstLineChars="150"/>
              <w:jc w:val="left"/>
              <w:rPr>
                <w:rFonts w:cs="宋体" w:asciiTheme="minorEastAsia" w:hAnsiTheme="minorEastAsia" w:eastAsiaTheme="minorEastAsia"/>
                <w:color w:val="auto"/>
                <w:kern w:val="0"/>
                <w:szCs w:val="21"/>
                <w:highlight w:val="none"/>
              </w:rPr>
            </w:pPr>
            <w:r>
              <w:rPr>
                <w:rFonts w:cs="宋体" w:asciiTheme="minorEastAsia" w:hAnsiTheme="minorEastAsia" w:eastAsiaTheme="minorEastAsia"/>
                <w:color w:val="auto"/>
                <w:kern w:val="0"/>
                <w:szCs w:val="21"/>
                <w:highlight w:val="none"/>
              </w:rPr>
              <w:t>联系电话：</w:t>
            </w:r>
            <w:r>
              <w:rPr>
                <w:rFonts w:hint="eastAsia" w:cs="宋体" w:asciiTheme="minorEastAsia" w:hAnsiTheme="minorEastAsia" w:eastAsiaTheme="minorEastAsia"/>
                <w:color w:val="auto"/>
                <w:kern w:val="0"/>
                <w:szCs w:val="21"/>
                <w:highlight w:val="none"/>
              </w:rPr>
              <w:t xml:space="preserve">   </w:t>
            </w:r>
            <w:r>
              <w:rPr>
                <w:rFonts w:cs="宋体" w:asciiTheme="minorEastAsia" w:hAnsiTheme="minorEastAsia" w:eastAsiaTheme="minorEastAsia"/>
                <w:color w:val="auto"/>
                <w:kern w:val="0"/>
                <w:szCs w:val="21"/>
                <w:highlight w:val="none"/>
              </w:rPr>
              <w:t xml:space="preserve"> 年 </w:t>
            </w:r>
            <w:r>
              <w:rPr>
                <w:rFonts w:hint="eastAsia" w:cs="宋体" w:asciiTheme="minorEastAsia" w:hAnsiTheme="minorEastAsia" w:eastAsiaTheme="minorEastAsia"/>
                <w:color w:val="auto"/>
                <w:kern w:val="0"/>
                <w:szCs w:val="21"/>
                <w:highlight w:val="none"/>
              </w:rPr>
              <w:t xml:space="preserve">   </w:t>
            </w:r>
            <w:r>
              <w:rPr>
                <w:rFonts w:cs="宋体" w:asciiTheme="minorEastAsia" w:hAnsiTheme="minorEastAsia" w:eastAsiaTheme="minorEastAsia"/>
                <w:color w:val="auto"/>
                <w:kern w:val="0"/>
                <w:szCs w:val="21"/>
                <w:highlight w:val="none"/>
              </w:rPr>
              <w:t>月</w:t>
            </w:r>
            <w:r>
              <w:rPr>
                <w:rFonts w:hint="eastAsia" w:cs="宋体" w:asciiTheme="minorEastAsia" w:hAnsiTheme="minorEastAsia" w:eastAsiaTheme="minorEastAsia"/>
                <w:color w:val="auto"/>
                <w:kern w:val="0"/>
                <w:szCs w:val="21"/>
                <w:highlight w:val="none"/>
              </w:rPr>
              <w:t xml:space="preserve">   </w:t>
            </w:r>
            <w:r>
              <w:rPr>
                <w:rFonts w:cs="宋体" w:asciiTheme="minorEastAsia" w:hAnsiTheme="minorEastAsia" w:eastAsiaTheme="minorEastAsia"/>
                <w:color w:val="auto"/>
                <w:kern w:val="0"/>
                <w:szCs w:val="21"/>
                <w:highlight w:val="none"/>
              </w:rPr>
              <w:t xml:space="preserve"> 日</w:t>
            </w:r>
          </w:p>
        </w:tc>
        <w:tc>
          <w:tcPr>
            <w:tcW w:w="4778" w:type="dxa"/>
            <w:gridSpan w:val="4"/>
            <w:tcBorders>
              <w:top w:val="nil"/>
              <w:left w:val="nil"/>
              <w:bottom w:val="single" w:color="auto" w:sz="8" w:space="0"/>
              <w:right w:val="single" w:color="auto" w:sz="8" w:space="0"/>
            </w:tcBorders>
            <w:vAlign w:val="center"/>
          </w:tcPr>
          <w:p w14:paraId="486014D3">
            <w:pPr>
              <w:widowControl/>
              <w:spacing w:before="100" w:beforeAutospacing="1" w:after="100" w:afterAutospacing="1" w:line="320" w:lineRule="atLeast"/>
              <w:ind w:firstLine="315" w:firstLineChars="150"/>
              <w:jc w:val="left"/>
              <w:rPr>
                <w:rFonts w:cs="宋体" w:asciiTheme="minorEastAsia" w:hAnsiTheme="minorEastAsia" w:eastAsiaTheme="minorEastAsia"/>
                <w:color w:val="auto"/>
                <w:kern w:val="0"/>
                <w:szCs w:val="21"/>
                <w:highlight w:val="none"/>
              </w:rPr>
            </w:pPr>
            <w:r>
              <w:rPr>
                <w:rFonts w:cs="宋体" w:asciiTheme="minorEastAsia" w:hAnsiTheme="minorEastAsia" w:eastAsiaTheme="minorEastAsia"/>
                <w:color w:val="auto"/>
                <w:kern w:val="0"/>
                <w:szCs w:val="21"/>
                <w:highlight w:val="none"/>
              </w:rPr>
              <w:t>采购人或受托机构的意见（盖章）：</w:t>
            </w:r>
          </w:p>
          <w:p w14:paraId="23384C6F">
            <w:pPr>
              <w:widowControl/>
              <w:spacing w:before="100" w:beforeAutospacing="1" w:after="100" w:afterAutospacing="1" w:line="320" w:lineRule="atLeast"/>
              <w:ind w:firstLine="315" w:firstLineChars="150"/>
              <w:jc w:val="left"/>
              <w:rPr>
                <w:rFonts w:cs="宋体" w:asciiTheme="minorEastAsia" w:hAnsiTheme="minorEastAsia" w:eastAsiaTheme="minorEastAsia"/>
                <w:color w:val="auto"/>
                <w:kern w:val="0"/>
                <w:szCs w:val="21"/>
                <w:highlight w:val="none"/>
              </w:rPr>
            </w:pPr>
          </w:p>
          <w:p w14:paraId="086DDD2A">
            <w:pPr>
              <w:widowControl/>
              <w:spacing w:before="100" w:beforeAutospacing="1" w:after="100" w:afterAutospacing="1" w:line="320" w:lineRule="atLeast"/>
              <w:ind w:firstLine="525" w:firstLineChars="250"/>
              <w:jc w:val="left"/>
              <w:rPr>
                <w:rFonts w:cs="宋体" w:asciiTheme="minorEastAsia" w:hAnsiTheme="minorEastAsia" w:eastAsiaTheme="minorEastAsia"/>
                <w:color w:val="auto"/>
                <w:kern w:val="0"/>
                <w:szCs w:val="21"/>
                <w:highlight w:val="none"/>
              </w:rPr>
            </w:pPr>
            <w:r>
              <w:rPr>
                <w:rFonts w:cs="宋体" w:asciiTheme="minorEastAsia" w:hAnsiTheme="minorEastAsia" w:eastAsiaTheme="minorEastAsia"/>
                <w:color w:val="auto"/>
                <w:kern w:val="0"/>
                <w:szCs w:val="21"/>
                <w:highlight w:val="none"/>
              </w:rPr>
              <w:t xml:space="preserve">联系电话： </w:t>
            </w:r>
            <w:r>
              <w:rPr>
                <w:rFonts w:hint="eastAsia" w:cs="宋体" w:asciiTheme="minorEastAsia" w:hAnsiTheme="minorEastAsia" w:eastAsiaTheme="minorEastAsia"/>
                <w:color w:val="auto"/>
                <w:kern w:val="0"/>
                <w:szCs w:val="21"/>
                <w:highlight w:val="none"/>
              </w:rPr>
              <w:t xml:space="preserve">    </w:t>
            </w:r>
            <w:r>
              <w:rPr>
                <w:rFonts w:cs="宋体" w:asciiTheme="minorEastAsia" w:hAnsiTheme="minorEastAsia" w:eastAsiaTheme="minorEastAsia"/>
                <w:color w:val="auto"/>
                <w:kern w:val="0"/>
                <w:szCs w:val="21"/>
                <w:highlight w:val="none"/>
              </w:rPr>
              <w:t>年</w:t>
            </w:r>
            <w:r>
              <w:rPr>
                <w:rFonts w:hint="eastAsia" w:cs="宋体" w:asciiTheme="minorEastAsia" w:hAnsiTheme="minorEastAsia" w:eastAsiaTheme="minorEastAsia"/>
                <w:color w:val="auto"/>
                <w:kern w:val="0"/>
                <w:szCs w:val="21"/>
                <w:highlight w:val="none"/>
              </w:rPr>
              <w:t xml:space="preserve">   </w:t>
            </w:r>
            <w:r>
              <w:rPr>
                <w:rFonts w:cs="宋体" w:asciiTheme="minorEastAsia" w:hAnsiTheme="minorEastAsia" w:eastAsiaTheme="minorEastAsia"/>
                <w:color w:val="auto"/>
                <w:kern w:val="0"/>
                <w:szCs w:val="21"/>
                <w:highlight w:val="none"/>
              </w:rPr>
              <w:t xml:space="preserve"> 月</w:t>
            </w:r>
            <w:r>
              <w:rPr>
                <w:rFonts w:hint="eastAsia" w:cs="宋体" w:asciiTheme="minorEastAsia" w:hAnsiTheme="minorEastAsia" w:eastAsiaTheme="minorEastAsia"/>
                <w:color w:val="auto"/>
                <w:kern w:val="0"/>
                <w:szCs w:val="21"/>
                <w:highlight w:val="none"/>
              </w:rPr>
              <w:t xml:space="preserve">  </w:t>
            </w:r>
            <w:r>
              <w:rPr>
                <w:rFonts w:cs="宋体" w:asciiTheme="minorEastAsia" w:hAnsiTheme="minorEastAsia" w:eastAsiaTheme="minorEastAsia"/>
                <w:color w:val="auto"/>
                <w:kern w:val="0"/>
                <w:szCs w:val="21"/>
                <w:highlight w:val="none"/>
              </w:rPr>
              <w:t xml:space="preserve"> 日</w:t>
            </w:r>
          </w:p>
        </w:tc>
      </w:tr>
    </w:tbl>
    <w:p w14:paraId="23DE816F">
      <w:pPr>
        <w:pStyle w:val="27"/>
        <w:snapToGrid w:val="0"/>
        <w:spacing w:line="370" w:lineRule="exact"/>
        <w:ind w:firstLine="315" w:firstLineChars="150"/>
        <w:outlineLvl w:val="2"/>
        <w:rPr>
          <w:rFonts w:hAnsi="宋体" w:cs="宋体"/>
          <w:color w:val="auto"/>
          <w:highlight w:val="none"/>
        </w:rPr>
        <w:sectPr>
          <w:footerReference r:id="rId7" w:type="first"/>
          <w:pgSz w:w="11907" w:h="16840"/>
          <w:pgMar w:top="1304" w:right="1304" w:bottom="1304" w:left="1304" w:header="964" w:footer="737" w:gutter="0"/>
          <w:cols w:space="720" w:num="1"/>
          <w:titlePg/>
          <w:docGrid w:linePitch="312" w:charSpace="0"/>
        </w:sectPr>
      </w:pPr>
    </w:p>
    <w:p w14:paraId="54605ED4">
      <w:pPr>
        <w:spacing w:line="360" w:lineRule="auto"/>
        <w:jc w:val="center"/>
        <w:outlineLvl w:val="0"/>
        <w:rPr>
          <w:rFonts w:asciiTheme="minorEastAsia" w:hAnsiTheme="minorEastAsia" w:eastAsiaTheme="minorEastAsia"/>
          <w:b/>
          <w:color w:val="auto"/>
          <w:sz w:val="44"/>
          <w:szCs w:val="44"/>
          <w:highlight w:val="none"/>
        </w:rPr>
      </w:pPr>
      <w:bookmarkStart w:id="28" w:name="_Toc14068"/>
      <w:r>
        <w:rPr>
          <w:rFonts w:hint="eastAsia" w:asciiTheme="minorEastAsia" w:hAnsiTheme="minorEastAsia" w:eastAsiaTheme="minorEastAsia"/>
          <w:b/>
          <w:color w:val="auto"/>
          <w:sz w:val="44"/>
          <w:szCs w:val="44"/>
          <w:highlight w:val="none"/>
        </w:rPr>
        <w:t>第三章  评审方法</w:t>
      </w:r>
      <w:bookmarkEnd w:id="23"/>
      <w:bookmarkEnd w:id="28"/>
    </w:p>
    <w:p w14:paraId="03AA5713">
      <w:pPr>
        <w:spacing w:line="360" w:lineRule="auto"/>
        <w:ind w:firstLine="422" w:firstLineChars="200"/>
        <w:outlineLvl w:val="1"/>
        <w:rPr>
          <w:rFonts w:hAnsi="宋体"/>
          <w:b/>
          <w:color w:val="auto"/>
          <w:szCs w:val="21"/>
          <w:highlight w:val="none"/>
        </w:rPr>
      </w:pPr>
      <w:bookmarkStart w:id="29" w:name="_Toc3932"/>
      <w:r>
        <w:rPr>
          <w:rFonts w:hint="eastAsia" w:hAnsi="宋体"/>
          <w:b/>
          <w:color w:val="auto"/>
          <w:szCs w:val="21"/>
          <w:highlight w:val="none"/>
        </w:rPr>
        <w:t>一、评审原则：</w:t>
      </w:r>
      <w:bookmarkEnd w:id="29"/>
    </w:p>
    <w:p w14:paraId="193DD841">
      <w:pPr>
        <w:spacing w:line="360" w:lineRule="auto"/>
        <w:ind w:firstLine="420" w:firstLineChars="200"/>
        <w:rPr>
          <w:rFonts w:hAnsi="宋体"/>
          <w:color w:val="auto"/>
          <w:szCs w:val="21"/>
          <w:highlight w:val="none"/>
        </w:rPr>
      </w:pPr>
      <w:r>
        <w:rPr>
          <w:rFonts w:hint="eastAsia" w:hAnsi="宋体"/>
          <w:color w:val="auto"/>
          <w:szCs w:val="21"/>
          <w:highlight w:val="none"/>
        </w:rPr>
        <w:t>（一）磋商小组的构成：本采购项目的磋商小组分别由依法组成的评审专家、采购人代表等三人组成，其中专家人数不少于成员总数的三分之二。</w:t>
      </w:r>
    </w:p>
    <w:p w14:paraId="251A5830">
      <w:pPr>
        <w:spacing w:line="360" w:lineRule="auto"/>
        <w:ind w:firstLine="420" w:firstLineChars="200"/>
        <w:rPr>
          <w:rFonts w:hAnsi="宋体"/>
          <w:color w:val="auto"/>
          <w:szCs w:val="21"/>
          <w:highlight w:val="none"/>
        </w:rPr>
      </w:pPr>
      <w:r>
        <w:rPr>
          <w:rFonts w:hint="eastAsia" w:hAnsi="宋体"/>
          <w:color w:val="auto"/>
          <w:szCs w:val="21"/>
          <w:highlight w:val="none"/>
        </w:rPr>
        <w:t>（二）评审依据：以磋商采购文件、响应文件为评定依据。</w:t>
      </w:r>
    </w:p>
    <w:p w14:paraId="4E2F8647">
      <w:pPr>
        <w:spacing w:line="360" w:lineRule="auto"/>
        <w:ind w:firstLine="420" w:firstLineChars="200"/>
        <w:rPr>
          <w:rFonts w:hAnsi="宋体"/>
          <w:color w:val="auto"/>
          <w:szCs w:val="21"/>
          <w:highlight w:val="none"/>
        </w:rPr>
      </w:pPr>
      <w:r>
        <w:rPr>
          <w:rFonts w:hint="eastAsia" w:hAnsi="宋体"/>
          <w:color w:val="auto"/>
          <w:szCs w:val="21"/>
          <w:highlight w:val="none"/>
        </w:rPr>
        <w:t>（三）本项目专门面向小微企业采购（参加磋商的供应商应符合《政府采购促进中小企业发展管理办法》（财库[2020]46号）中关于中小微企业的相关规定；监狱企业及残疾人福利性单位视同于小微企业），不再执行价格评审优惠的扶持政策。</w:t>
      </w:r>
    </w:p>
    <w:p w14:paraId="28A618A6">
      <w:pPr>
        <w:spacing w:line="360" w:lineRule="auto"/>
        <w:ind w:firstLine="420" w:firstLineChars="200"/>
        <w:rPr>
          <w:rFonts w:hAnsi="宋体"/>
          <w:color w:val="auto"/>
          <w:szCs w:val="21"/>
          <w:highlight w:val="none"/>
        </w:rPr>
      </w:pPr>
      <w:r>
        <w:rPr>
          <w:rFonts w:hint="eastAsia" w:hAnsi="宋体"/>
          <w:color w:val="auto"/>
          <w:szCs w:val="21"/>
          <w:highlight w:val="none"/>
        </w:rPr>
        <w:t>（四）响应文件的报价如果出现计算或表达上的错误，修正错误的原则如下：</w:t>
      </w:r>
    </w:p>
    <w:p w14:paraId="0BE4C069">
      <w:pPr>
        <w:spacing w:line="360" w:lineRule="auto"/>
        <w:ind w:firstLine="420" w:firstLineChars="200"/>
        <w:rPr>
          <w:rFonts w:hAnsi="宋体"/>
          <w:color w:val="auto"/>
          <w:szCs w:val="21"/>
          <w:highlight w:val="none"/>
        </w:rPr>
      </w:pPr>
      <w:r>
        <w:rPr>
          <w:rFonts w:hint="eastAsia" w:hAnsi="宋体"/>
          <w:color w:val="auto"/>
          <w:szCs w:val="21"/>
          <w:highlight w:val="none"/>
        </w:rPr>
        <w:t>1、最终报价表内容与响应文件中相应内容不一致的，以最终报价表为准；</w:t>
      </w:r>
    </w:p>
    <w:p w14:paraId="0647246E">
      <w:pPr>
        <w:spacing w:line="360" w:lineRule="auto"/>
        <w:ind w:firstLine="420" w:firstLineChars="200"/>
        <w:rPr>
          <w:rFonts w:hAnsi="宋体"/>
          <w:color w:val="auto"/>
          <w:szCs w:val="21"/>
          <w:highlight w:val="none"/>
        </w:rPr>
      </w:pPr>
      <w:r>
        <w:rPr>
          <w:rFonts w:hint="eastAsia" w:hAnsi="宋体"/>
          <w:color w:val="auto"/>
          <w:szCs w:val="21"/>
          <w:highlight w:val="none"/>
        </w:rPr>
        <w:t>2、大写金额和小写金额不一致的，以大写金额为准；</w:t>
      </w:r>
    </w:p>
    <w:p w14:paraId="102EF6DC">
      <w:pPr>
        <w:spacing w:line="360" w:lineRule="auto"/>
        <w:ind w:firstLine="420" w:firstLineChars="200"/>
        <w:rPr>
          <w:rFonts w:hAnsi="宋体"/>
          <w:color w:val="auto"/>
          <w:szCs w:val="21"/>
          <w:highlight w:val="none"/>
        </w:rPr>
      </w:pPr>
      <w:r>
        <w:rPr>
          <w:rFonts w:hint="eastAsia" w:hAnsi="宋体"/>
          <w:color w:val="auto"/>
          <w:szCs w:val="21"/>
          <w:highlight w:val="none"/>
        </w:rPr>
        <w:t>3、单价金额小数点或者百分比有明显错位的，以最终报价表的总价为准，并修改单价；</w:t>
      </w:r>
    </w:p>
    <w:p w14:paraId="389D7CD6">
      <w:pPr>
        <w:spacing w:line="360" w:lineRule="auto"/>
        <w:ind w:firstLine="420" w:firstLineChars="200"/>
        <w:rPr>
          <w:rFonts w:hAnsi="宋体"/>
          <w:color w:val="auto"/>
          <w:szCs w:val="21"/>
          <w:highlight w:val="none"/>
        </w:rPr>
      </w:pPr>
      <w:r>
        <w:rPr>
          <w:rFonts w:hint="eastAsia" w:hAnsi="宋体"/>
          <w:color w:val="auto"/>
          <w:szCs w:val="21"/>
          <w:highlight w:val="none"/>
        </w:rPr>
        <w:t>4、总价金额与按单价汇总金额不一致的，以单价金额计算结果为准。</w:t>
      </w:r>
    </w:p>
    <w:p w14:paraId="1A74EA50">
      <w:pPr>
        <w:spacing w:line="360" w:lineRule="auto"/>
        <w:ind w:firstLine="420" w:firstLineChars="200"/>
        <w:rPr>
          <w:rFonts w:hint="eastAsia" w:hAnsi="宋体"/>
          <w:color w:val="auto"/>
          <w:szCs w:val="21"/>
          <w:highlight w:val="none"/>
        </w:rPr>
      </w:pPr>
      <w:r>
        <w:rPr>
          <w:rFonts w:hint="eastAsia" w:hAnsi="宋体"/>
          <w:color w:val="auto"/>
          <w:szCs w:val="21"/>
          <w:highlight w:val="none"/>
        </w:rPr>
        <w:t>同时出现两种以上不一致的，按照前款规定的顺序修正。修正后的报价经供应商确认后产生约束力，供应商不确认的，其磋商无效。</w:t>
      </w:r>
    </w:p>
    <w:p w14:paraId="157222E0">
      <w:pPr>
        <w:spacing w:line="360" w:lineRule="auto"/>
        <w:ind w:firstLine="420" w:firstLineChars="200"/>
        <w:rPr>
          <w:rFonts w:hint="eastAsia" w:hAnsi="宋体"/>
          <w:color w:val="auto"/>
          <w:szCs w:val="21"/>
          <w:highlight w:val="none"/>
          <w:lang w:val="en-US" w:eastAsia="zh-CN"/>
        </w:rPr>
      </w:pPr>
      <w:r>
        <w:rPr>
          <w:rFonts w:hint="eastAsia" w:hAnsi="宋体"/>
          <w:color w:val="auto"/>
          <w:szCs w:val="21"/>
          <w:highlight w:val="none"/>
          <w:lang w:eastAsia="zh-CN"/>
        </w:rPr>
        <w:t>（</w:t>
      </w:r>
      <w:r>
        <w:rPr>
          <w:rFonts w:hint="eastAsia" w:hAnsi="宋体"/>
          <w:color w:val="auto"/>
          <w:szCs w:val="21"/>
          <w:highlight w:val="none"/>
          <w:lang w:val="en-US" w:eastAsia="zh-CN"/>
        </w:rPr>
        <w:t>五） 依据《关于推动解决政府采购异常低价问题的通知》（财库〔2026〕2号）文件要求，政府采购评审中出现下列情形之一的，磋商小组应当启动异常低价响应审查程序：</w:t>
      </w:r>
    </w:p>
    <w:p w14:paraId="023F1275">
      <w:pPr>
        <w:spacing w:line="360" w:lineRule="auto"/>
        <w:ind w:firstLine="420" w:firstLineChars="200"/>
        <w:rPr>
          <w:rFonts w:hint="eastAsia" w:hAnsi="宋体"/>
          <w:color w:val="auto"/>
          <w:szCs w:val="21"/>
          <w:highlight w:val="none"/>
          <w:lang w:val="en-US" w:eastAsia="zh-CN"/>
        </w:rPr>
      </w:pPr>
      <w:r>
        <w:rPr>
          <w:rFonts w:hint="eastAsia" w:hAnsi="宋体"/>
          <w:color w:val="auto"/>
          <w:szCs w:val="21"/>
          <w:highlight w:val="none"/>
          <w:lang w:val="en-US" w:eastAsia="zh-CN"/>
        </w:rPr>
        <w:t>①响应报价低于全部通过符合性审查供应商响应报价平均值50%的，即响应报价〈全部通过符合性审查供应商响应报价平均值×50%；</w:t>
      </w:r>
    </w:p>
    <w:p w14:paraId="05E8A71D">
      <w:pPr>
        <w:spacing w:line="360" w:lineRule="auto"/>
        <w:ind w:firstLine="420" w:firstLineChars="200"/>
        <w:rPr>
          <w:rFonts w:hint="eastAsia" w:hAnsi="宋体"/>
          <w:color w:val="auto"/>
          <w:szCs w:val="21"/>
          <w:highlight w:val="none"/>
          <w:lang w:val="en-US" w:eastAsia="zh-CN"/>
        </w:rPr>
      </w:pPr>
      <w:r>
        <w:rPr>
          <w:rFonts w:hint="eastAsia" w:hAnsi="宋体"/>
          <w:color w:val="auto"/>
          <w:szCs w:val="21"/>
          <w:highlight w:val="none"/>
          <w:lang w:val="en-US" w:eastAsia="zh-CN"/>
        </w:rPr>
        <w:t>②响应报价低于通过符合性审查的次低报价供应商响应报价50%的，即响应报价〈通过符合性审查的次低报价供应商响应报价×50%；</w:t>
      </w:r>
    </w:p>
    <w:p w14:paraId="7DB52BFE">
      <w:pPr>
        <w:spacing w:line="360" w:lineRule="auto"/>
        <w:ind w:firstLine="420" w:firstLineChars="200"/>
        <w:rPr>
          <w:rFonts w:hint="eastAsia" w:hAnsi="宋体"/>
          <w:color w:val="auto"/>
          <w:szCs w:val="21"/>
          <w:highlight w:val="none"/>
          <w:lang w:val="en-US" w:eastAsia="zh-CN"/>
        </w:rPr>
      </w:pPr>
      <w:r>
        <w:rPr>
          <w:rFonts w:hint="eastAsia" w:hAnsi="宋体"/>
          <w:color w:val="auto"/>
          <w:szCs w:val="21"/>
          <w:highlight w:val="none"/>
          <w:lang w:val="en-US" w:eastAsia="zh-CN"/>
        </w:rPr>
        <w:t>③响应报价低于采购项目最高限价45%的，即响应报价＜采购项目最高限价×45%；</w:t>
      </w:r>
    </w:p>
    <w:p w14:paraId="78F5E31F">
      <w:pPr>
        <w:spacing w:line="360" w:lineRule="auto"/>
        <w:ind w:firstLine="420" w:firstLineChars="200"/>
        <w:rPr>
          <w:rFonts w:hint="eastAsia" w:hAnsi="宋体"/>
          <w:color w:val="auto"/>
          <w:szCs w:val="21"/>
          <w:highlight w:val="none"/>
          <w:lang w:val="en-US" w:eastAsia="zh-CN"/>
        </w:rPr>
      </w:pPr>
      <w:r>
        <w:rPr>
          <w:rFonts w:hint="eastAsia" w:hAnsi="宋体"/>
          <w:color w:val="auto"/>
          <w:szCs w:val="21"/>
          <w:highlight w:val="none"/>
          <w:lang w:val="en-US" w:eastAsia="zh-CN"/>
        </w:rPr>
        <w:t>④磋商小组基于专业判断，认为供应商报价过低，有可能影响产品质量或者不能诚信履约的其他情形。</w:t>
      </w:r>
    </w:p>
    <w:p w14:paraId="1A5E7720">
      <w:pPr>
        <w:spacing w:line="360" w:lineRule="auto"/>
        <w:ind w:firstLine="420" w:firstLineChars="200"/>
        <w:rPr>
          <w:rFonts w:hint="eastAsia" w:hAnsi="宋体"/>
          <w:color w:val="auto"/>
          <w:szCs w:val="21"/>
          <w:highlight w:val="none"/>
          <w:lang w:val="en-US" w:eastAsia="zh-CN"/>
        </w:rPr>
      </w:pPr>
      <w:r>
        <w:rPr>
          <w:rFonts w:hint="eastAsia" w:hAnsi="宋体"/>
          <w:color w:val="auto"/>
          <w:szCs w:val="21"/>
          <w:highlight w:val="none"/>
          <w:lang w:val="en-US" w:eastAsia="zh-CN"/>
        </w:rPr>
        <w:t>相关法律法规对供应商报价有规定的，从其规定。</w:t>
      </w:r>
    </w:p>
    <w:p w14:paraId="03C61FA3">
      <w:pPr>
        <w:spacing w:line="360" w:lineRule="auto"/>
        <w:ind w:firstLine="420" w:firstLineChars="200"/>
        <w:rPr>
          <w:rFonts w:hint="eastAsia" w:hAnsi="宋体"/>
          <w:color w:val="auto"/>
          <w:szCs w:val="21"/>
          <w:highlight w:val="none"/>
          <w:lang w:val="en-US" w:eastAsia="zh-CN"/>
        </w:rPr>
      </w:pPr>
      <w:r>
        <w:rPr>
          <w:rFonts w:hint="eastAsia" w:hAnsi="宋体"/>
          <w:color w:val="auto"/>
          <w:szCs w:val="21"/>
          <w:highlight w:val="none"/>
          <w:lang w:val="en-US" w:eastAsia="zh-CN"/>
        </w:rPr>
        <w:t>（六）磋商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3项情形，供应商已随响应文件一并提交相关书面说明及必要的证明材料的，在评审现场可不再重复提交。</w:t>
      </w:r>
    </w:p>
    <w:p w14:paraId="0D33C3A2">
      <w:pPr>
        <w:spacing w:line="360" w:lineRule="auto"/>
        <w:ind w:firstLine="420" w:firstLineChars="200"/>
        <w:rPr>
          <w:rFonts w:hint="eastAsia" w:hAnsi="宋体" w:eastAsia="宋体"/>
          <w:color w:val="auto"/>
          <w:szCs w:val="21"/>
          <w:highlight w:val="none"/>
          <w:lang w:eastAsia="zh-CN"/>
        </w:rPr>
      </w:pPr>
      <w:r>
        <w:rPr>
          <w:rFonts w:hint="eastAsia" w:hAnsi="宋体"/>
          <w:color w:val="auto"/>
          <w:szCs w:val="21"/>
          <w:highlight w:val="none"/>
          <w:lang w:val="en-US" w:eastAsia="zh-CN"/>
        </w:rPr>
        <w:t>磋商小组依据专业经验，参考同类项目中标（成交）价格、类似产品市场价格水平、行业人工费用标准、国家有关部门指导行业协会发布的行业平均成本等情况，对报价合理性进行判断。响应供应商不能提供书面说明、证明材料，或者提供的书面说明、证明材料不能证明其报价合理性的，磋商小组应当将其作为无效响应处理。</w:t>
      </w:r>
    </w:p>
    <w:p w14:paraId="1A116C3A">
      <w:pPr>
        <w:spacing w:line="360" w:lineRule="auto"/>
        <w:ind w:firstLine="420" w:firstLineChars="200"/>
        <w:rPr>
          <w:rFonts w:hAnsi="宋体"/>
          <w:color w:val="auto"/>
          <w:szCs w:val="21"/>
          <w:highlight w:val="none"/>
        </w:rPr>
      </w:pPr>
      <w:r>
        <w:rPr>
          <w:rFonts w:hint="eastAsia" w:hAnsi="宋体"/>
          <w:color w:val="auto"/>
          <w:szCs w:val="21"/>
          <w:highlight w:val="none"/>
        </w:rPr>
        <w:t>（</w:t>
      </w:r>
      <w:r>
        <w:rPr>
          <w:rFonts w:hint="eastAsia" w:hAnsi="宋体"/>
          <w:color w:val="auto"/>
          <w:szCs w:val="21"/>
          <w:highlight w:val="none"/>
          <w:lang w:val="en-US" w:eastAsia="zh-CN"/>
        </w:rPr>
        <w:t>七</w:t>
      </w:r>
      <w:r>
        <w:rPr>
          <w:rFonts w:hint="eastAsia" w:hAnsi="宋体"/>
          <w:color w:val="auto"/>
          <w:szCs w:val="21"/>
          <w:highlight w:val="none"/>
        </w:rPr>
        <w:t>）评审方式：以封闭方式进行。</w:t>
      </w:r>
    </w:p>
    <w:p w14:paraId="5C96091C">
      <w:pPr>
        <w:pStyle w:val="27"/>
        <w:spacing w:line="400" w:lineRule="exact"/>
        <w:ind w:firstLine="525" w:firstLineChars="250"/>
        <w:outlineLvl w:val="1"/>
        <w:rPr>
          <w:rFonts w:hAnsi="宋体"/>
          <w:b/>
          <w:color w:val="auto"/>
          <w:szCs w:val="21"/>
          <w:highlight w:val="none"/>
        </w:rPr>
      </w:pPr>
      <w:bookmarkStart w:id="30" w:name="_Toc28681"/>
      <w:r>
        <w:rPr>
          <w:rFonts w:hint="eastAsia" w:hAnsi="宋体"/>
          <w:color w:val="auto"/>
          <w:szCs w:val="21"/>
          <w:highlight w:val="none"/>
        </w:rPr>
        <w:t>二、</w:t>
      </w:r>
      <w:r>
        <w:rPr>
          <w:rFonts w:hint="eastAsia" w:hAnsi="宋体"/>
          <w:b/>
          <w:color w:val="auto"/>
          <w:szCs w:val="21"/>
          <w:highlight w:val="none"/>
        </w:rPr>
        <w:t>评分标准：</w:t>
      </w:r>
      <w:bookmarkEnd w:id="30"/>
    </w:p>
    <w:p w14:paraId="288F5C79">
      <w:pPr>
        <w:pStyle w:val="27"/>
        <w:spacing w:line="400" w:lineRule="exact"/>
        <w:ind w:firstLine="315" w:firstLineChars="150"/>
        <w:rPr>
          <w:rFonts w:hAnsi="宋体"/>
          <w:color w:val="auto"/>
          <w:highlight w:val="none"/>
        </w:rPr>
      </w:pPr>
      <w:r>
        <w:rPr>
          <w:rFonts w:hint="eastAsia" w:hAnsi="宋体"/>
          <w:color w:val="auto"/>
          <w:highlight w:val="none"/>
        </w:rPr>
        <w:t>（一）对通过资格审查、符合性审查经磋商确定的供应商进行详细评分，采用百分制综合评分法。</w:t>
      </w:r>
    </w:p>
    <w:p w14:paraId="48E42291">
      <w:pPr>
        <w:pStyle w:val="27"/>
        <w:spacing w:line="400" w:lineRule="exact"/>
        <w:ind w:firstLine="315" w:firstLineChars="150"/>
        <w:rPr>
          <w:rFonts w:hAnsi="宋体"/>
          <w:color w:val="auto"/>
          <w:highlight w:val="none"/>
        </w:rPr>
      </w:pPr>
      <w:r>
        <w:rPr>
          <w:rFonts w:hint="eastAsia" w:hAnsi="宋体"/>
          <w:color w:val="auto"/>
          <w:highlight w:val="none"/>
        </w:rPr>
        <w:t>（二）计分办法（按四舍五入取至百分位）：</w:t>
      </w:r>
    </w:p>
    <w:p w14:paraId="22762565">
      <w:pPr>
        <w:pStyle w:val="27"/>
        <w:spacing w:line="400" w:lineRule="exact"/>
        <w:ind w:firstLine="422" w:firstLineChars="200"/>
        <w:rPr>
          <w:rFonts w:hAnsi="宋体"/>
          <w:b/>
          <w:color w:val="auto"/>
          <w:szCs w:val="21"/>
          <w:highlight w:val="none"/>
        </w:rPr>
      </w:pPr>
      <w:r>
        <w:rPr>
          <w:rFonts w:hint="eastAsia" w:hAnsi="宋体"/>
          <w:b/>
          <w:color w:val="auto"/>
          <w:szCs w:val="21"/>
          <w:highlight w:val="none"/>
        </w:rPr>
        <w:t>1、价格分………………………………………………………………………………………满分30分</w:t>
      </w:r>
    </w:p>
    <w:p w14:paraId="7892830B">
      <w:pPr>
        <w:spacing w:line="400" w:lineRule="exact"/>
        <w:ind w:firstLine="420" w:firstLineChars="200"/>
        <w:outlineLvl w:val="0"/>
        <w:rPr>
          <w:rFonts w:hint="eastAsia"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1</w:t>
      </w:r>
      <w:r>
        <w:rPr>
          <w:rFonts w:hint="eastAsia" w:ascii="宋体" w:hAnsi="宋体"/>
          <w:color w:val="auto"/>
          <w:szCs w:val="21"/>
          <w:highlight w:val="none"/>
        </w:rPr>
        <w:t>）评审价为供应商的最后报价，最终成交供应商的成交金额等于最后报价(如有修正，以确认修正后的最后报价为准)。</w:t>
      </w:r>
    </w:p>
    <w:p w14:paraId="1D9FDAA6">
      <w:pPr>
        <w:spacing w:line="400" w:lineRule="exact"/>
        <w:ind w:firstLine="420" w:firstLineChars="200"/>
        <w:outlineLvl w:val="0"/>
        <w:rPr>
          <w:rFonts w:hint="eastAsia"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2</w:t>
      </w:r>
      <w:r>
        <w:rPr>
          <w:rFonts w:hint="eastAsia" w:ascii="宋体" w:hAnsi="宋体"/>
          <w:color w:val="auto"/>
          <w:szCs w:val="21"/>
          <w:highlight w:val="none"/>
        </w:rPr>
        <w:t>）本项目为专门面向小微企业采购的项目，参加本项目磋商的供应商必须为小微企业，或监狱企业，或残疾人福利性单位，否则竞标无效。价格评审时，参加本次项目竞标的供应商不重复享受政策，其评审价=竞标报价。</w:t>
      </w:r>
    </w:p>
    <w:p w14:paraId="177CA71C">
      <w:pPr>
        <w:spacing w:line="400" w:lineRule="exact"/>
        <w:ind w:firstLine="420" w:firstLineChars="200"/>
        <w:outlineLvl w:val="0"/>
        <w:rPr>
          <w:rFonts w:hint="eastAsia"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3</w:t>
      </w:r>
      <w:r>
        <w:rPr>
          <w:rFonts w:hint="eastAsia" w:ascii="宋体" w:hAnsi="宋体"/>
          <w:color w:val="auto"/>
          <w:szCs w:val="21"/>
          <w:highlight w:val="none"/>
        </w:rPr>
        <w:t>）以进入详评的且最后报价最低的供应商的价格为磋商基准价，其价格分为30分。</w:t>
      </w:r>
    </w:p>
    <w:p w14:paraId="71D15EB1">
      <w:pPr>
        <w:pStyle w:val="27"/>
        <w:spacing w:line="400" w:lineRule="exact"/>
        <w:ind w:firstLine="420" w:firstLineChars="200"/>
        <w:rPr>
          <w:color w:val="auto"/>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4</w:t>
      </w:r>
      <w:r>
        <w:rPr>
          <w:rFonts w:hint="eastAsia" w:ascii="宋体" w:hAnsi="宋体"/>
          <w:color w:val="auto"/>
          <w:szCs w:val="21"/>
          <w:highlight w:val="none"/>
        </w:rPr>
        <w:t>）价格分计算公式:报价得分=(基准价/</w:t>
      </w:r>
      <w:r>
        <w:rPr>
          <w:rFonts w:hint="eastAsia" w:ascii="宋体" w:hAnsi="宋体"/>
          <w:color w:val="auto"/>
          <w:szCs w:val="21"/>
          <w:highlight w:val="none"/>
          <w:lang w:val="en-US" w:eastAsia="zh-CN"/>
        </w:rPr>
        <w:t>供应商</w:t>
      </w:r>
      <w:r>
        <w:rPr>
          <w:rFonts w:hint="eastAsia" w:ascii="宋体" w:hAnsi="宋体"/>
          <w:color w:val="auto"/>
          <w:szCs w:val="21"/>
          <w:highlight w:val="none"/>
        </w:rPr>
        <w:t>最后报价)</w:t>
      </w:r>
      <w:r>
        <w:rPr>
          <w:rFonts w:hint="eastAsia" w:ascii="宋体" w:hAnsi="宋体" w:eastAsia="宋体" w:cs="宋体"/>
          <w:color w:val="auto"/>
          <w:szCs w:val="21"/>
          <w:highlight w:val="none"/>
        </w:rPr>
        <w:t>×</w:t>
      </w:r>
      <w:r>
        <w:rPr>
          <w:rFonts w:hint="eastAsia" w:ascii="宋体" w:hAnsi="宋体"/>
          <w:color w:val="auto"/>
          <w:szCs w:val="21"/>
          <w:highlight w:val="none"/>
        </w:rPr>
        <w:t>30分</w:t>
      </w:r>
    </w:p>
    <w:p w14:paraId="42A7CE50">
      <w:pPr>
        <w:pStyle w:val="27"/>
        <w:spacing w:line="400" w:lineRule="exact"/>
        <w:ind w:firstLine="422" w:firstLineChars="200"/>
        <w:rPr>
          <w:rFonts w:hAnsi="宋体"/>
          <w:b/>
          <w:color w:val="auto"/>
          <w:szCs w:val="21"/>
          <w:highlight w:val="none"/>
        </w:rPr>
      </w:pPr>
      <w:r>
        <w:rPr>
          <w:rFonts w:hint="eastAsia" w:hAnsi="宋体"/>
          <w:b/>
          <w:color w:val="auto"/>
          <w:szCs w:val="21"/>
          <w:highlight w:val="none"/>
        </w:rPr>
        <w:t>2、技术分…………………………………………………………………………满分6</w:t>
      </w:r>
      <w:r>
        <w:rPr>
          <w:rFonts w:hint="eastAsia" w:hAnsi="宋体"/>
          <w:b/>
          <w:color w:val="auto"/>
          <w:szCs w:val="21"/>
          <w:highlight w:val="none"/>
          <w:lang w:val="en-US" w:eastAsia="zh-CN"/>
        </w:rPr>
        <w:t>2</w:t>
      </w:r>
      <w:r>
        <w:rPr>
          <w:rFonts w:hint="eastAsia" w:hAnsi="宋体"/>
          <w:b/>
          <w:color w:val="auto"/>
          <w:szCs w:val="21"/>
          <w:highlight w:val="none"/>
        </w:rPr>
        <w:t>分</w:t>
      </w:r>
    </w:p>
    <w:p w14:paraId="5412C600">
      <w:pPr>
        <w:spacing w:line="400" w:lineRule="exact"/>
        <w:ind w:firstLine="527" w:firstLineChars="250"/>
        <w:rPr>
          <w:rFonts w:hAnsi="宋体"/>
          <w:b/>
          <w:color w:val="auto"/>
          <w:szCs w:val="21"/>
          <w:highlight w:val="none"/>
        </w:rPr>
      </w:pPr>
      <w:r>
        <w:rPr>
          <w:rFonts w:hint="eastAsia" w:hAnsi="宋体"/>
          <w:b/>
          <w:color w:val="auto"/>
          <w:szCs w:val="21"/>
          <w:highlight w:val="none"/>
        </w:rPr>
        <w:t>（1）</w:t>
      </w:r>
      <w:r>
        <w:rPr>
          <w:b/>
          <w:color w:val="auto"/>
          <w:szCs w:val="21"/>
          <w:highlight w:val="none"/>
        </w:rPr>
        <w:t>项目管理机构</w:t>
      </w:r>
      <w:r>
        <w:rPr>
          <w:rFonts w:hint="eastAsia"/>
          <w:b/>
          <w:color w:val="auto"/>
          <w:szCs w:val="21"/>
          <w:highlight w:val="none"/>
        </w:rPr>
        <w:t>（</w:t>
      </w:r>
      <w:r>
        <w:rPr>
          <w:rFonts w:hint="eastAsia"/>
          <w:b/>
          <w:color w:val="auto"/>
          <w:szCs w:val="21"/>
          <w:highlight w:val="none"/>
          <w:lang w:val="en-US" w:eastAsia="zh-CN"/>
        </w:rPr>
        <w:t>6</w:t>
      </w:r>
      <w:r>
        <w:rPr>
          <w:rFonts w:hint="eastAsia"/>
          <w:b/>
          <w:color w:val="auto"/>
          <w:szCs w:val="21"/>
          <w:highlight w:val="none"/>
        </w:rPr>
        <w:t>分）</w:t>
      </w:r>
    </w:p>
    <w:p w14:paraId="7703D5E5">
      <w:pPr>
        <w:spacing w:line="400" w:lineRule="exact"/>
        <w:ind w:firstLine="517" w:firstLineChars="245"/>
        <w:rPr>
          <w:rFonts w:hAnsi="宋体"/>
          <w:b/>
          <w:color w:val="auto"/>
          <w:szCs w:val="21"/>
          <w:highlight w:val="none"/>
        </w:rPr>
      </w:pPr>
      <w:r>
        <w:rPr>
          <w:rFonts w:hint="eastAsia" w:hAnsi="宋体"/>
          <w:b/>
          <w:color w:val="auto"/>
          <w:szCs w:val="21"/>
          <w:highlight w:val="none"/>
        </w:rPr>
        <w:t>A．项目经理资信、能力等（</w:t>
      </w:r>
      <w:r>
        <w:rPr>
          <w:rFonts w:hint="eastAsia" w:hAnsi="宋体"/>
          <w:b/>
          <w:color w:val="auto"/>
          <w:szCs w:val="21"/>
          <w:highlight w:val="none"/>
          <w:lang w:val="en-US" w:eastAsia="zh-CN"/>
        </w:rPr>
        <w:t>3</w:t>
      </w:r>
      <w:r>
        <w:rPr>
          <w:rFonts w:hint="eastAsia" w:hAnsi="宋体"/>
          <w:b/>
          <w:color w:val="auto"/>
          <w:szCs w:val="21"/>
          <w:highlight w:val="none"/>
        </w:rPr>
        <w:t>分）</w:t>
      </w:r>
    </w:p>
    <w:p w14:paraId="13EBBBFB">
      <w:pPr>
        <w:spacing w:line="400" w:lineRule="exact"/>
        <w:ind w:firstLine="514" w:firstLineChars="245"/>
        <w:rPr>
          <w:color w:val="auto"/>
          <w:highlight w:val="none"/>
        </w:rPr>
      </w:pPr>
      <w:r>
        <w:rPr>
          <w:rFonts w:hint="eastAsia"/>
          <w:color w:val="auto"/>
          <w:highlight w:val="none"/>
        </w:rPr>
        <w:t>拟派任项目经理必须与资格审查合格通过的项目经理在名称、专业、资格等级等方面一致。</w:t>
      </w:r>
    </w:p>
    <w:p w14:paraId="2CDB15D3">
      <w:pPr>
        <w:spacing w:line="400" w:lineRule="exact"/>
        <w:ind w:firstLine="514" w:firstLineChars="245"/>
        <w:rPr>
          <w:rFonts w:hint="eastAsia" w:ascii="宋体" w:eastAsia="宋体" w:cs="Times New Roman"/>
          <w:color w:val="auto"/>
          <w:highlight w:val="none"/>
        </w:rPr>
      </w:pPr>
      <w:r>
        <w:rPr>
          <w:rFonts w:hint="default" w:ascii="宋体" w:eastAsia="宋体" w:cs="Times New Roman"/>
          <w:color w:val="auto"/>
          <w:highlight w:val="none"/>
        </w:rPr>
        <w:t>①</w:t>
      </w:r>
      <w:r>
        <w:rPr>
          <w:rFonts w:hint="eastAsia" w:ascii="宋体" w:eastAsia="宋体" w:cs="Times New Roman"/>
          <w:color w:val="auto"/>
          <w:highlight w:val="none"/>
        </w:rPr>
        <w:t>项目经理职称：具有工程类</w:t>
      </w:r>
      <w:r>
        <w:rPr>
          <w:rFonts w:hint="eastAsia" w:ascii="宋体" w:eastAsia="宋体" w:cs="Times New Roman"/>
          <w:color w:val="auto"/>
          <w:highlight w:val="none"/>
          <w:lang w:val="en-US" w:eastAsia="zh-CN"/>
        </w:rPr>
        <w:t>初</w:t>
      </w:r>
      <w:r>
        <w:rPr>
          <w:rFonts w:hint="eastAsia" w:ascii="宋体" w:eastAsia="宋体" w:cs="Times New Roman"/>
          <w:color w:val="auto"/>
          <w:highlight w:val="none"/>
        </w:rPr>
        <w:t>级职称的得</w:t>
      </w:r>
      <w:r>
        <w:rPr>
          <w:rFonts w:hint="eastAsia" w:ascii="宋体" w:eastAsia="宋体" w:cs="Times New Roman"/>
          <w:color w:val="auto"/>
          <w:highlight w:val="none"/>
          <w:lang w:val="en-US" w:eastAsia="zh-CN"/>
        </w:rPr>
        <w:t>1</w:t>
      </w:r>
      <w:r>
        <w:rPr>
          <w:rFonts w:hint="eastAsia" w:ascii="宋体" w:eastAsia="宋体" w:cs="Times New Roman"/>
          <w:color w:val="auto"/>
          <w:highlight w:val="none"/>
        </w:rPr>
        <w:t>分</w:t>
      </w:r>
      <w:r>
        <w:rPr>
          <w:rFonts w:hint="eastAsia" w:ascii="宋体" w:eastAsia="宋体" w:cs="Times New Roman"/>
          <w:color w:val="auto"/>
          <w:highlight w:val="none"/>
          <w:lang w:eastAsia="zh-CN"/>
        </w:rPr>
        <w:t>；</w:t>
      </w:r>
      <w:r>
        <w:rPr>
          <w:rFonts w:hint="eastAsia" w:ascii="宋体" w:eastAsia="宋体" w:cs="Times New Roman"/>
          <w:color w:val="auto"/>
          <w:highlight w:val="none"/>
        </w:rPr>
        <w:t>具有工程类</w:t>
      </w:r>
      <w:r>
        <w:rPr>
          <w:rFonts w:hint="eastAsia" w:ascii="宋体" w:eastAsia="宋体" w:cs="Times New Roman"/>
          <w:color w:val="auto"/>
          <w:highlight w:val="none"/>
          <w:lang w:val="en-US" w:eastAsia="zh-CN"/>
        </w:rPr>
        <w:t>中</w:t>
      </w:r>
      <w:r>
        <w:rPr>
          <w:rFonts w:hint="eastAsia" w:ascii="宋体" w:eastAsia="宋体" w:cs="Times New Roman"/>
          <w:color w:val="auto"/>
          <w:highlight w:val="none"/>
        </w:rPr>
        <w:t>级（含）以上职称的</w:t>
      </w:r>
      <w:r>
        <w:rPr>
          <w:rFonts w:hint="eastAsia" w:ascii="宋体" w:eastAsia="宋体" w:cs="Times New Roman"/>
          <w:color w:val="auto"/>
          <w:highlight w:val="none"/>
          <w:lang w:eastAsia="zh-CN"/>
        </w:rPr>
        <w:t>得</w:t>
      </w:r>
      <w:r>
        <w:rPr>
          <w:rFonts w:hint="eastAsia" w:ascii="宋体" w:eastAsia="宋体" w:cs="Times New Roman"/>
          <w:color w:val="auto"/>
          <w:highlight w:val="none"/>
          <w:lang w:val="en-US" w:eastAsia="zh-CN"/>
        </w:rPr>
        <w:t>3分；</w:t>
      </w:r>
      <w:r>
        <w:rPr>
          <w:rFonts w:hint="eastAsia" w:ascii="宋体" w:eastAsia="宋体" w:cs="Times New Roman"/>
          <w:color w:val="auto"/>
          <w:highlight w:val="none"/>
        </w:rPr>
        <w:t>满分</w:t>
      </w:r>
      <w:r>
        <w:rPr>
          <w:rFonts w:hint="eastAsia" w:ascii="宋体" w:eastAsia="宋体" w:cs="Times New Roman"/>
          <w:color w:val="auto"/>
          <w:highlight w:val="none"/>
          <w:lang w:val="en-US" w:eastAsia="zh-CN"/>
        </w:rPr>
        <w:t>3</w:t>
      </w:r>
      <w:r>
        <w:rPr>
          <w:rFonts w:hint="eastAsia" w:ascii="宋体" w:eastAsia="宋体" w:cs="Times New Roman"/>
          <w:color w:val="auto"/>
          <w:highlight w:val="none"/>
        </w:rPr>
        <w:t>分。</w:t>
      </w:r>
    </w:p>
    <w:p w14:paraId="6B6F4825">
      <w:pPr>
        <w:spacing w:line="400" w:lineRule="exact"/>
        <w:ind w:firstLine="514" w:firstLineChars="245"/>
        <w:rPr>
          <w:rFonts w:hAnsi="宋体"/>
          <w:color w:val="auto"/>
          <w:szCs w:val="21"/>
          <w:highlight w:val="none"/>
        </w:rPr>
      </w:pPr>
      <w:r>
        <w:rPr>
          <w:rFonts w:hint="eastAsia" w:hAnsi="宋体"/>
          <w:color w:val="auto"/>
          <w:szCs w:val="21"/>
          <w:highlight w:val="none"/>
        </w:rPr>
        <w:t>注：未提供</w:t>
      </w:r>
      <w:r>
        <w:rPr>
          <w:rFonts w:hint="eastAsia" w:hAnsi="宋体"/>
          <w:color w:val="auto"/>
          <w:szCs w:val="21"/>
          <w:highlight w:val="none"/>
          <w:lang w:val="en-US" w:eastAsia="zh-CN"/>
        </w:rPr>
        <w:t>2026年1月至今任意一个月社保</w:t>
      </w:r>
      <w:r>
        <w:rPr>
          <w:rFonts w:hint="eastAsia" w:hAnsi="宋体"/>
          <w:color w:val="auto"/>
          <w:szCs w:val="21"/>
          <w:highlight w:val="none"/>
        </w:rPr>
        <w:t>证明的不予计分。</w:t>
      </w:r>
    </w:p>
    <w:p w14:paraId="05D0DF01">
      <w:pPr>
        <w:spacing w:line="400" w:lineRule="exact"/>
        <w:ind w:firstLine="517" w:firstLineChars="245"/>
        <w:rPr>
          <w:rFonts w:hAnsi="宋体"/>
          <w:b/>
          <w:color w:val="auto"/>
          <w:szCs w:val="21"/>
          <w:highlight w:val="none"/>
        </w:rPr>
      </w:pPr>
      <w:r>
        <w:rPr>
          <w:rFonts w:hint="eastAsia" w:hAnsi="宋体"/>
          <w:b/>
          <w:color w:val="auto"/>
          <w:szCs w:val="21"/>
          <w:highlight w:val="none"/>
        </w:rPr>
        <w:t>B．其他人员（</w:t>
      </w:r>
      <w:r>
        <w:rPr>
          <w:rFonts w:hint="eastAsia" w:hAnsi="宋体"/>
          <w:b/>
          <w:color w:val="auto"/>
          <w:szCs w:val="21"/>
          <w:highlight w:val="none"/>
          <w:lang w:val="en-US" w:eastAsia="zh-CN"/>
        </w:rPr>
        <w:t>3</w:t>
      </w:r>
      <w:r>
        <w:rPr>
          <w:rFonts w:hint="eastAsia" w:hAnsi="宋体"/>
          <w:b/>
          <w:color w:val="auto"/>
          <w:szCs w:val="21"/>
          <w:highlight w:val="none"/>
        </w:rPr>
        <w:t>分）</w:t>
      </w:r>
    </w:p>
    <w:p w14:paraId="1ACDDF1F">
      <w:pPr>
        <w:spacing w:line="40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拟投入本项目管理人员配置齐全、专业匹配，且与资格审查提交人员名单保持一致，同时满足以下全部持证要求，得3分：</w:t>
      </w:r>
    </w:p>
    <w:p w14:paraId="7E9C0BB6">
      <w:pPr>
        <w:spacing w:line="400" w:lineRule="exact"/>
        <w:ind w:firstLine="420" w:firstLineChars="200"/>
        <w:rPr>
          <w:rFonts w:hint="eastAsia" w:ascii="宋体" w:hAnsi="宋体" w:eastAsia="宋体" w:cs="Times New Roman"/>
          <w:color w:val="auto"/>
          <w:szCs w:val="21"/>
          <w:highlight w:val="none"/>
        </w:rPr>
      </w:pPr>
      <w:r>
        <w:rPr>
          <w:rFonts w:hint="default" w:ascii="宋体" w:hAnsi="宋体" w:eastAsia="宋体" w:cs="Times New Roman"/>
          <w:color w:val="auto"/>
          <w:szCs w:val="21"/>
          <w:highlight w:val="none"/>
        </w:rPr>
        <w:t>①</w:t>
      </w:r>
      <w:r>
        <w:rPr>
          <w:rFonts w:hint="eastAsia" w:ascii="宋体" w:hAnsi="宋体" w:eastAsia="宋体" w:cs="Times New Roman"/>
          <w:color w:val="auto"/>
          <w:szCs w:val="21"/>
          <w:highlight w:val="none"/>
        </w:rPr>
        <w:t>项目技术负责人：持有工程类中级及以上职称证书；</w:t>
      </w:r>
    </w:p>
    <w:p w14:paraId="15C2BF93">
      <w:pPr>
        <w:spacing w:line="400" w:lineRule="exact"/>
        <w:ind w:firstLine="420" w:firstLineChars="200"/>
        <w:rPr>
          <w:rFonts w:hint="eastAsia" w:ascii="宋体" w:hAnsi="宋体" w:eastAsia="宋体" w:cs="Times New Roman"/>
          <w:color w:val="auto"/>
          <w:szCs w:val="21"/>
          <w:highlight w:val="none"/>
        </w:rPr>
      </w:pPr>
      <w:r>
        <w:rPr>
          <w:rFonts w:hint="default" w:ascii="宋体" w:hAnsi="宋体" w:eastAsia="宋体" w:cs="Times New Roman"/>
          <w:color w:val="auto"/>
          <w:szCs w:val="21"/>
          <w:highlight w:val="none"/>
        </w:rPr>
        <w:t>②</w:t>
      </w:r>
      <w:r>
        <w:rPr>
          <w:rFonts w:hint="eastAsia" w:ascii="宋体" w:hAnsi="宋体" w:eastAsia="宋体" w:cs="Times New Roman"/>
          <w:color w:val="auto"/>
          <w:szCs w:val="21"/>
          <w:highlight w:val="none"/>
        </w:rPr>
        <w:t>施工员、质量员、材料员：持有有效施工现场专业人员职业培训合格证书；</w:t>
      </w:r>
    </w:p>
    <w:p w14:paraId="4392209D">
      <w:pPr>
        <w:spacing w:line="400" w:lineRule="exact"/>
        <w:ind w:firstLine="420" w:firstLineChars="200"/>
        <w:rPr>
          <w:rFonts w:hint="eastAsia" w:ascii="宋体" w:hAnsi="宋体" w:eastAsia="宋体" w:cs="Times New Roman"/>
          <w:color w:val="auto"/>
          <w:szCs w:val="21"/>
          <w:highlight w:val="none"/>
        </w:rPr>
      </w:pPr>
      <w:r>
        <w:rPr>
          <w:rFonts w:hint="default" w:ascii="宋体" w:hAnsi="宋体" w:eastAsia="宋体" w:cs="Times New Roman"/>
          <w:color w:val="auto"/>
          <w:szCs w:val="21"/>
          <w:highlight w:val="none"/>
        </w:rPr>
        <w:t>③</w:t>
      </w:r>
      <w:r>
        <w:rPr>
          <w:rFonts w:hint="eastAsia" w:ascii="宋体" w:hAnsi="宋体" w:eastAsia="宋体" w:cs="Times New Roman"/>
          <w:color w:val="auto"/>
          <w:szCs w:val="21"/>
          <w:highlight w:val="none"/>
        </w:rPr>
        <w:t>专职安全员：持有有效建筑施工企业安全生产管理人员C类证书。</w:t>
      </w:r>
    </w:p>
    <w:p w14:paraId="57044701">
      <w:pPr>
        <w:spacing w:line="400" w:lineRule="exact"/>
        <w:ind w:firstLine="422" w:firstLineChars="200"/>
        <w:rPr>
          <w:rFonts w:hAnsi="宋体"/>
          <w:b/>
          <w:color w:val="auto"/>
          <w:szCs w:val="21"/>
          <w:highlight w:val="none"/>
        </w:rPr>
      </w:pPr>
      <w:r>
        <w:rPr>
          <w:rFonts w:hint="eastAsia" w:hAnsi="宋体"/>
          <w:b/>
          <w:color w:val="auto"/>
          <w:szCs w:val="21"/>
          <w:highlight w:val="none"/>
        </w:rPr>
        <w:t>（2）</w:t>
      </w:r>
      <w:r>
        <w:rPr>
          <w:b/>
          <w:color w:val="auto"/>
          <w:szCs w:val="21"/>
          <w:highlight w:val="none"/>
        </w:rPr>
        <w:t>施工组织设计</w:t>
      </w:r>
      <w:r>
        <w:rPr>
          <w:rFonts w:hint="eastAsia"/>
          <w:b/>
          <w:color w:val="auto"/>
          <w:szCs w:val="21"/>
          <w:highlight w:val="none"/>
        </w:rPr>
        <w:t>（5</w:t>
      </w:r>
      <w:r>
        <w:rPr>
          <w:rFonts w:hint="eastAsia"/>
          <w:b/>
          <w:color w:val="auto"/>
          <w:szCs w:val="21"/>
          <w:highlight w:val="none"/>
          <w:lang w:val="en-US" w:eastAsia="zh-CN"/>
        </w:rPr>
        <w:t>6</w:t>
      </w:r>
      <w:r>
        <w:rPr>
          <w:rFonts w:hint="eastAsia"/>
          <w:b/>
          <w:color w:val="auto"/>
          <w:szCs w:val="21"/>
          <w:highlight w:val="none"/>
        </w:rPr>
        <w:t>分）</w:t>
      </w:r>
    </w:p>
    <w:p w14:paraId="17B592B2">
      <w:pPr>
        <w:spacing w:line="400" w:lineRule="exact"/>
        <w:ind w:firstLine="517" w:firstLineChars="245"/>
        <w:rPr>
          <w:b/>
          <w:color w:val="auto"/>
          <w:kern w:val="0"/>
          <w:szCs w:val="21"/>
          <w:highlight w:val="none"/>
        </w:rPr>
      </w:pPr>
      <w:r>
        <w:rPr>
          <w:rFonts w:hint="eastAsia"/>
          <w:b/>
          <w:color w:val="auto"/>
          <w:kern w:val="0"/>
          <w:szCs w:val="21"/>
          <w:highlight w:val="none"/>
        </w:rPr>
        <w:t>A.</w:t>
      </w:r>
      <w:r>
        <w:rPr>
          <w:b/>
          <w:color w:val="auto"/>
          <w:kern w:val="0"/>
          <w:szCs w:val="21"/>
          <w:highlight w:val="none"/>
        </w:rPr>
        <w:t>主要施工方法</w:t>
      </w:r>
      <w:r>
        <w:rPr>
          <w:rFonts w:hint="eastAsia"/>
          <w:b/>
          <w:color w:val="auto"/>
          <w:kern w:val="0"/>
          <w:szCs w:val="21"/>
          <w:highlight w:val="none"/>
        </w:rPr>
        <w:t>（10分）</w:t>
      </w:r>
    </w:p>
    <w:p w14:paraId="654B2E50">
      <w:pPr>
        <w:spacing w:line="400" w:lineRule="exact"/>
        <w:ind w:firstLine="420" w:firstLineChars="200"/>
        <w:rPr>
          <w:rFonts w:hint="eastAsia" w:hAnsi="宋体"/>
          <w:color w:val="auto"/>
          <w:szCs w:val="21"/>
          <w:highlight w:val="none"/>
        </w:rPr>
      </w:pPr>
      <w:r>
        <w:rPr>
          <w:rFonts w:hint="eastAsia" w:hAnsi="宋体"/>
          <w:color w:val="auto"/>
          <w:szCs w:val="21"/>
          <w:highlight w:val="none"/>
        </w:rPr>
        <w:t>各主要分部施工方法符合项目实际，须有详尽的施工技术方案，工艺先进、方法科学合理、可行，能指导具体施工并确保安全。</w:t>
      </w:r>
    </w:p>
    <w:p w14:paraId="05D7973E">
      <w:pPr>
        <w:spacing w:line="40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一档（10分）：各主要分部施工方法贴合项目现场实际，编制内容详实完备的专项施工技术方案，施工工艺先进成熟，实施思路科学合理、落地性强，针对性突出，可精准指导现场全流程施工作业，全面保障施工质量与作业安全。</w:t>
      </w:r>
    </w:p>
    <w:p w14:paraId="3B153D92">
      <w:pPr>
        <w:spacing w:line="40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二档（7分）：各主要分部施工方法契合项目实际情况，具备完整施工技术方案，施工工艺常规通用，实施方式基本稳妥可行，能够满足现场基础施工指导需求，可有效把控施工安全。</w:t>
      </w:r>
    </w:p>
    <w:p w14:paraId="18CD1E3D">
      <w:pPr>
        <w:spacing w:line="40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三档（4分）：各主要分部施工方法与项目现场实际工况偏差较大，虽已编制施工技术方案，但选用施工工艺、实施方式欠缺合理性与适用性，无法有效指导现场规范施工。</w:t>
      </w:r>
    </w:p>
    <w:p w14:paraId="297015BD">
      <w:pPr>
        <w:spacing w:line="400" w:lineRule="exact"/>
        <w:ind w:firstLine="420" w:firstLineChars="200"/>
        <w:rPr>
          <w:color w:val="auto"/>
          <w:highlight w:val="none"/>
        </w:rPr>
      </w:pPr>
      <w:r>
        <w:rPr>
          <w:rFonts w:hint="eastAsia" w:ascii="宋体" w:hAnsi="宋体" w:eastAsia="宋体" w:cs="Times New Roman"/>
          <w:color w:val="auto"/>
          <w:szCs w:val="21"/>
          <w:highlight w:val="none"/>
        </w:rPr>
        <w:t>四档（1分）：仅简单罗列零散施工相关内容，无完整系统施工思路，内容杂乱无序、逻辑不清，施工思路严重脱离项目实际建设条件，不具备任何现场施工指导价值。</w:t>
      </w:r>
    </w:p>
    <w:p w14:paraId="33E4B11C">
      <w:pPr>
        <w:widowControl/>
        <w:spacing w:line="400" w:lineRule="exact"/>
        <w:ind w:firstLine="517" w:firstLineChars="245"/>
        <w:rPr>
          <w:b/>
          <w:color w:val="auto"/>
          <w:kern w:val="0"/>
          <w:szCs w:val="21"/>
          <w:highlight w:val="none"/>
        </w:rPr>
      </w:pPr>
      <w:r>
        <w:rPr>
          <w:rFonts w:hint="eastAsia"/>
          <w:b/>
          <w:color w:val="auto"/>
          <w:kern w:val="0"/>
          <w:szCs w:val="21"/>
          <w:highlight w:val="none"/>
        </w:rPr>
        <w:t>B.拟投入的主要物资计划（10分）</w:t>
      </w:r>
      <w:r>
        <w:rPr>
          <w:rFonts w:hint="eastAsia"/>
          <w:b/>
          <w:color w:val="auto"/>
          <w:kern w:val="0"/>
          <w:szCs w:val="21"/>
          <w:highlight w:val="none"/>
        </w:rPr>
        <w:tab/>
      </w:r>
    </w:p>
    <w:p w14:paraId="635009C4">
      <w:pPr>
        <w:spacing w:line="400" w:lineRule="exact"/>
        <w:ind w:firstLine="420" w:firstLineChars="200"/>
        <w:rPr>
          <w:rFonts w:hint="eastAsia" w:hAnsi="宋体"/>
          <w:color w:val="auto"/>
          <w:szCs w:val="21"/>
          <w:highlight w:val="none"/>
        </w:rPr>
      </w:pPr>
      <w:r>
        <w:rPr>
          <w:rFonts w:hint="eastAsia" w:hAnsi="宋体"/>
          <w:color w:val="auto"/>
          <w:szCs w:val="21"/>
          <w:highlight w:val="none"/>
        </w:rPr>
        <w:t>投入的施工材料有详细的组织计划且计划周密，数量、选型配置、进场时间安排合理，满足施工需要。</w:t>
      </w:r>
    </w:p>
    <w:p w14:paraId="6A5B4E97">
      <w:pPr>
        <w:spacing w:line="40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一档（10 分）</w:t>
      </w:r>
      <w:r>
        <w:rPr>
          <w:rFonts w:hint="eastAsia" w:hAnsi="宋体" w:cs="Times New Roman"/>
          <w:color w:val="auto"/>
          <w:szCs w:val="21"/>
          <w:highlight w:val="none"/>
          <w:lang w:eastAsia="zh-CN"/>
        </w:rPr>
        <w:t>：</w:t>
      </w:r>
      <w:r>
        <w:rPr>
          <w:rFonts w:hint="eastAsia" w:ascii="宋体" w:hAnsi="宋体" w:eastAsia="宋体" w:cs="Times New Roman"/>
          <w:color w:val="auto"/>
          <w:szCs w:val="21"/>
          <w:highlight w:val="none"/>
        </w:rPr>
        <w:t>投入的施工材料有详细周密的组织计划，配套有充足完善的物资运输保障技术措施，可有效应对雨天、大风天等恶劣天气，保障物资正常运送；材料数量、选型配置、进场时序安排科学合理，可充分全面满足整体施工需求。</w:t>
      </w:r>
    </w:p>
    <w:p w14:paraId="5CA572F1">
      <w:pPr>
        <w:spacing w:line="40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二档（7 分）</w:t>
      </w:r>
      <w:r>
        <w:rPr>
          <w:rFonts w:hint="eastAsia" w:hAnsi="宋体" w:cs="Times New Roman"/>
          <w:color w:val="auto"/>
          <w:szCs w:val="21"/>
          <w:highlight w:val="none"/>
          <w:lang w:eastAsia="zh-CN"/>
        </w:rPr>
        <w:t>：</w:t>
      </w:r>
      <w:r>
        <w:rPr>
          <w:rFonts w:hint="eastAsia" w:ascii="宋体" w:hAnsi="宋体" w:eastAsia="宋体" w:cs="Times New Roman"/>
          <w:color w:val="auto"/>
          <w:szCs w:val="21"/>
          <w:highlight w:val="none"/>
        </w:rPr>
        <w:t>已编制施工材料组织计划，制定有相应物资运输防护措施，可应对常见恶劣天气，基本保障物资运送；材料数量、选型及进场时间安排较为妥当，能够基本满足现场施工需求。</w:t>
      </w:r>
    </w:p>
    <w:p w14:paraId="709CBBA3">
      <w:pPr>
        <w:spacing w:line="40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三档（4 分）</w:t>
      </w:r>
      <w:r>
        <w:rPr>
          <w:rFonts w:hint="eastAsia" w:hAnsi="宋体" w:cs="Times New Roman"/>
          <w:color w:val="auto"/>
          <w:szCs w:val="21"/>
          <w:highlight w:val="none"/>
          <w:lang w:eastAsia="zh-CN"/>
        </w:rPr>
        <w:t>：</w:t>
      </w:r>
      <w:r>
        <w:rPr>
          <w:rFonts w:hint="eastAsia" w:ascii="宋体" w:hAnsi="宋体" w:eastAsia="宋体" w:cs="Times New Roman"/>
          <w:color w:val="auto"/>
          <w:szCs w:val="21"/>
          <w:highlight w:val="none"/>
        </w:rPr>
        <w:t>虽制定有施工材料组织计划，仅简单提及物资运输相关安排，未针对雨天、大风天等天气制定专项技术保障措施；材料各项安排与项目现场实际施工需求存在明显偏差，适配性不足。</w:t>
      </w:r>
    </w:p>
    <w:p w14:paraId="5131BED4">
      <w:pPr>
        <w:spacing w:line="400" w:lineRule="exact"/>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四档（1 分）</w:t>
      </w:r>
      <w:r>
        <w:rPr>
          <w:rFonts w:hint="eastAsia" w:hAnsi="宋体" w:cs="Times New Roman"/>
          <w:color w:val="auto"/>
          <w:szCs w:val="21"/>
          <w:highlight w:val="none"/>
          <w:lang w:eastAsia="zh-CN"/>
        </w:rPr>
        <w:t>：</w:t>
      </w:r>
      <w:r>
        <w:rPr>
          <w:rFonts w:hint="eastAsia" w:ascii="宋体" w:hAnsi="宋体" w:eastAsia="宋体" w:cs="Times New Roman"/>
          <w:color w:val="auto"/>
          <w:szCs w:val="21"/>
          <w:highlight w:val="none"/>
        </w:rPr>
        <w:t>仅粗浅罗列少量材料相关内容，未形成规范完整的材料投入统筹计划，也无任何物资运输及天气应对技术措施；排布混乱缺乏条理，材料配置、进场规划严重脱离项目实际，无法保障施工用料及物资正常运送需求。</w:t>
      </w:r>
    </w:p>
    <w:p w14:paraId="6E204AA9">
      <w:pPr>
        <w:widowControl/>
        <w:spacing w:line="400" w:lineRule="exact"/>
        <w:ind w:firstLine="413" w:firstLineChars="196"/>
        <w:rPr>
          <w:b/>
          <w:color w:val="auto"/>
          <w:kern w:val="0"/>
          <w:szCs w:val="21"/>
          <w:highlight w:val="none"/>
        </w:rPr>
      </w:pPr>
      <w:r>
        <w:rPr>
          <w:rFonts w:hint="eastAsia"/>
          <w:b/>
          <w:color w:val="auto"/>
          <w:kern w:val="0"/>
          <w:szCs w:val="21"/>
          <w:highlight w:val="none"/>
        </w:rPr>
        <w:t>C.劳动力安排计划（6分）</w:t>
      </w:r>
    </w:p>
    <w:p w14:paraId="53D83F63">
      <w:pPr>
        <w:spacing w:line="400" w:lineRule="exact"/>
        <w:ind w:firstLine="420" w:firstLineChars="200"/>
        <w:rPr>
          <w:rFonts w:hint="eastAsia" w:hAnsi="宋体"/>
          <w:color w:val="auto"/>
          <w:szCs w:val="21"/>
          <w:highlight w:val="none"/>
        </w:rPr>
      </w:pPr>
      <w:r>
        <w:rPr>
          <w:rFonts w:hint="eastAsia" w:hAnsi="宋体"/>
          <w:color w:val="auto"/>
          <w:szCs w:val="21"/>
          <w:highlight w:val="none"/>
        </w:rPr>
        <w:t>各主要施工工序应有详细周密的劳动力安排计划，有各工种劳动力安排计划，劳动力投入合理，满足施工需要。</w:t>
      </w:r>
    </w:p>
    <w:p w14:paraId="07DA0FA5">
      <w:pPr>
        <w:spacing w:line="400" w:lineRule="exact"/>
        <w:ind w:firstLine="420" w:firstLineChars="200"/>
        <w:rPr>
          <w:rFonts w:hint="eastAsia" w:hAnsi="宋体"/>
          <w:color w:val="auto"/>
          <w:szCs w:val="21"/>
          <w:highlight w:val="none"/>
        </w:rPr>
      </w:pPr>
      <w:r>
        <w:rPr>
          <w:rFonts w:hint="eastAsia" w:hAnsi="宋体"/>
          <w:color w:val="auto"/>
          <w:szCs w:val="21"/>
          <w:highlight w:val="none"/>
        </w:rPr>
        <w:t>一档（6分）：各主要施工工序贴合施工进度及现场工况，编制详实周密的专项劳动力安排计划，各工种人员划分清晰、配置完备，劳动力投入数量及结构切实合理，针对性与落地性强，可精准统筹全流程人员调配，完好满足施工生产需求。</w:t>
      </w:r>
    </w:p>
    <w:p w14:paraId="30941128">
      <w:pPr>
        <w:spacing w:line="400" w:lineRule="exact"/>
        <w:ind w:firstLine="420" w:firstLineChars="200"/>
        <w:rPr>
          <w:rFonts w:hint="eastAsia" w:hAnsi="宋体"/>
          <w:color w:val="auto"/>
          <w:szCs w:val="21"/>
          <w:highlight w:val="none"/>
        </w:rPr>
      </w:pPr>
      <w:r>
        <w:rPr>
          <w:rFonts w:hint="eastAsia" w:hAnsi="宋体"/>
          <w:color w:val="auto"/>
          <w:szCs w:val="21"/>
          <w:highlight w:val="none"/>
        </w:rPr>
        <w:t>二档（4分）：各主要施工工序契合项目施工要求，具备完整劳动力安排计划，明确各工种人员配置，劳动力投入配比基本稳妥合理，能够满足现场人员调配基础需求，保障施工正常推进。</w:t>
      </w:r>
    </w:p>
    <w:p w14:paraId="3D8D1F9B">
      <w:pPr>
        <w:spacing w:line="400" w:lineRule="exact"/>
        <w:ind w:firstLine="420" w:firstLineChars="200"/>
        <w:rPr>
          <w:rFonts w:hint="eastAsia" w:hAnsi="宋体"/>
          <w:color w:val="auto"/>
          <w:szCs w:val="21"/>
          <w:highlight w:val="none"/>
        </w:rPr>
      </w:pPr>
      <w:r>
        <w:rPr>
          <w:rFonts w:hint="eastAsia" w:hAnsi="宋体"/>
          <w:color w:val="auto"/>
          <w:szCs w:val="21"/>
          <w:highlight w:val="none"/>
        </w:rPr>
        <w:t>三档（2分）：劳动力安排计划内容简略，各工种配置方案模糊，人员排布逻辑欠缺合理性，劳动力投入与施工工序适配度较差，无法有效统筹现场人员调配，难以满足施工进度要求。</w:t>
      </w:r>
    </w:p>
    <w:p w14:paraId="5CCA3E40">
      <w:pPr>
        <w:spacing w:line="400" w:lineRule="exact"/>
        <w:ind w:firstLine="420" w:firstLineChars="200"/>
        <w:rPr>
          <w:rFonts w:hAnsi="宋体"/>
          <w:color w:val="auto"/>
          <w:szCs w:val="21"/>
          <w:highlight w:val="none"/>
        </w:rPr>
      </w:pPr>
      <w:r>
        <w:rPr>
          <w:rFonts w:hint="eastAsia" w:hAnsi="宋体"/>
          <w:color w:val="auto"/>
          <w:szCs w:val="21"/>
          <w:highlight w:val="none"/>
        </w:rPr>
        <w:t>四档（1分）：仅零散罗列人员相关内容，无系统完善的劳动力排布思路，计划内容杂乱无序、逻辑不清，人员投入方案严重脱离施工现场实际，不具备人员调配指导价值。</w:t>
      </w:r>
    </w:p>
    <w:p w14:paraId="15EAB2F1">
      <w:pPr>
        <w:widowControl/>
        <w:spacing w:line="400" w:lineRule="exact"/>
        <w:ind w:firstLine="517" w:firstLineChars="245"/>
        <w:rPr>
          <w:rFonts w:hAnsi="宋体"/>
          <w:b/>
          <w:color w:val="auto"/>
          <w:szCs w:val="21"/>
          <w:highlight w:val="none"/>
        </w:rPr>
      </w:pPr>
      <w:r>
        <w:rPr>
          <w:rFonts w:hint="eastAsia"/>
          <w:b/>
          <w:color w:val="auto"/>
          <w:kern w:val="0"/>
          <w:szCs w:val="21"/>
          <w:highlight w:val="none"/>
        </w:rPr>
        <w:t>D.</w:t>
      </w:r>
      <w:r>
        <w:rPr>
          <w:rFonts w:hint="eastAsia" w:hAnsi="宋体"/>
          <w:b/>
          <w:color w:val="auto"/>
          <w:szCs w:val="21"/>
          <w:highlight w:val="none"/>
        </w:rPr>
        <w:t>确保工程质量的技术组织措施（6分）</w:t>
      </w:r>
      <w:r>
        <w:rPr>
          <w:rFonts w:hint="eastAsia" w:hAnsi="宋体"/>
          <w:b/>
          <w:color w:val="auto"/>
          <w:szCs w:val="21"/>
          <w:highlight w:val="none"/>
        </w:rPr>
        <w:tab/>
      </w:r>
    </w:p>
    <w:p w14:paraId="58743A39">
      <w:pPr>
        <w:spacing w:line="400" w:lineRule="exact"/>
        <w:ind w:firstLine="420" w:firstLineChars="200"/>
        <w:rPr>
          <w:rFonts w:hint="eastAsia" w:hAnsi="宋体"/>
          <w:color w:val="auto"/>
          <w:szCs w:val="21"/>
          <w:highlight w:val="none"/>
        </w:rPr>
      </w:pPr>
      <w:r>
        <w:rPr>
          <w:rFonts w:hint="eastAsia" w:hAnsi="宋体"/>
          <w:color w:val="auto"/>
          <w:szCs w:val="21"/>
          <w:highlight w:val="none"/>
        </w:rPr>
        <w:t>应有专门的质量技术管理班子和制度，且人员配备合理，制度健全。主要工序应有质量技术保证措施和手段，自控体系完整，能有效保证技术质量，达到承诺的质量标准。</w:t>
      </w:r>
    </w:p>
    <w:p w14:paraId="38CB17DF">
      <w:pPr>
        <w:spacing w:line="400" w:lineRule="exact"/>
        <w:ind w:firstLine="420" w:firstLineChars="200"/>
        <w:rPr>
          <w:rFonts w:hint="eastAsia" w:hAnsi="宋体"/>
          <w:color w:val="auto"/>
          <w:szCs w:val="21"/>
          <w:highlight w:val="none"/>
        </w:rPr>
      </w:pPr>
      <w:r>
        <w:rPr>
          <w:rFonts w:hint="eastAsia" w:hAnsi="宋体"/>
          <w:color w:val="auto"/>
          <w:szCs w:val="21"/>
          <w:highlight w:val="none"/>
        </w:rPr>
        <w:t>一档（</w:t>
      </w:r>
      <w:r>
        <w:rPr>
          <w:rFonts w:hint="eastAsia" w:hAnsi="宋体"/>
          <w:color w:val="auto"/>
          <w:szCs w:val="21"/>
          <w:highlight w:val="none"/>
          <w:lang w:val="en-US" w:eastAsia="zh-CN"/>
        </w:rPr>
        <w:t>6</w:t>
      </w:r>
      <w:r>
        <w:rPr>
          <w:rFonts w:hint="eastAsia" w:hAnsi="宋体"/>
          <w:color w:val="auto"/>
          <w:szCs w:val="21"/>
          <w:highlight w:val="none"/>
        </w:rPr>
        <w:t>分）：设立专门的质量技术管理班子，岗位职责清晰，人员配备科学合理，质量管理制度详实健全、规范完善。主要工序编制详尽的质量技术保证措施，管控手段完备，自控体系闭环完整，可全程保障施工技术质量，稳定达到承诺质量标准。</w:t>
      </w:r>
    </w:p>
    <w:p w14:paraId="15AFDBA2">
      <w:pPr>
        <w:spacing w:line="400" w:lineRule="exact"/>
        <w:ind w:firstLine="420" w:firstLineChars="200"/>
        <w:rPr>
          <w:rFonts w:hint="eastAsia" w:hAnsi="宋体"/>
          <w:color w:val="auto"/>
          <w:szCs w:val="21"/>
          <w:highlight w:val="none"/>
        </w:rPr>
      </w:pPr>
      <w:r>
        <w:rPr>
          <w:rFonts w:hint="eastAsia" w:hAnsi="宋体"/>
          <w:color w:val="auto"/>
          <w:szCs w:val="21"/>
          <w:highlight w:val="none"/>
        </w:rPr>
        <w:t>二档（</w:t>
      </w:r>
      <w:r>
        <w:rPr>
          <w:rFonts w:hint="eastAsia" w:hAnsi="宋体"/>
          <w:color w:val="auto"/>
          <w:szCs w:val="21"/>
          <w:highlight w:val="none"/>
          <w:lang w:val="en-US" w:eastAsia="zh-CN"/>
        </w:rPr>
        <w:t>4</w:t>
      </w:r>
      <w:r>
        <w:rPr>
          <w:rFonts w:hint="eastAsia" w:hAnsi="宋体"/>
          <w:color w:val="auto"/>
          <w:szCs w:val="21"/>
          <w:highlight w:val="none"/>
        </w:rPr>
        <w:t>分）：设有质量技术管理班子，人员配备合规合理，管理制度基本完善但存在少量缺漏。主要工序具备常规质量技术保证措施，管控手段常规，自控体系基本完整，能够达到承诺的质量标准。</w:t>
      </w:r>
    </w:p>
    <w:p w14:paraId="72522CD3">
      <w:pPr>
        <w:spacing w:line="400" w:lineRule="exact"/>
        <w:ind w:firstLine="420" w:firstLineChars="200"/>
        <w:rPr>
          <w:rFonts w:hint="eastAsia" w:hAnsi="宋体"/>
          <w:color w:val="auto"/>
          <w:szCs w:val="21"/>
          <w:highlight w:val="none"/>
        </w:rPr>
      </w:pPr>
      <w:r>
        <w:rPr>
          <w:rFonts w:hint="eastAsia" w:hAnsi="宋体"/>
          <w:color w:val="auto"/>
          <w:szCs w:val="21"/>
          <w:highlight w:val="none"/>
        </w:rPr>
        <w:t>三档（2分）：设有简易质量技术管理组织，人员配备存在瑕疵，管理制度不完善。主要工序质量保障措施简略笼统，管控手段单一，自控体系有所欠缺，质量管控能力偏弱。</w:t>
      </w:r>
    </w:p>
    <w:p w14:paraId="1FEF3F96">
      <w:pPr>
        <w:spacing w:line="400" w:lineRule="exact"/>
        <w:ind w:firstLine="420" w:firstLineChars="200"/>
        <w:rPr>
          <w:rFonts w:hAnsi="宋体"/>
          <w:color w:val="auto"/>
          <w:szCs w:val="21"/>
          <w:highlight w:val="none"/>
        </w:rPr>
      </w:pPr>
      <w:r>
        <w:rPr>
          <w:rFonts w:hint="eastAsia" w:hAnsi="宋体"/>
          <w:color w:val="auto"/>
          <w:szCs w:val="21"/>
          <w:highlight w:val="none"/>
        </w:rPr>
        <w:t>四档（1分）：无规范质量技术管理班子，人员配备不合理，管理制度缺失紊乱。主要工序无任何质量技术保证措施，自控体系失效，无法保障施工质量，未达到承诺质量标准。</w:t>
      </w:r>
    </w:p>
    <w:p w14:paraId="4C5F95A4">
      <w:pPr>
        <w:widowControl/>
        <w:spacing w:line="400" w:lineRule="exact"/>
        <w:ind w:firstLine="517" w:firstLineChars="245"/>
        <w:rPr>
          <w:rFonts w:hAnsi="宋体"/>
          <w:b/>
          <w:color w:val="auto"/>
          <w:szCs w:val="21"/>
          <w:highlight w:val="none"/>
        </w:rPr>
      </w:pPr>
      <w:r>
        <w:rPr>
          <w:rFonts w:hint="eastAsia" w:hAnsi="宋体"/>
          <w:b/>
          <w:color w:val="auto"/>
          <w:szCs w:val="21"/>
          <w:highlight w:val="none"/>
        </w:rPr>
        <w:t>E.确保安全生产的技术组织措施（6分）</w:t>
      </w:r>
    </w:p>
    <w:p w14:paraId="2CE203DB">
      <w:pPr>
        <w:spacing w:line="400" w:lineRule="exact"/>
        <w:ind w:firstLine="420" w:firstLineChars="200"/>
        <w:rPr>
          <w:rFonts w:hint="eastAsia" w:hAnsi="宋体"/>
          <w:color w:val="auto"/>
          <w:szCs w:val="21"/>
          <w:highlight w:val="none"/>
        </w:rPr>
      </w:pPr>
      <w:r>
        <w:rPr>
          <w:rFonts w:hint="eastAsia" w:hAnsi="宋体"/>
          <w:color w:val="auto"/>
          <w:szCs w:val="21"/>
          <w:highlight w:val="none"/>
          <w:lang w:val="en-US" w:eastAsia="zh-CN"/>
        </w:rPr>
        <w:t>应有</w:t>
      </w:r>
      <w:r>
        <w:rPr>
          <w:rFonts w:hint="eastAsia" w:hAnsi="宋体"/>
          <w:color w:val="auto"/>
          <w:szCs w:val="21"/>
          <w:highlight w:val="none"/>
        </w:rPr>
        <w:t>专项质量技术管理班子及管理制度，人员配置合规合理、制度体系健全；主要施工工序落实对应的质量技术保障措施，具备完善有效的质量自控体系，保障施工质量达标，满足既定质量承诺标准。</w:t>
      </w:r>
    </w:p>
    <w:p w14:paraId="03451FD0">
      <w:pPr>
        <w:spacing w:line="400" w:lineRule="exact"/>
        <w:ind w:firstLine="420" w:firstLineChars="200"/>
        <w:rPr>
          <w:rFonts w:hint="eastAsia" w:hAnsi="宋体"/>
          <w:color w:val="auto"/>
          <w:szCs w:val="21"/>
          <w:highlight w:val="none"/>
        </w:rPr>
      </w:pPr>
      <w:r>
        <w:rPr>
          <w:rFonts w:hint="eastAsia" w:hAnsi="宋体"/>
          <w:color w:val="auto"/>
          <w:szCs w:val="21"/>
          <w:highlight w:val="none"/>
        </w:rPr>
        <w:t>一档（6分）：设立专属、专业的质量技术管理班子，岗位职责划分清晰明确，岗位配置齐全无空缺；质量管理制度详实完善、体系健全合规，贴合项目施工实际且完全契合规范要求。关键、主要工序均配备专项、针对性极强的质量技术保障措施，质量管控手段成熟完备、落地性强，质量自控体系闭环完整、运行高效，可全过程、全方位严控施工质量，稳定达到项目承诺的施工质量标准。</w:t>
      </w:r>
    </w:p>
    <w:p w14:paraId="4BDA9C85">
      <w:pPr>
        <w:spacing w:line="400" w:lineRule="exact"/>
        <w:ind w:firstLine="420" w:firstLineChars="200"/>
        <w:rPr>
          <w:rFonts w:hint="eastAsia" w:hAnsi="宋体"/>
          <w:color w:val="auto"/>
          <w:szCs w:val="21"/>
          <w:highlight w:val="none"/>
        </w:rPr>
      </w:pPr>
      <w:r>
        <w:rPr>
          <w:rFonts w:hint="eastAsia" w:hAnsi="宋体"/>
          <w:color w:val="auto"/>
          <w:szCs w:val="21"/>
          <w:highlight w:val="none"/>
        </w:rPr>
        <w:t>二档（4分）：已规范设置质量技术管理班子，岗位配置齐全，人员配备合规合理，满足项目质量管控需求；配套质量管理制度完整规范，可覆盖施工全流程质量管控工作。主要工序均配备常规且有效的质量技术保障措施，质量自控体系完善，管控手段稳妥落地，能够有效把控施工全过程质量，稳定满足项目承诺的质量标准要求。</w:t>
      </w:r>
    </w:p>
    <w:p w14:paraId="229B6AC4">
      <w:pPr>
        <w:spacing w:line="400" w:lineRule="exact"/>
        <w:ind w:firstLine="420" w:firstLineChars="200"/>
        <w:rPr>
          <w:rFonts w:hint="eastAsia" w:hAnsi="宋体"/>
          <w:color w:val="auto"/>
          <w:szCs w:val="21"/>
          <w:highlight w:val="none"/>
        </w:rPr>
      </w:pPr>
      <w:r>
        <w:rPr>
          <w:rFonts w:hint="eastAsia" w:hAnsi="宋体"/>
          <w:color w:val="auto"/>
          <w:szCs w:val="21"/>
          <w:highlight w:val="none"/>
        </w:rPr>
        <w:t>三档（2分）：虽设立质量技术管理相关组织、建立基础管理制度，但人员配置存在疏漏、部分岗位缺位，管理制度内容不完善、部分条款实操性不足。主要工序质量技术保障措施简单笼统，针对性较弱，质量自控体系存在明显短板，管控流程不规范、管控力度不足，无法稳定保障施工质量，质量管控效果参差不齐。</w:t>
      </w:r>
    </w:p>
    <w:p w14:paraId="2C6D71A8">
      <w:pPr>
        <w:spacing w:line="400" w:lineRule="exact"/>
        <w:ind w:firstLine="420" w:firstLineChars="200"/>
        <w:rPr>
          <w:rFonts w:hAnsi="宋体"/>
          <w:color w:val="auto"/>
          <w:szCs w:val="21"/>
          <w:highlight w:val="none"/>
        </w:rPr>
      </w:pPr>
      <w:r>
        <w:rPr>
          <w:rFonts w:hint="eastAsia" w:hAnsi="宋体"/>
          <w:color w:val="auto"/>
          <w:szCs w:val="21"/>
          <w:highlight w:val="none"/>
        </w:rPr>
        <w:t>四档（1分）：未设立专职专业的质量技术管理班子，无固定质量管理岗位，人员配置混乱、权责不清；质量管理制度缺失，无系统化、规范化的质量管控流程。主要工序无专项质量技术保障措施，无针对性管控手段，质量自控体系残缺失效、无法正常运行，完全不能有效管控施工质量，施工质量无法达到项目承诺标准及规范要求。</w:t>
      </w:r>
    </w:p>
    <w:p w14:paraId="28A49017">
      <w:pPr>
        <w:widowControl/>
        <w:spacing w:line="400" w:lineRule="exact"/>
        <w:ind w:firstLine="517" w:firstLineChars="245"/>
        <w:rPr>
          <w:rFonts w:hAnsi="宋体"/>
          <w:color w:val="auto"/>
          <w:szCs w:val="21"/>
          <w:highlight w:val="none"/>
        </w:rPr>
      </w:pPr>
      <w:r>
        <w:rPr>
          <w:rFonts w:hint="eastAsia" w:hAnsi="宋体"/>
          <w:b/>
          <w:color w:val="auto"/>
          <w:szCs w:val="21"/>
          <w:highlight w:val="none"/>
        </w:rPr>
        <w:t>F.确保工期的技术组织措施（6分）</w:t>
      </w:r>
    </w:p>
    <w:p w14:paraId="1C5DDB4B">
      <w:pPr>
        <w:spacing w:line="400" w:lineRule="exact"/>
        <w:ind w:firstLine="420" w:firstLineChars="200"/>
        <w:rPr>
          <w:rFonts w:hint="eastAsia" w:hAnsi="宋体"/>
          <w:color w:val="auto"/>
          <w:szCs w:val="21"/>
          <w:highlight w:val="none"/>
        </w:rPr>
      </w:pPr>
      <w:r>
        <w:rPr>
          <w:rFonts w:hint="eastAsia" w:hAnsi="宋体"/>
          <w:color w:val="auto"/>
          <w:szCs w:val="21"/>
          <w:highlight w:val="none"/>
        </w:rPr>
        <w:t>在施工工艺、施工方法、材料选用、劳动力安排、技术等方面有保证工期的具体措施且措施得当。有控制工期的施工进度计划。应有施工总进度表或施工网络图，各项计划图表编制完善，安排科学合理，符合本项目施工实际要求。</w:t>
      </w:r>
    </w:p>
    <w:p w14:paraId="77308EF7">
      <w:pPr>
        <w:spacing w:line="400" w:lineRule="exact"/>
        <w:ind w:firstLine="420" w:firstLineChars="200"/>
        <w:rPr>
          <w:rFonts w:hint="eastAsia" w:hAnsi="宋体"/>
          <w:color w:val="auto"/>
          <w:szCs w:val="21"/>
          <w:highlight w:val="none"/>
        </w:rPr>
      </w:pPr>
      <w:r>
        <w:rPr>
          <w:rFonts w:hint="eastAsia" w:hAnsi="宋体"/>
          <w:color w:val="auto"/>
          <w:szCs w:val="21"/>
          <w:highlight w:val="none"/>
        </w:rPr>
        <w:t>一档（6分）：从施工工艺、施工方法、材料配置、劳动力调配、专项技术等多维度制定详实完整的工期保障措施，管控手段科学得当。编制精细化施工进度管控计划，同步配备施工总进度表及施工网络图，图表编制规范完备、逻辑严谨，工期排布科学贴合项目现场实际工况，可精准把控施工节点，保障工期如期竣工。</w:t>
      </w:r>
    </w:p>
    <w:p w14:paraId="6F0D2019">
      <w:pPr>
        <w:spacing w:line="400" w:lineRule="exact"/>
        <w:ind w:firstLine="420" w:firstLineChars="200"/>
        <w:rPr>
          <w:rFonts w:hint="eastAsia" w:hAnsi="宋体"/>
          <w:color w:val="auto"/>
          <w:szCs w:val="21"/>
          <w:highlight w:val="none"/>
        </w:rPr>
      </w:pPr>
      <w:r>
        <w:rPr>
          <w:rFonts w:hint="eastAsia" w:hAnsi="宋体"/>
          <w:color w:val="auto"/>
          <w:szCs w:val="21"/>
          <w:highlight w:val="none"/>
        </w:rPr>
        <w:t>二档（4分）：涵盖施工、材料、人员、技术等方面制定工期保障措施，措施常规通用、方式稳妥。具备完整的施工进度计划，配有施工进度相关图表，图表编制规范，工期排布合理，契合项目施工要求，能够有效把控整体施工进度。</w:t>
      </w:r>
    </w:p>
    <w:p w14:paraId="22F8B7F2">
      <w:pPr>
        <w:spacing w:line="400" w:lineRule="exact"/>
        <w:ind w:firstLine="420" w:firstLineChars="200"/>
        <w:rPr>
          <w:rFonts w:hint="eastAsia" w:hAnsi="宋体"/>
          <w:color w:val="auto"/>
          <w:szCs w:val="21"/>
          <w:highlight w:val="none"/>
        </w:rPr>
      </w:pPr>
      <w:r>
        <w:rPr>
          <w:rFonts w:hint="eastAsia" w:hAnsi="宋体"/>
          <w:color w:val="auto"/>
          <w:szCs w:val="21"/>
          <w:highlight w:val="none"/>
        </w:rPr>
        <w:t>三档（2分）：虽罗列工期保障相关措施，但措施内容笼统单一，工艺、人员、材料等保障维度不完善，适用性较差。进度计划及相关图表编制粗糙，工期排布逻辑性不足，与现场施工工况存在偏差，难以有效管控施工工期。</w:t>
      </w:r>
    </w:p>
    <w:p w14:paraId="70E6B9DD">
      <w:pPr>
        <w:spacing w:line="400" w:lineRule="exact"/>
        <w:ind w:firstLine="420" w:firstLineChars="200"/>
        <w:rPr>
          <w:rFonts w:hAnsi="宋体"/>
          <w:color w:val="auto"/>
          <w:szCs w:val="21"/>
          <w:highlight w:val="none"/>
        </w:rPr>
      </w:pPr>
      <w:r>
        <w:rPr>
          <w:rFonts w:hint="eastAsia" w:hAnsi="宋体"/>
          <w:color w:val="auto"/>
          <w:szCs w:val="21"/>
          <w:highlight w:val="none"/>
        </w:rPr>
        <w:t>四档（1分）：无系统完善的工期保障措施，各维度保障手段缺失、措施不合理。未编制规范的施工进度计划，进度图表残缺混乱、排布严重不合理，脱离项目施工实际，无工期管控指导价值。</w:t>
      </w:r>
    </w:p>
    <w:p w14:paraId="7E492898">
      <w:pPr>
        <w:widowControl/>
        <w:spacing w:line="400" w:lineRule="exact"/>
        <w:ind w:firstLine="517" w:firstLineChars="245"/>
        <w:rPr>
          <w:rFonts w:hAnsi="宋体"/>
          <w:b/>
          <w:color w:val="auto"/>
          <w:szCs w:val="21"/>
          <w:highlight w:val="none"/>
        </w:rPr>
      </w:pPr>
      <w:r>
        <w:rPr>
          <w:rFonts w:hint="eastAsia" w:hAnsi="宋体"/>
          <w:b/>
          <w:color w:val="auto"/>
          <w:szCs w:val="21"/>
          <w:highlight w:val="none"/>
        </w:rPr>
        <w:t>G.确保文明施工的技术组织措施（</w:t>
      </w:r>
      <w:r>
        <w:rPr>
          <w:rFonts w:hint="eastAsia" w:hAnsi="宋体"/>
          <w:b/>
          <w:color w:val="auto"/>
          <w:szCs w:val="21"/>
          <w:highlight w:val="none"/>
          <w:lang w:val="en-US" w:eastAsia="zh-CN"/>
        </w:rPr>
        <w:t>6</w:t>
      </w:r>
      <w:r>
        <w:rPr>
          <w:rFonts w:hint="eastAsia" w:hAnsi="宋体"/>
          <w:b/>
          <w:color w:val="auto"/>
          <w:szCs w:val="21"/>
          <w:highlight w:val="none"/>
        </w:rPr>
        <w:t>分）</w:t>
      </w:r>
      <w:r>
        <w:rPr>
          <w:rFonts w:hint="eastAsia" w:hAnsi="宋体"/>
          <w:b/>
          <w:color w:val="auto"/>
          <w:szCs w:val="21"/>
          <w:highlight w:val="none"/>
        </w:rPr>
        <w:tab/>
      </w:r>
    </w:p>
    <w:p w14:paraId="075C9D81">
      <w:pPr>
        <w:spacing w:line="400" w:lineRule="exact"/>
        <w:ind w:firstLine="420" w:firstLineChars="200"/>
        <w:rPr>
          <w:rFonts w:hint="eastAsia" w:hAnsi="宋体"/>
          <w:color w:val="auto"/>
          <w:szCs w:val="21"/>
          <w:highlight w:val="none"/>
        </w:rPr>
      </w:pPr>
      <w:r>
        <w:rPr>
          <w:rFonts w:hint="eastAsia" w:hAnsi="宋体"/>
          <w:color w:val="auto"/>
          <w:szCs w:val="21"/>
          <w:highlight w:val="none"/>
        </w:rPr>
        <w:t>需结合本工程项目特点，制定现场文明施工、环境保护专项措施，措施内容须满足《建筑施工安全生产检查标准》（JGJ59-2011）合格标准，且符合《广西壮族自治区建筑工程文明施工导则》相关要求。各项措施应科学周全、详实具体、落地有效，并出具明确的文明施工目标承诺。</w:t>
      </w:r>
    </w:p>
    <w:p w14:paraId="0FCC23C5">
      <w:pPr>
        <w:spacing w:line="400" w:lineRule="exact"/>
        <w:ind w:firstLine="420" w:firstLineChars="200"/>
        <w:rPr>
          <w:rFonts w:hint="eastAsia" w:hAnsi="宋体"/>
          <w:color w:val="auto"/>
          <w:szCs w:val="21"/>
          <w:highlight w:val="none"/>
        </w:rPr>
      </w:pPr>
      <w:r>
        <w:rPr>
          <w:rFonts w:hint="eastAsia" w:hAnsi="宋体"/>
          <w:color w:val="auto"/>
          <w:szCs w:val="21"/>
          <w:highlight w:val="none"/>
        </w:rPr>
        <w:t>一档（6分）：紧密贴合本项目工程特点，编制齐全完备的文明施工与环境保护专项措施，措施严格对标《建筑施工安全生产检查标准》（JGJ59-2011）合格标准及《广西壮族自治区建筑工程文明施工导则》地方要求。管控措施科学细化、覆盖面广、实操性强，同时出具明确、细化、可考核的文明施工目标承诺，管控体系完善。</w:t>
      </w:r>
    </w:p>
    <w:p w14:paraId="0EBF111B">
      <w:pPr>
        <w:spacing w:line="400" w:lineRule="exact"/>
        <w:ind w:firstLine="420" w:firstLineChars="200"/>
        <w:rPr>
          <w:rFonts w:hint="eastAsia" w:hAnsi="宋体"/>
          <w:color w:val="auto"/>
          <w:szCs w:val="21"/>
          <w:highlight w:val="none"/>
        </w:rPr>
      </w:pPr>
      <w:r>
        <w:rPr>
          <w:rFonts w:hint="eastAsia" w:hAnsi="宋体"/>
          <w:color w:val="auto"/>
          <w:szCs w:val="21"/>
          <w:highlight w:val="none"/>
        </w:rPr>
        <w:t>二档（</w:t>
      </w:r>
      <w:r>
        <w:rPr>
          <w:rFonts w:hint="eastAsia" w:hAnsi="宋体"/>
          <w:color w:val="auto"/>
          <w:szCs w:val="21"/>
          <w:highlight w:val="none"/>
          <w:lang w:val="en-US" w:eastAsia="zh-CN"/>
        </w:rPr>
        <w:t>4</w:t>
      </w:r>
      <w:r>
        <w:rPr>
          <w:rFonts w:hint="eastAsia" w:hAnsi="宋体"/>
          <w:color w:val="auto"/>
          <w:szCs w:val="21"/>
          <w:highlight w:val="none"/>
        </w:rPr>
        <w:t>分）：结合项目施工特点，配备规范完整的文明施工及环境保护措施，措施满足国家检查标准及广西地方文明施工导则要求。各项措施条理清晰、合理有效，附带明确的文明施工达标承诺，可满足现场文明管控基本要求。</w:t>
      </w:r>
    </w:p>
    <w:p w14:paraId="5C9447A6">
      <w:pPr>
        <w:spacing w:line="400" w:lineRule="exact"/>
        <w:ind w:firstLine="420" w:firstLineChars="200"/>
        <w:rPr>
          <w:rFonts w:hint="eastAsia" w:hAnsi="宋体"/>
          <w:color w:val="auto"/>
          <w:szCs w:val="21"/>
          <w:highlight w:val="none"/>
        </w:rPr>
      </w:pPr>
      <w:r>
        <w:rPr>
          <w:rFonts w:hint="eastAsia" w:hAnsi="宋体"/>
          <w:color w:val="auto"/>
          <w:szCs w:val="21"/>
          <w:highlight w:val="none"/>
        </w:rPr>
        <w:t>三档（2分）：虽编制文明施工、环境保护相关措施，但内容简略笼统，贴合项目特点性不足，仅勉强达到规范合格底线。措施覆盖面不全、针对性偏弱，文明施工目标承诺表述简单笼统，管控力度一般。</w:t>
      </w:r>
    </w:p>
    <w:p w14:paraId="1233A37C">
      <w:pPr>
        <w:spacing w:line="400" w:lineRule="exact"/>
        <w:ind w:firstLine="420" w:firstLineChars="200"/>
        <w:rPr>
          <w:rFonts w:hAnsi="宋体"/>
          <w:color w:val="auto"/>
          <w:szCs w:val="21"/>
          <w:highlight w:val="none"/>
        </w:rPr>
      </w:pPr>
      <w:r>
        <w:rPr>
          <w:rFonts w:hint="eastAsia" w:hAnsi="宋体"/>
          <w:color w:val="auto"/>
          <w:szCs w:val="21"/>
          <w:highlight w:val="none"/>
        </w:rPr>
        <w:t>四档（1分）：未结合项目特点布设文明施工及环保管控措施，措施不符合《建筑施工安全生产检查标准》（JGJ59-2011）及广西地方导则要求，管控措施缺失且无效。无文明施工目标承诺，不具备现场文明施工管控指导价值。</w:t>
      </w:r>
    </w:p>
    <w:p w14:paraId="7BD66C26">
      <w:pPr>
        <w:widowControl/>
        <w:spacing w:line="400" w:lineRule="exact"/>
        <w:ind w:firstLine="517" w:firstLineChars="245"/>
        <w:rPr>
          <w:rFonts w:hAnsi="宋体"/>
          <w:b/>
          <w:color w:val="auto"/>
          <w:szCs w:val="21"/>
          <w:highlight w:val="none"/>
        </w:rPr>
      </w:pPr>
      <w:r>
        <w:rPr>
          <w:rFonts w:hint="eastAsia" w:hAnsi="宋体"/>
          <w:b/>
          <w:color w:val="auto"/>
          <w:szCs w:val="21"/>
          <w:highlight w:val="none"/>
        </w:rPr>
        <w:t>H.工程施工的重点和难点及保证措施（</w:t>
      </w:r>
      <w:r>
        <w:rPr>
          <w:rFonts w:hint="eastAsia" w:hAnsi="宋体"/>
          <w:b/>
          <w:color w:val="auto"/>
          <w:szCs w:val="21"/>
          <w:highlight w:val="none"/>
          <w:lang w:val="en-US" w:eastAsia="zh-CN"/>
        </w:rPr>
        <w:t>6</w:t>
      </w:r>
      <w:r>
        <w:rPr>
          <w:rFonts w:hint="eastAsia" w:hAnsi="宋体"/>
          <w:b/>
          <w:color w:val="auto"/>
          <w:szCs w:val="21"/>
          <w:highlight w:val="none"/>
        </w:rPr>
        <w:t>分）</w:t>
      </w:r>
    </w:p>
    <w:p w14:paraId="0465F2E1">
      <w:pPr>
        <w:spacing w:line="400" w:lineRule="exact"/>
        <w:ind w:firstLine="420" w:firstLineChars="200"/>
        <w:rPr>
          <w:rFonts w:hint="eastAsia" w:hAnsi="宋体"/>
          <w:color w:val="auto"/>
          <w:szCs w:val="21"/>
          <w:highlight w:val="none"/>
        </w:rPr>
      </w:pPr>
      <w:r>
        <w:rPr>
          <w:rFonts w:hint="eastAsia" w:hAnsi="宋体"/>
          <w:color w:val="auto"/>
          <w:szCs w:val="21"/>
          <w:highlight w:val="none"/>
        </w:rPr>
        <w:t>需结合本工程实际特点，精准剖析工程施工重点与施工难点，拟定针对性处置方案，重难点解决方法需科学合规、贴合现场，具备较强实操性，能够有效化解施工管控风险。</w:t>
      </w:r>
    </w:p>
    <w:p w14:paraId="078C5FFA">
      <w:pPr>
        <w:spacing w:line="400" w:lineRule="exact"/>
        <w:ind w:firstLine="420" w:firstLineChars="200"/>
        <w:rPr>
          <w:rFonts w:hint="eastAsia" w:hAnsi="宋体"/>
          <w:color w:val="auto"/>
          <w:szCs w:val="21"/>
          <w:highlight w:val="none"/>
        </w:rPr>
      </w:pPr>
      <w:r>
        <w:rPr>
          <w:rFonts w:hint="eastAsia" w:hAnsi="宋体"/>
          <w:color w:val="auto"/>
          <w:szCs w:val="21"/>
          <w:highlight w:val="none"/>
        </w:rPr>
        <w:t>一档（6分）：紧密结合本工程施工特点，全面且细致剖析工程施工重点、施工难点，问题研判精准到位。重难点处置方案科学严谨、逻辑缜密，解决方法科学合理、贴合现场工况，针对性与落地性极强，可高效破解施工管控难点。</w:t>
      </w:r>
    </w:p>
    <w:p w14:paraId="1C2B0574">
      <w:pPr>
        <w:spacing w:line="400" w:lineRule="exact"/>
        <w:ind w:firstLine="420" w:firstLineChars="200"/>
        <w:rPr>
          <w:rFonts w:hint="eastAsia" w:hAnsi="宋体"/>
          <w:color w:val="auto"/>
          <w:szCs w:val="21"/>
          <w:highlight w:val="none"/>
        </w:rPr>
      </w:pPr>
      <w:r>
        <w:rPr>
          <w:rFonts w:hint="eastAsia" w:hAnsi="宋体"/>
          <w:color w:val="auto"/>
          <w:szCs w:val="21"/>
          <w:highlight w:val="none"/>
        </w:rPr>
        <w:t>二档（</w:t>
      </w:r>
      <w:r>
        <w:rPr>
          <w:rFonts w:hint="eastAsia" w:hAnsi="宋体"/>
          <w:color w:val="auto"/>
          <w:szCs w:val="21"/>
          <w:highlight w:val="none"/>
          <w:lang w:val="en-US" w:eastAsia="zh-CN"/>
        </w:rPr>
        <w:t>4</w:t>
      </w:r>
      <w:r>
        <w:rPr>
          <w:rFonts w:hint="eastAsia" w:hAnsi="宋体"/>
          <w:color w:val="auto"/>
          <w:szCs w:val="21"/>
          <w:highlight w:val="none"/>
        </w:rPr>
        <w:t>分）：结合本工程特点，清晰梳理工程施工重点及难点，重难点识别准确无误。配套处置方案完善规范，解决方法合理合规，能够满足重难点管控需求，可保障工程平稳施工。</w:t>
      </w:r>
    </w:p>
    <w:p w14:paraId="31820E40">
      <w:pPr>
        <w:spacing w:line="400" w:lineRule="exact"/>
        <w:ind w:firstLine="420" w:firstLineChars="200"/>
        <w:rPr>
          <w:rFonts w:hint="eastAsia" w:hAnsi="宋体"/>
          <w:color w:val="auto"/>
          <w:szCs w:val="21"/>
          <w:highlight w:val="none"/>
        </w:rPr>
      </w:pPr>
      <w:r>
        <w:rPr>
          <w:rFonts w:hint="eastAsia" w:hAnsi="宋体"/>
          <w:color w:val="auto"/>
          <w:szCs w:val="21"/>
          <w:highlight w:val="none"/>
        </w:rPr>
        <w:t>三档（2分）：虽对工程重难点进行简要阐述，但分析内容浅显笼统，贴合本工程专项特点不足。重难点处置方式简单常规，解决方法合理性一般，针对性偏弱，管控优化效果有限。</w:t>
      </w:r>
    </w:p>
    <w:p w14:paraId="410EC364">
      <w:pPr>
        <w:spacing w:line="400" w:lineRule="exact"/>
        <w:ind w:firstLine="420" w:firstLineChars="200"/>
        <w:rPr>
          <w:rFonts w:hAnsi="宋体"/>
          <w:color w:val="auto"/>
          <w:szCs w:val="21"/>
          <w:highlight w:val="none"/>
        </w:rPr>
      </w:pPr>
      <w:r>
        <w:rPr>
          <w:rFonts w:hint="eastAsia" w:hAnsi="宋体"/>
          <w:color w:val="auto"/>
          <w:szCs w:val="21"/>
          <w:highlight w:val="none"/>
        </w:rPr>
        <w:t>四档（1分）：未结合本工程实际特点开展重难点分析，无明确的工程重点、难点梳理内容。无对应处置方案或解决方法严重不合理，脱离项目施工实际，无任何施工参考指导价值。</w:t>
      </w:r>
    </w:p>
    <w:p w14:paraId="6EDF71E0">
      <w:pPr>
        <w:spacing w:line="400" w:lineRule="exact"/>
        <w:ind w:firstLine="422" w:firstLineChars="200"/>
        <w:rPr>
          <w:rFonts w:hAnsi="宋体"/>
          <w:b/>
          <w:color w:val="auto"/>
          <w:szCs w:val="21"/>
          <w:highlight w:val="none"/>
        </w:rPr>
      </w:pPr>
      <w:r>
        <w:rPr>
          <w:rFonts w:hint="eastAsia" w:hAnsi="宋体"/>
          <w:b/>
          <w:bCs/>
          <w:color w:val="auto"/>
          <w:szCs w:val="21"/>
          <w:highlight w:val="none"/>
        </w:rPr>
        <w:t>3</w:t>
      </w:r>
      <w:r>
        <w:rPr>
          <w:rFonts w:hAnsi="宋体"/>
          <w:b/>
          <w:bCs/>
          <w:color w:val="auto"/>
          <w:szCs w:val="21"/>
          <w:highlight w:val="none"/>
        </w:rPr>
        <w:t>、业绩分……………………………………………………………………………满分</w:t>
      </w:r>
      <w:r>
        <w:rPr>
          <w:rFonts w:hint="eastAsia" w:hAnsi="宋体"/>
          <w:b/>
          <w:bCs/>
          <w:color w:val="auto"/>
          <w:szCs w:val="21"/>
          <w:highlight w:val="none"/>
          <w:lang w:val="en-US" w:eastAsia="zh-CN"/>
        </w:rPr>
        <w:t>8</w:t>
      </w:r>
      <w:r>
        <w:rPr>
          <w:rFonts w:hAnsi="宋体"/>
          <w:b/>
          <w:bCs/>
          <w:color w:val="auto"/>
          <w:szCs w:val="21"/>
          <w:highlight w:val="none"/>
        </w:rPr>
        <w:t>分</w:t>
      </w:r>
    </w:p>
    <w:p w14:paraId="689682E7">
      <w:pPr>
        <w:widowControl/>
        <w:spacing w:line="400" w:lineRule="exact"/>
        <w:ind w:firstLine="514" w:firstLineChars="245"/>
        <w:rPr>
          <w:rFonts w:hAnsi="宋体"/>
          <w:color w:val="auto"/>
          <w:szCs w:val="21"/>
          <w:highlight w:val="none"/>
        </w:rPr>
      </w:pPr>
      <w:r>
        <w:rPr>
          <w:rFonts w:hint="eastAsia" w:hAnsi="宋体"/>
          <w:color w:val="auto"/>
          <w:szCs w:val="21"/>
          <w:highlight w:val="none"/>
        </w:rPr>
        <w:t>202</w:t>
      </w:r>
      <w:r>
        <w:rPr>
          <w:rFonts w:hint="eastAsia" w:hAnsi="宋体"/>
          <w:color w:val="auto"/>
          <w:szCs w:val="21"/>
          <w:highlight w:val="none"/>
          <w:lang w:val="en-US" w:eastAsia="zh-CN"/>
        </w:rPr>
        <w:t>3</w:t>
      </w:r>
      <w:r>
        <w:rPr>
          <w:rFonts w:hAnsi="宋体"/>
          <w:color w:val="auto"/>
          <w:szCs w:val="21"/>
          <w:highlight w:val="none"/>
        </w:rPr>
        <w:t>年1月1日以来至</w:t>
      </w:r>
      <w:r>
        <w:rPr>
          <w:rFonts w:hint="eastAsia" w:hAnsi="宋体"/>
          <w:color w:val="auto"/>
          <w:szCs w:val="21"/>
          <w:highlight w:val="none"/>
        </w:rPr>
        <w:t>首次响应</w:t>
      </w:r>
      <w:r>
        <w:rPr>
          <w:rFonts w:hAnsi="宋体"/>
          <w:color w:val="auto"/>
          <w:szCs w:val="21"/>
          <w:highlight w:val="none"/>
        </w:rPr>
        <w:t>文件递交截止日期止，</w:t>
      </w:r>
      <w:r>
        <w:rPr>
          <w:rFonts w:hint="eastAsia" w:hAnsi="宋体"/>
          <w:color w:val="auto"/>
          <w:szCs w:val="21"/>
          <w:highlight w:val="none"/>
        </w:rPr>
        <w:t>供应商</w:t>
      </w:r>
      <w:r>
        <w:rPr>
          <w:rFonts w:hAnsi="宋体"/>
          <w:color w:val="auto"/>
          <w:szCs w:val="21"/>
          <w:highlight w:val="none"/>
        </w:rPr>
        <w:t>承</w:t>
      </w:r>
      <w:r>
        <w:rPr>
          <w:rFonts w:hint="eastAsia" w:hAnsi="宋体"/>
          <w:color w:val="auto"/>
          <w:szCs w:val="21"/>
          <w:highlight w:val="none"/>
        </w:rPr>
        <w:t>接在建或完成过类似工程施工业绩的</w:t>
      </w:r>
      <w:r>
        <w:rPr>
          <w:rFonts w:hAnsi="宋体"/>
          <w:color w:val="auto"/>
          <w:szCs w:val="21"/>
          <w:highlight w:val="none"/>
        </w:rPr>
        <w:t>，每</w:t>
      </w:r>
      <w:r>
        <w:rPr>
          <w:rFonts w:hint="eastAsia" w:hAnsi="宋体"/>
          <w:color w:val="auto"/>
          <w:szCs w:val="21"/>
          <w:highlight w:val="none"/>
        </w:rPr>
        <w:t>个</w:t>
      </w:r>
      <w:r>
        <w:rPr>
          <w:rFonts w:hAnsi="宋体"/>
          <w:color w:val="auto"/>
          <w:szCs w:val="21"/>
          <w:highlight w:val="none"/>
        </w:rPr>
        <w:t>得</w:t>
      </w:r>
      <w:r>
        <w:rPr>
          <w:rFonts w:hint="eastAsia" w:hAnsi="宋体"/>
          <w:color w:val="auto"/>
          <w:szCs w:val="21"/>
          <w:highlight w:val="none"/>
          <w:lang w:val="en-US" w:eastAsia="zh-CN"/>
        </w:rPr>
        <w:t>4</w:t>
      </w:r>
      <w:r>
        <w:rPr>
          <w:rFonts w:hAnsi="宋体"/>
          <w:color w:val="auto"/>
          <w:szCs w:val="21"/>
          <w:highlight w:val="none"/>
        </w:rPr>
        <w:t>分，满分</w:t>
      </w:r>
      <w:r>
        <w:rPr>
          <w:rFonts w:hint="eastAsia" w:hAnsi="宋体"/>
          <w:color w:val="auto"/>
          <w:szCs w:val="21"/>
          <w:highlight w:val="none"/>
          <w:lang w:val="en-US" w:eastAsia="zh-CN"/>
        </w:rPr>
        <w:t>8</w:t>
      </w:r>
      <w:r>
        <w:rPr>
          <w:rFonts w:hAnsi="宋体"/>
          <w:color w:val="auto"/>
          <w:szCs w:val="21"/>
          <w:highlight w:val="none"/>
        </w:rPr>
        <w:t>分。[提供合同扫描件或中标(成交)通知书证明材料为准</w:t>
      </w:r>
      <w:r>
        <w:rPr>
          <w:rFonts w:hint="eastAsia" w:hAnsi="宋体"/>
          <w:color w:val="auto"/>
          <w:szCs w:val="21"/>
          <w:highlight w:val="none"/>
        </w:rPr>
        <w:t>，</w:t>
      </w:r>
      <w:r>
        <w:rPr>
          <w:rFonts w:hAnsi="宋体"/>
          <w:color w:val="auto"/>
          <w:szCs w:val="21"/>
          <w:highlight w:val="none"/>
        </w:rPr>
        <w:t>并加盖供供应商</w:t>
      </w:r>
      <w:r>
        <w:rPr>
          <w:rFonts w:hint="eastAsia" w:hAnsi="宋体"/>
          <w:color w:val="auto"/>
          <w:szCs w:val="21"/>
          <w:highlight w:val="none"/>
        </w:rPr>
        <w:t>单位</w:t>
      </w:r>
      <w:r>
        <w:rPr>
          <w:rFonts w:hAnsi="宋体"/>
          <w:color w:val="auto"/>
          <w:szCs w:val="21"/>
          <w:highlight w:val="none"/>
        </w:rPr>
        <w:t>公章</w:t>
      </w:r>
      <w:r>
        <w:rPr>
          <w:rFonts w:hAnsi="宋体"/>
          <w:bCs/>
          <w:color w:val="auto"/>
          <w:szCs w:val="21"/>
          <w:highlight w:val="none"/>
        </w:rPr>
        <w:t>]。</w:t>
      </w:r>
    </w:p>
    <w:p w14:paraId="15C81DCD">
      <w:pPr>
        <w:pStyle w:val="70"/>
        <w:rPr>
          <w:color w:val="auto"/>
          <w:highlight w:val="none"/>
        </w:rPr>
      </w:pPr>
    </w:p>
    <w:p w14:paraId="1ED31C11">
      <w:pPr>
        <w:pStyle w:val="27"/>
        <w:spacing w:line="400" w:lineRule="exact"/>
        <w:ind w:left="-134" w:leftChars="-64" w:firstLine="527" w:firstLineChars="250"/>
        <w:rPr>
          <w:rFonts w:hAnsi="宋体"/>
          <w:b/>
          <w:color w:val="auto"/>
          <w:szCs w:val="21"/>
          <w:highlight w:val="none"/>
        </w:rPr>
      </w:pPr>
      <w:r>
        <w:rPr>
          <w:rFonts w:hint="eastAsia" w:hAnsi="宋体"/>
          <w:b/>
          <w:color w:val="auto"/>
          <w:szCs w:val="21"/>
          <w:highlight w:val="none"/>
        </w:rPr>
        <w:t>（三）总得分=1+2+3</w:t>
      </w:r>
    </w:p>
    <w:p w14:paraId="39087BE3">
      <w:pPr>
        <w:pStyle w:val="27"/>
        <w:spacing w:line="400" w:lineRule="exact"/>
        <w:ind w:left="-134" w:leftChars="-64" w:firstLine="527" w:firstLineChars="250"/>
        <w:rPr>
          <w:rFonts w:hAnsi="宋体"/>
          <w:b/>
          <w:color w:val="auto"/>
          <w:szCs w:val="21"/>
          <w:highlight w:val="none"/>
        </w:rPr>
      </w:pPr>
    </w:p>
    <w:p w14:paraId="2745BBCE">
      <w:pPr>
        <w:spacing w:line="400" w:lineRule="exact"/>
        <w:ind w:firstLine="527" w:firstLineChars="250"/>
        <w:rPr>
          <w:rFonts w:hAnsi="宋体"/>
          <w:b/>
          <w:color w:val="auto"/>
          <w:szCs w:val="21"/>
          <w:highlight w:val="none"/>
        </w:rPr>
      </w:pPr>
    </w:p>
    <w:p w14:paraId="29F8F598">
      <w:pPr>
        <w:spacing w:line="400" w:lineRule="exact"/>
        <w:ind w:firstLine="527" w:firstLineChars="250"/>
        <w:outlineLvl w:val="1"/>
        <w:rPr>
          <w:rFonts w:hAnsi="宋体"/>
          <w:b/>
          <w:color w:val="auto"/>
          <w:szCs w:val="21"/>
          <w:highlight w:val="none"/>
        </w:rPr>
      </w:pPr>
      <w:bookmarkStart w:id="31" w:name="_Toc2949"/>
      <w:r>
        <w:rPr>
          <w:rFonts w:hint="eastAsia" w:hAnsi="宋体"/>
          <w:b/>
          <w:color w:val="auto"/>
          <w:szCs w:val="21"/>
          <w:highlight w:val="none"/>
        </w:rPr>
        <w:t>三、成交候选供应商推荐原则：</w:t>
      </w:r>
      <w:bookmarkEnd w:id="31"/>
    </w:p>
    <w:p w14:paraId="3FA686FD">
      <w:pPr>
        <w:pStyle w:val="27"/>
        <w:spacing w:before="156" w:after="120" w:line="400" w:lineRule="exact"/>
        <w:ind w:firstLine="403" w:firstLineChars="192"/>
        <w:rPr>
          <w:rFonts w:hAnsi="宋体"/>
          <w:color w:val="auto"/>
          <w:szCs w:val="21"/>
          <w:highlight w:val="none"/>
        </w:rPr>
      </w:pPr>
      <w:r>
        <w:rPr>
          <w:rFonts w:hint="eastAsia" w:hAnsi="宋体"/>
          <w:color w:val="auto"/>
          <w:szCs w:val="21"/>
          <w:highlight w:val="none"/>
        </w:rPr>
        <w:t>在响应文件通过资格和符合性评审的前提下，磋商小组将根据总得分由高到低排列次序顺序推荐3名以上成交候选供应商。总得分相同的，按照最后报价由低到高的顺序推荐；总得分且最后报价相同的，按照施工组织设计得分由高到低的顺序推荐。采购单位应当确定磋商小组推荐排名第一的成交候选供应商为成交供应商。排名第一的成交候选供应商放弃成交、因不可抗力提出不能履行合同，采购单位可以确定排名第二的成交候选供应商为成交供应商。排名第二的成交候选供应商因前款规定的同样原因不能签订合同的，采购单位可以确定排名第三的成交候选供应商为成交供应商，其余以此类推。采购单位也可以重新进行政府采购活动。</w:t>
      </w:r>
    </w:p>
    <w:p w14:paraId="2971653E">
      <w:pPr>
        <w:pStyle w:val="27"/>
        <w:spacing w:before="156" w:after="120" w:line="400" w:lineRule="exact"/>
        <w:ind w:firstLine="403" w:firstLineChars="192"/>
        <w:rPr>
          <w:rFonts w:hAnsi="宋体"/>
          <w:color w:val="auto"/>
          <w:szCs w:val="21"/>
          <w:highlight w:val="none"/>
        </w:rPr>
      </w:pPr>
      <w:r>
        <w:rPr>
          <w:rFonts w:hint="eastAsia" w:hAnsi="宋体"/>
          <w:color w:val="auto"/>
          <w:szCs w:val="21"/>
          <w:highlight w:val="none"/>
        </w:rPr>
        <w:t>采购单位应当确定磋商小组推荐排名第一的成交候选供应商为成交供应商。排名第一的成交候选供应商放弃成交、因不可抗力提出不能履行合同，采购单位可以确定排名第二的成交候选供应商为成交供应商。排名第二的成交候选供应商因前款规定的同样原因不能签订合同的，采购单位可以确定排名第三的成交候选供应商为成交供应商，其余以此类推。采购单位也可以重新进行政府采购活动。</w:t>
      </w:r>
    </w:p>
    <w:p w14:paraId="7332F36D">
      <w:pPr>
        <w:pStyle w:val="3"/>
        <w:spacing w:line="360" w:lineRule="auto"/>
        <w:ind w:right="384" w:rightChars="183"/>
        <w:jc w:val="center"/>
        <w:rPr>
          <w:rFonts w:asciiTheme="minorEastAsia" w:hAnsiTheme="minorEastAsia" w:eastAsiaTheme="minorEastAsia"/>
          <w:color w:val="auto"/>
          <w:sz w:val="32"/>
          <w:szCs w:val="32"/>
          <w:highlight w:val="none"/>
        </w:rPr>
        <w:sectPr>
          <w:pgSz w:w="11907" w:h="16840"/>
          <w:pgMar w:top="1304" w:right="1304" w:bottom="1304" w:left="1304" w:header="964" w:footer="737" w:gutter="0"/>
          <w:cols w:space="720" w:num="1"/>
          <w:titlePg/>
          <w:docGrid w:linePitch="312" w:charSpace="0"/>
        </w:sectPr>
      </w:pPr>
      <w:bookmarkStart w:id="32" w:name="_Toc453681441"/>
    </w:p>
    <w:p w14:paraId="5625F4ED">
      <w:pPr>
        <w:spacing w:line="360" w:lineRule="auto"/>
        <w:jc w:val="center"/>
        <w:outlineLvl w:val="0"/>
        <w:rPr>
          <w:rFonts w:asciiTheme="minorEastAsia" w:hAnsiTheme="minorEastAsia" w:eastAsiaTheme="minorEastAsia"/>
          <w:b/>
          <w:color w:val="auto"/>
          <w:sz w:val="44"/>
          <w:szCs w:val="44"/>
          <w:highlight w:val="none"/>
        </w:rPr>
      </w:pPr>
      <w:bookmarkStart w:id="33" w:name="_Toc20222"/>
      <w:r>
        <w:rPr>
          <w:rFonts w:hint="eastAsia" w:asciiTheme="minorEastAsia" w:hAnsiTheme="minorEastAsia" w:eastAsiaTheme="minorEastAsia"/>
          <w:b/>
          <w:color w:val="auto"/>
          <w:sz w:val="44"/>
          <w:szCs w:val="44"/>
          <w:highlight w:val="none"/>
        </w:rPr>
        <w:t xml:space="preserve">第四章  </w:t>
      </w:r>
      <w:bookmarkEnd w:id="32"/>
      <w:r>
        <w:rPr>
          <w:rFonts w:hint="eastAsia" w:asciiTheme="minorEastAsia" w:hAnsiTheme="minorEastAsia" w:eastAsiaTheme="minorEastAsia"/>
          <w:b/>
          <w:color w:val="auto"/>
          <w:sz w:val="44"/>
          <w:szCs w:val="44"/>
          <w:highlight w:val="none"/>
        </w:rPr>
        <w:t>采购项目需求</w:t>
      </w:r>
      <w:bookmarkEnd w:id="33"/>
    </w:p>
    <w:tbl>
      <w:tblPr>
        <w:tblStyle w:val="5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8"/>
        <w:gridCol w:w="1743"/>
        <w:gridCol w:w="6268"/>
      </w:tblGrid>
      <w:tr w14:paraId="43E17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vAlign w:val="center"/>
          </w:tcPr>
          <w:p w14:paraId="767DF0A9">
            <w:pPr>
              <w:keepNext w:val="0"/>
              <w:keepLines w:val="0"/>
              <w:pageBreakBefore w:val="0"/>
              <w:widowControl w:val="0"/>
              <w:kinsoku/>
              <w:wordWrap/>
              <w:overflowPunct/>
              <w:topLinePunct w:val="0"/>
              <w:autoSpaceDE/>
              <w:autoSpaceDN/>
              <w:bidi w:val="0"/>
              <w:adjustRightInd w:val="0"/>
              <w:snapToGrid/>
              <w:spacing w:line="400" w:lineRule="exact"/>
              <w:jc w:val="center"/>
              <w:textAlignment w:val="baseline"/>
              <w:outlineLvl w:val="1"/>
              <w:rPr>
                <w:rFonts w:hint="eastAsia" w:eastAsia="宋体"/>
                <w:b/>
                <w:color w:val="auto"/>
                <w:sz w:val="24"/>
                <w:szCs w:val="24"/>
                <w:highlight w:val="none"/>
                <w:vertAlign w:val="baseline"/>
                <w:lang w:eastAsia="zh-CN"/>
              </w:rPr>
            </w:pPr>
            <w:bookmarkStart w:id="34" w:name="_Toc6009"/>
            <w:r>
              <w:rPr>
                <w:rFonts w:hint="eastAsia"/>
                <w:b/>
                <w:color w:val="auto"/>
                <w:sz w:val="24"/>
                <w:szCs w:val="24"/>
                <w:highlight w:val="none"/>
                <w:vertAlign w:val="baseline"/>
                <w:lang w:eastAsia="zh-CN"/>
              </w:rPr>
              <w:t>技术要求</w:t>
            </w:r>
          </w:p>
        </w:tc>
        <w:tc>
          <w:tcPr>
            <w:tcW w:w="8201" w:type="dxa"/>
            <w:gridSpan w:val="2"/>
          </w:tcPr>
          <w:p w14:paraId="6A304C35">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textAlignment w:val="baseline"/>
              <w:outlineLvl w:val="1"/>
              <w:rPr>
                <w:rFonts w:hint="eastAsia"/>
                <w:b w:val="0"/>
                <w:bCs/>
                <w:color w:val="auto"/>
                <w:sz w:val="24"/>
                <w:szCs w:val="24"/>
                <w:highlight w:val="none"/>
                <w:vertAlign w:val="baseline"/>
              </w:rPr>
            </w:pPr>
            <w:r>
              <w:rPr>
                <w:rFonts w:hint="eastAsia"/>
                <w:b w:val="0"/>
                <w:bCs/>
                <w:color w:val="auto"/>
                <w:sz w:val="24"/>
                <w:szCs w:val="24"/>
                <w:highlight w:val="none"/>
                <w:vertAlign w:val="baseline"/>
                <w:lang w:val="en-US" w:eastAsia="zh-CN"/>
              </w:rPr>
              <w:t>一、</w:t>
            </w:r>
            <w:r>
              <w:rPr>
                <w:rFonts w:hint="eastAsia"/>
                <w:b w:val="0"/>
                <w:bCs/>
                <w:color w:val="auto"/>
                <w:sz w:val="24"/>
                <w:szCs w:val="24"/>
                <w:highlight w:val="none"/>
                <w:vertAlign w:val="baseline"/>
              </w:rPr>
              <w:t>本采购工程，应该认真按施工图纸要求进行施工；同时也要严格执行建筑工程各专业有关的现行标准和技术规范。</w:t>
            </w:r>
          </w:p>
          <w:p w14:paraId="387A53D8">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textAlignment w:val="baseline"/>
              <w:outlineLvl w:val="1"/>
              <w:rPr>
                <w:rFonts w:hint="eastAsia"/>
                <w:b w:val="0"/>
                <w:bCs/>
                <w:color w:val="auto"/>
                <w:sz w:val="24"/>
                <w:szCs w:val="24"/>
                <w:highlight w:val="none"/>
                <w:vertAlign w:val="baseline"/>
                <w:lang w:val="en-US" w:eastAsia="zh-CN"/>
              </w:rPr>
            </w:pPr>
            <w:r>
              <w:rPr>
                <w:rFonts w:hint="eastAsia"/>
                <w:b w:val="0"/>
                <w:bCs/>
                <w:color w:val="auto"/>
                <w:sz w:val="24"/>
                <w:szCs w:val="24"/>
                <w:highlight w:val="none"/>
                <w:vertAlign w:val="baseline"/>
                <w:lang w:val="en-US" w:eastAsia="zh-CN"/>
              </w:rPr>
              <w:t>二、建设地点:防城港市理工职业学校。</w:t>
            </w:r>
          </w:p>
          <w:p w14:paraId="05F42F38">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textAlignment w:val="baseline"/>
              <w:outlineLvl w:val="1"/>
              <w:rPr>
                <w:rFonts w:hint="eastAsia"/>
                <w:b w:val="0"/>
                <w:bCs/>
                <w:color w:val="auto"/>
                <w:sz w:val="24"/>
                <w:szCs w:val="24"/>
                <w:highlight w:val="none"/>
                <w:vertAlign w:val="baseline"/>
                <w:lang w:val="en-US" w:eastAsia="zh-CN"/>
              </w:rPr>
            </w:pPr>
            <w:r>
              <w:rPr>
                <w:rFonts w:hint="eastAsia"/>
                <w:b w:val="0"/>
                <w:bCs/>
                <w:color w:val="auto"/>
                <w:sz w:val="24"/>
                <w:szCs w:val="24"/>
                <w:highlight w:val="none"/>
                <w:vertAlign w:val="baseline"/>
                <w:lang w:val="en-US" w:eastAsia="zh-CN"/>
              </w:rPr>
              <w:t>三、质量要求:工程质量符合国家施工验收规范合格标准。</w:t>
            </w:r>
          </w:p>
          <w:p w14:paraId="57824383">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textAlignment w:val="baseline"/>
              <w:outlineLvl w:val="1"/>
              <w:rPr>
                <w:rFonts w:hint="eastAsia" w:eastAsia="宋体"/>
                <w:color w:val="auto"/>
                <w:highlight w:val="none"/>
                <w:lang w:val="en-US" w:eastAsia="zh-CN"/>
              </w:rPr>
            </w:pPr>
            <w:r>
              <w:rPr>
                <w:rFonts w:hint="eastAsia"/>
                <w:b w:val="0"/>
                <w:bCs/>
                <w:color w:val="auto"/>
                <w:sz w:val="24"/>
                <w:szCs w:val="24"/>
                <w:highlight w:val="none"/>
                <w:vertAlign w:val="baseline"/>
                <w:lang w:val="en-US" w:eastAsia="zh-CN"/>
              </w:rPr>
              <w:t>四、工程要求：</w:t>
            </w:r>
            <w:r>
              <w:rPr>
                <w:rFonts w:hint="eastAsia" w:ascii="宋体" w:eastAsia="宋体" w:cs="Times New Roman"/>
                <w:b w:val="0"/>
                <w:bCs/>
                <w:color w:val="auto"/>
                <w:sz w:val="24"/>
                <w:szCs w:val="24"/>
                <w:highlight w:val="none"/>
                <w:vertAlign w:val="baseline"/>
                <w:lang w:val="en-US" w:eastAsia="zh-CN"/>
              </w:rPr>
              <w:t>供应商在施工过程中，不得影响学校正常工作，同时要加强施工安全管理，由供应商此引起的各种事故、火灾或案件由供应商承担全部责任。</w:t>
            </w:r>
          </w:p>
        </w:tc>
      </w:tr>
      <w:tr w14:paraId="27F32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vMerge w:val="restart"/>
            <w:vAlign w:val="center"/>
          </w:tcPr>
          <w:p w14:paraId="5D4DFE6E">
            <w:pPr>
              <w:keepNext w:val="0"/>
              <w:keepLines w:val="0"/>
              <w:pageBreakBefore w:val="0"/>
              <w:widowControl w:val="0"/>
              <w:kinsoku/>
              <w:wordWrap/>
              <w:overflowPunct/>
              <w:topLinePunct w:val="0"/>
              <w:autoSpaceDE/>
              <w:autoSpaceDN/>
              <w:bidi w:val="0"/>
              <w:adjustRightInd w:val="0"/>
              <w:snapToGrid/>
              <w:spacing w:line="400" w:lineRule="exact"/>
              <w:jc w:val="center"/>
              <w:textAlignment w:val="baseline"/>
              <w:outlineLvl w:val="1"/>
              <w:rPr>
                <w:rFonts w:hint="eastAsia" w:eastAsia="宋体"/>
                <w:b/>
                <w:color w:val="auto"/>
                <w:sz w:val="24"/>
                <w:szCs w:val="24"/>
                <w:highlight w:val="none"/>
                <w:vertAlign w:val="baseline"/>
                <w:lang w:eastAsia="zh-CN"/>
              </w:rPr>
            </w:pPr>
            <w:r>
              <w:rPr>
                <w:rFonts w:hint="eastAsia"/>
                <w:b/>
                <w:color w:val="auto"/>
                <w:sz w:val="24"/>
                <w:szCs w:val="24"/>
                <w:highlight w:val="none"/>
                <w:vertAlign w:val="baseline"/>
                <w:lang w:eastAsia="zh-CN"/>
              </w:rPr>
              <w:t>商务要求</w:t>
            </w:r>
          </w:p>
        </w:tc>
        <w:tc>
          <w:tcPr>
            <w:tcW w:w="1789" w:type="dxa"/>
            <w:vAlign w:val="center"/>
          </w:tcPr>
          <w:p w14:paraId="0866C854">
            <w:pPr>
              <w:keepNext w:val="0"/>
              <w:keepLines w:val="0"/>
              <w:pageBreakBefore w:val="0"/>
              <w:widowControl w:val="0"/>
              <w:kinsoku/>
              <w:wordWrap/>
              <w:overflowPunct/>
              <w:topLinePunct w:val="0"/>
              <w:autoSpaceDE/>
              <w:autoSpaceDN/>
              <w:bidi w:val="0"/>
              <w:adjustRightInd w:val="0"/>
              <w:snapToGrid/>
              <w:spacing w:line="400" w:lineRule="exact"/>
              <w:jc w:val="center"/>
              <w:textAlignment w:val="baseline"/>
              <w:outlineLvl w:val="1"/>
              <w:rPr>
                <w:rFonts w:hint="eastAsia"/>
                <w:b/>
                <w:color w:val="auto"/>
                <w:sz w:val="24"/>
                <w:szCs w:val="24"/>
                <w:highlight w:val="none"/>
                <w:vertAlign w:val="baseline"/>
              </w:rPr>
            </w:pPr>
            <w:r>
              <w:rPr>
                <w:rFonts w:hint="eastAsia"/>
                <w:b/>
                <w:color w:val="auto"/>
                <w:sz w:val="24"/>
                <w:szCs w:val="24"/>
                <w:highlight w:val="none"/>
                <w:vertAlign w:val="baseline"/>
              </w:rPr>
              <w:t>项目名称</w:t>
            </w:r>
          </w:p>
        </w:tc>
        <w:tc>
          <w:tcPr>
            <w:tcW w:w="6412" w:type="dxa"/>
          </w:tcPr>
          <w:p w14:paraId="49434A1F">
            <w:pPr>
              <w:keepNext w:val="0"/>
              <w:keepLines w:val="0"/>
              <w:pageBreakBefore w:val="0"/>
              <w:widowControl w:val="0"/>
              <w:kinsoku/>
              <w:wordWrap/>
              <w:overflowPunct/>
              <w:topLinePunct w:val="0"/>
              <w:autoSpaceDE/>
              <w:autoSpaceDN/>
              <w:bidi w:val="0"/>
              <w:adjustRightInd w:val="0"/>
              <w:snapToGrid/>
              <w:spacing w:line="400" w:lineRule="exact"/>
              <w:textAlignment w:val="baseline"/>
              <w:outlineLvl w:val="1"/>
              <w:rPr>
                <w:rFonts w:hint="eastAsia"/>
                <w:b w:val="0"/>
                <w:bCs/>
                <w:color w:val="auto"/>
                <w:sz w:val="24"/>
                <w:szCs w:val="24"/>
                <w:highlight w:val="none"/>
                <w:vertAlign w:val="baseline"/>
              </w:rPr>
            </w:pPr>
            <w:r>
              <w:rPr>
                <w:rFonts w:hint="eastAsia"/>
                <w:b w:val="0"/>
                <w:bCs/>
                <w:color w:val="auto"/>
                <w:sz w:val="24"/>
                <w:szCs w:val="24"/>
                <w:highlight w:val="none"/>
                <w:lang w:eastAsia="zh-CN"/>
              </w:rPr>
              <w:t>防城港市理工职业学校运动场跑道翻新项目</w:t>
            </w:r>
          </w:p>
        </w:tc>
      </w:tr>
      <w:tr w14:paraId="4E7F2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vMerge w:val="continue"/>
          </w:tcPr>
          <w:p w14:paraId="654B4E2C">
            <w:pPr>
              <w:keepNext w:val="0"/>
              <w:keepLines w:val="0"/>
              <w:pageBreakBefore w:val="0"/>
              <w:widowControl w:val="0"/>
              <w:kinsoku/>
              <w:wordWrap/>
              <w:overflowPunct/>
              <w:topLinePunct w:val="0"/>
              <w:autoSpaceDE/>
              <w:autoSpaceDN/>
              <w:bidi w:val="0"/>
              <w:adjustRightInd w:val="0"/>
              <w:snapToGrid/>
              <w:spacing w:line="400" w:lineRule="exact"/>
              <w:textAlignment w:val="baseline"/>
              <w:outlineLvl w:val="1"/>
              <w:rPr>
                <w:rFonts w:hint="eastAsia"/>
                <w:b/>
                <w:color w:val="auto"/>
                <w:sz w:val="24"/>
                <w:szCs w:val="24"/>
                <w:highlight w:val="none"/>
                <w:vertAlign w:val="baseline"/>
              </w:rPr>
            </w:pPr>
          </w:p>
        </w:tc>
        <w:tc>
          <w:tcPr>
            <w:tcW w:w="1789" w:type="dxa"/>
            <w:vAlign w:val="center"/>
          </w:tcPr>
          <w:p w14:paraId="3481E2B7">
            <w:pPr>
              <w:keepNext w:val="0"/>
              <w:keepLines w:val="0"/>
              <w:pageBreakBefore w:val="0"/>
              <w:widowControl w:val="0"/>
              <w:kinsoku/>
              <w:wordWrap/>
              <w:overflowPunct/>
              <w:topLinePunct w:val="0"/>
              <w:autoSpaceDE/>
              <w:autoSpaceDN/>
              <w:bidi w:val="0"/>
              <w:adjustRightInd w:val="0"/>
              <w:snapToGrid/>
              <w:spacing w:line="400" w:lineRule="exact"/>
              <w:jc w:val="center"/>
              <w:textAlignment w:val="baseline"/>
              <w:outlineLvl w:val="1"/>
              <w:rPr>
                <w:rFonts w:hint="eastAsia"/>
                <w:b/>
                <w:color w:val="auto"/>
                <w:sz w:val="24"/>
                <w:szCs w:val="24"/>
                <w:highlight w:val="none"/>
                <w:vertAlign w:val="baseline"/>
              </w:rPr>
            </w:pPr>
            <w:r>
              <w:rPr>
                <w:rFonts w:hint="eastAsia"/>
                <w:b/>
                <w:color w:val="auto"/>
                <w:sz w:val="24"/>
                <w:szCs w:val="24"/>
                <w:highlight w:val="none"/>
              </w:rPr>
              <w:t>项目编号</w:t>
            </w:r>
          </w:p>
        </w:tc>
        <w:tc>
          <w:tcPr>
            <w:tcW w:w="6412" w:type="dxa"/>
          </w:tcPr>
          <w:p w14:paraId="6F6DDCA2">
            <w:pPr>
              <w:keepNext w:val="0"/>
              <w:keepLines w:val="0"/>
              <w:pageBreakBefore w:val="0"/>
              <w:widowControl w:val="0"/>
              <w:kinsoku/>
              <w:wordWrap/>
              <w:overflowPunct/>
              <w:topLinePunct w:val="0"/>
              <w:autoSpaceDE/>
              <w:autoSpaceDN/>
              <w:bidi w:val="0"/>
              <w:adjustRightInd w:val="0"/>
              <w:snapToGrid/>
              <w:spacing w:line="400" w:lineRule="exact"/>
              <w:textAlignment w:val="baseline"/>
              <w:outlineLvl w:val="1"/>
              <w:rPr>
                <w:rFonts w:hint="eastAsia"/>
                <w:b w:val="0"/>
                <w:bCs/>
                <w:color w:val="auto"/>
                <w:sz w:val="24"/>
                <w:szCs w:val="24"/>
                <w:highlight w:val="none"/>
                <w:lang w:eastAsia="zh-CN"/>
              </w:rPr>
            </w:pPr>
            <w:r>
              <w:rPr>
                <w:rFonts w:hint="eastAsia"/>
                <w:b w:val="0"/>
                <w:bCs/>
                <w:color w:val="auto"/>
                <w:sz w:val="24"/>
                <w:szCs w:val="24"/>
                <w:highlight w:val="none"/>
                <w:lang w:eastAsia="zh-CN"/>
              </w:rPr>
              <w:t xml:space="preserve">FCZC2026-C2-990132-GXZB </w:t>
            </w:r>
          </w:p>
        </w:tc>
      </w:tr>
      <w:tr w14:paraId="10C6B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vMerge w:val="continue"/>
          </w:tcPr>
          <w:p w14:paraId="6624634B">
            <w:pPr>
              <w:keepNext w:val="0"/>
              <w:keepLines w:val="0"/>
              <w:pageBreakBefore w:val="0"/>
              <w:widowControl w:val="0"/>
              <w:kinsoku/>
              <w:wordWrap/>
              <w:overflowPunct/>
              <w:topLinePunct w:val="0"/>
              <w:autoSpaceDE/>
              <w:autoSpaceDN/>
              <w:bidi w:val="0"/>
              <w:adjustRightInd w:val="0"/>
              <w:snapToGrid/>
              <w:spacing w:line="400" w:lineRule="exact"/>
              <w:textAlignment w:val="baseline"/>
              <w:outlineLvl w:val="1"/>
              <w:rPr>
                <w:rFonts w:hint="eastAsia"/>
                <w:b/>
                <w:color w:val="auto"/>
                <w:sz w:val="24"/>
                <w:szCs w:val="24"/>
                <w:highlight w:val="none"/>
                <w:vertAlign w:val="baseline"/>
              </w:rPr>
            </w:pPr>
          </w:p>
        </w:tc>
        <w:tc>
          <w:tcPr>
            <w:tcW w:w="1789" w:type="dxa"/>
            <w:vAlign w:val="center"/>
          </w:tcPr>
          <w:p w14:paraId="2C8EA75B">
            <w:pPr>
              <w:keepNext w:val="0"/>
              <w:keepLines w:val="0"/>
              <w:pageBreakBefore w:val="0"/>
              <w:widowControl w:val="0"/>
              <w:kinsoku/>
              <w:wordWrap/>
              <w:overflowPunct/>
              <w:topLinePunct w:val="0"/>
              <w:autoSpaceDE/>
              <w:autoSpaceDN/>
              <w:bidi w:val="0"/>
              <w:adjustRightInd w:val="0"/>
              <w:snapToGrid/>
              <w:spacing w:line="400" w:lineRule="exact"/>
              <w:jc w:val="center"/>
              <w:textAlignment w:val="baseline"/>
              <w:outlineLvl w:val="1"/>
              <w:rPr>
                <w:rFonts w:hint="eastAsia"/>
                <w:b/>
                <w:color w:val="auto"/>
                <w:sz w:val="24"/>
                <w:szCs w:val="24"/>
                <w:highlight w:val="none"/>
                <w:vertAlign w:val="baseline"/>
              </w:rPr>
            </w:pPr>
            <w:r>
              <w:rPr>
                <w:rFonts w:hint="eastAsia"/>
                <w:b/>
                <w:color w:val="auto"/>
                <w:sz w:val="24"/>
                <w:szCs w:val="24"/>
                <w:highlight w:val="none"/>
              </w:rPr>
              <w:t>工程概况</w:t>
            </w:r>
          </w:p>
        </w:tc>
        <w:tc>
          <w:tcPr>
            <w:tcW w:w="6412" w:type="dxa"/>
          </w:tcPr>
          <w:p w14:paraId="5E5D362F">
            <w:pPr>
              <w:keepNext w:val="0"/>
              <w:keepLines w:val="0"/>
              <w:pageBreakBefore w:val="0"/>
              <w:widowControl w:val="0"/>
              <w:kinsoku/>
              <w:wordWrap/>
              <w:overflowPunct/>
              <w:topLinePunct w:val="0"/>
              <w:autoSpaceDE/>
              <w:autoSpaceDN/>
              <w:bidi w:val="0"/>
              <w:adjustRightInd w:val="0"/>
              <w:snapToGrid/>
              <w:spacing w:line="400" w:lineRule="exact"/>
              <w:textAlignment w:val="baseline"/>
              <w:outlineLvl w:val="1"/>
              <w:rPr>
                <w:rFonts w:hint="eastAsia" w:eastAsia="宋体"/>
                <w:b w:val="0"/>
                <w:bCs/>
                <w:color w:val="auto"/>
                <w:sz w:val="24"/>
                <w:szCs w:val="24"/>
                <w:highlight w:val="none"/>
                <w:vertAlign w:val="baseline"/>
                <w:lang w:eastAsia="zh-CN"/>
              </w:rPr>
            </w:pPr>
            <w:r>
              <w:rPr>
                <w:rFonts w:hint="eastAsia"/>
                <w:b w:val="0"/>
                <w:bCs/>
                <w:color w:val="auto"/>
                <w:sz w:val="24"/>
                <w:szCs w:val="24"/>
                <w:highlight w:val="none"/>
                <w:lang w:eastAsia="zh-CN"/>
              </w:rPr>
              <w:t>防城港市理工职业学校运动场跑道翻新项目，</w:t>
            </w:r>
            <w:r>
              <w:rPr>
                <w:rFonts w:hint="eastAsia"/>
                <w:b w:val="0"/>
                <w:bCs/>
                <w:color w:val="auto"/>
                <w:sz w:val="24"/>
                <w:szCs w:val="24"/>
                <w:highlight w:val="none"/>
              </w:rPr>
              <w:t>具体内容详见施工图纸和工程量清单</w:t>
            </w:r>
            <w:r>
              <w:rPr>
                <w:rFonts w:hint="eastAsia"/>
                <w:b w:val="0"/>
                <w:bCs/>
                <w:color w:val="auto"/>
                <w:sz w:val="24"/>
                <w:szCs w:val="24"/>
                <w:highlight w:val="none"/>
                <w:lang w:eastAsia="zh-CN"/>
              </w:rPr>
              <w:t>。</w:t>
            </w:r>
          </w:p>
        </w:tc>
      </w:tr>
      <w:tr w14:paraId="4B152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vMerge w:val="continue"/>
          </w:tcPr>
          <w:p w14:paraId="5833DF81">
            <w:pPr>
              <w:keepNext w:val="0"/>
              <w:keepLines w:val="0"/>
              <w:pageBreakBefore w:val="0"/>
              <w:widowControl w:val="0"/>
              <w:kinsoku/>
              <w:wordWrap/>
              <w:overflowPunct/>
              <w:topLinePunct w:val="0"/>
              <w:autoSpaceDE/>
              <w:autoSpaceDN/>
              <w:bidi w:val="0"/>
              <w:adjustRightInd w:val="0"/>
              <w:snapToGrid/>
              <w:spacing w:line="400" w:lineRule="exact"/>
              <w:textAlignment w:val="baseline"/>
              <w:outlineLvl w:val="1"/>
              <w:rPr>
                <w:rFonts w:hint="eastAsia"/>
                <w:b/>
                <w:color w:val="auto"/>
                <w:sz w:val="24"/>
                <w:szCs w:val="24"/>
                <w:highlight w:val="none"/>
                <w:vertAlign w:val="baseline"/>
              </w:rPr>
            </w:pPr>
          </w:p>
        </w:tc>
        <w:tc>
          <w:tcPr>
            <w:tcW w:w="1789" w:type="dxa"/>
            <w:vAlign w:val="center"/>
          </w:tcPr>
          <w:p w14:paraId="58C595F1">
            <w:pPr>
              <w:keepNext w:val="0"/>
              <w:keepLines w:val="0"/>
              <w:pageBreakBefore w:val="0"/>
              <w:widowControl w:val="0"/>
              <w:kinsoku/>
              <w:wordWrap/>
              <w:overflowPunct/>
              <w:topLinePunct w:val="0"/>
              <w:autoSpaceDE/>
              <w:autoSpaceDN/>
              <w:bidi w:val="0"/>
              <w:adjustRightInd w:val="0"/>
              <w:snapToGrid/>
              <w:spacing w:line="400" w:lineRule="exact"/>
              <w:jc w:val="center"/>
              <w:textAlignment w:val="baseline"/>
              <w:outlineLvl w:val="1"/>
              <w:rPr>
                <w:rFonts w:hint="eastAsia"/>
                <w:b/>
                <w:color w:val="auto"/>
                <w:sz w:val="24"/>
                <w:szCs w:val="24"/>
                <w:highlight w:val="none"/>
                <w:vertAlign w:val="baseline"/>
              </w:rPr>
            </w:pPr>
            <w:r>
              <w:rPr>
                <w:rFonts w:hint="eastAsia"/>
                <w:b/>
                <w:color w:val="auto"/>
                <w:sz w:val="24"/>
                <w:szCs w:val="24"/>
                <w:highlight w:val="none"/>
              </w:rPr>
              <w:t>项目所属行业</w:t>
            </w:r>
          </w:p>
        </w:tc>
        <w:tc>
          <w:tcPr>
            <w:tcW w:w="6412" w:type="dxa"/>
          </w:tcPr>
          <w:p w14:paraId="71814EAA">
            <w:pPr>
              <w:keepNext w:val="0"/>
              <w:keepLines w:val="0"/>
              <w:pageBreakBefore w:val="0"/>
              <w:widowControl w:val="0"/>
              <w:kinsoku/>
              <w:wordWrap/>
              <w:overflowPunct/>
              <w:topLinePunct w:val="0"/>
              <w:autoSpaceDE/>
              <w:autoSpaceDN/>
              <w:bidi w:val="0"/>
              <w:adjustRightInd w:val="0"/>
              <w:snapToGrid/>
              <w:spacing w:line="400" w:lineRule="exact"/>
              <w:textAlignment w:val="baseline"/>
              <w:outlineLvl w:val="1"/>
              <w:rPr>
                <w:rFonts w:hint="eastAsia"/>
                <w:b w:val="0"/>
                <w:bCs/>
                <w:color w:val="auto"/>
                <w:sz w:val="24"/>
                <w:szCs w:val="24"/>
                <w:highlight w:val="none"/>
                <w:vertAlign w:val="baseline"/>
              </w:rPr>
            </w:pPr>
            <w:r>
              <w:rPr>
                <w:rFonts w:hint="eastAsia"/>
                <w:b w:val="0"/>
                <w:bCs/>
                <w:color w:val="auto"/>
                <w:sz w:val="24"/>
                <w:szCs w:val="24"/>
                <w:highlight w:val="none"/>
              </w:rPr>
              <w:t>建筑业</w:t>
            </w:r>
          </w:p>
        </w:tc>
      </w:tr>
      <w:tr w14:paraId="58664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vMerge w:val="continue"/>
          </w:tcPr>
          <w:p w14:paraId="5D8D0844">
            <w:pPr>
              <w:keepNext w:val="0"/>
              <w:keepLines w:val="0"/>
              <w:pageBreakBefore w:val="0"/>
              <w:widowControl w:val="0"/>
              <w:kinsoku/>
              <w:wordWrap/>
              <w:overflowPunct/>
              <w:topLinePunct w:val="0"/>
              <w:autoSpaceDE/>
              <w:autoSpaceDN/>
              <w:bidi w:val="0"/>
              <w:adjustRightInd w:val="0"/>
              <w:snapToGrid/>
              <w:spacing w:line="400" w:lineRule="exact"/>
              <w:textAlignment w:val="baseline"/>
              <w:outlineLvl w:val="1"/>
              <w:rPr>
                <w:rFonts w:hint="eastAsia"/>
                <w:b/>
                <w:color w:val="auto"/>
                <w:sz w:val="24"/>
                <w:szCs w:val="24"/>
                <w:highlight w:val="none"/>
                <w:vertAlign w:val="baseline"/>
              </w:rPr>
            </w:pPr>
          </w:p>
        </w:tc>
        <w:tc>
          <w:tcPr>
            <w:tcW w:w="1789" w:type="dxa"/>
            <w:vAlign w:val="center"/>
          </w:tcPr>
          <w:p w14:paraId="7300D48D">
            <w:pPr>
              <w:keepNext w:val="0"/>
              <w:keepLines w:val="0"/>
              <w:pageBreakBefore w:val="0"/>
              <w:widowControl w:val="0"/>
              <w:kinsoku/>
              <w:wordWrap/>
              <w:overflowPunct/>
              <w:topLinePunct w:val="0"/>
              <w:autoSpaceDE/>
              <w:autoSpaceDN/>
              <w:bidi w:val="0"/>
              <w:adjustRightInd w:val="0"/>
              <w:snapToGrid/>
              <w:spacing w:line="400" w:lineRule="exact"/>
              <w:jc w:val="center"/>
              <w:textAlignment w:val="baseline"/>
              <w:outlineLvl w:val="1"/>
              <w:rPr>
                <w:rFonts w:hint="eastAsia"/>
                <w:b/>
                <w:color w:val="auto"/>
                <w:sz w:val="24"/>
                <w:szCs w:val="24"/>
                <w:highlight w:val="none"/>
                <w:vertAlign w:val="baseline"/>
              </w:rPr>
            </w:pPr>
            <w:r>
              <w:rPr>
                <w:rFonts w:hint="eastAsia"/>
                <w:b/>
                <w:color w:val="auto"/>
                <w:sz w:val="24"/>
                <w:szCs w:val="24"/>
                <w:highlight w:val="none"/>
              </w:rPr>
              <w:t>工期</w:t>
            </w:r>
          </w:p>
        </w:tc>
        <w:tc>
          <w:tcPr>
            <w:tcW w:w="6412" w:type="dxa"/>
          </w:tcPr>
          <w:p w14:paraId="28186806">
            <w:pPr>
              <w:keepNext w:val="0"/>
              <w:keepLines w:val="0"/>
              <w:pageBreakBefore w:val="0"/>
              <w:widowControl w:val="0"/>
              <w:kinsoku/>
              <w:wordWrap/>
              <w:overflowPunct/>
              <w:topLinePunct w:val="0"/>
              <w:autoSpaceDE/>
              <w:autoSpaceDN/>
              <w:bidi w:val="0"/>
              <w:adjustRightInd w:val="0"/>
              <w:snapToGrid/>
              <w:spacing w:line="400" w:lineRule="exact"/>
              <w:textAlignment w:val="baseline"/>
              <w:outlineLvl w:val="1"/>
              <w:rPr>
                <w:rFonts w:hint="eastAsia"/>
                <w:b w:val="0"/>
                <w:bCs/>
                <w:color w:val="auto"/>
                <w:sz w:val="24"/>
                <w:szCs w:val="24"/>
                <w:highlight w:val="none"/>
                <w:vertAlign w:val="baseline"/>
              </w:rPr>
            </w:pPr>
            <w:r>
              <w:rPr>
                <w:rFonts w:hint="eastAsia"/>
                <w:b w:val="0"/>
                <w:bCs/>
                <w:color w:val="auto"/>
                <w:sz w:val="24"/>
                <w:szCs w:val="24"/>
                <w:highlight w:val="none"/>
                <w:u w:val="none"/>
                <w:vertAlign w:val="baseline"/>
                <w:lang w:val="en-US" w:eastAsia="zh-CN"/>
              </w:rPr>
              <w:t>25日历天</w:t>
            </w:r>
          </w:p>
        </w:tc>
      </w:tr>
      <w:tr w14:paraId="51844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vMerge w:val="continue"/>
          </w:tcPr>
          <w:p w14:paraId="48514FF4">
            <w:pPr>
              <w:keepNext w:val="0"/>
              <w:keepLines w:val="0"/>
              <w:pageBreakBefore w:val="0"/>
              <w:widowControl w:val="0"/>
              <w:kinsoku/>
              <w:wordWrap/>
              <w:overflowPunct/>
              <w:topLinePunct w:val="0"/>
              <w:autoSpaceDE/>
              <w:autoSpaceDN/>
              <w:bidi w:val="0"/>
              <w:adjustRightInd w:val="0"/>
              <w:snapToGrid/>
              <w:spacing w:line="400" w:lineRule="exact"/>
              <w:textAlignment w:val="baseline"/>
              <w:outlineLvl w:val="1"/>
              <w:rPr>
                <w:rFonts w:hint="eastAsia"/>
                <w:b/>
                <w:color w:val="auto"/>
                <w:sz w:val="24"/>
                <w:szCs w:val="24"/>
                <w:highlight w:val="none"/>
                <w:vertAlign w:val="baseline"/>
              </w:rPr>
            </w:pPr>
          </w:p>
        </w:tc>
        <w:tc>
          <w:tcPr>
            <w:tcW w:w="1789" w:type="dxa"/>
            <w:vAlign w:val="center"/>
          </w:tcPr>
          <w:p w14:paraId="7481A57F">
            <w:pPr>
              <w:keepNext w:val="0"/>
              <w:keepLines w:val="0"/>
              <w:pageBreakBefore w:val="0"/>
              <w:widowControl w:val="0"/>
              <w:kinsoku/>
              <w:wordWrap/>
              <w:overflowPunct/>
              <w:topLinePunct w:val="0"/>
              <w:autoSpaceDE/>
              <w:autoSpaceDN/>
              <w:bidi w:val="0"/>
              <w:adjustRightInd w:val="0"/>
              <w:snapToGrid/>
              <w:spacing w:line="400" w:lineRule="exact"/>
              <w:jc w:val="center"/>
              <w:textAlignment w:val="baseline"/>
              <w:outlineLvl w:val="1"/>
              <w:rPr>
                <w:rFonts w:hint="eastAsia"/>
                <w:b/>
                <w:color w:val="auto"/>
                <w:sz w:val="24"/>
                <w:szCs w:val="24"/>
                <w:highlight w:val="none"/>
              </w:rPr>
            </w:pPr>
            <w:r>
              <w:rPr>
                <w:rFonts w:hint="eastAsia"/>
                <w:b/>
                <w:color w:val="auto"/>
                <w:sz w:val="24"/>
                <w:szCs w:val="24"/>
                <w:highlight w:val="none"/>
              </w:rPr>
              <w:t>缺陷责任期</w:t>
            </w:r>
          </w:p>
          <w:p w14:paraId="12CA4159">
            <w:pPr>
              <w:keepNext w:val="0"/>
              <w:keepLines w:val="0"/>
              <w:pageBreakBefore w:val="0"/>
              <w:widowControl w:val="0"/>
              <w:kinsoku/>
              <w:wordWrap/>
              <w:overflowPunct/>
              <w:topLinePunct w:val="0"/>
              <w:autoSpaceDE/>
              <w:autoSpaceDN/>
              <w:bidi w:val="0"/>
              <w:adjustRightInd w:val="0"/>
              <w:snapToGrid/>
              <w:spacing w:line="400" w:lineRule="exact"/>
              <w:jc w:val="center"/>
              <w:textAlignment w:val="baseline"/>
              <w:outlineLvl w:val="1"/>
              <w:rPr>
                <w:rFonts w:hint="eastAsia" w:eastAsia="宋体"/>
                <w:b/>
                <w:color w:val="auto"/>
                <w:sz w:val="24"/>
                <w:szCs w:val="24"/>
                <w:highlight w:val="none"/>
                <w:vertAlign w:val="baseline"/>
                <w:lang w:eastAsia="zh-CN"/>
              </w:rPr>
            </w:pPr>
            <w:r>
              <w:rPr>
                <w:rFonts w:hint="eastAsia"/>
                <w:b/>
                <w:color w:val="auto"/>
                <w:sz w:val="24"/>
                <w:szCs w:val="24"/>
                <w:highlight w:val="none"/>
                <w:lang w:eastAsia="zh-CN"/>
              </w:rPr>
              <w:t>（</w:t>
            </w:r>
            <w:r>
              <w:rPr>
                <w:rFonts w:hint="eastAsia"/>
                <w:b/>
                <w:color w:val="auto"/>
                <w:sz w:val="24"/>
                <w:szCs w:val="24"/>
                <w:highlight w:val="none"/>
                <w:lang w:val="en-US" w:eastAsia="zh-CN"/>
              </w:rPr>
              <w:t>质保期</w:t>
            </w:r>
            <w:r>
              <w:rPr>
                <w:rFonts w:hint="eastAsia"/>
                <w:b/>
                <w:color w:val="auto"/>
                <w:sz w:val="24"/>
                <w:szCs w:val="24"/>
                <w:highlight w:val="none"/>
                <w:lang w:eastAsia="zh-CN"/>
              </w:rPr>
              <w:t>）</w:t>
            </w:r>
          </w:p>
        </w:tc>
        <w:tc>
          <w:tcPr>
            <w:tcW w:w="6412" w:type="dxa"/>
          </w:tcPr>
          <w:p w14:paraId="00ED0D44">
            <w:pPr>
              <w:keepNext w:val="0"/>
              <w:keepLines w:val="0"/>
              <w:pageBreakBefore w:val="0"/>
              <w:widowControl w:val="0"/>
              <w:kinsoku/>
              <w:wordWrap/>
              <w:overflowPunct/>
              <w:topLinePunct w:val="0"/>
              <w:autoSpaceDE/>
              <w:autoSpaceDN/>
              <w:bidi w:val="0"/>
              <w:adjustRightInd w:val="0"/>
              <w:snapToGrid/>
              <w:spacing w:line="400" w:lineRule="exact"/>
              <w:textAlignment w:val="baseline"/>
              <w:outlineLvl w:val="1"/>
              <w:rPr>
                <w:rFonts w:hint="eastAsia"/>
                <w:b w:val="0"/>
                <w:bCs/>
                <w:color w:val="auto"/>
                <w:sz w:val="24"/>
                <w:szCs w:val="24"/>
                <w:highlight w:val="none"/>
                <w:vertAlign w:val="baseline"/>
                <w:lang w:val="en-US" w:eastAsia="zh-CN"/>
              </w:rPr>
            </w:pPr>
            <w:r>
              <w:rPr>
                <w:rFonts w:hint="eastAsia"/>
                <w:b w:val="0"/>
                <w:bCs/>
                <w:color w:val="auto"/>
                <w:sz w:val="24"/>
                <w:szCs w:val="24"/>
                <w:highlight w:val="none"/>
                <w:vertAlign w:val="baseline"/>
                <w:lang w:val="en-US" w:eastAsia="zh-CN"/>
              </w:rPr>
              <w:t>一、施工项目质量保修期按相关建设项目法律法规的规定约定，质保期不少于1年。</w:t>
            </w:r>
          </w:p>
          <w:p w14:paraId="4EBCD1AA">
            <w:pPr>
              <w:keepNext w:val="0"/>
              <w:keepLines w:val="0"/>
              <w:pageBreakBefore w:val="0"/>
              <w:widowControl w:val="0"/>
              <w:kinsoku/>
              <w:wordWrap/>
              <w:overflowPunct/>
              <w:topLinePunct w:val="0"/>
              <w:autoSpaceDE/>
              <w:autoSpaceDN/>
              <w:bidi w:val="0"/>
              <w:adjustRightInd w:val="0"/>
              <w:snapToGrid/>
              <w:spacing w:line="400" w:lineRule="exact"/>
              <w:textAlignment w:val="baseline"/>
              <w:outlineLvl w:val="1"/>
              <w:rPr>
                <w:rFonts w:hint="eastAsia"/>
                <w:b w:val="0"/>
                <w:bCs/>
                <w:color w:val="auto"/>
                <w:sz w:val="24"/>
                <w:szCs w:val="24"/>
                <w:highlight w:val="none"/>
                <w:vertAlign w:val="baseline"/>
                <w:lang w:val="en-US" w:eastAsia="zh-CN"/>
              </w:rPr>
            </w:pPr>
            <w:r>
              <w:rPr>
                <w:rFonts w:hint="eastAsia"/>
                <w:b w:val="0"/>
                <w:bCs/>
                <w:color w:val="auto"/>
                <w:sz w:val="24"/>
                <w:szCs w:val="24"/>
                <w:highlight w:val="none"/>
                <w:vertAlign w:val="baseline"/>
                <w:lang w:val="en-US" w:eastAsia="zh-CN"/>
              </w:rPr>
              <w:t>二、若保修期内项目出现质量问题，供应商在接到采购人通知后48小时内修复完毕;其他质量问题，在接到通知后3天内修复完毕。保修期自验收合格之日起计算。</w:t>
            </w:r>
          </w:p>
          <w:p w14:paraId="3EE3FA3F">
            <w:pPr>
              <w:keepNext w:val="0"/>
              <w:keepLines w:val="0"/>
              <w:pageBreakBefore w:val="0"/>
              <w:widowControl w:val="0"/>
              <w:kinsoku/>
              <w:wordWrap/>
              <w:overflowPunct/>
              <w:topLinePunct w:val="0"/>
              <w:autoSpaceDE/>
              <w:autoSpaceDN/>
              <w:bidi w:val="0"/>
              <w:adjustRightInd w:val="0"/>
              <w:snapToGrid/>
              <w:spacing w:line="400" w:lineRule="exact"/>
              <w:textAlignment w:val="baseline"/>
              <w:outlineLvl w:val="1"/>
              <w:rPr>
                <w:rFonts w:hint="eastAsia"/>
                <w:b w:val="0"/>
                <w:bCs/>
                <w:color w:val="auto"/>
                <w:sz w:val="24"/>
                <w:szCs w:val="24"/>
                <w:highlight w:val="none"/>
                <w:vertAlign w:val="baseline"/>
              </w:rPr>
            </w:pPr>
            <w:r>
              <w:rPr>
                <w:rFonts w:hint="eastAsia"/>
                <w:b w:val="0"/>
                <w:bCs/>
                <w:color w:val="auto"/>
                <w:sz w:val="24"/>
                <w:szCs w:val="24"/>
                <w:highlight w:val="none"/>
                <w:vertAlign w:val="baseline"/>
                <w:lang w:val="en-US" w:eastAsia="zh-CN"/>
              </w:rPr>
              <w:t>三、如因供应商原因未按照约定完成质保工作，每延误1天，供应商应按工程结算总价的0.1%支付采购人违约金，且采购人有权委托第三方代为履行，因此产生的违约金及代履行费用可直接在工程结算款中抵扣或另行扣除。</w:t>
            </w:r>
          </w:p>
        </w:tc>
      </w:tr>
      <w:tr w14:paraId="308A0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vMerge w:val="continue"/>
          </w:tcPr>
          <w:p w14:paraId="39F1AA39">
            <w:pPr>
              <w:keepNext w:val="0"/>
              <w:keepLines w:val="0"/>
              <w:pageBreakBefore w:val="0"/>
              <w:widowControl w:val="0"/>
              <w:kinsoku/>
              <w:wordWrap/>
              <w:overflowPunct/>
              <w:topLinePunct w:val="0"/>
              <w:autoSpaceDE/>
              <w:autoSpaceDN/>
              <w:bidi w:val="0"/>
              <w:adjustRightInd w:val="0"/>
              <w:snapToGrid/>
              <w:spacing w:line="400" w:lineRule="exact"/>
              <w:textAlignment w:val="baseline"/>
              <w:outlineLvl w:val="1"/>
              <w:rPr>
                <w:rFonts w:hint="eastAsia"/>
                <w:b/>
                <w:color w:val="auto"/>
                <w:sz w:val="24"/>
                <w:szCs w:val="24"/>
                <w:highlight w:val="none"/>
                <w:vertAlign w:val="baseline"/>
              </w:rPr>
            </w:pPr>
          </w:p>
        </w:tc>
        <w:tc>
          <w:tcPr>
            <w:tcW w:w="1789" w:type="dxa"/>
            <w:vAlign w:val="center"/>
          </w:tcPr>
          <w:p w14:paraId="318F5934">
            <w:pPr>
              <w:keepNext w:val="0"/>
              <w:keepLines w:val="0"/>
              <w:pageBreakBefore w:val="0"/>
              <w:widowControl w:val="0"/>
              <w:kinsoku/>
              <w:wordWrap/>
              <w:overflowPunct/>
              <w:topLinePunct w:val="0"/>
              <w:autoSpaceDE/>
              <w:autoSpaceDN/>
              <w:bidi w:val="0"/>
              <w:adjustRightInd w:val="0"/>
              <w:snapToGrid/>
              <w:spacing w:line="400" w:lineRule="exact"/>
              <w:jc w:val="center"/>
              <w:textAlignment w:val="baseline"/>
              <w:outlineLvl w:val="1"/>
              <w:rPr>
                <w:rFonts w:hint="default"/>
                <w:b/>
                <w:color w:val="auto"/>
                <w:sz w:val="24"/>
                <w:szCs w:val="24"/>
                <w:highlight w:val="none"/>
                <w:lang w:val="en-US" w:eastAsia="zh-CN"/>
              </w:rPr>
            </w:pPr>
            <w:r>
              <w:rPr>
                <w:rFonts w:hint="eastAsia"/>
                <w:b/>
                <w:color w:val="auto"/>
                <w:sz w:val="24"/>
                <w:szCs w:val="24"/>
                <w:highlight w:val="none"/>
                <w:lang w:val="en-US" w:eastAsia="zh-CN"/>
              </w:rPr>
              <w:t>售后服务</w:t>
            </w:r>
          </w:p>
        </w:tc>
        <w:tc>
          <w:tcPr>
            <w:tcW w:w="6412" w:type="dxa"/>
          </w:tcPr>
          <w:p w14:paraId="33708A03">
            <w:pPr>
              <w:keepNext w:val="0"/>
              <w:keepLines w:val="0"/>
              <w:pageBreakBefore w:val="0"/>
              <w:widowControl w:val="0"/>
              <w:kinsoku/>
              <w:wordWrap/>
              <w:overflowPunct/>
              <w:topLinePunct w:val="0"/>
              <w:autoSpaceDE/>
              <w:autoSpaceDN/>
              <w:bidi w:val="0"/>
              <w:adjustRightInd w:val="0"/>
              <w:snapToGrid/>
              <w:spacing w:line="400" w:lineRule="exact"/>
              <w:textAlignment w:val="baseline"/>
              <w:outlineLvl w:val="1"/>
              <w:rPr>
                <w:rFonts w:hint="eastAsia"/>
                <w:b w:val="0"/>
                <w:bCs/>
                <w:color w:val="auto"/>
                <w:sz w:val="24"/>
                <w:szCs w:val="24"/>
                <w:highlight w:val="none"/>
                <w:vertAlign w:val="baseline"/>
                <w:lang w:val="en-US" w:eastAsia="zh-CN"/>
              </w:rPr>
            </w:pPr>
            <w:r>
              <w:rPr>
                <w:rFonts w:hint="eastAsia"/>
                <w:b w:val="0"/>
                <w:bCs/>
                <w:color w:val="auto"/>
                <w:sz w:val="24"/>
                <w:szCs w:val="24"/>
                <w:highlight w:val="none"/>
                <w:vertAlign w:val="baseline"/>
                <w:lang w:val="en-US" w:eastAsia="zh-CN"/>
              </w:rPr>
              <w:t>一、如售后施工质量不合格，供应商无条件修复后还需供应商以未合格部分工程量结算价的10%向采购人支付违约金，违约金可直接在工程质保金中抵扣或另行扣除。</w:t>
            </w:r>
          </w:p>
          <w:p w14:paraId="1D6D8932">
            <w:pPr>
              <w:keepNext w:val="0"/>
              <w:keepLines w:val="0"/>
              <w:pageBreakBefore w:val="0"/>
              <w:widowControl w:val="0"/>
              <w:kinsoku/>
              <w:wordWrap/>
              <w:overflowPunct/>
              <w:topLinePunct w:val="0"/>
              <w:autoSpaceDE/>
              <w:autoSpaceDN/>
              <w:bidi w:val="0"/>
              <w:adjustRightInd w:val="0"/>
              <w:snapToGrid/>
              <w:spacing w:line="400" w:lineRule="exact"/>
              <w:textAlignment w:val="baseline"/>
              <w:outlineLvl w:val="1"/>
              <w:rPr>
                <w:rFonts w:hint="eastAsia"/>
                <w:b w:val="0"/>
                <w:bCs/>
                <w:color w:val="auto"/>
                <w:sz w:val="24"/>
                <w:szCs w:val="24"/>
                <w:highlight w:val="none"/>
                <w:vertAlign w:val="baseline"/>
                <w:lang w:val="en-US" w:eastAsia="zh-CN"/>
              </w:rPr>
            </w:pPr>
            <w:r>
              <w:rPr>
                <w:rFonts w:hint="eastAsia"/>
                <w:b w:val="0"/>
                <w:bCs/>
                <w:color w:val="auto"/>
                <w:sz w:val="24"/>
                <w:szCs w:val="24"/>
                <w:highlight w:val="none"/>
                <w:vertAlign w:val="baseline"/>
                <w:lang w:val="en-US" w:eastAsia="zh-CN"/>
              </w:rPr>
              <w:t>二、供应商接到维修通知没有在承诺时间到达现场，每次扣罚500元，年度累计5次未按承诺时间到达现场或供应商3次以上不能按采购人要求开展工作的，采购人有权解除合同并上报财政监管部门进行处理。</w:t>
            </w:r>
          </w:p>
        </w:tc>
      </w:tr>
      <w:tr w14:paraId="60F7C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vMerge w:val="continue"/>
          </w:tcPr>
          <w:p w14:paraId="59417A3C">
            <w:pPr>
              <w:keepNext w:val="0"/>
              <w:keepLines w:val="0"/>
              <w:pageBreakBefore w:val="0"/>
              <w:widowControl w:val="0"/>
              <w:kinsoku/>
              <w:wordWrap/>
              <w:overflowPunct/>
              <w:topLinePunct w:val="0"/>
              <w:autoSpaceDE/>
              <w:autoSpaceDN/>
              <w:bidi w:val="0"/>
              <w:adjustRightInd w:val="0"/>
              <w:snapToGrid/>
              <w:spacing w:line="400" w:lineRule="exact"/>
              <w:textAlignment w:val="baseline"/>
              <w:outlineLvl w:val="1"/>
              <w:rPr>
                <w:rFonts w:hint="eastAsia"/>
                <w:b/>
                <w:color w:val="auto"/>
                <w:sz w:val="24"/>
                <w:szCs w:val="24"/>
                <w:highlight w:val="none"/>
                <w:vertAlign w:val="baseline"/>
              </w:rPr>
            </w:pPr>
          </w:p>
        </w:tc>
        <w:tc>
          <w:tcPr>
            <w:tcW w:w="1789" w:type="dxa"/>
            <w:vAlign w:val="center"/>
          </w:tcPr>
          <w:p w14:paraId="362E707E">
            <w:pPr>
              <w:keepNext w:val="0"/>
              <w:keepLines w:val="0"/>
              <w:pageBreakBefore w:val="0"/>
              <w:widowControl w:val="0"/>
              <w:kinsoku/>
              <w:wordWrap/>
              <w:overflowPunct/>
              <w:topLinePunct w:val="0"/>
              <w:autoSpaceDE/>
              <w:autoSpaceDN/>
              <w:bidi w:val="0"/>
              <w:adjustRightInd w:val="0"/>
              <w:snapToGrid/>
              <w:spacing w:line="400" w:lineRule="exact"/>
              <w:jc w:val="center"/>
              <w:textAlignment w:val="baseline"/>
              <w:outlineLvl w:val="1"/>
              <w:rPr>
                <w:rFonts w:hint="eastAsia"/>
                <w:b/>
                <w:color w:val="auto"/>
                <w:sz w:val="24"/>
                <w:szCs w:val="24"/>
                <w:highlight w:val="none"/>
              </w:rPr>
            </w:pPr>
            <w:r>
              <w:rPr>
                <w:rFonts w:hint="eastAsia"/>
                <w:b/>
                <w:color w:val="auto"/>
                <w:sz w:val="24"/>
                <w:szCs w:val="24"/>
                <w:highlight w:val="none"/>
              </w:rPr>
              <w:t>付款方式</w:t>
            </w:r>
          </w:p>
        </w:tc>
        <w:tc>
          <w:tcPr>
            <w:tcW w:w="6412" w:type="dxa"/>
          </w:tcPr>
          <w:p w14:paraId="4BE5682F">
            <w:pPr>
              <w:keepNext w:val="0"/>
              <w:keepLines w:val="0"/>
              <w:pageBreakBefore w:val="0"/>
              <w:widowControl w:val="0"/>
              <w:kinsoku/>
              <w:wordWrap/>
              <w:overflowPunct/>
              <w:topLinePunct w:val="0"/>
              <w:autoSpaceDE/>
              <w:autoSpaceDN/>
              <w:bidi w:val="0"/>
              <w:adjustRightInd w:val="0"/>
              <w:snapToGrid/>
              <w:spacing w:line="400" w:lineRule="exact"/>
              <w:textAlignment w:val="baseline"/>
              <w:outlineLvl w:val="1"/>
              <w:rPr>
                <w:rFonts w:hint="eastAsia" w:eastAsia="宋体"/>
                <w:b w:val="0"/>
                <w:bCs/>
                <w:color w:val="auto"/>
                <w:sz w:val="24"/>
                <w:szCs w:val="24"/>
                <w:highlight w:val="none"/>
                <w:vertAlign w:val="baseline"/>
                <w:lang w:eastAsia="zh-CN"/>
              </w:rPr>
            </w:pPr>
            <w:r>
              <w:rPr>
                <w:rFonts w:hint="eastAsia" w:eastAsia="宋体"/>
                <w:b w:val="0"/>
                <w:bCs/>
                <w:color w:val="auto"/>
                <w:sz w:val="24"/>
                <w:szCs w:val="24"/>
                <w:highlight w:val="none"/>
                <w:vertAlign w:val="baseline"/>
                <w:lang w:eastAsia="zh-CN"/>
              </w:rPr>
              <w:t>合同签订后10个工作日内，采购人向成交供应商支付合同总价的30%作为工程预付款；工程完工并通过竣工验收、质量达标合格后，付款累计付至合同总价的80%（含前期已支付款项）；竣工结算资料报送财政部门审定完成后，付款累计付至财政审定结算价款的97%（含前期已支付全部款项）。采购人留存审定结算总价款3%作为工程质量保修金，待约定的工程质量保修期(成交供应商按要求完成保修责任，并经采购人验收合格)满后无息一次性付清剩余全部款项。</w:t>
            </w:r>
          </w:p>
        </w:tc>
      </w:tr>
      <w:tr w14:paraId="6C0FC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vAlign w:val="center"/>
          </w:tcPr>
          <w:p w14:paraId="63DF30CA">
            <w:pPr>
              <w:keepNext w:val="0"/>
              <w:keepLines w:val="0"/>
              <w:pageBreakBefore w:val="0"/>
              <w:widowControl w:val="0"/>
              <w:kinsoku/>
              <w:wordWrap/>
              <w:overflowPunct/>
              <w:topLinePunct w:val="0"/>
              <w:autoSpaceDE/>
              <w:autoSpaceDN/>
              <w:bidi w:val="0"/>
              <w:adjustRightInd w:val="0"/>
              <w:snapToGrid/>
              <w:spacing w:line="400" w:lineRule="exact"/>
              <w:jc w:val="center"/>
              <w:textAlignment w:val="baseline"/>
              <w:outlineLvl w:val="1"/>
              <w:rPr>
                <w:rFonts w:hint="eastAsia" w:eastAsia="宋体"/>
                <w:b/>
                <w:color w:val="auto"/>
                <w:sz w:val="24"/>
                <w:szCs w:val="24"/>
                <w:highlight w:val="none"/>
                <w:vertAlign w:val="baseline"/>
                <w:lang w:eastAsia="zh-CN"/>
              </w:rPr>
            </w:pPr>
            <w:r>
              <w:rPr>
                <w:rFonts w:hint="eastAsia"/>
                <w:b/>
                <w:color w:val="auto"/>
                <w:sz w:val="24"/>
                <w:szCs w:val="24"/>
                <w:highlight w:val="none"/>
                <w:vertAlign w:val="baseline"/>
                <w:lang w:eastAsia="zh-CN"/>
              </w:rPr>
              <w:t>其他说明</w:t>
            </w:r>
          </w:p>
        </w:tc>
        <w:tc>
          <w:tcPr>
            <w:tcW w:w="8201" w:type="dxa"/>
            <w:gridSpan w:val="2"/>
          </w:tcPr>
          <w:p w14:paraId="2BFCA25E">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textAlignment w:val="baseline"/>
              <w:outlineLvl w:val="1"/>
              <w:rPr>
                <w:rFonts w:hint="eastAsia" w:ascii="宋体" w:eastAsia="宋体"/>
                <w:b w:val="0"/>
                <w:bCs/>
                <w:color w:val="auto"/>
                <w:sz w:val="24"/>
                <w:szCs w:val="24"/>
                <w:highlight w:val="none"/>
                <w:vertAlign w:val="baseline"/>
                <w:lang w:eastAsia="zh-CN"/>
              </w:rPr>
            </w:pPr>
            <w:r>
              <w:rPr>
                <w:rFonts w:hint="eastAsia" w:ascii="宋体" w:hAnsi="Courier New" w:eastAsia="宋体" w:cs="Times New Roman"/>
                <w:b w:val="0"/>
                <w:bCs/>
                <w:color w:val="auto"/>
                <w:kern w:val="2"/>
                <w:sz w:val="24"/>
                <w:szCs w:val="24"/>
                <w:highlight w:val="none"/>
                <w:lang w:val="en-US" w:eastAsia="zh-CN" w:bidi="ar-SA"/>
              </w:rPr>
              <w:t>1</w:t>
            </w:r>
            <w:r>
              <w:rPr>
                <w:rFonts w:hint="eastAsia" w:ascii="宋体" w:eastAsia="宋体"/>
                <w:b w:val="0"/>
                <w:bCs/>
                <w:color w:val="auto"/>
                <w:sz w:val="24"/>
                <w:szCs w:val="24"/>
                <w:highlight w:val="none"/>
                <w:vertAlign w:val="baseline"/>
                <w:lang w:val="en-US" w:eastAsia="zh-CN"/>
              </w:rPr>
              <w:t>、</w:t>
            </w:r>
            <w:r>
              <w:rPr>
                <w:rFonts w:hint="eastAsia" w:ascii="宋体" w:eastAsia="宋体"/>
                <w:b w:val="0"/>
                <w:bCs/>
                <w:color w:val="auto"/>
                <w:sz w:val="24"/>
                <w:szCs w:val="24"/>
                <w:highlight w:val="none"/>
                <w:vertAlign w:val="baseline"/>
                <w:lang w:eastAsia="zh-CN"/>
              </w:rPr>
              <w:t>本项目图纸和工程量清单另册发放。</w:t>
            </w:r>
          </w:p>
          <w:p w14:paraId="158FE5C0">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textAlignment w:val="baseline"/>
              <w:outlineLvl w:val="1"/>
              <w:rPr>
                <w:rFonts w:hint="default"/>
                <w:color w:val="auto"/>
                <w:highlight w:val="none"/>
                <w:lang w:val="en-US" w:eastAsia="zh-CN"/>
              </w:rPr>
            </w:pPr>
            <w:r>
              <w:rPr>
                <w:rFonts w:hint="eastAsia" w:ascii="宋体" w:eastAsia="宋体"/>
                <w:b w:val="0"/>
                <w:bCs/>
                <w:color w:val="auto"/>
                <w:sz w:val="24"/>
                <w:szCs w:val="24"/>
                <w:highlight w:val="none"/>
                <w:vertAlign w:val="baseline"/>
                <w:lang w:val="en-US" w:eastAsia="zh-CN"/>
              </w:rPr>
              <w:t>2、未尽事宜详见本工程工程量清单、最高限价控制价编制说明以及现行《计价规范》等有关规定执行。</w:t>
            </w:r>
          </w:p>
        </w:tc>
      </w:tr>
    </w:tbl>
    <w:p w14:paraId="6C8529C2">
      <w:pPr>
        <w:spacing w:line="440" w:lineRule="exact"/>
        <w:ind w:firstLine="482" w:firstLineChars="200"/>
        <w:outlineLvl w:val="1"/>
        <w:rPr>
          <w:rFonts w:hint="eastAsia"/>
          <w:b/>
          <w:color w:val="auto"/>
          <w:sz w:val="24"/>
          <w:szCs w:val="24"/>
          <w:highlight w:val="none"/>
        </w:rPr>
      </w:pPr>
    </w:p>
    <w:bookmarkEnd w:id="34"/>
    <w:p w14:paraId="2FA82342">
      <w:pPr>
        <w:spacing w:line="360" w:lineRule="auto"/>
        <w:jc w:val="center"/>
        <w:outlineLvl w:val="0"/>
        <w:rPr>
          <w:rFonts w:hint="eastAsia" w:asciiTheme="minorEastAsia" w:hAnsiTheme="minorEastAsia" w:eastAsiaTheme="minorEastAsia"/>
          <w:b/>
          <w:color w:val="auto"/>
          <w:sz w:val="44"/>
          <w:szCs w:val="44"/>
          <w:highlight w:val="none"/>
        </w:rPr>
      </w:pPr>
      <w:bookmarkStart w:id="35" w:name="_Toc453681445"/>
      <w:bookmarkStart w:id="36" w:name="_Toc24270"/>
    </w:p>
    <w:p w14:paraId="6EA210AC">
      <w:pPr>
        <w:spacing w:line="360" w:lineRule="auto"/>
        <w:jc w:val="center"/>
        <w:outlineLvl w:val="0"/>
        <w:rPr>
          <w:rFonts w:hint="eastAsia" w:asciiTheme="minorEastAsia" w:hAnsiTheme="minorEastAsia" w:eastAsiaTheme="minorEastAsia"/>
          <w:b/>
          <w:color w:val="auto"/>
          <w:sz w:val="44"/>
          <w:szCs w:val="44"/>
          <w:highlight w:val="none"/>
        </w:rPr>
      </w:pPr>
    </w:p>
    <w:p w14:paraId="3EFEB9C4">
      <w:pPr>
        <w:spacing w:line="360" w:lineRule="auto"/>
        <w:jc w:val="center"/>
        <w:outlineLvl w:val="0"/>
        <w:rPr>
          <w:rFonts w:hint="eastAsia" w:asciiTheme="minorEastAsia" w:hAnsiTheme="minorEastAsia" w:eastAsiaTheme="minorEastAsia"/>
          <w:b/>
          <w:color w:val="auto"/>
          <w:sz w:val="44"/>
          <w:szCs w:val="44"/>
          <w:highlight w:val="none"/>
        </w:rPr>
      </w:pPr>
    </w:p>
    <w:p w14:paraId="184AD1F8">
      <w:pPr>
        <w:spacing w:line="360" w:lineRule="auto"/>
        <w:jc w:val="center"/>
        <w:outlineLvl w:val="0"/>
        <w:rPr>
          <w:rFonts w:hint="eastAsia" w:asciiTheme="minorEastAsia" w:hAnsiTheme="minorEastAsia" w:eastAsiaTheme="minorEastAsia"/>
          <w:b/>
          <w:color w:val="auto"/>
          <w:sz w:val="44"/>
          <w:szCs w:val="44"/>
          <w:highlight w:val="none"/>
        </w:rPr>
      </w:pPr>
    </w:p>
    <w:p w14:paraId="480CB360">
      <w:pPr>
        <w:spacing w:line="360" w:lineRule="auto"/>
        <w:jc w:val="center"/>
        <w:outlineLvl w:val="0"/>
        <w:rPr>
          <w:rFonts w:hint="eastAsia" w:asciiTheme="minorEastAsia" w:hAnsiTheme="minorEastAsia" w:eastAsiaTheme="minorEastAsia"/>
          <w:b/>
          <w:color w:val="auto"/>
          <w:sz w:val="44"/>
          <w:szCs w:val="44"/>
          <w:highlight w:val="none"/>
        </w:rPr>
      </w:pPr>
    </w:p>
    <w:p w14:paraId="603DB766">
      <w:pPr>
        <w:spacing w:line="360" w:lineRule="auto"/>
        <w:jc w:val="center"/>
        <w:outlineLvl w:val="0"/>
        <w:rPr>
          <w:rFonts w:hint="eastAsia" w:asciiTheme="minorEastAsia" w:hAnsiTheme="minorEastAsia" w:eastAsiaTheme="minorEastAsia"/>
          <w:b/>
          <w:color w:val="auto"/>
          <w:sz w:val="44"/>
          <w:szCs w:val="44"/>
          <w:highlight w:val="none"/>
        </w:rPr>
      </w:pPr>
    </w:p>
    <w:p w14:paraId="313F6ED7">
      <w:pPr>
        <w:spacing w:line="360" w:lineRule="auto"/>
        <w:jc w:val="center"/>
        <w:outlineLvl w:val="0"/>
        <w:rPr>
          <w:rFonts w:hint="eastAsia" w:asciiTheme="minorEastAsia" w:hAnsiTheme="minorEastAsia" w:eastAsiaTheme="minorEastAsia"/>
          <w:b/>
          <w:color w:val="auto"/>
          <w:sz w:val="44"/>
          <w:szCs w:val="44"/>
          <w:highlight w:val="none"/>
        </w:rPr>
      </w:pPr>
    </w:p>
    <w:p w14:paraId="2320D82B">
      <w:pPr>
        <w:spacing w:line="360" w:lineRule="auto"/>
        <w:jc w:val="center"/>
        <w:outlineLvl w:val="0"/>
        <w:rPr>
          <w:rFonts w:hint="eastAsia" w:asciiTheme="minorEastAsia" w:hAnsiTheme="minorEastAsia" w:eastAsiaTheme="minorEastAsia"/>
          <w:b/>
          <w:color w:val="auto"/>
          <w:sz w:val="44"/>
          <w:szCs w:val="44"/>
          <w:highlight w:val="none"/>
        </w:rPr>
      </w:pPr>
    </w:p>
    <w:p w14:paraId="4219D021">
      <w:pPr>
        <w:pStyle w:val="2"/>
        <w:rPr>
          <w:rFonts w:hint="eastAsia"/>
          <w:color w:val="auto"/>
        </w:rPr>
      </w:pPr>
    </w:p>
    <w:p w14:paraId="2462FE33">
      <w:pPr>
        <w:spacing w:line="360" w:lineRule="auto"/>
        <w:jc w:val="center"/>
        <w:outlineLvl w:val="0"/>
        <w:rPr>
          <w:rFonts w:hint="eastAsia" w:asciiTheme="minorEastAsia" w:hAnsiTheme="minorEastAsia" w:eastAsiaTheme="minorEastAsia"/>
          <w:b/>
          <w:color w:val="auto"/>
          <w:sz w:val="44"/>
          <w:szCs w:val="44"/>
          <w:highlight w:val="none"/>
        </w:rPr>
      </w:pPr>
    </w:p>
    <w:p w14:paraId="73643D36">
      <w:pPr>
        <w:spacing w:line="360" w:lineRule="auto"/>
        <w:jc w:val="center"/>
        <w:outlineLvl w:val="0"/>
        <w:rPr>
          <w:rFonts w:hint="eastAsia" w:asciiTheme="minorEastAsia" w:hAnsiTheme="minorEastAsia" w:eastAsiaTheme="minorEastAsia"/>
          <w:b/>
          <w:color w:val="auto"/>
          <w:sz w:val="44"/>
          <w:szCs w:val="44"/>
          <w:highlight w:val="none"/>
        </w:rPr>
      </w:pPr>
    </w:p>
    <w:p w14:paraId="144BEDDF">
      <w:pPr>
        <w:spacing w:line="360" w:lineRule="auto"/>
        <w:jc w:val="center"/>
        <w:outlineLvl w:val="0"/>
        <w:rPr>
          <w:rFonts w:hint="eastAsia" w:asciiTheme="minorEastAsia" w:hAnsiTheme="minorEastAsia" w:eastAsiaTheme="minorEastAsia"/>
          <w:b/>
          <w:color w:val="auto"/>
          <w:sz w:val="44"/>
          <w:szCs w:val="44"/>
          <w:highlight w:val="none"/>
        </w:rPr>
      </w:pPr>
    </w:p>
    <w:p w14:paraId="2F256BE3">
      <w:pPr>
        <w:spacing w:line="360" w:lineRule="auto"/>
        <w:jc w:val="center"/>
        <w:outlineLvl w:val="0"/>
        <w:rPr>
          <w:rFonts w:hint="eastAsia" w:asciiTheme="minorEastAsia" w:hAnsiTheme="minorEastAsia" w:eastAsiaTheme="minorEastAsia"/>
          <w:b/>
          <w:color w:val="auto"/>
          <w:sz w:val="44"/>
          <w:szCs w:val="44"/>
          <w:highlight w:val="none"/>
        </w:rPr>
      </w:pPr>
    </w:p>
    <w:p w14:paraId="7FAC1CB3">
      <w:pPr>
        <w:spacing w:line="360" w:lineRule="auto"/>
        <w:jc w:val="center"/>
        <w:outlineLvl w:val="0"/>
        <w:rPr>
          <w:rFonts w:asciiTheme="minorEastAsia" w:hAnsiTheme="minorEastAsia" w:eastAsiaTheme="minorEastAsia"/>
          <w:b/>
          <w:color w:val="auto"/>
          <w:sz w:val="44"/>
          <w:szCs w:val="44"/>
          <w:highlight w:val="none"/>
        </w:rPr>
      </w:pPr>
      <w:r>
        <w:rPr>
          <w:rFonts w:hint="eastAsia" w:asciiTheme="minorEastAsia" w:hAnsiTheme="minorEastAsia" w:eastAsiaTheme="minorEastAsia"/>
          <w:b/>
          <w:color w:val="auto"/>
          <w:sz w:val="44"/>
          <w:szCs w:val="44"/>
          <w:highlight w:val="none"/>
        </w:rPr>
        <w:t>第五章  技术标准、规范</w:t>
      </w:r>
      <w:bookmarkEnd w:id="35"/>
      <w:bookmarkEnd w:id="36"/>
    </w:p>
    <w:p w14:paraId="1BAF3CE6">
      <w:pPr>
        <w:pStyle w:val="27"/>
        <w:spacing w:line="360" w:lineRule="auto"/>
        <w:ind w:right="384" w:rightChars="183" w:firstLine="420" w:firstLineChars="20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本采购工程，应该认真按施工图纸要求进行施工；同时也要严格执行建筑工程各专业有关的现行标准和技术规范。</w:t>
      </w:r>
    </w:p>
    <w:p w14:paraId="732F225A">
      <w:pPr>
        <w:pStyle w:val="27"/>
        <w:spacing w:line="360" w:lineRule="auto"/>
        <w:ind w:right="384" w:rightChars="183"/>
        <w:jc w:val="center"/>
        <w:rPr>
          <w:rFonts w:asciiTheme="minorEastAsia" w:hAnsiTheme="minorEastAsia" w:eastAsiaTheme="minorEastAsia"/>
          <w:b/>
          <w:color w:val="auto"/>
          <w:sz w:val="48"/>
          <w:szCs w:val="48"/>
          <w:highlight w:val="none"/>
        </w:rPr>
      </w:pPr>
    </w:p>
    <w:p w14:paraId="49031420">
      <w:pPr>
        <w:pStyle w:val="27"/>
        <w:spacing w:line="360" w:lineRule="auto"/>
        <w:ind w:right="384" w:rightChars="183"/>
        <w:jc w:val="center"/>
        <w:rPr>
          <w:rFonts w:asciiTheme="minorEastAsia" w:hAnsiTheme="minorEastAsia" w:eastAsiaTheme="minorEastAsia"/>
          <w:b/>
          <w:color w:val="auto"/>
          <w:sz w:val="32"/>
          <w:szCs w:val="32"/>
          <w:highlight w:val="none"/>
        </w:rPr>
        <w:sectPr>
          <w:pgSz w:w="11907" w:h="16840"/>
          <w:pgMar w:top="1304" w:right="1304" w:bottom="1304" w:left="1304" w:header="964" w:footer="737" w:gutter="0"/>
          <w:cols w:space="720" w:num="1"/>
          <w:titlePg/>
          <w:docGrid w:linePitch="312" w:charSpace="0"/>
        </w:sectPr>
      </w:pPr>
    </w:p>
    <w:p w14:paraId="07B44B5B">
      <w:pPr>
        <w:spacing w:line="360" w:lineRule="auto"/>
        <w:jc w:val="center"/>
        <w:outlineLvl w:val="0"/>
        <w:rPr>
          <w:rFonts w:asciiTheme="minorEastAsia" w:hAnsiTheme="minorEastAsia" w:eastAsiaTheme="minorEastAsia"/>
          <w:b/>
          <w:color w:val="auto"/>
          <w:sz w:val="44"/>
          <w:szCs w:val="44"/>
          <w:highlight w:val="none"/>
        </w:rPr>
      </w:pPr>
      <w:bookmarkStart w:id="37" w:name="_Toc453681446"/>
      <w:bookmarkStart w:id="38" w:name="_Toc12218"/>
      <w:r>
        <w:rPr>
          <w:rFonts w:hint="eastAsia" w:asciiTheme="minorEastAsia" w:hAnsiTheme="minorEastAsia" w:eastAsiaTheme="minorEastAsia"/>
          <w:b/>
          <w:color w:val="auto"/>
          <w:sz w:val="44"/>
          <w:szCs w:val="44"/>
          <w:highlight w:val="none"/>
        </w:rPr>
        <w:t>第六章  合同条款及格式</w:t>
      </w:r>
      <w:bookmarkEnd w:id="37"/>
      <w:bookmarkEnd w:id="38"/>
    </w:p>
    <w:bookmarkEnd w:id="24"/>
    <w:bookmarkEnd w:id="25"/>
    <w:p w14:paraId="1512C675">
      <w:pPr>
        <w:pStyle w:val="27"/>
        <w:spacing w:line="440" w:lineRule="exact"/>
        <w:ind w:firstLine="420" w:firstLineChars="200"/>
        <w:rPr>
          <w:rFonts w:hAnsi="宋体" w:cs="宋体"/>
          <w:color w:val="auto"/>
          <w:szCs w:val="21"/>
          <w:highlight w:val="none"/>
        </w:rPr>
      </w:pPr>
      <w:bookmarkStart w:id="39" w:name="_Toc453681539"/>
      <w:bookmarkStart w:id="40" w:name="_Toc108836089"/>
      <w:bookmarkStart w:id="41" w:name="_Toc108835678"/>
      <w:r>
        <w:rPr>
          <w:rFonts w:hint="eastAsia" w:hAnsi="宋体" w:cs="宋体"/>
          <w:color w:val="auto"/>
          <w:szCs w:val="21"/>
          <w:highlight w:val="none"/>
        </w:rPr>
        <w:t>（注：本合同样本仅供参考，具体内容由采购人和成交人协商确定，但补充和修改不得造成与本章格式内容有实质性的违背。）</w:t>
      </w:r>
    </w:p>
    <w:p w14:paraId="3403407A">
      <w:pPr>
        <w:spacing w:line="276" w:lineRule="auto"/>
        <w:rPr>
          <w:rFonts w:hAnsi="Times New Roman"/>
          <w:color w:val="auto"/>
          <w:sz w:val="44"/>
          <w:szCs w:val="44"/>
          <w:highlight w:val="none"/>
        </w:rPr>
      </w:pPr>
    </w:p>
    <w:p w14:paraId="16A5F11F">
      <w:pPr>
        <w:keepNext/>
        <w:keepLines/>
        <w:spacing w:line="360" w:lineRule="auto"/>
        <w:jc w:val="center"/>
        <w:outlineLvl w:val="0"/>
        <w:rPr>
          <w:rFonts w:ascii="Calibri" w:hAnsi="Calibri" w:eastAsia="黑体" w:cs="黑体"/>
          <w:b/>
          <w:bCs/>
          <w:color w:val="auto"/>
          <w:kern w:val="44"/>
          <w:sz w:val="44"/>
          <w:szCs w:val="44"/>
          <w:highlight w:val="none"/>
          <w:lang w:val="zh-CN"/>
        </w:rPr>
        <w:sectPr>
          <w:footerReference r:id="rId8" w:type="default"/>
          <w:pgSz w:w="11907" w:h="16840"/>
          <w:pgMar w:top="1440" w:right="1440" w:bottom="1440" w:left="1797" w:header="851" w:footer="851" w:gutter="0"/>
          <w:cols w:space="720" w:num="1"/>
          <w:docGrid w:linePitch="312" w:charSpace="0"/>
        </w:sectPr>
      </w:pPr>
      <w:bookmarkStart w:id="42" w:name="_Toc373478199"/>
      <w:bookmarkStart w:id="43" w:name="_Toc256000127"/>
      <w:bookmarkStart w:id="44" w:name="_Toc296890982"/>
      <w:bookmarkStart w:id="45" w:name="_Toc389065255"/>
      <w:bookmarkStart w:id="46" w:name="_Toc296503025"/>
      <w:bookmarkStart w:id="47" w:name="_Toc351203480"/>
      <w:bookmarkStart w:id="48" w:name="_Toc373227552"/>
      <w:bookmarkStart w:id="49" w:name="_Toc407135191"/>
      <w:bookmarkStart w:id="50" w:name="_Toc83895638"/>
    </w:p>
    <w:bookmarkEnd w:id="42"/>
    <w:bookmarkEnd w:id="43"/>
    <w:bookmarkEnd w:id="44"/>
    <w:bookmarkEnd w:id="45"/>
    <w:bookmarkEnd w:id="46"/>
    <w:bookmarkEnd w:id="47"/>
    <w:bookmarkEnd w:id="48"/>
    <w:bookmarkEnd w:id="49"/>
    <w:bookmarkEnd w:id="50"/>
    <w:p w14:paraId="084ACAEC">
      <w:pPr>
        <w:keepNext/>
        <w:keepLines/>
        <w:spacing w:before="340" w:after="330" w:line="578" w:lineRule="auto"/>
        <w:jc w:val="center"/>
        <w:outlineLvl w:val="0"/>
        <w:rPr>
          <w:rFonts w:ascii="宋体" w:hAnsi="宋体"/>
          <w:b/>
          <w:bCs/>
          <w:color w:val="auto"/>
          <w:kern w:val="44"/>
          <w:sz w:val="44"/>
          <w:szCs w:val="44"/>
          <w:highlight w:val="none"/>
        </w:rPr>
      </w:pPr>
      <w:bookmarkStart w:id="51" w:name="_Toc12955971"/>
      <w:bookmarkStart w:id="52" w:name="_Toc256000079"/>
      <w:bookmarkStart w:id="53" w:name="_Toc466537223"/>
      <w:bookmarkStart w:id="54" w:name="_Toc534962159"/>
      <w:bookmarkStart w:id="55" w:name="_Toc256000078"/>
      <w:bookmarkStart w:id="56" w:name="EBe5284d1842b94f0c98d02c465f9a426c"/>
      <w:r>
        <w:rPr>
          <w:rFonts w:ascii="宋体" w:hAnsi="宋体"/>
          <w:b/>
          <w:bCs/>
          <w:color w:val="auto"/>
          <w:kern w:val="44"/>
          <w:sz w:val="44"/>
          <w:szCs w:val="44"/>
          <w:highlight w:val="none"/>
        </w:rPr>
        <w:t>第一</w:t>
      </w:r>
      <w:r>
        <w:rPr>
          <w:rFonts w:hint="eastAsia" w:ascii="宋体" w:hAnsi="宋体"/>
          <w:b/>
          <w:bCs/>
          <w:color w:val="auto"/>
          <w:kern w:val="44"/>
          <w:sz w:val="44"/>
          <w:szCs w:val="44"/>
          <w:highlight w:val="none"/>
        </w:rPr>
        <w:t>部分</w:t>
      </w:r>
      <w:r>
        <w:rPr>
          <w:rFonts w:ascii="宋体" w:hAnsi="宋体"/>
          <w:b/>
          <w:bCs/>
          <w:color w:val="auto"/>
          <w:kern w:val="44"/>
          <w:sz w:val="44"/>
          <w:szCs w:val="44"/>
          <w:highlight w:val="none"/>
        </w:rPr>
        <w:t xml:space="preserve"> 合同协议书</w:t>
      </w:r>
      <w:bookmarkEnd w:id="51"/>
      <w:bookmarkEnd w:id="52"/>
      <w:bookmarkEnd w:id="53"/>
      <w:bookmarkEnd w:id="54"/>
      <w:bookmarkEnd w:id="55"/>
    </w:p>
    <w:p w14:paraId="74206D1B">
      <w:pPr>
        <w:spacing w:line="360" w:lineRule="auto"/>
        <w:rPr>
          <w:rFonts w:ascii="Calibri" w:hAnsi="Calibri"/>
          <w:color w:val="auto"/>
          <w:szCs w:val="21"/>
          <w:highlight w:val="none"/>
          <w:u w:val="single"/>
        </w:rPr>
      </w:pPr>
      <w:r>
        <w:rPr>
          <w:rFonts w:ascii="Calibri" w:hAnsi="宋体"/>
          <w:color w:val="auto"/>
          <w:szCs w:val="21"/>
          <w:highlight w:val="none"/>
        </w:rPr>
        <w:t>发包人（全称）：</w:t>
      </w:r>
      <w:r>
        <w:rPr>
          <w:rFonts w:ascii="Calibri" w:hAnsi="宋体"/>
          <w:color w:val="auto"/>
          <w:szCs w:val="21"/>
          <w:highlight w:val="none"/>
          <w:u w:val="single"/>
        </w:rPr>
        <w:t></w:t>
      </w:r>
    </w:p>
    <w:p w14:paraId="50FDDEA5">
      <w:pPr>
        <w:spacing w:line="360" w:lineRule="auto"/>
        <w:rPr>
          <w:rFonts w:ascii="Calibri" w:hAnsi="Calibri"/>
          <w:color w:val="auto"/>
          <w:szCs w:val="21"/>
          <w:highlight w:val="none"/>
          <w:u w:val="single"/>
        </w:rPr>
      </w:pPr>
      <w:r>
        <w:rPr>
          <w:rFonts w:ascii="Calibri" w:hAnsi="宋体"/>
          <w:color w:val="auto"/>
          <w:szCs w:val="21"/>
          <w:highlight w:val="none"/>
        </w:rPr>
        <w:t>承包人（全称）：</w:t>
      </w:r>
      <w:r>
        <w:rPr>
          <w:rFonts w:ascii="Calibri" w:hAnsi="宋体"/>
          <w:color w:val="auto"/>
          <w:szCs w:val="21"/>
          <w:highlight w:val="none"/>
          <w:u w:val="single"/>
        </w:rPr>
        <w:t></w:t>
      </w:r>
    </w:p>
    <w:p w14:paraId="0F28D7C9">
      <w:pPr>
        <w:spacing w:line="360" w:lineRule="auto"/>
        <w:ind w:firstLine="420" w:firstLineChars="200"/>
        <w:rPr>
          <w:rFonts w:ascii="Calibri" w:hAnsi="宋体"/>
          <w:color w:val="auto"/>
          <w:szCs w:val="21"/>
          <w:highlight w:val="none"/>
        </w:rPr>
      </w:pPr>
      <w:r>
        <w:rPr>
          <w:rFonts w:ascii="Calibri" w:hAnsi="宋体"/>
          <w:color w:val="auto"/>
          <w:szCs w:val="21"/>
          <w:highlight w:val="none"/>
        </w:rPr>
        <w:t>根据《中华人民共和国</w:t>
      </w:r>
      <w:r>
        <w:rPr>
          <w:rFonts w:hint="eastAsia" w:ascii="Calibri" w:hAnsi="宋体"/>
          <w:color w:val="auto"/>
          <w:szCs w:val="21"/>
          <w:highlight w:val="none"/>
        </w:rPr>
        <w:t>民法典</w:t>
      </w:r>
      <w:r>
        <w:rPr>
          <w:rFonts w:ascii="Calibri" w:hAnsi="宋体"/>
          <w:color w:val="auto"/>
          <w:szCs w:val="21"/>
          <w:highlight w:val="none"/>
        </w:rPr>
        <w:t>》、《中华人民共和国建筑法》及有关法律规定，遵循平等、自愿、公平和诚实信用的原则，双方就工程施工及有关事项协商一致，共同达成如下协议：</w:t>
      </w:r>
      <w:bookmarkStart w:id="57" w:name="_Toc351203481"/>
    </w:p>
    <w:p w14:paraId="066007DA">
      <w:pPr>
        <w:spacing w:line="360" w:lineRule="auto"/>
        <w:ind w:firstLine="422" w:firstLineChars="200"/>
        <w:rPr>
          <w:rFonts w:ascii="Calibri" w:hAnsi="Calibri"/>
          <w:b/>
          <w:bCs/>
          <w:color w:val="auto"/>
          <w:szCs w:val="21"/>
          <w:highlight w:val="none"/>
        </w:rPr>
      </w:pPr>
      <w:r>
        <w:rPr>
          <w:rFonts w:ascii="Calibri" w:hAnsi="宋体"/>
          <w:b/>
          <w:bCs/>
          <w:color w:val="auto"/>
          <w:szCs w:val="21"/>
          <w:highlight w:val="none"/>
        </w:rPr>
        <w:t>一、工程概况</w:t>
      </w:r>
      <w:bookmarkEnd w:id="57"/>
    </w:p>
    <w:p w14:paraId="12B89A7C">
      <w:pPr>
        <w:spacing w:line="360" w:lineRule="auto"/>
        <w:ind w:firstLine="411" w:firstLineChars="196"/>
        <w:rPr>
          <w:rFonts w:ascii="Calibri" w:hAnsi="Calibri"/>
          <w:color w:val="auto"/>
          <w:szCs w:val="21"/>
          <w:highlight w:val="none"/>
          <w:u w:val="single"/>
        </w:rPr>
      </w:pPr>
      <w:r>
        <w:rPr>
          <w:rFonts w:ascii="Calibri" w:hAnsi="Calibri"/>
          <w:bCs/>
          <w:color w:val="auto"/>
          <w:szCs w:val="21"/>
          <w:highlight w:val="none"/>
        </w:rPr>
        <w:t>1.</w:t>
      </w:r>
      <w:r>
        <w:rPr>
          <w:rFonts w:ascii="Calibri" w:hAnsi="宋体"/>
          <w:bCs/>
          <w:color w:val="auto"/>
          <w:szCs w:val="21"/>
          <w:highlight w:val="none"/>
        </w:rPr>
        <w:t>工程名称</w:t>
      </w:r>
      <w:r>
        <w:rPr>
          <w:rFonts w:ascii="Calibri" w:hAnsi="宋体"/>
          <w:color w:val="auto"/>
          <w:szCs w:val="21"/>
          <w:highlight w:val="none"/>
        </w:rPr>
        <w:t>：</w:t>
      </w:r>
      <w:r>
        <w:rPr>
          <w:rFonts w:ascii="Calibri" w:hAnsi="宋体"/>
          <w:color w:val="auto"/>
          <w:szCs w:val="21"/>
          <w:highlight w:val="none"/>
          <w:u w:val="single"/>
        </w:rPr>
        <w:t></w:t>
      </w:r>
      <w:r>
        <w:rPr>
          <w:rFonts w:ascii="Calibri" w:hAnsi="宋体"/>
          <w:color w:val="auto"/>
          <w:szCs w:val="21"/>
          <w:highlight w:val="none"/>
        </w:rPr>
        <w:t>。</w:t>
      </w:r>
    </w:p>
    <w:p w14:paraId="05B85218">
      <w:pPr>
        <w:spacing w:line="360" w:lineRule="auto"/>
        <w:ind w:firstLine="411" w:firstLineChars="196"/>
        <w:rPr>
          <w:rFonts w:ascii="Calibri" w:hAnsi="Calibri"/>
          <w:bCs/>
          <w:color w:val="auto"/>
          <w:szCs w:val="21"/>
          <w:highlight w:val="none"/>
        </w:rPr>
      </w:pPr>
      <w:r>
        <w:rPr>
          <w:rFonts w:ascii="Calibri" w:hAnsi="Calibri"/>
          <w:bCs/>
          <w:color w:val="auto"/>
          <w:szCs w:val="21"/>
          <w:highlight w:val="none"/>
        </w:rPr>
        <w:t>2.</w:t>
      </w:r>
      <w:r>
        <w:rPr>
          <w:rFonts w:ascii="Calibri" w:hAnsi="宋体"/>
          <w:bCs/>
          <w:color w:val="auto"/>
          <w:szCs w:val="21"/>
          <w:highlight w:val="none"/>
        </w:rPr>
        <w:t>工程地点：</w:t>
      </w:r>
      <w:r>
        <w:rPr>
          <w:rFonts w:ascii="Calibri" w:hAnsi="宋体"/>
          <w:color w:val="auto"/>
          <w:szCs w:val="21"/>
          <w:highlight w:val="none"/>
          <w:u w:val="single"/>
        </w:rPr>
        <w:t></w:t>
      </w:r>
      <w:r>
        <w:rPr>
          <w:rFonts w:ascii="Calibri" w:hAnsi="宋体"/>
          <w:color w:val="auto"/>
          <w:szCs w:val="21"/>
          <w:highlight w:val="none"/>
        </w:rPr>
        <w:t>。</w:t>
      </w:r>
    </w:p>
    <w:p w14:paraId="7ADD42E3">
      <w:pPr>
        <w:spacing w:line="360" w:lineRule="auto"/>
        <w:ind w:firstLine="411" w:firstLineChars="196"/>
        <w:rPr>
          <w:rFonts w:ascii="Calibri" w:hAnsi="Calibri"/>
          <w:bCs/>
          <w:color w:val="auto"/>
          <w:szCs w:val="21"/>
          <w:highlight w:val="none"/>
        </w:rPr>
      </w:pPr>
      <w:r>
        <w:rPr>
          <w:rFonts w:ascii="Calibri" w:hAnsi="Calibri"/>
          <w:bCs/>
          <w:color w:val="auto"/>
          <w:szCs w:val="21"/>
          <w:highlight w:val="none"/>
        </w:rPr>
        <w:t>3.</w:t>
      </w:r>
      <w:r>
        <w:rPr>
          <w:rFonts w:ascii="Calibri" w:hAnsi="宋体"/>
          <w:bCs/>
          <w:color w:val="auto"/>
          <w:szCs w:val="21"/>
          <w:highlight w:val="none"/>
        </w:rPr>
        <w:t>工程立项批准文号：</w:t>
      </w:r>
      <w:r>
        <w:rPr>
          <w:rFonts w:ascii="Calibri" w:hAnsi="宋体"/>
          <w:color w:val="auto"/>
          <w:szCs w:val="21"/>
          <w:highlight w:val="none"/>
          <w:u w:val="single"/>
        </w:rPr>
        <w:t></w:t>
      </w:r>
      <w:r>
        <w:rPr>
          <w:rFonts w:ascii="Calibri" w:hAnsi="宋体"/>
          <w:bCs/>
          <w:color w:val="auto"/>
          <w:szCs w:val="21"/>
          <w:highlight w:val="none"/>
        </w:rPr>
        <w:t>。</w:t>
      </w:r>
    </w:p>
    <w:p w14:paraId="3445D73B">
      <w:pPr>
        <w:spacing w:line="360" w:lineRule="auto"/>
        <w:ind w:firstLine="411" w:firstLineChars="196"/>
        <w:rPr>
          <w:rFonts w:ascii="Calibri" w:hAnsi="Calibri"/>
          <w:bCs/>
          <w:color w:val="auto"/>
          <w:szCs w:val="21"/>
          <w:highlight w:val="none"/>
        </w:rPr>
      </w:pPr>
      <w:r>
        <w:rPr>
          <w:rFonts w:ascii="Calibri" w:hAnsi="Calibri"/>
          <w:bCs/>
          <w:color w:val="auto"/>
          <w:szCs w:val="21"/>
          <w:highlight w:val="none"/>
        </w:rPr>
        <w:t>4.</w:t>
      </w:r>
      <w:r>
        <w:rPr>
          <w:rFonts w:ascii="Calibri" w:hAnsi="宋体"/>
          <w:bCs/>
          <w:color w:val="auto"/>
          <w:szCs w:val="21"/>
          <w:highlight w:val="none"/>
        </w:rPr>
        <w:t>资金来源：</w:t>
      </w:r>
      <w:r>
        <w:rPr>
          <w:rFonts w:ascii="Calibri" w:hAnsi="宋体"/>
          <w:color w:val="auto"/>
          <w:szCs w:val="21"/>
          <w:highlight w:val="none"/>
          <w:u w:val="single"/>
        </w:rPr>
        <w:t></w:t>
      </w:r>
      <w:r>
        <w:rPr>
          <w:rFonts w:ascii="Calibri" w:hAnsi="宋体"/>
          <w:bCs/>
          <w:color w:val="auto"/>
          <w:szCs w:val="21"/>
          <w:highlight w:val="none"/>
        </w:rPr>
        <w:t>。</w:t>
      </w:r>
    </w:p>
    <w:p w14:paraId="1A534ABB">
      <w:pPr>
        <w:spacing w:line="360" w:lineRule="auto"/>
        <w:ind w:firstLine="411" w:firstLineChars="196"/>
        <w:rPr>
          <w:rFonts w:ascii="Calibri" w:hAnsi="Calibri"/>
          <w:bCs/>
          <w:color w:val="auto"/>
          <w:szCs w:val="21"/>
          <w:highlight w:val="none"/>
        </w:rPr>
      </w:pPr>
      <w:r>
        <w:rPr>
          <w:rFonts w:ascii="Calibri" w:hAnsi="Calibri"/>
          <w:bCs/>
          <w:color w:val="auto"/>
          <w:szCs w:val="21"/>
          <w:highlight w:val="none"/>
        </w:rPr>
        <w:t>5.</w:t>
      </w:r>
      <w:r>
        <w:rPr>
          <w:rFonts w:ascii="Calibri" w:hAnsi="宋体"/>
          <w:bCs/>
          <w:color w:val="auto"/>
          <w:szCs w:val="21"/>
          <w:highlight w:val="none"/>
        </w:rPr>
        <w:t>工程内容：</w:t>
      </w:r>
      <w:r>
        <w:rPr>
          <w:rFonts w:ascii="Calibri" w:hAnsi="宋体"/>
          <w:color w:val="auto"/>
          <w:szCs w:val="21"/>
          <w:highlight w:val="none"/>
          <w:u w:val="single"/>
        </w:rPr>
        <w:t></w:t>
      </w:r>
      <w:r>
        <w:rPr>
          <w:rFonts w:ascii="Calibri" w:hAnsi="宋体"/>
          <w:bCs/>
          <w:color w:val="auto"/>
          <w:szCs w:val="21"/>
          <w:highlight w:val="none"/>
        </w:rPr>
        <w:t>。</w:t>
      </w:r>
    </w:p>
    <w:p w14:paraId="67899676">
      <w:pPr>
        <w:spacing w:line="360" w:lineRule="auto"/>
        <w:ind w:firstLine="411" w:firstLineChars="196"/>
        <w:rPr>
          <w:rFonts w:ascii="Calibri" w:hAnsi="Calibri"/>
          <w:bCs/>
          <w:color w:val="auto"/>
          <w:szCs w:val="21"/>
          <w:highlight w:val="none"/>
        </w:rPr>
      </w:pPr>
      <w:r>
        <w:rPr>
          <w:rFonts w:ascii="Calibri" w:hAnsi="宋体"/>
          <w:color w:val="auto"/>
          <w:szCs w:val="21"/>
          <w:highlight w:val="none"/>
        </w:rPr>
        <w:t>群体工程应附《承包人承揽工程项目一览表》（附件</w:t>
      </w:r>
      <w:r>
        <w:rPr>
          <w:rFonts w:ascii="Calibri" w:hAnsi="Calibri"/>
          <w:color w:val="auto"/>
          <w:szCs w:val="21"/>
          <w:highlight w:val="none"/>
        </w:rPr>
        <w:t>1</w:t>
      </w:r>
      <w:r>
        <w:rPr>
          <w:rFonts w:ascii="Calibri" w:hAnsi="宋体"/>
          <w:color w:val="auto"/>
          <w:szCs w:val="21"/>
          <w:highlight w:val="none"/>
        </w:rPr>
        <w:t>）。</w:t>
      </w:r>
    </w:p>
    <w:p w14:paraId="2E892098">
      <w:pPr>
        <w:spacing w:line="360" w:lineRule="auto"/>
        <w:ind w:firstLine="411" w:firstLineChars="196"/>
        <w:rPr>
          <w:rFonts w:ascii="Calibri" w:hAnsi="Calibri"/>
          <w:bCs/>
          <w:color w:val="auto"/>
          <w:szCs w:val="21"/>
          <w:highlight w:val="none"/>
        </w:rPr>
      </w:pPr>
      <w:r>
        <w:rPr>
          <w:rFonts w:ascii="Calibri" w:hAnsi="Calibri"/>
          <w:bCs/>
          <w:color w:val="auto"/>
          <w:szCs w:val="21"/>
          <w:highlight w:val="none"/>
        </w:rPr>
        <w:t>6.</w:t>
      </w:r>
      <w:r>
        <w:rPr>
          <w:rFonts w:ascii="Calibri" w:hAnsi="宋体"/>
          <w:bCs/>
          <w:color w:val="auto"/>
          <w:szCs w:val="21"/>
          <w:highlight w:val="none"/>
        </w:rPr>
        <w:t>工程承包范围：</w:t>
      </w:r>
    </w:p>
    <w:p w14:paraId="540DFEC0">
      <w:pPr>
        <w:spacing w:line="360" w:lineRule="auto"/>
        <w:ind w:firstLine="405" w:firstLineChars="193"/>
        <w:rPr>
          <w:rFonts w:ascii="Calibri" w:hAnsi="宋体"/>
          <w:color w:val="auto"/>
          <w:szCs w:val="21"/>
          <w:highlight w:val="none"/>
        </w:rPr>
      </w:pPr>
      <w:r>
        <w:rPr>
          <w:rFonts w:ascii="Calibri" w:hAnsi="宋体"/>
          <w:color w:val="auto"/>
          <w:szCs w:val="21"/>
          <w:highlight w:val="none"/>
          <w:u w:val="single"/>
        </w:rPr>
        <w:t></w:t>
      </w:r>
      <w:r>
        <w:rPr>
          <w:rFonts w:ascii="Calibri" w:hAnsi="宋体"/>
          <w:color w:val="auto"/>
          <w:szCs w:val="21"/>
          <w:highlight w:val="none"/>
        </w:rPr>
        <w:t>。</w:t>
      </w:r>
    </w:p>
    <w:p w14:paraId="2958FCE5">
      <w:pPr>
        <w:spacing w:line="360" w:lineRule="auto"/>
        <w:ind w:firstLine="407" w:firstLineChars="193"/>
        <w:rPr>
          <w:rFonts w:ascii="Calibri" w:hAnsi="Calibri"/>
          <w:b/>
          <w:bCs/>
          <w:color w:val="auto"/>
          <w:szCs w:val="21"/>
          <w:highlight w:val="none"/>
        </w:rPr>
      </w:pPr>
      <w:bookmarkStart w:id="58" w:name="_Toc351203482"/>
      <w:r>
        <w:rPr>
          <w:rFonts w:ascii="Calibri" w:hAnsi="宋体"/>
          <w:b/>
          <w:bCs/>
          <w:color w:val="auto"/>
          <w:szCs w:val="21"/>
          <w:highlight w:val="none"/>
        </w:rPr>
        <w:t>二、合同工期</w:t>
      </w:r>
      <w:bookmarkEnd w:id="58"/>
    </w:p>
    <w:p w14:paraId="10E5EF1A">
      <w:pPr>
        <w:spacing w:line="360" w:lineRule="auto"/>
        <w:ind w:firstLine="459"/>
        <w:rPr>
          <w:rFonts w:ascii="Calibri" w:hAnsi="Calibri"/>
          <w:color w:val="auto"/>
          <w:szCs w:val="21"/>
          <w:highlight w:val="none"/>
        </w:rPr>
      </w:pPr>
      <w:r>
        <w:rPr>
          <w:rFonts w:ascii="Calibri" w:hAnsi="宋体"/>
          <w:color w:val="auto"/>
          <w:szCs w:val="21"/>
          <w:highlight w:val="none"/>
        </w:rPr>
        <w:t>计划开工日期：</w:t>
      </w:r>
      <w:r>
        <w:rPr>
          <w:rFonts w:ascii="Calibri" w:hAnsi="宋体"/>
          <w:color w:val="auto"/>
          <w:szCs w:val="21"/>
          <w:highlight w:val="none"/>
          <w:u w:val="single"/>
        </w:rPr>
        <w:t></w:t>
      </w:r>
      <w:r>
        <w:rPr>
          <w:rFonts w:ascii="Calibri" w:hAnsi="宋体"/>
          <w:color w:val="auto"/>
          <w:szCs w:val="21"/>
          <w:highlight w:val="none"/>
        </w:rPr>
        <w:t>年</w:t>
      </w:r>
      <w:r>
        <w:rPr>
          <w:rFonts w:ascii="Calibri" w:hAnsi="宋体"/>
          <w:color w:val="auto"/>
          <w:szCs w:val="21"/>
          <w:highlight w:val="none"/>
          <w:u w:val="single"/>
        </w:rPr>
        <w:t></w:t>
      </w:r>
      <w:r>
        <w:rPr>
          <w:rFonts w:ascii="Calibri" w:hAnsi="宋体"/>
          <w:color w:val="auto"/>
          <w:szCs w:val="21"/>
          <w:highlight w:val="none"/>
        </w:rPr>
        <w:t>月</w:t>
      </w:r>
      <w:r>
        <w:rPr>
          <w:rFonts w:ascii="Calibri" w:hAnsi="宋体"/>
          <w:color w:val="auto"/>
          <w:szCs w:val="21"/>
          <w:highlight w:val="none"/>
          <w:u w:val="single"/>
        </w:rPr>
        <w:t></w:t>
      </w:r>
      <w:r>
        <w:rPr>
          <w:rFonts w:ascii="Calibri" w:hAnsi="宋体"/>
          <w:color w:val="auto"/>
          <w:szCs w:val="21"/>
          <w:highlight w:val="none"/>
        </w:rPr>
        <w:t>日。</w:t>
      </w:r>
    </w:p>
    <w:p w14:paraId="477B189C">
      <w:pPr>
        <w:spacing w:line="360" w:lineRule="auto"/>
        <w:ind w:firstLine="459"/>
        <w:rPr>
          <w:rFonts w:ascii="Calibri" w:hAnsi="Calibri"/>
          <w:color w:val="auto"/>
          <w:szCs w:val="21"/>
          <w:highlight w:val="none"/>
        </w:rPr>
      </w:pPr>
      <w:r>
        <w:rPr>
          <w:rFonts w:ascii="Calibri" w:hAnsi="宋体"/>
          <w:color w:val="auto"/>
          <w:szCs w:val="21"/>
          <w:highlight w:val="none"/>
        </w:rPr>
        <w:t>计划竣工日期：</w:t>
      </w:r>
      <w:r>
        <w:rPr>
          <w:rFonts w:ascii="Calibri" w:hAnsi="宋体"/>
          <w:color w:val="auto"/>
          <w:szCs w:val="21"/>
          <w:highlight w:val="none"/>
          <w:u w:val="single"/>
        </w:rPr>
        <w:t></w:t>
      </w:r>
      <w:r>
        <w:rPr>
          <w:rFonts w:ascii="Calibri" w:hAnsi="宋体"/>
          <w:color w:val="auto"/>
          <w:szCs w:val="21"/>
          <w:highlight w:val="none"/>
        </w:rPr>
        <w:t>年</w:t>
      </w:r>
      <w:r>
        <w:rPr>
          <w:rFonts w:ascii="Calibri" w:hAnsi="宋体"/>
          <w:color w:val="auto"/>
          <w:szCs w:val="21"/>
          <w:highlight w:val="none"/>
          <w:u w:val="single"/>
        </w:rPr>
        <w:t></w:t>
      </w:r>
      <w:r>
        <w:rPr>
          <w:rFonts w:ascii="Calibri" w:hAnsi="宋体"/>
          <w:color w:val="auto"/>
          <w:szCs w:val="21"/>
          <w:highlight w:val="none"/>
        </w:rPr>
        <w:t>月</w:t>
      </w:r>
      <w:r>
        <w:rPr>
          <w:rFonts w:ascii="Calibri" w:hAnsi="宋体"/>
          <w:color w:val="auto"/>
          <w:szCs w:val="21"/>
          <w:highlight w:val="none"/>
          <w:u w:val="single"/>
        </w:rPr>
        <w:t></w:t>
      </w:r>
      <w:r>
        <w:rPr>
          <w:rFonts w:ascii="Calibri" w:hAnsi="宋体"/>
          <w:color w:val="auto"/>
          <w:szCs w:val="21"/>
          <w:highlight w:val="none"/>
        </w:rPr>
        <w:t>日。</w:t>
      </w:r>
    </w:p>
    <w:p w14:paraId="66B407AA">
      <w:pPr>
        <w:spacing w:line="360" w:lineRule="auto"/>
        <w:ind w:firstLine="459"/>
        <w:rPr>
          <w:rFonts w:ascii="Calibri" w:hAnsi="宋体"/>
          <w:color w:val="auto"/>
          <w:szCs w:val="21"/>
          <w:highlight w:val="none"/>
        </w:rPr>
      </w:pPr>
      <w:r>
        <w:rPr>
          <w:rFonts w:ascii="Calibri" w:hAnsi="宋体"/>
          <w:color w:val="auto"/>
          <w:szCs w:val="21"/>
          <w:highlight w:val="none"/>
        </w:rPr>
        <w:t>工期总日历天数：</w:t>
      </w:r>
      <w:r>
        <w:rPr>
          <w:rFonts w:ascii="Calibri" w:hAnsi="宋体"/>
          <w:color w:val="auto"/>
          <w:szCs w:val="21"/>
          <w:highlight w:val="none"/>
          <w:u w:val="single"/>
        </w:rPr>
        <w:t></w:t>
      </w:r>
      <w:r>
        <w:rPr>
          <w:rFonts w:ascii="Calibri" w:hAnsi="宋体"/>
          <w:color w:val="auto"/>
          <w:szCs w:val="21"/>
          <w:highlight w:val="none"/>
        </w:rPr>
        <w:t>天。工期总日历天数与根据前述计划开竣工日期计算的工期天数不一致的，以工期总日历天数为准。</w:t>
      </w:r>
    </w:p>
    <w:p w14:paraId="098A76D1">
      <w:pPr>
        <w:spacing w:line="360" w:lineRule="auto"/>
        <w:ind w:firstLine="459"/>
        <w:rPr>
          <w:rFonts w:ascii="Calibri" w:hAnsi="Calibri"/>
          <w:b/>
          <w:bCs/>
          <w:color w:val="auto"/>
          <w:szCs w:val="21"/>
          <w:highlight w:val="none"/>
        </w:rPr>
      </w:pPr>
      <w:bookmarkStart w:id="59" w:name="_Toc351203483"/>
      <w:r>
        <w:rPr>
          <w:rFonts w:ascii="Calibri" w:hAnsi="宋体"/>
          <w:b/>
          <w:bCs/>
          <w:color w:val="auto"/>
          <w:szCs w:val="21"/>
          <w:highlight w:val="none"/>
        </w:rPr>
        <w:t>三、质量标准</w:t>
      </w:r>
      <w:bookmarkEnd w:id="59"/>
    </w:p>
    <w:p w14:paraId="7F481F0D">
      <w:pPr>
        <w:spacing w:line="360" w:lineRule="auto"/>
        <w:ind w:firstLine="459"/>
        <w:rPr>
          <w:rFonts w:ascii="Calibri" w:hAnsi="宋体"/>
          <w:color w:val="auto"/>
          <w:szCs w:val="21"/>
          <w:highlight w:val="none"/>
        </w:rPr>
      </w:pPr>
      <w:r>
        <w:rPr>
          <w:rFonts w:ascii="Calibri" w:hAnsi="宋体"/>
          <w:color w:val="auto"/>
          <w:szCs w:val="21"/>
          <w:highlight w:val="none"/>
        </w:rPr>
        <w:t>工程质量符合</w:t>
      </w:r>
      <w:r>
        <w:rPr>
          <w:rFonts w:ascii="Calibri" w:hAnsi="宋体"/>
          <w:color w:val="auto"/>
          <w:szCs w:val="21"/>
          <w:highlight w:val="none"/>
          <w:u w:val="single"/>
        </w:rPr>
        <w:t></w:t>
      </w:r>
      <w:r>
        <w:rPr>
          <w:rFonts w:ascii="Calibri" w:hAnsi="宋体"/>
          <w:color w:val="auto"/>
          <w:szCs w:val="21"/>
          <w:highlight w:val="none"/>
        </w:rPr>
        <w:t>标准。</w:t>
      </w:r>
    </w:p>
    <w:p w14:paraId="7BD9F0D7">
      <w:pPr>
        <w:spacing w:line="360" w:lineRule="auto"/>
        <w:ind w:firstLine="459"/>
        <w:rPr>
          <w:rFonts w:ascii="Calibri" w:hAnsi="宋体"/>
          <w:b/>
          <w:bCs/>
          <w:color w:val="auto"/>
          <w:szCs w:val="21"/>
          <w:highlight w:val="none"/>
        </w:rPr>
      </w:pPr>
      <w:bookmarkStart w:id="60" w:name="_Toc351203484"/>
      <w:r>
        <w:rPr>
          <w:rFonts w:ascii="Calibri" w:hAnsi="宋体"/>
          <w:b/>
          <w:bCs/>
          <w:color w:val="auto"/>
          <w:szCs w:val="21"/>
          <w:highlight w:val="none"/>
        </w:rPr>
        <w:t>四、签约合同价与合同价格形式</w:t>
      </w:r>
      <w:bookmarkEnd w:id="60"/>
    </w:p>
    <w:p w14:paraId="01B2A414">
      <w:pPr>
        <w:spacing w:line="360" w:lineRule="auto"/>
        <w:ind w:firstLine="459"/>
        <w:rPr>
          <w:rFonts w:ascii="Calibri" w:hAnsi="Calibri"/>
          <w:color w:val="auto"/>
          <w:szCs w:val="21"/>
          <w:highlight w:val="none"/>
        </w:rPr>
      </w:pPr>
      <w:r>
        <w:rPr>
          <w:rFonts w:ascii="Calibri" w:hAnsi="Calibri"/>
          <w:color w:val="auto"/>
          <w:szCs w:val="21"/>
          <w:highlight w:val="none"/>
        </w:rPr>
        <w:t>1.</w:t>
      </w:r>
      <w:r>
        <w:rPr>
          <w:rFonts w:ascii="Calibri" w:hAnsi="宋体"/>
          <w:color w:val="auto"/>
          <w:szCs w:val="21"/>
          <w:highlight w:val="none"/>
        </w:rPr>
        <w:t>签约合同价为：</w:t>
      </w:r>
    </w:p>
    <w:p w14:paraId="21F98C62">
      <w:pPr>
        <w:spacing w:line="360" w:lineRule="auto"/>
        <w:ind w:firstLine="525" w:firstLineChars="250"/>
        <w:rPr>
          <w:rFonts w:ascii="Calibri" w:hAnsi="宋体"/>
          <w:color w:val="auto"/>
          <w:szCs w:val="21"/>
          <w:highlight w:val="none"/>
        </w:rPr>
      </w:pPr>
      <w:r>
        <w:rPr>
          <w:rFonts w:ascii="Calibri" w:hAnsi="宋体"/>
          <w:color w:val="auto"/>
          <w:szCs w:val="21"/>
          <w:highlight w:val="none"/>
        </w:rPr>
        <w:t>人民币（大写）</w:t>
      </w:r>
      <w:r>
        <w:rPr>
          <w:rFonts w:hint="eastAsia" w:ascii="Calibri" w:hAnsi="Calibri"/>
          <w:color w:val="auto"/>
          <w:szCs w:val="21"/>
          <w:highlight w:val="none"/>
        </w:rPr>
        <w:t>（</w:t>
      </w:r>
      <w:r>
        <w:rPr>
          <w:rFonts w:ascii="Calibri" w:hAnsi="Calibri"/>
          <w:color w:val="auto"/>
          <w:szCs w:val="21"/>
          <w:highlight w:val="none"/>
        </w:rPr>
        <w:t>¥</w:t>
      </w:r>
      <w:r>
        <w:rPr>
          <w:rFonts w:ascii="Calibri" w:hAnsi="宋体"/>
          <w:color w:val="auto"/>
          <w:szCs w:val="21"/>
          <w:highlight w:val="none"/>
        </w:rPr>
        <w:t>元</w:t>
      </w:r>
      <w:r>
        <w:rPr>
          <w:rFonts w:hint="eastAsia" w:ascii="Calibri" w:hAnsi="Calibri"/>
          <w:color w:val="auto"/>
          <w:szCs w:val="21"/>
          <w:highlight w:val="none"/>
        </w:rPr>
        <w:t>）</w:t>
      </w:r>
      <w:r>
        <w:rPr>
          <w:rFonts w:ascii="Calibri" w:hAnsi="宋体"/>
          <w:color w:val="auto"/>
          <w:szCs w:val="21"/>
          <w:highlight w:val="none"/>
        </w:rPr>
        <w:t>；</w:t>
      </w:r>
    </w:p>
    <w:p w14:paraId="131CEBA4">
      <w:pPr>
        <w:spacing w:line="360" w:lineRule="auto"/>
        <w:ind w:firstLine="525" w:firstLineChars="250"/>
        <w:rPr>
          <w:rFonts w:ascii="Calibri" w:hAnsi="宋体"/>
          <w:color w:val="auto"/>
          <w:szCs w:val="21"/>
          <w:highlight w:val="none"/>
        </w:rPr>
      </w:pPr>
      <w:r>
        <w:rPr>
          <w:rFonts w:ascii="Calibri" w:hAnsi="宋体"/>
          <w:color w:val="auto"/>
          <w:szCs w:val="21"/>
          <w:highlight w:val="none"/>
        </w:rPr>
        <w:t>其中：</w:t>
      </w:r>
    </w:p>
    <w:p w14:paraId="106F3D5A">
      <w:pPr>
        <w:spacing w:line="360" w:lineRule="auto"/>
        <w:ind w:firstLine="420" w:firstLineChars="200"/>
        <w:rPr>
          <w:rFonts w:ascii="Calibri" w:hAnsi="Calibri"/>
          <w:color w:val="auto"/>
          <w:szCs w:val="21"/>
          <w:highlight w:val="none"/>
        </w:rPr>
      </w:pPr>
      <w:r>
        <w:rPr>
          <w:rFonts w:hint="eastAsia" w:ascii="Calibri" w:hAnsi="宋体"/>
          <w:color w:val="auto"/>
          <w:szCs w:val="21"/>
          <w:highlight w:val="none"/>
        </w:rPr>
        <w:t>（1）</w:t>
      </w:r>
      <w:r>
        <w:rPr>
          <w:rFonts w:ascii="Calibri" w:hAnsi="宋体"/>
          <w:color w:val="auto"/>
          <w:szCs w:val="21"/>
          <w:highlight w:val="none"/>
        </w:rPr>
        <w:t>安全文明施工费：</w:t>
      </w:r>
    </w:p>
    <w:p w14:paraId="69834836">
      <w:pPr>
        <w:spacing w:line="360" w:lineRule="auto"/>
        <w:ind w:left="420" w:leftChars="200" w:firstLine="525" w:firstLineChars="250"/>
        <w:rPr>
          <w:rFonts w:ascii="Calibri" w:hAnsi="宋体"/>
          <w:color w:val="auto"/>
          <w:szCs w:val="21"/>
          <w:highlight w:val="none"/>
        </w:rPr>
      </w:pPr>
      <w:r>
        <w:rPr>
          <w:rFonts w:ascii="Calibri" w:hAnsi="宋体"/>
          <w:color w:val="auto"/>
          <w:szCs w:val="21"/>
          <w:highlight w:val="none"/>
        </w:rPr>
        <w:t>人民币（大写）</w:t>
      </w:r>
      <w:r>
        <w:rPr>
          <w:rFonts w:hint="eastAsia" w:ascii="Calibri" w:hAnsi="Calibri"/>
          <w:color w:val="auto"/>
          <w:szCs w:val="21"/>
          <w:highlight w:val="none"/>
        </w:rPr>
        <w:t>（</w:t>
      </w:r>
      <w:r>
        <w:rPr>
          <w:rFonts w:ascii="Calibri" w:hAnsi="Calibri"/>
          <w:color w:val="auto"/>
          <w:szCs w:val="21"/>
          <w:highlight w:val="none"/>
        </w:rPr>
        <w:t>¥</w:t>
      </w:r>
      <w:r>
        <w:rPr>
          <w:rFonts w:ascii="Calibri" w:hAnsi="宋体"/>
          <w:color w:val="auto"/>
          <w:szCs w:val="21"/>
          <w:highlight w:val="none"/>
        </w:rPr>
        <w:t>元</w:t>
      </w:r>
      <w:r>
        <w:rPr>
          <w:rFonts w:hint="eastAsia" w:ascii="Calibri" w:hAnsi="Calibri"/>
          <w:color w:val="auto"/>
          <w:szCs w:val="21"/>
          <w:highlight w:val="none"/>
        </w:rPr>
        <w:t>）</w:t>
      </w:r>
      <w:r>
        <w:rPr>
          <w:rFonts w:ascii="Calibri" w:hAnsi="宋体"/>
          <w:color w:val="auto"/>
          <w:szCs w:val="21"/>
          <w:highlight w:val="none"/>
        </w:rPr>
        <w:t>；</w:t>
      </w:r>
    </w:p>
    <w:p w14:paraId="6CF5B73F">
      <w:pPr>
        <w:spacing w:line="360" w:lineRule="auto"/>
        <w:ind w:firstLine="420" w:firstLineChars="200"/>
        <w:rPr>
          <w:rFonts w:ascii="Calibri" w:hAnsi="宋体"/>
          <w:color w:val="auto"/>
          <w:szCs w:val="21"/>
          <w:highlight w:val="none"/>
        </w:rPr>
      </w:pPr>
      <w:r>
        <w:rPr>
          <w:rFonts w:ascii="Calibri" w:hAnsi="宋体"/>
          <w:color w:val="auto"/>
          <w:szCs w:val="21"/>
          <w:highlight w:val="none"/>
        </w:rPr>
        <w:t>（</w:t>
      </w:r>
      <w:r>
        <w:rPr>
          <w:rFonts w:ascii="Calibri" w:hAnsi="Calibri"/>
          <w:color w:val="auto"/>
          <w:szCs w:val="21"/>
          <w:highlight w:val="none"/>
        </w:rPr>
        <w:t>2</w:t>
      </w:r>
      <w:r>
        <w:rPr>
          <w:rFonts w:ascii="Calibri" w:hAnsi="宋体"/>
          <w:color w:val="auto"/>
          <w:szCs w:val="21"/>
          <w:highlight w:val="none"/>
        </w:rPr>
        <w:t>）建安劳保费：</w:t>
      </w:r>
    </w:p>
    <w:p w14:paraId="54B54051">
      <w:pPr>
        <w:spacing w:line="360" w:lineRule="auto"/>
        <w:ind w:left="420" w:leftChars="200" w:firstLine="525" w:firstLineChars="250"/>
        <w:rPr>
          <w:rFonts w:ascii="Calibri" w:hAnsi="Calibri"/>
          <w:color w:val="auto"/>
          <w:szCs w:val="21"/>
          <w:highlight w:val="none"/>
        </w:rPr>
      </w:pPr>
      <w:r>
        <w:rPr>
          <w:rFonts w:ascii="Calibri" w:hAnsi="宋体"/>
          <w:color w:val="auto"/>
          <w:szCs w:val="21"/>
          <w:highlight w:val="none"/>
        </w:rPr>
        <w:t>人民币（大写）</w:t>
      </w:r>
      <w:r>
        <w:rPr>
          <w:rFonts w:hint="eastAsia" w:ascii="Calibri" w:hAnsi="Calibri"/>
          <w:color w:val="auto"/>
          <w:szCs w:val="21"/>
          <w:highlight w:val="none"/>
        </w:rPr>
        <w:t>（</w:t>
      </w:r>
      <w:r>
        <w:rPr>
          <w:rFonts w:ascii="Calibri" w:hAnsi="Calibri"/>
          <w:color w:val="auto"/>
          <w:szCs w:val="21"/>
          <w:highlight w:val="none"/>
        </w:rPr>
        <w:t>¥</w:t>
      </w:r>
      <w:r>
        <w:rPr>
          <w:rFonts w:ascii="Calibri" w:hAnsi="宋体"/>
          <w:color w:val="auto"/>
          <w:szCs w:val="21"/>
          <w:highlight w:val="none"/>
        </w:rPr>
        <w:t>元</w:t>
      </w:r>
      <w:r>
        <w:rPr>
          <w:rFonts w:hint="eastAsia" w:ascii="Calibri" w:hAnsi="Calibri"/>
          <w:color w:val="auto"/>
          <w:szCs w:val="21"/>
          <w:highlight w:val="none"/>
        </w:rPr>
        <w:t>）</w:t>
      </w:r>
      <w:r>
        <w:rPr>
          <w:rFonts w:ascii="Calibri" w:hAnsi="宋体"/>
          <w:color w:val="auto"/>
          <w:szCs w:val="21"/>
          <w:highlight w:val="none"/>
        </w:rPr>
        <w:t>；</w:t>
      </w:r>
    </w:p>
    <w:p w14:paraId="51AA383D">
      <w:pPr>
        <w:spacing w:line="360" w:lineRule="auto"/>
        <w:ind w:firstLine="420" w:firstLineChars="200"/>
        <w:rPr>
          <w:rFonts w:ascii="Calibri" w:hAnsi="Calibri"/>
          <w:color w:val="auto"/>
          <w:szCs w:val="21"/>
          <w:highlight w:val="none"/>
        </w:rPr>
      </w:pPr>
      <w:r>
        <w:rPr>
          <w:rFonts w:ascii="Calibri" w:hAnsi="宋体"/>
          <w:color w:val="auto"/>
          <w:szCs w:val="21"/>
          <w:highlight w:val="none"/>
        </w:rPr>
        <w:t>（</w:t>
      </w:r>
      <w:r>
        <w:rPr>
          <w:rFonts w:ascii="Calibri" w:hAnsi="Calibri"/>
          <w:color w:val="auto"/>
          <w:szCs w:val="21"/>
          <w:highlight w:val="none"/>
        </w:rPr>
        <w:t>3</w:t>
      </w:r>
      <w:r>
        <w:rPr>
          <w:rFonts w:ascii="Calibri" w:hAnsi="宋体"/>
          <w:color w:val="auto"/>
          <w:szCs w:val="21"/>
          <w:highlight w:val="none"/>
        </w:rPr>
        <w:t>）材料和工程设备暂估价金额：</w:t>
      </w:r>
    </w:p>
    <w:p w14:paraId="7A82888B">
      <w:pPr>
        <w:spacing w:line="360" w:lineRule="auto"/>
        <w:ind w:firstLine="945" w:firstLineChars="450"/>
        <w:rPr>
          <w:rFonts w:ascii="Calibri" w:hAnsi="Calibri"/>
          <w:color w:val="auto"/>
          <w:szCs w:val="21"/>
          <w:highlight w:val="none"/>
        </w:rPr>
      </w:pPr>
      <w:r>
        <w:rPr>
          <w:rFonts w:ascii="Calibri" w:hAnsi="宋体"/>
          <w:color w:val="auto"/>
          <w:szCs w:val="21"/>
          <w:highlight w:val="none"/>
        </w:rPr>
        <w:t>人民币（大写）</w:t>
      </w:r>
      <w:r>
        <w:rPr>
          <w:rFonts w:hint="eastAsia" w:ascii="Calibri" w:hAnsi="宋体"/>
          <w:color w:val="auto"/>
          <w:szCs w:val="21"/>
          <w:highlight w:val="none"/>
          <w:u w:val="single"/>
        </w:rPr>
        <w:t xml:space="preserve">              </w:t>
      </w:r>
      <w:r>
        <w:rPr>
          <w:rFonts w:hint="eastAsia" w:ascii="Calibri" w:hAnsi="Calibri"/>
          <w:color w:val="auto"/>
          <w:szCs w:val="21"/>
          <w:highlight w:val="none"/>
        </w:rPr>
        <w:t>（</w:t>
      </w:r>
      <w:r>
        <w:rPr>
          <w:rFonts w:ascii="Calibri" w:hAnsi="Calibri"/>
          <w:color w:val="auto"/>
          <w:szCs w:val="21"/>
          <w:highlight w:val="none"/>
        </w:rPr>
        <w:t>¥</w:t>
      </w:r>
      <w:r>
        <w:rPr>
          <w:rFonts w:hint="eastAsia" w:ascii="Calibri" w:hAnsi="Calibri"/>
          <w:color w:val="auto"/>
          <w:szCs w:val="21"/>
          <w:highlight w:val="none"/>
          <w:u w:val="single"/>
        </w:rPr>
        <w:t xml:space="preserve">          </w:t>
      </w:r>
      <w:r>
        <w:rPr>
          <w:rFonts w:ascii="Calibri" w:hAnsi="宋体"/>
          <w:color w:val="auto"/>
          <w:szCs w:val="21"/>
          <w:highlight w:val="none"/>
        </w:rPr>
        <w:t>元</w:t>
      </w:r>
      <w:r>
        <w:rPr>
          <w:rFonts w:hint="eastAsia" w:ascii="Calibri" w:hAnsi="Calibri"/>
          <w:color w:val="auto"/>
          <w:szCs w:val="21"/>
          <w:highlight w:val="none"/>
        </w:rPr>
        <w:t>）</w:t>
      </w:r>
      <w:r>
        <w:rPr>
          <w:rFonts w:ascii="Calibri" w:hAnsi="宋体"/>
          <w:color w:val="auto"/>
          <w:szCs w:val="21"/>
          <w:highlight w:val="none"/>
        </w:rPr>
        <w:t>；</w:t>
      </w:r>
    </w:p>
    <w:p w14:paraId="4A7BAE5D">
      <w:pPr>
        <w:spacing w:line="360" w:lineRule="auto"/>
        <w:ind w:firstLine="420" w:firstLineChars="200"/>
        <w:rPr>
          <w:rFonts w:ascii="Calibri" w:hAnsi="Calibri"/>
          <w:color w:val="auto"/>
          <w:szCs w:val="21"/>
          <w:highlight w:val="none"/>
        </w:rPr>
      </w:pPr>
      <w:r>
        <w:rPr>
          <w:rFonts w:ascii="Calibri" w:hAnsi="宋体"/>
          <w:color w:val="auto"/>
          <w:szCs w:val="21"/>
          <w:highlight w:val="none"/>
        </w:rPr>
        <w:t>（</w:t>
      </w:r>
      <w:r>
        <w:rPr>
          <w:rFonts w:ascii="Calibri" w:hAnsi="Calibri"/>
          <w:color w:val="auto"/>
          <w:szCs w:val="21"/>
          <w:highlight w:val="none"/>
        </w:rPr>
        <w:t>4</w:t>
      </w:r>
      <w:r>
        <w:rPr>
          <w:rFonts w:ascii="Calibri" w:hAnsi="宋体"/>
          <w:color w:val="auto"/>
          <w:szCs w:val="21"/>
          <w:highlight w:val="none"/>
        </w:rPr>
        <w:t>）专业工程暂估价金额：</w:t>
      </w:r>
    </w:p>
    <w:p w14:paraId="2249A741">
      <w:pPr>
        <w:spacing w:line="360" w:lineRule="auto"/>
        <w:ind w:firstLine="945" w:firstLineChars="450"/>
        <w:rPr>
          <w:rFonts w:ascii="Calibri" w:hAnsi="Calibri"/>
          <w:color w:val="auto"/>
          <w:szCs w:val="21"/>
          <w:highlight w:val="none"/>
        </w:rPr>
      </w:pPr>
      <w:r>
        <w:rPr>
          <w:rFonts w:ascii="Calibri" w:hAnsi="宋体"/>
          <w:color w:val="auto"/>
          <w:szCs w:val="21"/>
          <w:highlight w:val="none"/>
        </w:rPr>
        <w:t>人民币（大写）</w:t>
      </w:r>
      <w:r>
        <w:rPr>
          <w:rFonts w:hint="eastAsia" w:ascii="Calibri" w:hAnsi="宋体"/>
          <w:color w:val="auto"/>
          <w:szCs w:val="21"/>
          <w:highlight w:val="none"/>
          <w:u w:val="single"/>
        </w:rPr>
        <w:t xml:space="preserve">               </w:t>
      </w:r>
      <w:r>
        <w:rPr>
          <w:rFonts w:hint="eastAsia" w:ascii="Calibri" w:hAnsi="Calibri"/>
          <w:color w:val="auto"/>
          <w:szCs w:val="21"/>
          <w:highlight w:val="none"/>
        </w:rPr>
        <w:t>（</w:t>
      </w:r>
      <w:r>
        <w:rPr>
          <w:rFonts w:ascii="Calibri" w:hAnsi="Calibri"/>
          <w:color w:val="auto"/>
          <w:szCs w:val="21"/>
          <w:highlight w:val="none"/>
        </w:rPr>
        <w:t>¥</w:t>
      </w:r>
      <w:r>
        <w:rPr>
          <w:rFonts w:hint="eastAsia" w:ascii="Calibri" w:hAnsi="Calibri"/>
          <w:color w:val="auto"/>
          <w:szCs w:val="21"/>
          <w:highlight w:val="none"/>
          <w:u w:val="single"/>
        </w:rPr>
        <w:t xml:space="preserve">          </w:t>
      </w:r>
      <w:r>
        <w:rPr>
          <w:rFonts w:ascii="Calibri" w:hAnsi="宋体"/>
          <w:color w:val="auto"/>
          <w:szCs w:val="21"/>
          <w:highlight w:val="none"/>
        </w:rPr>
        <w:t>元</w:t>
      </w:r>
      <w:r>
        <w:rPr>
          <w:rFonts w:hint="eastAsia" w:ascii="Calibri" w:hAnsi="Calibri"/>
          <w:color w:val="auto"/>
          <w:szCs w:val="21"/>
          <w:highlight w:val="none"/>
        </w:rPr>
        <w:t>）</w:t>
      </w:r>
      <w:r>
        <w:rPr>
          <w:rFonts w:ascii="Calibri" w:hAnsi="宋体"/>
          <w:color w:val="auto"/>
          <w:szCs w:val="21"/>
          <w:highlight w:val="none"/>
        </w:rPr>
        <w:t>；</w:t>
      </w:r>
    </w:p>
    <w:p w14:paraId="1AB2CD5E">
      <w:pPr>
        <w:spacing w:line="360" w:lineRule="auto"/>
        <w:ind w:firstLine="420" w:firstLineChars="200"/>
        <w:rPr>
          <w:rFonts w:ascii="Calibri" w:hAnsi="Calibri"/>
          <w:color w:val="auto"/>
          <w:szCs w:val="21"/>
          <w:highlight w:val="none"/>
        </w:rPr>
      </w:pPr>
      <w:r>
        <w:rPr>
          <w:rFonts w:ascii="Calibri" w:hAnsi="宋体"/>
          <w:color w:val="auto"/>
          <w:szCs w:val="21"/>
          <w:highlight w:val="none"/>
        </w:rPr>
        <w:t>（</w:t>
      </w:r>
      <w:r>
        <w:rPr>
          <w:rFonts w:ascii="Calibri" w:hAnsi="Calibri"/>
          <w:color w:val="auto"/>
          <w:szCs w:val="21"/>
          <w:highlight w:val="none"/>
        </w:rPr>
        <w:t>5</w:t>
      </w:r>
      <w:r>
        <w:rPr>
          <w:rFonts w:ascii="Calibri" w:hAnsi="宋体"/>
          <w:color w:val="auto"/>
          <w:szCs w:val="21"/>
          <w:highlight w:val="none"/>
        </w:rPr>
        <w:t>）暂列金额：</w:t>
      </w:r>
    </w:p>
    <w:p w14:paraId="7D686FD3">
      <w:pPr>
        <w:spacing w:line="360" w:lineRule="auto"/>
        <w:ind w:firstLine="945" w:firstLineChars="450"/>
        <w:rPr>
          <w:rFonts w:ascii="Calibri" w:hAnsi="Calibri"/>
          <w:color w:val="auto"/>
          <w:szCs w:val="21"/>
          <w:highlight w:val="none"/>
        </w:rPr>
      </w:pPr>
      <w:r>
        <w:rPr>
          <w:rFonts w:ascii="Calibri" w:hAnsi="宋体"/>
          <w:color w:val="auto"/>
          <w:szCs w:val="21"/>
          <w:highlight w:val="none"/>
        </w:rPr>
        <w:t>人民币（大写）</w:t>
      </w:r>
      <w:r>
        <w:rPr>
          <w:rFonts w:hint="eastAsia" w:ascii="Calibri" w:hAnsi="宋体"/>
          <w:color w:val="auto"/>
          <w:szCs w:val="21"/>
          <w:highlight w:val="none"/>
          <w:u w:val="single"/>
        </w:rPr>
        <w:t xml:space="preserve">                  </w:t>
      </w:r>
      <w:r>
        <w:rPr>
          <w:rFonts w:hint="eastAsia" w:ascii="Calibri" w:hAnsi="Calibri"/>
          <w:color w:val="auto"/>
          <w:szCs w:val="21"/>
          <w:highlight w:val="none"/>
        </w:rPr>
        <w:t>（</w:t>
      </w:r>
      <w:r>
        <w:rPr>
          <w:rFonts w:ascii="Calibri" w:hAnsi="Calibri"/>
          <w:color w:val="auto"/>
          <w:szCs w:val="21"/>
          <w:highlight w:val="none"/>
        </w:rPr>
        <w:t>¥</w:t>
      </w:r>
      <w:r>
        <w:rPr>
          <w:rFonts w:hint="eastAsia" w:ascii="Calibri" w:hAnsi="Calibri"/>
          <w:color w:val="auto"/>
          <w:szCs w:val="21"/>
          <w:highlight w:val="none"/>
          <w:u w:val="single"/>
        </w:rPr>
        <w:t xml:space="preserve">          </w:t>
      </w:r>
      <w:r>
        <w:rPr>
          <w:rFonts w:ascii="Calibri" w:hAnsi="宋体"/>
          <w:color w:val="auto"/>
          <w:szCs w:val="21"/>
          <w:highlight w:val="none"/>
        </w:rPr>
        <w:t>元</w:t>
      </w:r>
      <w:r>
        <w:rPr>
          <w:rFonts w:hint="eastAsia" w:ascii="Calibri" w:hAnsi="Calibri"/>
          <w:color w:val="auto"/>
          <w:szCs w:val="21"/>
          <w:highlight w:val="none"/>
        </w:rPr>
        <w:t>）</w:t>
      </w:r>
      <w:r>
        <w:rPr>
          <w:rFonts w:ascii="Calibri" w:hAnsi="宋体"/>
          <w:color w:val="auto"/>
          <w:szCs w:val="21"/>
          <w:highlight w:val="none"/>
        </w:rPr>
        <w:t>。</w:t>
      </w:r>
    </w:p>
    <w:p w14:paraId="23EF646C">
      <w:pPr>
        <w:spacing w:line="360" w:lineRule="auto"/>
        <w:ind w:firstLine="420" w:firstLineChars="200"/>
        <w:rPr>
          <w:rFonts w:ascii="Calibri" w:hAnsi="宋体"/>
          <w:color w:val="auto"/>
          <w:szCs w:val="21"/>
          <w:highlight w:val="none"/>
        </w:rPr>
      </w:pPr>
      <w:r>
        <w:rPr>
          <w:rFonts w:ascii="Calibri" w:hAnsi="Calibri"/>
          <w:color w:val="auto"/>
          <w:szCs w:val="21"/>
          <w:highlight w:val="none"/>
        </w:rPr>
        <w:t>2.</w:t>
      </w:r>
      <w:r>
        <w:rPr>
          <w:rFonts w:ascii="Calibri" w:hAnsi="宋体"/>
          <w:color w:val="auto"/>
          <w:szCs w:val="21"/>
          <w:highlight w:val="none"/>
        </w:rPr>
        <w:t>合同价格形式：</w:t>
      </w:r>
      <w:r>
        <w:rPr>
          <w:rFonts w:ascii="Calibri" w:hAnsi="宋体"/>
          <w:color w:val="auto"/>
          <w:szCs w:val="21"/>
          <w:highlight w:val="none"/>
          <w:u w:val="single"/>
        </w:rPr>
        <w:t></w:t>
      </w:r>
      <w:r>
        <w:rPr>
          <w:rFonts w:hint="eastAsia" w:ascii="Calibri" w:hAnsi="宋体"/>
          <w:color w:val="auto"/>
          <w:szCs w:val="21"/>
          <w:highlight w:val="none"/>
          <w:u w:val="single"/>
        </w:rPr>
        <w:t xml:space="preserve">            </w:t>
      </w:r>
      <w:r>
        <w:rPr>
          <w:rFonts w:ascii="Calibri" w:hAnsi="宋体"/>
          <w:color w:val="auto"/>
          <w:szCs w:val="21"/>
          <w:highlight w:val="none"/>
        </w:rPr>
        <w:t>。</w:t>
      </w:r>
    </w:p>
    <w:p w14:paraId="16EEB51D">
      <w:pPr>
        <w:spacing w:line="360" w:lineRule="auto"/>
        <w:ind w:firstLine="422" w:firstLineChars="200"/>
        <w:rPr>
          <w:rFonts w:ascii="Calibri" w:hAnsi="Calibri"/>
          <w:b/>
          <w:bCs/>
          <w:color w:val="auto"/>
          <w:szCs w:val="21"/>
          <w:highlight w:val="none"/>
        </w:rPr>
      </w:pPr>
      <w:bookmarkStart w:id="61" w:name="_Toc351203485"/>
      <w:r>
        <w:rPr>
          <w:rFonts w:ascii="Calibri" w:hAnsi="宋体"/>
          <w:b/>
          <w:bCs/>
          <w:color w:val="auto"/>
          <w:szCs w:val="21"/>
          <w:highlight w:val="none"/>
        </w:rPr>
        <w:t>五、</w:t>
      </w:r>
      <w:bookmarkEnd w:id="61"/>
      <w:r>
        <w:rPr>
          <w:rFonts w:ascii="Calibri" w:hAnsi="宋体"/>
          <w:b/>
          <w:bCs/>
          <w:color w:val="auto"/>
          <w:szCs w:val="21"/>
          <w:highlight w:val="none"/>
        </w:rPr>
        <w:t>项目经理</w:t>
      </w:r>
    </w:p>
    <w:p w14:paraId="266FA5EB">
      <w:pPr>
        <w:spacing w:line="360" w:lineRule="auto"/>
        <w:ind w:firstLine="420" w:firstLineChars="200"/>
        <w:rPr>
          <w:rFonts w:ascii="Calibri" w:hAnsi="宋体"/>
          <w:color w:val="auto"/>
          <w:szCs w:val="21"/>
          <w:highlight w:val="none"/>
        </w:rPr>
      </w:pPr>
      <w:r>
        <w:rPr>
          <w:rFonts w:ascii="Calibri" w:hAnsi="宋体"/>
          <w:color w:val="auto"/>
          <w:szCs w:val="21"/>
          <w:highlight w:val="none"/>
        </w:rPr>
        <w:t>承包人项目经理：</w:t>
      </w:r>
      <w:r>
        <w:rPr>
          <w:rFonts w:ascii="Calibri" w:hAnsi="宋体"/>
          <w:color w:val="auto"/>
          <w:szCs w:val="21"/>
          <w:highlight w:val="none"/>
          <w:u w:val="single"/>
        </w:rPr>
        <w:t></w:t>
      </w:r>
      <w:r>
        <w:rPr>
          <w:rFonts w:ascii="Calibri" w:hAnsi="宋体"/>
          <w:color w:val="auto"/>
          <w:szCs w:val="21"/>
          <w:highlight w:val="none"/>
        </w:rPr>
        <w:t>。</w:t>
      </w:r>
    </w:p>
    <w:p w14:paraId="74E6289F">
      <w:pPr>
        <w:spacing w:line="360" w:lineRule="auto"/>
        <w:ind w:firstLine="422" w:firstLineChars="200"/>
        <w:rPr>
          <w:rFonts w:ascii="Calibri" w:hAnsi="Calibri"/>
          <w:b/>
          <w:bCs/>
          <w:color w:val="auto"/>
          <w:szCs w:val="21"/>
          <w:highlight w:val="none"/>
        </w:rPr>
      </w:pPr>
      <w:bookmarkStart w:id="62" w:name="_Toc351203486"/>
      <w:r>
        <w:rPr>
          <w:rFonts w:ascii="Calibri" w:hAnsi="宋体"/>
          <w:b/>
          <w:bCs/>
          <w:color w:val="auto"/>
          <w:szCs w:val="21"/>
          <w:highlight w:val="none"/>
        </w:rPr>
        <w:t>六、合同文件构成</w:t>
      </w:r>
      <w:bookmarkEnd w:id="62"/>
    </w:p>
    <w:p w14:paraId="78467C09">
      <w:pPr>
        <w:spacing w:line="360" w:lineRule="auto"/>
        <w:ind w:firstLine="420" w:firstLineChars="200"/>
        <w:rPr>
          <w:rFonts w:ascii="Calibri" w:hAnsi="Calibri"/>
          <w:bCs/>
          <w:color w:val="auto"/>
          <w:szCs w:val="21"/>
          <w:highlight w:val="none"/>
        </w:rPr>
      </w:pPr>
      <w:r>
        <w:rPr>
          <w:rFonts w:ascii="Calibri" w:hAnsi="宋体"/>
          <w:bCs/>
          <w:color w:val="auto"/>
          <w:szCs w:val="21"/>
          <w:highlight w:val="none"/>
        </w:rPr>
        <w:t>本协议书与下列文件一起构成合同文件：</w:t>
      </w:r>
    </w:p>
    <w:p w14:paraId="4609C05C">
      <w:pPr>
        <w:autoSpaceDE w:val="0"/>
        <w:autoSpaceDN w:val="0"/>
        <w:adjustRightInd w:val="0"/>
        <w:spacing w:line="360" w:lineRule="auto"/>
        <w:ind w:firstLine="420" w:firstLineChars="200"/>
        <w:jc w:val="left"/>
        <w:rPr>
          <w:rFonts w:ascii="Calibri" w:hAnsi="Calibri"/>
          <w:color w:val="auto"/>
          <w:szCs w:val="21"/>
          <w:highlight w:val="none"/>
        </w:rPr>
      </w:pPr>
      <w:r>
        <w:rPr>
          <w:rFonts w:ascii="Calibri" w:hAnsi="宋体"/>
          <w:color w:val="auto"/>
          <w:szCs w:val="21"/>
          <w:highlight w:val="none"/>
        </w:rPr>
        <w:t>（</w:t>
      </w:r>
      <w:r>
        <w:rPr>
          <w:rFonts w:ascii="Calibri" w:hAnsi="Calibri"/>
          <w:color w:val="auto"/>
          <w:szCs w:val="21"/>
          <w:highlight w:val="none"/>
        </w:rPr>
        <w:t>1</w:t>
      </w:r>
      <w:r>
        <w:rPr>
          <w:rFonts w:ascii="Calibri" w:hAnsi="宋体"/>
          <w:color w:val="auto"/>
          <w:szCs w:val="21"/>
          <w:highlight w:val="none"/>
        </w:rPr>
        <w:t>）中标通知书（如果有）；</w:t>
      </w:r>
    </w:p>
    <w:p w14:paraId="6803DF2A">
      <w:pPr>
        <w:autoSpaceDE w:val="0"/>
        <w:autoSpaceDN w:val="0"/>
        <w:adjustRightInd w:val="0"/>
        <w:spacing w:line="360" w:lineRule="auto"/>
        <w:ind w:firstLine="420" w:firstLineChars="200"/>
        <w:jc w:val="left"/>
        <w:rPr>
          <w:rFonts w:ascii="Calibri" w:hAnsi="Calibri"/>
          <w:color w:val="auto"/>
          <w:szCs w:val="21"/>
          <w:highlight w:val="none"/>
        </w:rPr>
      </w:pPr>
      <w:r>
        <w:rPr>
          <w:rFonts w:ascii="Calibri" w:hAnsi="宋体"/>
          <w:color w:val="auto"/>
          <w:szCs w:val="21"/>
          <w:highlight w:val="none"/>
        </w:rPr>
        <w:t>（</w:t>
      </w:r>
      <w:r>
        <w:rPr>
          <w:rFonts w:ascii="Calibri" w:hAnsi="Calibri"/>
          <w:color w:val="auto"/>
          <w:szCs w:val="21"/>
          <w:highlight w:val="none"/>
        </w:rPr>
        <w:t>2</w:t>
      </w:r>
      <w:r>
        <w:rPr>
          <w:rFonts w:ascii="Calibri" w:hAnsi="宋体"/>
          <w:color w:val="auto"/>
          <w:szCs w:val="21"/>
          <w:highlight w:val="none"/>
        </w:rPr>
        <w:t>）投标函及其附录（如果有）；</w:t>
      </w:r>
    </w:p>
    <w:p w14:paraId="345D78F0">
      <w:pPr>
        <w:autoSpaceDE w:val="0"/>
        <w:autoSpaceDN w:val="0"/>
        <w:adjustRightInd w:val="0"/>
        <w:spacing w:line="360" w:lineRule="auto"/>
        <w:ind w:firstLine="420" w:firstLineChars="200"/>
        <w:jc w:val="left"/>
        <w:rPr>
          <w:rFonts w:ascii="Calibri" w:hAnsi="Calibri"/>
          <w:color w:val="auto"/>
          <w:szCs w:val="21"/>
          <w:highlight w:val="none"/>
        </w:rPr>
      </w:pPr>
      <w:r>
        <w:rPr>
          <w:rFonts w:ascii="Calibri" w:hAnsi="宋体"/>
          <w:color w:val="auto"/>
          <w:szCs w:val="21"/>
          <w:highlight w:val="none"/>
        </w:rPr>
        <w:t>（</w:t>
      </w:r>
      <w:r>
        <w:rPr>
          <w:rFonts w:ascii="Calibri" w:hAnsi="Calibri"/>
          <w:color w:val="auto"/>
          <w:szCs w:val="21"/>
          <w:highlight w:val="none"/>
        </w:rPr>
        <w:t>3</w:t>
      </w:r>
      <w:r>
        <w:rPr>
          <w:rFonts w:ascii="Calibri" w:hAnsi="宋体"/>
          <w:color w:val="auto"/>
          <w:szCs w:val="21"/>
          <w:highlight w:val="none"/>
        </w:rPr>
        <w:t>）专用合同条款及其附件；</w:t>
      </w:r>
    </w:p>
    <w:p w14:paraId="35735A59">
      <w:pPr>
        <w:autoSpaceDE w:val="0"/>
        <w:autoSpaceDN w:val="0"/>
        <w:adjustRightInd w:val="0"/>
        <w:spacing w:line="360" w:lineRule="auto"/>
        <w:ind w:firstLine="420" w:firstLineChars="200"/>
        <w:jc w:val="left"/>
        <w:rPr>
          <w:rFonts w:ascii="Calibri" w:hAnsi="Calibri"/>
          <w:color w:val="auto"/>
          <w:szCs w:val="21"/>
          <w:highlight w:val="none"/>
        </w:rPr>
      </w:pPr>
      <w:r>
        <w:rPr>
          <w:rFonts w:ascii="Calibri" w:hAnsi="宋体"/>
          <w:color w:val="auto"/>
          <w:szCs w:val="21"/>
          <w:highlight w:val="none"/>
        </w:rPr>
        <w:t>（</w:t>
      </w:r>
      <w:r>
        <w:rPr>
          <w:rFonts w:ascii="Calibri" w:hAnsi="Calibri"/>
          <w:color w:val="auto"/>
          <w:szCs w:val="21"/>
          <w:highlight w:val="none"/>
        </w:rPr>
        <w:t>4</w:t>
      </w:r>
      <w:r>
        <w:rPr>
          <w:rFonts w:ascii="Calibri" w:hAnsi="宋体"/>
          <w:color w:val="auto"/>
          <w:szCs w:val="21"/>
          <w:highlight w:val="none"/>
        </w:rPr>
        <w:t>）通用合同条款；</w:t>
      </w:r>
    </w:p>
    <w:p w14:paraId="75B181CB">
      <w:pPr>
        <w:autoSpaceDE w:val="0"/>
        <w:autoSpaceDN w:val="0"/>
        <w:adjustRightInd w:val="0"/>
        <w:spacing w:line="360" w:lineRule="auto"/>
        <w:ind w:firstLine="420" w:firstLineChars="200"/>
        <w:jc w:val="left"/>
        <w:rPr>
          <w:rFonts w:ascii="Calibri" w:hAnsi="Calibri"/>
          <w:color w:val="auto"/>
          <w:szCs w:val="21"/>
          <w:highlight w:val="none"/>
        </w:rPr>
      </w:pPr>
      <w:r>
        <w:rPr>
          <w:rFonts w:ascii="Calibri" w:hAnsi="宋体"/>
          <w:color w:val="auto"/>
          <w:szCs w:val="21"/>
          <w:highlight w:val="none"/>
        </w:rPr>
        <w:t>（</w:t>
      </w:r>
      <w:r>
        <w:rPr>
          <w:rFonts w:ascii="Calibri" w:hAnsi="Calibri"/>
          <w:color w:val="auto"/>
          <w:szCs w:val="21"/>
          <w:highlight w:val="none"/>
        </w:rPr>
        <w:t>5</w:t>
      </w:r>
      <w:r>
        <w:rPr>
          <w:rFonts w:ascii="Calibri" w:hAnsi="宋体"/>
          <w:color w:val="auto"/>
          <w:szCs w:val="21"/>
          <w:highlight w:val="none"/>
        </w:rPr>
        <w:t>）技术标准和要求；</w:t>
      </w:r>
    </w:p>
    <w:p w14:paraId="23536A6E">
      <w:pPr>
        <w:autoSpaceDE w:val="0"/>
        <w:autoSpaceDN w:val="0"/>
        <w:adjustRightInd w:val="0"/>
        <w:spacing w:line="360" w:lineRule="auto"/>
        <w:ind w:firstLine="420" w:firstLineChars="200"/>
        <w:jc w:val="left"/>
        <w:rPr>
          <w:rFonts w:ascii="Calibri" w:hAnsi="Calibri"/>
          <w:color w:val="auto"/>
          <w:szCs w:val="21"/>
          <w:highlight w:val="none"/>
        </w:rPr>
      </w:pPr>
      <w:r>
        <w:rPr>
          <w:rFonts w:ascii="Calibri" w:hAnsi="宋体"/>
          <w:color w:val="auto"/>
          <w:szCs w:val="21"/>
          <w:highlight w:val="none"/>
        </w:rPr>
        <w:t>（</w:t>
      </w:r>
      <w:r>
        <w:rPr>
          <w:rFonts w:ascii="Calibri" w:hAnsi="Calibri"/>
          <w:color w:val="auto"/>
          <w:szCs w:val="21"/>
          <w:highlight w:val="none"/>
        </w:rPr>
        <w:t>6</w:t>
      </w:r>
      <w:r>
        <w:rPr>
          <w:rFonts w:ascii="Calibri" w:hAnsi="宋体"/>
          <w:color w:val="auto"/>
          <w:szCs w:val="21"/>
          <w:highlight w:val="none"/>
        </w:rPr>
        <w:t>）已标价工程量清单或预算书；</w:t>
      </w:r>
    </w:p>
    <w:p w14:paraId="1175BCC4">
      <w:pPr>
        <w:autoSpaceDE w:val="0"/>
        <w:autoSpaceDN w:val="0"/>
        <w:adjustRightInd w:val="0"/>
        <w:spacing w:line="360" w:lineRule="auto"/>
        <w:ind w:firstLine="420" w:firstLineChars="200"/>
        <w:jc w:val="left"/>
        <w:rPr>
          <w:rFonts w:ascii="Calibri" w:hAnsi="Calibri"/>
          <w:color w:val="auto"/>
          <w:szCs w:val="21"/>
          <w:highlight w:val="none"/>
        </w:rPr>
      </w:pPr>
      <w:r>
        <w:rPr>
          <w:rFonts w:ascii="Calibri" w:hAnsi="宋体"/>
          <w:color w:val="auto"/>
          <w:szCs w:val="21"/>
          <w:highlight w:val="none"/>
        </w:rPr>
        <w:t>（</w:t>
      </w:r>
      <w:r>
        <w:rPr>
          <w:rFonts w:ascii="Calibri" w:hAnsi="Calibri"/>
          <w:color w:val="auto"/>
          <w:szCs w:val="21"/>
          <w:highlight w:val="none"/>
        </w:rPr>
        <w:t>7</w:t>
      </w:r>
      <w:r>
        <w:rPr>
          <w:rFonts w:ascii="Calibri" w:hAnsi="宋体"/>
          <w:color w:val="auto"/>
          <w:szCs w:val="21"/>
          <w:highlight w:val="none"/>
        </w:rPr>
        <w:t>）图纸；</w:t>
      </w:r>
    </w:p>
    <w:p w14:paraId="16EF1682">
      <w:pPr>
        <w:autoSpaceDE w:val="0"/>
        <w:autoSpaceDN w:val="0"/>
        <w:adjustRightInd w:val="0"/>
        <w:spacing w:line="360" w:lineRule="auto"/>
        <w:ind w:firstLine="420" w:firstLineChars="200"/>
        <w:jc w:val="left"/>
        <w:rPr>
          <w:rFonts w:ascii="Calibri" w:hAnsi="Calibri"/>
          <w:color w:val="auto"/>
          <w:szCs w:val="21"/>
          <w:highlight w:val="none"/>
        </w:rPr>
      </w:pPr>
      <w:r>
        <w:rPr>
          <w:rFonts w:ascii="Calibri" w:hAnsi="宋体"/>
          <w:color w:val="auto"/>
          <w:szCs w:val="21"/>
          <w:highlight w:val="none"/>
        </w:rPr>
        <w:t>（</w:t>
      </w:r>
      <w:r>
        <w:rPr>
          <w:rFonts w:ascii="Calibri" w:hAnsi="Calibri"/>
          <w:color w:val="auto"/>
          <w:szCs w:val="21"/>
          <w:highlight w:val="none"/>
        </w:rPr>
        <w:t>8</w:t>
      </w:r>
      <w:r>
        <w:rPr>
          <w:rFonts w:ascii="Calibri" w:hAnsi="宋体"/>
          <w:color w:val="auto"/>
          <w:szCs w:val="21"/>
          <w:highlight w:val="none"/>
        </w:rPr>
        <w:t>）其他合同文件。</w:t>
      </w:r>
    </w:p>
    <w:p w14:paraId="57A5CE1A">
      <w:pPr>
        <w:autoSpaceDE w:val="0"/>
        <w:autoSpaceDN w:val="0"/>
        <w:adjustRightInd w:val="0"/>
        <w:spacing w:line="360" w:lineRule="auto"/>
        <w:ind w:firstLine="420" w:firstLineChars="200"/>
        <w:jc w:val="left"/>
        <w:rPr>
          <w:rFonts w:ascii="Calibri" w:hAnsi="Calibri"/>
          <w:color w:val="auto"/>
          <w:szCs w:val="21"/>
          <w:highlight w:val="none"/>
        </w:rPr>
      </w:pPr>
      <w:r>
        <w:rPr>
          <w:rFonts w:ascii="Calibri" w:hAnsi="宋体"/>
          <w:color w:val="auto"/>
          <w:szCs w:val="21"/>
          <w:highlight w:val="none"/>
        </w:rPr>
        <w:t>在合同订立及履行过程中形成的与合同有关的文件均构成合同文件组成部分。</w:t>
      </w:r>
    </w:p>
    <w:p w14:paraId="69803A36">
      <w:pPr>
        <w:autoSpaceDE w:val="0"/>
        <w:autoSpaceDN w:val="0"/>
        <w:adjustRightInd w:val="0"/>
        <w:spacing w:line="360" w:lineRule="auto"/>
        <w:ind w:firstLine="420" w:firstLineChars="200"/>
        <w:jc w:val="left"/>
        <w:rPr>
          <w:rFonts w:ascii="Calibri" w:hAnsi="宋体"/>
          <w:color w:val="auto"/>
          <w:szCs w:val="21"/>
          <w:highlight w:val="none"/>
        </w:rPr>
      </w:pPr>
      <w:r>
        <w:rPr>
          <w:rFonts w:ascii="Calibri" w:hAnsi="宋体"/>
          <w:color w:val="auto"/>
          <w:szCs w:val="21"/>
          <w:highlight w:val="none"/>
        </w:rPr>
        <w:t>上述各项合同文件包括合同当事人就该项合同文件所作出的补充和修改，属于同一类内容的文件，应以最新签署的为准。专用合同条款及其附件须经合同当事人签字或盖章。</w:t>
      </w:r>
    </w:p>
    <w:p w14:paraId="37A91F02">
      <w:pPr>
        <w:autoSpaceDE w:val="0"/>
        <w:autoSpaceDN w:val="0"/>
        <w:adjustRightInd w:val="0"/>
        <w:spacing w:line="360" w:lineRule="auto"/>
        <w:ind w:firstLine="422" w:firstLineChars="200"/>
        <w:jc w:val="left"/>
        <w:rPr>
          <w:rFonts w:ascii="Calibri" w:hAnsi="Calibri"/>
          <w:b/>
          <w:bCs/>
          <w:color w:val="auto"/>
          <w:szCs w:val="21"/>
          <w:highlight w:val="none"/>
        </w:rPr>
      </w:pPr>
      <w:bookmarkStart w:id="63" w:name="_Toc351203487"/>
      <w:r>
        <w:rPr>
          <w:rFonts w:ascii="Calibri" w:hAnsi="宋体"/>
          <w:b/>
          <w:bCs/>
          <w:color w:val="auto"/>
          <w:szCs w:val="21"/>
          <w:highlight w:val="none"/>
        </w:rPr>
        <w:t>七、承诺</w:t>
      </w:r>
      <w:bookmarkEnd w:id="63"/>
    </w:p>
    <w:p w14:paraId="24EAA581">
      <w:pPr>
        <w:spacing w:line="360" w:lineRule="auto"/>
        <w:ind w:firstLine="420" w:firstLineChars="200"/>
        <w:rPr>
          <w:rFonts w:ascii="Calibri" w:hAnsi="Calibri"/>
          <w:bCs/>
          <w:color w:val="auto"/>
          <w:szCs w:val="21"/>
          <w:highlight w:val="none"/>
        </w:rPr>
      </w:pPr>
      <w:r>
        <w:rPr>
          <w:rFonts w:ascii="Calibri" w:hAnsi="Calibri"/>
          <w:bCs/>
          <w:color w:val="auto"/>
          <w:szCs w:val="21"/>
          <w:highlight w:val="none"/>
        </w:rPr>
        <w:t>1.</w:t>
      </w:r>
      <w:r>
        <w:rPr>
          <w:rFonts w:ascii="Calibri" w:hAnsi="宋体"/>
          <w:bCs/>
          <w:color w:val="auto"/>
          <w:szCs w:val="21"/>
          <w:highlight w:val="none"/>
        </w:rPr>
        <w:t>发包人承诺按照法律规定履行项目审批手续、筹集工程建设资金并按照合同约定的期限和方式支付合同价款。</w:t>
      </w:r>
    </w:p>
    <w:p w14:paraId="6CECF943">
      <w:pPr>
        <w:spacing w:line="360" w:lineRule="auto"/>
        <w:ind w:firstLine="420" w:firstLineChars="200"/>
        <w:rPr>
          <w:rFonts w:ascii="Calibri" w:hAnsi="Calibri"/>
          <w:bCs/>
          <w:color w:val="auto"/>
          <w:szCs w:val="21"/>
          <w:highlight w:val="none"/>
        </w:rPr>
      </w:pPr>
      <w:r>
        <w:rPr>
          <w:rFonts w:ascii="Calibri" w:hAnsi="Calibri"/>
          <w:bCs/>
          <w:color w:val="auto"/>
          <w:szCs w:val="21"/>
          <w:highlight w:val="none"/>
        </w:rPr>
        <w:t>2.</w:t>
      </w:r>
      <w:r>
        <w:rPr>
          <w:rFonts w:ascii="Calibri" w:hAnsi="宋体"/>
          <w:bCs/>
          <w:color w:val="auto"/>
          <w:szCs w:val="21"/>
          <w:highlight w:val="none"/>
        </w:rPr>
        <w:t>承包人承诺按照法律规定及合同约定组织完成工程施工，确保工程质量和安全，不进行转包及违法分包，并在缺陷责任期及保修期内承担相应的工程维修责任。</w:t>
      </w:r>
    </w:p>
    <w:p w14:paraId="3E6C3522">
      <w:pPr>
        <w:spacing w:line="360" w:lineRule="auto"/>
        <w:ind w:firstLine="420" w:firstLineChars="200"/>
        <w:rPr>
          <w:rFonts w:ascii="Calibri" w:hAnsi="宋体"/>
          <w:bCs/>
          <w:color w:val="auto"/>
          <w:szCs w:val="21"/>
          <w:highlight w:val="none"/>
        </w:rPr>
      </w:pPr>
      <w:r>
        <w:rPr>
          <w:rFonts w:ascii="Calibri" w:hAnsi="Calibri"/>
          <w:bCs/>
          <w:color w:val="auto"/>
          <w:szCs w:val="21"/>
          <w:highlight w:val="none"/>
        </w:rPr>
        <w:t>3.</w:t>
      </w:r>
      <w:r>
        <w:rPr>
          <w:rFonts w:ascii="Calibri" w:hAnsi="宋体"/>
          <w:bCs/>
          <w:color w:val="auto"/>
          <w:szCs w:val="21"/>
          <w:highlight w:val="none"/>
        </w:rPr>
        <w:t>发包人和承包人通过招投标形式签订合同的，双方理解并承诺不再就同一工程另行签订与合同实质性内容相背离的协议。</w:t>
      </w:r>
      <w:bookmarkStart w:id="64" w:name="_Toc351203488"/>
    </w:p>
    <w:p w14:paraId="5FA28118">
      <w:pPr>
        <w:spacing w:line="360" w:lineRule="auto"/>
        <w:ind w:firstLine="422" w:firstLineChars="200"/>
        <w:rPr>
          <w:rFonts w:ascii="Calibri" w:hAnsi="Calibri"/>
          <w:b/>
          <w:bCs/>
          <w:color w:val="auto"/>
          <w:szCs w:val="21"/>
          <w:highlight w:val="none"/>
        </w:rPr>
      </w:pPr>
      <w:r>
        <w:rPr>
          <w:rFonts w:ascii="Calibri" w:hAnsi="宋体"/>
          <w:b/>
          <w:bCs/>
          <w:color w:val="auto"/>
          <w:szCs w:val="21"/>
          <w:highlight w:val="none"/>
        </w:rPr>
        <w:t>八、词语含义</w:t>
      </w:r>
      <w:bookmarkEnd w:id="64"/>
    </w:p>
    <w:p w14:paraId="347AC51D">
      <w:pPr>
        <w:spacing w:line="360" w:lineRule="auto"/>
        <w:ind w:firstLine="420" w:firstLineChars="200"/>
        <w:rPr>
          <w:rFonts w:ascii="Calibri" w:hAnsi="宋体"/>
          <w:bCs/>
          <w:color w:val="auto"/>
          <w:szCs w:val="21"/>
          <w:highlight w:val="none"/>
        </w:rPr>
      </w:pPr>
      <w:r>
        <w:rPr>
          <w:rFonts w:ascii="Calibri" w:hAnsi="宋体"/>
          <w:bCs/>
          <w:color w:val="auto"/>
          <w:szCs w:val="21"/>
          <w:highlight w:val="none"/>
        </w:rPr>
        <w:t>本协议书中词语含义与第二部分通用合同条款中赋予的含义相同。</w:t>
      </w:r>
    </w:p>
    <w:p w14:paraId="761999CC">
      <w:pPr>
        <w:spacing w:line="360" w:lineRule="auto"/>
        <w:ind w:firstLine="422" w:firstLineChars="200"/>
        <w:rPr>
          <w:rFonts w:ascii="Calibri" w:hAnsi="Calibri"/>
          <w:b/>
          <w:bCs/>
          <w:color w:val="auto"/>
          <w:szCs w:val="21"/>
          <w:highlight w:val="none"/>
        </w:rPr>
      </w:pPr>
      <w:bookmarkStart w:id="65" w:name="_Toc351203489"/>
      <w:r>
        <w:rPr>
          <w:rFonts w:ascii="Calibri" w:hAnsi="宋体"/>
          <w:b/>
          <w:bCs/>
          <w:color w:val="auto"/>
          <w:szCs w:val="21"/>
          <w:highlight w:val="none"/>
        </w:rPr>
        <w:t>九、签订时间</w:t>
      </w:r>
      <w:bookmarkEnd w:id="65"/>
    </w:p>
    <w:p w14:paraId="3A2C492C">
      <w:pPr>
        <w:spacing w:line="360" w:lineRule="auto"/>
        <w:ind w:firstLine="420" w:firstLineChars="200"/>
        <w:rPr>
          <w:rFonts w:ascii="Calibri" w:hAnsi="宋体"/>
          <w:bCs/>
          <w:color w:val="auto"/>
          <w:szCs w:val="21"/>
          <w:highlight w:val="none"/>
        </w:rPr>
      </w:pPr>
      <w:r>
        <w:rPr>
          <w:rFonts w:ascii="Calibri" w:hAnsi="宋体"/>
          <w:bCs/>
          <w:color w:val="auto"/>
          <w:szCs w:val="21"/>
          <w:highlight w:val="none"/>
        </w:rPr>
        <w:t>本合同于</w:t>
      </w:r>
      <w:r>
        <w:rPr>
          <w:rFonts w:hint="eastAsia" w:ascii="Calibri" w:hAnsi="宋体"/>
          <w:bCs/>
          <w:color w:val="auto"/>
          <w:szCs w:val="21"/>
          <w:highlight w:val="none"/>
        </w:rPr>
        <w:t xml:space="preserve">    </w:t>
      </w:r>
      <w:r>
        <w:rPr>
          <w:rFonts w:ascii="Calibri" w:hAnsi="宋体"/>
          <w:bCs/>
          <w:color w:val="auto"/>
          <w:szCs w:val="21"/>
          <w:highlight w:val="none"/>
        </w:rPr>
        <w:t>年</w:t>
      </w:r>
      <w:r>
        <w:rPr>
          <w:rFonts w:hint="eastAsia" w:ascii="Calibri" w:hAnsi="宋体"/>
          <w:bCs/>
          <w:color w:val="auto"/>
          <w:szCs w:val="21"/>
          <w:highlight w:val="none"/>
        </w:rPr>
        <w:t xml:space="preserve">    </w:t>
      </w:r>
      <w:r>
        <w:rPr>
          <w:rFonts w:ascii="Calibri" w:hAnsi="宋体"/>
          <w:bCs/>
          <w:color w:val="auto"/>
          <w:szCs w:val="21"/>
          <w:highlight w:val="none"/>
        </w:rPr>
        <w:t>月</w:t>
      </w:r>
      <w:r>
        <w:rPr>
          <w:rFonts w:hint="eastAsia" w:ascii="Calibri" w:hAnsi="宋体"/>
          <w:bCs/>
          <w:color w:val="auto"/>
          <w:szCs w:val="21"/>
          <w:highlight w:val="none"/>
        </w:rPr>
        <w:t xml:space="preserve">    </w:t>
      </w:r>
      <w:r>
        <w:rPr>
          <w:rFonts w:ascii="Calibri" w:hAnsi="宋体"/>
          <w:bCs/>
          <w:color w:val="auto"/>
          <w:szCs w:val="21"/>
          <w:highlight w:val="none"/>
        </w:rPr>
        <w:t>日签订。</w:t>
      </w:r>
    </w:p>
    <w:p w14:paraId="1FDEE29A">
      <w:pPr>
        <w:spacing w:line="360" w:lineRule="auto"/>
        <w:ind w:firstLine="422" w:firstLineChars="200"/>
        <w:rPr>
          <w:rFonts w:ascii="Calibri" w:hAnsi="Calibri"/>
          <w:b/>
          <w:bCs/>
          <w:color w:val="auto"/>
          <w:szCs w:val="21"/>
          <w:highlight w:val="none"/>
        </w:rPr>
      </w:pPr>
      <w:bookmarkStart w:id="66" w:name="_Toc351203490"/>
      <w:r>
        <w:rPr>
          <w:rFonts w:ascii="Calibri" w:hAnsi="宋体"/>
          <w:b/>
          <w:bCs/>
          <w:color w:val="auto"/>
          <w:szCs w:val="21"/>
          <w:highlight w:val="none"/>
        </w:rPr>
        <w:t>十、签订地点</w:t>
      </w:r>
      <w:bookmarkEnd w:id="66"/>
    </w:p>
    <w:p w14:paraId="4F6C7D56">
      <w:pPr>
        <w:spacing w:line="360" w:lineRule="auto"/>
        <w:ind w:firstLine="420" w:firstLineChars="200"/>
        <w:rPr>
          <w:rFonts w:ascii="Calibri" w:hAnsi="宋体"/>
          <w:bCs/>
          <w:color w:val="auto"/>
          <w:szCs w:val="21"/>
          <w:highlight w:val="none"/>
        </w:rPr>
      </w:pPr>
      <w:r>
        <w:rPr>
          <w:rFonts w:ascii="Calibri" w:hAnsi="宋体"/>
          <w:bCs/>
          <w:color w:val="auto"/>
          <w:szCs w:val="21"/>
          <w:highlight w:val="none"/>
        </w:rPr>
        <w:t>本合同在</w:t>
      </w:r>
      <w:r>
        <w:rPr>
          <w:rFonts w:hint="eastAsia" w:ascii="Calibri" w:hAnsi="宋体"/>
          <w:bCs/>
          <w:color w:val="auto"/>
          <w:szCs w:val="21"/>
          <w:highlight w:val="none"/>
          <w:u w:val="single"/>
        </w:rPr>
        <w:t xml:space="preserve">        </w:t>
      </w:r>
      <w:r>
        <w:rPr>
          <w:rFonts w:ascii="Calibri" w:hAnsi="宋体"/>
          <w:bCs/>
          <w:color w:val="auto"/>
          <w:szCs w:val="21"/>
          <w:highlight w:val="none"/>
        </w:rPr>
        <w:t>签订。</w:t>
      </w:r>
    </w:p>
    <w:p w14:paraId="6F5FCABC">
      <w:pPr>
        <w:spacing w:line="360" w:lineRule="auto"/>
        <w:ind w:firstLine="422" w:firstLineChars="200"/>
        <w:rPr>
          <w:rFonts w:ascii="Calibri" w:hAnsi="Calibri"/>
          <w:b/>
          <w:bCs/>
          <w:color w:val="auto"/>
          <w:szCs w:val="21"/>
          <w:highlight w:val="none"/>
        </w:rPr>
      </w:pPr>
      <w:bookmarkStart w:id="67" w:name="_Toc351203491"/>
      <w:r>
        <w:rPr>
          <w:rFonts w:ascii="Calibri" w:hAnsi="宋体"/>
          <w:b/>
          <w:bCs/>
          <w:color w:val="auto"/>
          <w:szCs w:val="21"/>
          <w:highlight w:val="none"/>
        </w:rPr>
        <w:t>十一、补充协议</w:t>
      </w:r>
      <w:bookmarkEnd w:id="67"/>
    </w:p>
    <w:p w14:paraId="1510F856">
      <w:pPr>
        <w:spacing w:line="360" w:lineRule="auto"/>
        <w:ind w:firstLine="420" w:firstLineChars="200"/>
        <w:rPr>
          <w:rFonts w:ascii="Calibri" w:hAnsi="宋体"/>
          <w:bCs/>
          <w:color w:val="auto"/>
          <w:szCs w:val="21"/>
          <w:highlight w:val="none"/>
        </w:rPr>
      </w:pPr>
      <w:r>
        <w:rPr>
          <w:rFonts w:ascii="Calibri" w:hAnsi="宋体"/>
          <w:bCs/>
          <w:color w:val="auto"/>
          <w:szCs w:val="21"/>
          <w:highlight w:val="none"/>
        </w:rPr>
        <w:t>合同未尽事宜，合同当事人另行签订补充协议，补充协议是合同的组成部分。</w:t>
      </w:r>
    </w:p>
    <w:p w14:paraId="481C0663">
      <w:pPr>
        <w:spacing w:line="360" w:lineRule="auto"/>
        <w:ind w:firstLine="422" w:firstLineChars="200"/>
        <w:rPr>
          <w:rFonts w:ascii="Calibri" w:hAnsi="Calibri"/>
          <w:b/>
          <w:bCs/>
          <w:color w:val="auto"/>
          <w:szCs w:val="21"/>
          <w:highlight w:val="none"/>
        </w:rPr>
      </w:pPr>
      <w:bookmarkStart w:id="68" w:name="_Toc351203492"/>
      <w:r>
        <w:rPr>
          <w:rFonts w:ascii="Calibri" w:hAnsi="宋体"/>
          <w:b/>
          <w:bCs/>
          <w:color w:val="auto"/>
          <w:szCs w:val="21"/>
          <w:highlight w:val="none"/>
        </w:rPr>
        <w:t>十二、合同生效</w:t>
      </w:r>
      <w:bookmarkEnd w:id="68"/>
    </w:p>
    <w:p w14:paraId="335C8E60">
      <w:pPr>
        <w:spacing w:line="360" w:lineRule="auto"/>
        <w:ind w:firstLine="420" w:firstLineChars="200"/>
        <w:rPr>
          <w:rFonts w:ascii="Calibri" w:hAnsi="宋体"/>
          <w:bCs/>
          <w:color w:val="auto"/>
          <w:szCs w:val="21"/>
          <w:highlight w:val="none"/>
        </w:rPr>
      </w:pPr>
      <w:r>
        <w:rPr>
          <w:rFonts w:ascii="Calibri" w:hAnsi="宋体"/>
          <w:bCs/>
          <w:color w:val="auto"/>
          <w:szCs w:val="21"/>
          <w:highlight w:val="none"/>
        </w:rPr>
        <w:t>本合同自</w:t>
      </w:r>
      <w:r>
        <w:rPr>
          <w:rFonts w:hint="eastAsia" w:ascii="Calibri" w:hAnsi="宋体"/>
          <w:bCs/>
          <w:color w:val="auto"/>
          <w:szCs w:val="21"/>
          <w:highlight w:val="none"/>
          <w:u w:val="single"/>
        </w:rPr>
        <w:t xml:space="preserve">          </w:t>
      </w:r>
      <w:r>
        <w:rPr>
          <w:rFonts w:ascii="Calibri" w:hAnsi="宋体"/>
          <w:bCs/>
          <w:color w:val="auto"/>
          <w:szCs w:val="21"/>
          <w:highlight w:val="none"/>
        </w:rPr>
        <w:t>生效。</w:t>
      </w:r>
    </w:p>
    <w:p w14:paraId="1DEDFCA5">
      <w:pPr>
        <w:spacing w:line="360" w:lineRule="auto"/>
        <w:ind w:firstLine="422" w:firstLineChars="200"/>
        <w:rPr>
          <w:rFonts w:ascii="Calibri" w:hAnsi="Calibri"/>
          <w:b/>
          <w:bCs/>
          <w:color w:val="auto"/>
          <w:szCs w:val="21"/>
          <w:highlight w:val="none"/>
        </w:rPr>
      </w:pPr>
      <w:bookmarkStart w:id="69" w:name="_Toc351203493"/>
      <w:r>
        <w:rPr>
          <w:rFonts w:ascii="Calibri" w:hAnsi="宋体"/>
          <w:b/>
          <w:bCs/>
          <w:color w:val="auto"/>
          <w:szCs w:val="21"/>
          <w:highlight w:val="none"/>
        </w:rPr>
        <w:t>十三、合同份数</w:t>
      </w:r>
      <w:bookmarkEnd w:id="69"/>
    </w:p>
    <w:p w14:paraId="6ECCFB90">
      <w:pPr>
        <w:spacing w:line="360" w:lineRule="auto"/>
        <w:ind w:firstLine="420" w:firstLineChars="200"/>
        <w:rPr>
          <w:rFonts w:ascii="Calibri" w:hAnsi="Calibri"/>
          <w:bCs/>
          <w:color w:val="auto"/>
          <w:szCs w:val="21"/>
          <w:highlight w:val="none"/>
        </w:rPr>
      </w:pPr>
      <w:r>
        <w:rPr>
          <w:rFonts w:ascii="Calibri" w:hAnsi="宋体"/>
          <w:bCs/>
          <w:color w:val="auto"/>
          <w:szCs w:val="21"/>
          <w:highlight w:val="none"/>
        </w:rPr>
        <w:t>本合同一式</w:t>
      </w:r>
      <w:r>
        <w:rPr>
          <w:rFonts w:hint="eastAsia" w:ascii="Calibri" w:hAnsi="宋体"/>
          <w:bCs/>
          <w:color w:val="auto"/>
          <w:szCs w:val="21"/>
          <w:highlight w:val="none"/>
          <w:u w:val="single"/>
        </w:rPr>
        <w:t xml:space="preserve">     </w:t>
      </w:r>
      <w:r>
        <w:rPr>
          <w:rFonts w:ascii="Calibri" w:hAnsi="宋体"/>
          <w:bCs/>
          <w:color w:val="auto"/>
          <w:szCs w:val="21"/>
          <w:highlight w:val="none"/>
        </w:rPr>
        <w:t>份，均具有同等法律效力，发包人执份，承包人执</w:t>
      </w:r>
      <w:r>
        <w:rPr>
          <w:rFonts w:hint="eastAsia" w:ascii="Calibri" w:hAnsi="宋体"/>
          <w:bCs/>
          <w:color w:val="auto"/>
          <w:szCs w:val="21"/>
          <w:highlight w:val="none"/>
          <w:u w:val="single"/>
        </w:rPr>
        <w:t xml:space="preserve">        </w:t>
      </w:r>
      <w:r>
        <w:rPr>
          <w:rFonts w:ascii="Calibri" w:hAnsi="宋体"/>
          <w:bCs/>
          <w:color w:val="auto"/>
          <w:szCs w:val="21"/>
          <w:highlight w:val="none"/>
        </w:rPr>
        <w:t>份。</w:t>
      </w:r>
    </w:p>
    <w:p w14:paraId="47C9620C">
      <w:pPr>
        <w:spacing w:line="360" w:lineRule="auto"/>
        <w:rPr>
          <w:rFonts w:ascii="Calibri" w:hAnsi="Calibri"/>
          <w:bCs/>
          <w:color w:val="auto"/>
          <w:szCs w:val="21"/>
          <w:highlight w:val="none"/>
        </w:rPr>
      </w:pPr>
    </w:p>
    <w:p w14:paraId="6953B842">
      <w:pPr>
        <w:spacing w:line="360" w:lineRule="auto"/>
        <w:rPr>
          <w:rFonts w:ascii="Calibri" w:hAnsi="Calibri"/>
          <w:color w:val="auto"/>
          <w:szCs w:val="21"/>
          <w:highlight w:val="none"/>
        </w:rPr>
      </w:pPr>
    </w:p>
    <w:p w14:paraId="735B1959">
      <w:pPr>
        <w:spacing w:line="360" w:lineRule="auto"/>
        <w:rPr>
          <w:rFonts w:ascii="Calibri" w:hAnsi="Calibri"/>
          <w:color w:val="auto"/>
          <w:szCs w:val="21"/>
          <w:highlight w:val="none"/>
        </w:rPr>
      </w:pPr>
      <w:r>
        <w:rPr>
          <w:rFonts w:ascii="Calibri" w:hAnsi="宋体"/>
          <w:color w:val="auto"/>
          <w:szCs w:val="21"/>
          <w:highlight w:val="none"/>
        </w:rPr>
        <w:t>发包人：</w:t>
      </w:r>
      <w:r>
        <w:rPr>
          <w:rFonts w:hint="eastAsia" w:ascii="Calibri" w:hAnsi="Calibri"/>
          <w:color w:val="auto"/>
          <w:szCs w:val="21"/>
          <w:highlight w:val="none"/>
        </w:rPr>
        <w:t>（</w:t>
      </w:r>
      <w:r>
        <w:rPr>
          <w:rFonts w:ascii="Calibri" w:hAnsi="宋体"/>
          <w:color w:val="auto"/>
          <w:szCs w:val="21"/>
          <w:highlight w:val="none"/>
        </w:rPr>
        <w:t>公章</w:t>
      </w:r>
      <w:r>
        <w:rPr>
          <w:rFonts w:hint="eastAsia" w:ascii="Calibri" w:hAnsi="Calibri"/>
          <w:color w:val="auto"/>
          <w:szCs w:val="21"/>
          <w:highlight w:val="none"/>
        </w:rPr>
        <w:t>）</w:t>
      </w:r>
      <w:r>
        <w:rPr>
          <w:rFonts w:ascii="Calibri" w:hAnsi="宋体"/>
          <w:color w:val="auto"/>
          <w:szCs w:val="21"/>
          <w:highlight w:val="none"/>
        </w:rPr>
        <w:t>承包人：</w:t>
      </w:r>
      <w:r>
        <w:rPr>
          <w:rFonts w:hint="eastAsia" w:ascii="Calibri" w:hAnsi="Calibri"/>
          <w:color w:val="auto"/>
          <w:szCs w:val="21"/>
          <w:highlight w:val="none"/>
        </w:rPr>
        <w:t>（</w:t>
      </w:r>
      <w:r>
        <w:rPr>
          <w:rFonts w:ascii="Calibri" w:hAnsi="宋体"/>
          <w:color w:val="auto"/>
          <w:szCs w:val="21"/>
          <w:highlight w:val="none"/>
        </w:rPr>
        <w:t>公章</w:t>
      </w:r>
      <w:r>
        <w:rPr>
          <w:rFonts w:hint="eastAsia" w:ascii="Calibri" w:hAnsi="Calibri"/>
          <w:color w:val="auto"/>
          <w:szCs w:val="21"/>
          <w:highlight w:val="none"/>
        </w:rPr>
        <w:t>）</w:t>
      </w:r>
    </w:p>
    <w:p w14:paraId="1CFD6EF1">
      <w:pPr>
        <w:spacing w:line="360" w:lineRule="auto"/>
        <w:rPr>
          <w:rFonts w:ascii="Calibri" w:hAnsi="Calibri"/>
          <w:color w:val="auto"/>
          <w:szCs w:val="21"/>
          <w:highlight w:val="none"/>
          <w:u w:val="single"/>
        </w:rPr>
      </w:pPr>
    </w:p>
    <w:p w14:paraId="7A884CBA">
      <w:pPr>
        <w:spacing w:line="360" w:lineRule="auto"/>
        <w:rPr>
          <w:rFonts w:ascii="Calibri" w:hAnsi="Calibri"/>
          <w:color w:val="auto"/>
          <w:szCs w:val="21"/>
          <w:highlight w:val="none"/>
        </w:rPr>
      </w:pPr>
      <w:r>
        <w:rPr>
          <w:rFonts w:ascii="Calibri" w:hAnsi="宋体"/>
          <w:color w:val="auto"/>
          <w:szCs w:val="21"/>
          <w:highlight w:val="none"/>
        </w:rPr>
        <w:t>法定代表人或其委托代理人：法定代表人或其委托代理人：</w:t>
      </w:r>
    </w:p>
    <w:p w14:paraId="28F2942D">
      <w:pPr>
        <w:spacing w:line="360" w:lineRule="auto"/>
        <w:rPr>
          <w:rFonts w:ascii="Calibri" w:hAnsi="Calibri"/>
          <w:color w:val="auto"/>
          <w:szCs w:val="21"/>
          <w:highlight w:val="none"/>
        </w:rPr>
      </w:pPr>
      <w:r>
        <w:rPr>
          <w:rFonts w:ascii="Calibri" w:hAnsi="宋体"/>
          <w:color w:val="auto"/>
          <w:szCs w:val="21"/>
          <w:highlight w:val="none"/>
        </w:rPr>
        <w:t>（签字）（签字）</w:t>
      </w:r>
    </w:p>
    <w:p w14:paraId="67A1DA8D">
      <w:pPr>
        <w:spacing w:line="360" w:lineRule="auto"/>
        <w:rPr>
          <w:rFonts w:ascii="Calibri" w:hAnsi="Calibri"/>
          <w:color w:val="auto"/>
          <w:szCs w:val="21"/>
          <w:highlight w:val="none"/>
          <w:u w:val="single"/>
        </w:rPr>
      </w:pPr>
    </w:p>
    <w:p w14:paraId="608DB291">
      <w:pPr>
        <w:tabs>
          <w:tab w:val="left" w:pos="4410"/>
        </w:tabs>
        <w:spacing w:line="360" w:lineRule="auto"/>
        <w:rPr>
          <w:rFonts w:ascii="Calibri" w:hAnsi="Calibri"/>
          <w:color w:val="auto"/>
          <w:szCs w:val="21"/>
          <w:highlight w:val="none"/>
        </w:rPr>
      </w:pPr>
      <w:r>
        <w:rPr>
          <w:rFonts w:ascii="Calibri" w:hAnsi="宋体"/>
          <w:color w:val="auto"/>
          <w:szCs w:val="21"/>
          <w:highlight w:val="none"/>
        </w:rPr>
        <w:t>组织机构代码：</w:t>
      </w:r>
      <w:r>
        <w:rPr>
          <w:rFonts w:ascii="Calibri" w:hAnsi="宋体"/>
          <w:color w:val="auto"/>
          <w:szCs w:val="21"/>
          <w:highlight w:val="none"/>
          <w:u w:val="single"/>
        </w:rPr>
        <w:t></w:t>
      </w:r>
      <w:r>
        <w:rPr>
          <w:rFonts w:hint="eastAsia" w:ascii="Calibri" w:hAnsi="宋体"/>
          <w:color w:val="auto"/>
          <w:szCs w:val="21"/>
          <w:highlight w:val="none"/>
          <w:u w:val="single"/>
        </w:rPr>
        <w:t xml:space="preserve">          </w:t>
      </w:r>
      <w:r>
        <w:rPr>
          <w:rFonts w:ascii="Calibri" w:hAnsi="宋体"/>
          <w:color w:val="auto"/>
          <w:szCs w:val="21"/>
          <w:highlight w:val="none"/>
        </w:rPr>
        <w:t>组织机构代码：</w:t>
      </w:r>
      <w:r>
        <w:rPr>
          <w:rFonts w:ascii="Calibri" w:hAnsi="宋体"/>
          <w:color w:val="auto"/>
          <w:szCs w:val="21"/>
          <w:highlight w:val="none"/>
          <w:u w:val="single"/>
        </w:rPr>
        <w:t></w:t>
      </w:r>
    </w:p>
    <w:p w14:paraId="18F5C6AB">
      <w:pPr>
        <w:spacing w:line="360" w:lineRule="auto"/>
        <w:rPr>
          <w:rFonts w:ascii="Calibri" w:hAnsi="Calibri"/>
          <w:color w:val="auto"/>
          <w:szCs w:val="21"/>
          <w:highlight w:val="none"/>
        </w:rPr>
      </w:pPr>
      <w:r>
        <w:rPr>
          <w:rFonts w:ascii="Calibri" w:hAnsi="宋体"/>
          <w:color w:val="auto"/>
          <w:szCs w:val="21"/>
          <w:highlight w:val="none"/>
        </w:rPr>
        <w:t>地址：</w:t>
      </w:r>
      <w:r>
        <w:rPr>
          <w:rFonts w:ascii="Calibri" w:hAnsi="宋体"/>
          <w:color w:val="auto"/>
          <w:szCs w:val="21"/>
          <w:highlight w:val="none"/>
          <w:u w:val="single"/>
        </w:rPr>
        <w:t></w:t>
      </w:r>
      <w:r>
        <w:rPr>
          <w:rFonts w:hint="eastAsia" w:ascii="Calibri" w:hAnsi="宋体"/>
          <w:color w:val="auto"/>
          <w:szCs w:val="21"/>
          <w:highlight w:val="none"/>
          <w:u w:val="single"/>
        </w:rPr>
        <w:t xml:space="preserve">          </w:t>
      </w:r>
      <w:r>
        <w:rPr>
          <w:rFonts w:ascii="Calibri" w:hAnsi="宋体"/>
          <w:color w:val="auto"/>
          <w:szCs w:val="21"/>
          <w:highlight w:val="none"/>
        </w:rPr>
        <w:t>地址：</w:t>
      </w:r>
      <w:r>
        <w:rPr>
          <w:rFonts w:ascii="Calibri" w:hAnsi="宋体"/>
          <w:color w:val="auto"/>
          <w:szCs w:val="21"/>
          <w:highlight w:val="none"/>
          <w:u w:val="single"/>
        </w:rPr>
        <w:t></w:t>
      </w:r>
    </w:p>
    <w:p w14:paraId="420C4CD7">
      <w:pPr>
        <w:spacing w:line="360" w:lineRule="auto"/>
        <w:rPr>
          <w:rFonts w:ascii="Calibri" w:hAnsi="Calibri"/>
          <w:color w:val="auto"/>
          <w:szCs w:val="21"/>
          <w:highlight w:val="none"/>
        </w:rPr>
      </w:pPr>
      <w:r>
        <w:rPr>
          <w:rFonts w:ascii="Calibri" w:hAnsi="宋体"/>
          <w:color w:val="auto"/>
          <w:szCs w:val="21"/>
          <w:highlight w:val="none"/>
        </w:rPr>
        <w:t>邮政编码：</w:t>
      </w:r>
      <w:r>
        <w:rPr>
          <w:rFonts w:ascii="Calibri" w:hAnsi="宋体"/>
          <w:color w:val="auto"/>
          <w:szCs w:val="21"/>
          <w:highlight w:val="none"/>
          <w:u w:val="single"/>
        </w:rPr>
        <w:t></w:t>
      </w:r>
      <w:r>
        <w:rPr>
          <w:rFonts w:hint="eastAsia" w:ascii="Calibri" w:hAnsi="宋体"/>
          <w:color w:val="auto"/>
          <w:szCs w:val="21"/>
          <w:highlight w:val="none"/>
          <w:u w:val="single"/>
        </w:rPr>
        <w:t xml:space="preserve">        </w:t>
      </w:r>
      <w:r>
        <w:rPr>
          <w:rFonts w:ascii="Calibri" w:hAnsi="宋体"/>
          <w:color w:val="auto"/>
          <w:szCs w:val="21"/>
          <w:highlight w:val="none"/>
        </w:rPr>
        <w:t>邮政编码：</w:t>
      </w:r>
      <w:r>
        <w:rPr>
          <w:rFonts w:ascii="Calibri" w:hAnsi="宋体"/>
          <w:color w:val="auto"/>
          <w:szCs w:val="21"/>
          <w:highlight w:val="none"/>
          <w:u w:val="single"/>
        </w:rPr>
        <w:t></w:t>
      </w:r>
    </w:p>
    <w:p w14:paraId="3F0504CC">
      <w:pPr>
        <w:spacing w:line="360" w:lineRule="auto"/>
        <w:rPr>
          <w:rFonts w:ascii="Calibri" w:hAnsi="Calibri"/>
          <w:color w:val="auto"/>
          <w:szCs w:val="21"/>
          <w:highlight w:val="none"/>
        </w:rPr>
      </w:pPr>
      <w:r>
        <w:rPr>
          <w:rFonts w:ascii="Calibri" w:hAnsi="宋体"/>
          <w:color w:val="auto"/>
          <w:szCs w:val="21"/>
          <w:highlight w:val="none"/>
        </w:rPr>
        <w:t>法定代表人：</w:t>
      </w:r>
      <w:r>
        <w:rPr>
          <w:rFonts w:ascii="Calibri" w:hAnsi="宋体"/>
          <w:color w:val="auto"/>
          <w:szCs w:val="21"/>
          <w:highlight w:val="none"/>
          <w:u w:val="single"/>
        </w:rPr>
        <w:t></w:t>
      </w:r>
      <w:r>
        <w:rPr>
          <w:rFonts w:hint="eastAsia" w:ascii="Calibri" w:hAnsi="宋体"/>
          <w:color w:val="auto"/>
          <w:szCs w:val="21"/>
          <w:highlight w:val="none"/>
          <w:u w:val="single"/>
        </w:rPr>
        <w:t xml:space="preserve">              </w:t>
      </w:r>
      <w:r>
        <w:rPr>
          <w:rFonts w:ascii="Calibri" w:hAnsi="宋体"/>
          <w:color w:val="auto"/>
          <w:szCs w:val="21"/>
          <w:highlight w:val="none"/>
        </w:rPr>
        <w:t>法定代表人：</w:t>
      </w:r>
      <w:r>
        <w:rPr>
          <w:rFonts w:ascii="Calibri" w:hAnsi="宋体"/>
          <w:color w:val="auto"/>
          <w:szCs w:val="21"/>
          <w:highlight w:val="none"/>
          <w:u w:val="single"/>
        </w:rPr>
        <w:t></w:t>
      </w:r>
    </w:p>
    <w:p w14:paraId="23141F92">
      <w:pPr>
        <w:spacing w:line="360" w:lineRule="auto"/>
        <w:rPr>
          <w:rFonts w:ascii="Calibri" w:hAnsi="Calibri"/>
          <w:color w:val="auto"/>
          <w:szCs w:val="21"/>
          <w:highlight w:val="none"/>
        </w:rPr>
      </w:pPr>
      <w:r>
        <w:rPr>
          <w:rFonts w:ascii="Calibri" w:hAnsi="宋体"/>
          <w:color w:val="auto"/>
          <w:szCs w:val="21"/>
          <w:highlight w:val="none"/>
        </w:rPr>
        <w:t>委托代理人：</w:t>
      </w:r>
      <w:r>
        <w:rPr>
          <w:rFonts w:ascii="Calibri" w:hAnsi="宋体"/>
          <w:color w:val="auto"/>
          <w:szCs w:val="21"/>
          <w:highlight w:val="none"/>
          <w:u w:val="single"/>
        </w:rPr>
        <w:t></w:t>
      </w:r>
      <w:r>
        <w:rPr>
          <w:rFonts w:hint="eastAsia" w:ascii="Calibri" w:hAnsi="宋体"/>
          <w:color w:val="auto"/>
          <w:szCs w:val="21"/>
          <w:highlight w:val="none"/>
          <w:u w:val="single"/>
        </w:rPr>
        <w:t xml:space="preserve">              </w:t>
      </w:r>
      <w:r>
        <w:rPr>
          <w:rFonts w:ascii="Calibri" w:hAnsi="宋体"/>
          <w:color w:val="auto"/>
          <w:szCs w:val="21"/>
          <w:highlight w:val="none"/>
        </w:rPr>
        <w:t>委托代理人：</w:t>
      </w:r>
      <w:r>
        <w:rPr>
          <w:rFonts w:ascii="Calibri" w:hAnsi="宋体"/>
          <w:color w:val="auto"/>
          <w:szCs w:val="21"/>
          <w:highlight w:val="none"/>
          <w:u w:val="single"/>
        </w:rPr>
        <w:t></w:t>
      </w:r>
    </w:p>
    <w:p w14:paraId="77D29D13">
      <w:pPr>
        <w:spacing w:line="360" w:lineRule="auto"/>
        <w:rPr>
          <w:rFonts w:ascii="Calibri" w:hAnsi="Calibri"/>
          <w:color w:val="auto"/>
          <w:szCs w:val="21"/>
          <w:highlight w:val="none"/>
        </w:rPr>
      </w:pPr>
      <w:r>
        <w:rPr>
          <w:rFonts w:ascii="Calibri" w:hAnsi="宋体"/>
          <w:color w:val="auto"/>
          <w:szCs w:val="21"/>
          <w:highlight w:val="none"/>
        </w:rPr>
        <w:t>电话：</w:t>
      </w:r>
      <w:r>
        <w:rPr>
          <w:rFonts w:ascii="Calibri" w:hAnsi="宋体"/>
          <w:color w:val="auto"/>
          <w:szCs w:val="21"/>
          <w:highlight w:val="none"/>
          <w:u w:val="single"/>
        </w:rPr>
        <w:t></w:t>
      </w:r>
      <w:r>
        <w:rPr>
          <w:rFonts w:hint="eastAsia" w:ascii="Calibri" w:hAnsi="宋体"/>
          <w:color w:val="auto"/>
          <w:szCs w:val="21"/>
          <w:highlight w:val="none"/>
          <w:u w:val="single"/>
        </w:rPr>
        <w:t xml:space="preserve">        </w:t>
      </w:r>
      <w:r>
        <w:rPr>
          <w:rFonts w:ascii="Calibri" w:hAnsi="宋体"/>
          <w:color w:val="auto"/>
          <w:szCs w:val="21"/>
          <w:highlight w:val="none"/>
        </w:rPr>
        <w:t>电话：</w:t>
      </w:r>
      <w:r>
        <w:rPr>
          <w:rFonts w:ascii="Calibri" w:hAnsi="宋体"/>
          <w:color w:val="auto"/>
          <w:szCs w:val="21"/>
          <w:highlight w:val="none"/>
          <w:u w:val="single"/>
        </w:rPr>
        <w:t></w:t>
      </w:r>
    </w:p>
    <w:p w14:paraId="7FC5F49F">
      <w:pPr>
        <w:spacing w:line="360" w:lineRule="auto"/>
        <w:rPr>
          <w:rFonts w:ascii="Calibri" w:hAnsi="Calibri"/>
          <w:color w:val="auto"/>
          <w:szCs w:val="21"/>
          <w:highlight w:val="none"/>
        </w:rPr>
      </w:pPr>
      <w:r>
        <w:rPr>
          <w:rFonts w:ascii="Calibri" w:hAnsi="宋体"/>
          <w:color w:val="auto"/>
          <w:szCs w:val="21"/>
          <w:highlight w:val="none"/>
        </w:rPr>
        <w:t>传真：</w:t>
      </w:r>
      <w:r>
        <w:rPr>
          <w:rFonts w:ascii="Calibri" w:hAnsi="宋体"/>
          <w:color w:val="auto"/>
          <w:szCs w:val="21"/>
          <w:highlight w:val="none"/>
          <w:u w:val="single"/>
        </w:rPr>
        <w:t></w:t>
      </w:r>
      <w:r>
        <w:rPr>
          <w:rFonts w:hint="eastAsia" w:ascii="Calibri" w:hAnsi="宋体"/>
          <w:color w:val="auto"/>
          <w:szCs w:val="21"/>
          <w:highlight w:val="none"/>
          <w:u w:val="single"/>
        </w:rPr>
        <w:t xml:space="preserve">        </w:t>
      </w:r>
      <w:r>
        <w:rPr>
          <w:rFonts w:ascii="Calibri" w:hAnsi="宋体"/>
          <w:color w:val="auto"/>
          <w:szCs w:val="21"/>
          <w:highlight w:val="none"/>
        </w:rPr>
        <w:t>传真：</w:t>
      </w:r>
      <w:r>
        <w:rPr>
          <w:rFonts w:ascii="Calibri" w:hAnsi="宋体"/>
          <w:color w:val="auto"/>
          <w:szCs w:val="21"/>
          <w:highlight w:val="none"/>
          <w:u w:val="single"/>
        </w:rPr>
        <w:t></w:t>
      </w:r>
    </w:p>
    <w:p w14:paraId="42725380">
      <w:pPr>
        <w:spacing w:line="360" w:lineRule="auto"/>
        <w:rPr>
          <w:rFonts w:ascii="Calibri" w:hAnsi="Calibri"/>
          <w:color w:val="auto"/>
          <w:szCs w:val="21"/>
          <w:highlight w:val="none"/>
        </w:rPr>
      </w:pPr>
      <w:r>
        <w:rPr>
          <w:rFonts w:ascii="Calibri" w:hAnsi="宋体"/>
          <w:color w:val="auto"/>
          <w:szCs w:val="21"/>
          <w:highlight w:val="none"/>
        </w:rPr>
        <w:t>电子信箱：</w:t>
      </w:r>
      <w:r>
        <w:rPr>
          <w:rFonts w:hint="eastAsia" w:ascii="Calibri" w:hAnsi="宋体"/>
          <w:color w:val="auto"/>
          <w:szCs w:val="21"/>
          <w:highlight w:val="none"/>
        </w:rPr>
        <w:t xml:space="preserve">                    </w:t>
      </w:r>
      <w:r>
        <w:rPr>
          <w:rFonts w:ascii="Calibri" w:hAnsi="宋体"/>
          <w:color w:val="auto"/>
          <w:szCs w:val="21"/>
          <w:highlight w:val="none"/>
        </w:rPr>
        <w:t>电子信箱：</w:t>
      </w:r>
      <w:r>
        <w:rPr>
          <w:rFonts w:ascii="Calibri" w:hAnsi="宋体"/>
          <w:color w:val="auto"/>
          <w:szCs w:val="21"/>
          <w:highlight w:val="none"/>
          <w:u w:val="single"/>
        </w:rPr>
        <w:t></w:t>
      </w:r>
    </w:p>
    <w:p w14:paraId="6A80B368">
      <w:pPr>
        <w:spacing w:line="360" w:lineRule="auto"/>
        <w:rPr>
          <w:rFonts w:ascii="Calibri" w:hAnsi="Calibri"/>
          <w:color w:val="auto"/>
          <w:szCs w:val="21"/>
          <w:highlight w:val="none"/>
        </w:rPr>
      </w:pPr>
      <w:r>
        <w:rPr>
          <w:rFonts w:ascii="Calibri" w:hAnsi="宋体"/>
          <w:color w:val="auto"/>
          <w:szCs w:val="21"/>
          <w:highlight w:val="none"/>
        </w:rPr>
        <w:t>开户银行：</w:t>
      </w:r>
      <w:r>
        <w:rPr>
          <w:rFonts w:ascii="Calibri" w:hAnsi="宋体"/>
          <w:color w:val="auto"/>
          <w:szCs w:val="21"/>
          <w:highlight w:val="none"/>
          <w:u w:val="single"/>
        </w:rPr>
        <w:t></w:t>
      </w:r>
      <w:r>
        <w:rPr>
          <w:rFonts w:hint="eastAsia" w:ascii="Calibri" w:hAnsi="宋体"/>
          <w:color w:val="auto"/>
          <w:szCs w:val="21"/>
          <w:highlight w:val="none"/>
          <w:u w:val="single"/>
        </w:rPr>
        <w:t xml:space="preserve">      </w:t>
      </w:r>
      <w:r>
        <w:rPr>
          <w:rFonts w:ascii="Calibri" w:hAnsi="宋体"/>
          <w:color w:val="auto"/>
          <w:szCs w:val="21"/>
          <w:highlight w:val="none"/>
        </w:rPr>
        <w:t>开户银行：</w:t>
      </w:r>
      <w:r>
        <w:rPr>
          <w:rFonts w:ascii="Calibri" w:hAnsi="宋体"/>
          <w:color w:val="auto"/>
          <w:szCs w:val="21"/>
          <w:highlight w:val="none"/>
          <w:u w:val="single"/>
        </w:rPr>
        <w:t></w:t>
      </w:r>
    </w:p>
    <w:p w14:paraId="3A340058">
      <w:pPr>
        <w:rPr>
          <w:rFonts w:ascii="Calibri" w:hAnsi="Calibri"/>
          <w:color w:val="auto"/>
          <w:szCs w:val="21"/>
          <w:highlight w:val="none"/>
          <w:u w:val="single"/>
        </w:rPr>
      </w:pPr>
      <w:r>
        <w:rPr>
          <w:rFonts w:ascii="Calibri" w:hAnsi="宋体"/>
          <w:color w:val="auto"/>
          <w:szCs w:val="21"/>
          <w:highlight w:val="none"/>
        </w:rPr>
        <w:t>账号：</w:t>
      </w:r>
      <w:r>
        <w:rPr>
          <w:rFonts w:ascii="Calibri" w:hAnsi="宋体"/>
          <w:color w:val="auto"/>
          <w:szCs w:val="21"/>
          <w:highlight w:val="none"/>
          <w:u w:val="single"/>
        </w:rPr>
        <w:t></w:t>
      </w:r>
      <w:r>
        <w:rPr>
          <w:rFonts w:hint="eastAsia" w:ascii="Calibri" w:hAnsi="宋体"/>
          <w:color w:val="auto"/>
          <w:szCs w:val="21"/>
          <w:highlight w:val="none"/>
          <w:u w:val="single"/>
        </w:rPr>
        <w:t xml:space="preserve">            </w:t>
      </w:r>
      <w:r>
        <w:rPr>
          <w:rFonts w:ascii="Calibri" w:hAnsi="宋体"/>
          <w:color w:val="auto"/>
          <w:szCs w:val="21"/>
          <w:highlight w:val="none"/>
        </w:rPr>
        <w:t>账号：</w:t>
      </w:r>
      <w:r>
        <w:rPr>
          <w:rFonts w:ascii="Calibri" w:hAnsi="宋体"/>
          <w:color w:val="auto"/>
          <w:szCs w:val="21"/>
          <w:highlight w:val="none"/>
          <w:u w:val="single"/>
        </w:rPr>
        <w:t></w:t>
      </w:r>
    </w:p>
    <w:p w14:paraId="16495066">
      <w:pPr>
        <w:rPr>
          <w:rFonts w:ascii="宋体" w:hAnsi="宋体"/>
          <w:color w:val="auto"/>
          <w:szCs w:val="21"/>
          <w:highlight w:val="none"/>
          <w:u w:val="single"/>
        </w:rPr>
      </w:pPr>
    </w:p>
    <w:p w14:paraId="03B7FDCA">
      <w:pPr>
        <w:rPr>
          <w:rFonts w:ascii="Calibri" w:hAnsi="Calibri"/>
          <w:color w:val="auto"/>
          <w:sz w:val="20"/>
          <w:szCs w:val="22"/>
          <w:highlight w:val="none"/>
        </w:rPr>
      </w:pPr>
    </w:p>
    <w:p w14:paraId="0C3791E0">
      <w:pPr>
        <w:keepNext/>
        <w:keepLines/>
        <w:spacing w:before="60" w:after="60" w:line="413" w:lineRule="auto"/>
        <w:jc w:val="center"/>
        <w:outlineLvl w:val="1"/>
        <w:rPr>
          <w:rFonts w:ascii="Arial" w:hAnsi="Arial" w:eastAsia="黑体"/>
          <w:b/>
          <w:bCs/>
          <w:color w:val="auto"/>
          <w:sz w:val="32"/>
          <w:szCs w:val="32"/>
          <w:highlight w:val="none"/>
          <w:lang w:val="zh-CN"/>
        </w:rPr>
      </w:pPr>
      <w:bookmarkStart w:id="70" w:name="_Toc4661135"/>
      <w:bookmarkStart w:id="71" w:name="_Toc256000080"/>
    </w:p>
    <w:p w14:paraId="610E5C7A">
      <w:pPr>
        <w:pStyle w:val="35"/>
        <w:rPr>
          <w:rFonts w:ascii="Arial" w:hAnsi="Arial" w:eastAsia="黑体"/>
          <w:b/>
          <w:bCs/>
          <w:color w:val="auto"/>
          <w:sz w:val="32"/>
          <w:szCs w:val="32"/>
          <w:highlight w:val="none"/>
          <w:lang w:val="zh-CN"/>
        </w:rPr>
      </w:pPr>
    </w:p>
    <w:p w14:paraId="035676C2">
      <w:pPr>
        <w:pStyle w:val="35"/>
        <w:rPr>
          <w:rFonts w:ascii="Arial" w:hAnsi="Arial" w:eastAsia="黑体"/>
          <w:b/>
          <w:bCs/>
          <w:color w:val="auto"/>
          <w:sz w:val="32"/>
          <w:szCs w:val="32"/>
          <w:highlight w:val="none"/>
          <w:lang w:val="zh-CN"/>
        </w:rPr>
      </w:pPr>
    </w:p>
    <w:p w14:paraId="77694E8C">
      <w:pPr>
        <w:pStyle w:val="35"/>
        <w:rPr>
          <w:rFonts w:ascii="Arial" w:hAnsi="Arial" w:eastAsia="黑体"/>
          <w:b/>
          <w:bCs/>
          <w:color w:val="auto"/>
          <w:sz w:val="32"/>
          <w:szCs w:val="32"/>
          <w:highlight w:val="none"/>
          <w:lang w:val="zh-CN"/>
        </w:rPr>
      </w:pPr>
    </w:p>
    <w:p w14:paraId="21A0204A">
      <w:pPr>
        <w:pStyle w:val="35"/>
        <w:rPr>
          <w:rFonts w:ascii="Arial" w:hAnsi="Arial" w:eastAsia="黑体"/>
          <w:b/>
          <w:bCs/>
          <w:color w:val="auto"/>
          <w:sz w:val="32"/>
          <w:szCs w:val="32"/>
          <w:highlight w:val="none"/>
          <w:lang w:val="zh-CN"/>
        </w:rPr>
      </w:pPr>
    </w:p>
    <w:p w14:paraId="7C2313BB">
      <w:pPr>
        <w:pStyle w:val="35"/>
        <w:rPr>
          <w:rFonts w:ascii="Arial" w:hAnsi="Arial" w:eastAsia="黑体"/>
          <w:b/>
          <w:bCs/>
          <w:color w:val="auto"/>
          <w:sz w:val="32"/>
          <w:szCs w:val="32"/>
          <w:highlight w:val="none"/>
          <w:lang w:val="zh-CN"/>
        </w:rPr>
      </w:pPr>
    </w:p>
    <w:p w14:paraId="21ECEAA9">
      <w:pPr>
        <w:pStyle w:val="35"/>
        <w:rPr>
          <w:rFonts w:ascii="Arial" w:hAnsi="Arial" w:eastAsia="黑体"/>
          <w:b/>
          <w:bCs/>
          <w:color w:val="auto"/>
          <w:sz w:val="32"/>
          <w:szCs w:val="32"/>
          <w:highlight w:val="none"/>
          <w:lang w:val="zh-CN"/>
        </w:rPr>
      </w:pPr>
    </w:p>
    <w:p w14:paraId="5B542D93">
      <w:pPr>
        <w:pStyle w:val="35"/>
        <w:rPr>
          <w:rFonts w:ascii="Arial" w:hAnsi="Arial" w:eastAsia="黑体"/>
          <w:b/>
          <w:bCs/>
          <w:color w:val="auto"/>
          <w:sz w:val="32"/>
          <w:szCs w:val="32"/>
          <w:highlight w:val="none"/>
          <w:lang w:val="zh-CN"/>
        </w:rPr>
      </w:pPr>
    </w:p>
    <w:p w14:paraId="16455C02">
      <w:pPr>
        <w:pStyle w:val="35"/>
        <w:rPr>
          <w:rFonts w:ascii="Arial" w:hAnsi="Arial" w:eastAsia="黑体"/>
          <w:b/>
          <w:bCs/>
          <w:color w:val="auto"/>
          <w:sz w:val="32"/>
          <w:szCs w:val="32"/>
          <w:highlight w:val="none"/>
          <w:lang w:val="zh-CN"/>
        </w:rPr>
      </w:pPr>
    </w:p>
    <w:p w14:paraId="61B6E8EE">
      <w:pPr>
        <w:pStyle w:val="35"/>
        <w:rPr>
          <w:rFonts w:ascii="Arial" w:hAnsi="Arial" w:eastAsia="黑体"/>
          <w:b/>
          <w:bCs/>
          <w:color w:val="auto"/>
          <w:sz w:val="32"/>
          <w:szCs w:val="32"/>
          <w:highlight w:val="none"/>
          <w:lang w:val="zh-CN"/>
        </w:rPr>
      </w:pPr>
    </w:p>
    <w:p w14:paraId="046F476D">
      <w:pPr>
        <w:pStyle w:val="35"/>
        <w:rPr>
          <w:rFonts w:ascii="Arial" w:hAnsi="Arial" w:eastAsia="黑体"/>
          <w:b/>
          <w:bCs/>
          <w:color w:val="auto"/>
          <w:sz w:val="32"/>
          <w:szCs w:val="32"/>
          <w:highlight w:val="none"/>
          <w:lang w:val="zh-CN"/>
        </w:rPr>
      </w:pPr>
    </w:p>
    <w:p w14:paraId="7414EE4A">
      <w:pPr>
        <w:pStyle w:val="35"/>
        <w:rPr>
          <w:rFonts w:ascii="Arial" w:hAnsi="Arial" w:eastAsia="黑体"/>
          <w:b/>
          <w:bCs/>
          <w:color w:val="auto"/>
          <w:sz w:val="32"/>
          <w:szCs w:val="32"/>
          <w:highlight w:val="none"/>
          <w:lang w:val="zh-CN"/>
        </w:rPr>
      </w:pPr>
    </w:p>
    <w:p w14:paraId="3F91E1A8">
      <w:pPr>
        <w:pStyle w:val="35"/>
        <w:jc w:val="both"/>
        <w:rPr>
          <w:rFonts w:ascii="Arial" w:hAnsi="Arial" w:eastAsia="黑体"/>
          <w:b/>
          <w:bCs/>
          <w:color w:val="auto"/>
          <w:sz w:val="32"/>
          <w:szCs w:val="32"/>
          <w:highlight w:val="none"/>
          <w:lang w:val="zh-CN"/>
        </w:rPr>
      </w:pPr>
    </w:p>
    <w:p w14:paraId="401EED3A">
      <w:pPr>
        <w:keepNext/>
        <w:keepLines/>
        <w:spacing w:before="60" w:after="60" w:line="413" w:lineRule="auto"/>
        <w:jc w:val="center"/>
        <w:outlineLvl w:val="1"/>
        <w:rPr>
          <w:rFonts w:ascii="Arial" w:hAnsi="Arial" w:eastAsia="黑体"/>
          <w:b/>
          <w:bCs/>
          <w:color w:val="auto"/>
          <w:sz w:val="32"/>
          <w:szCs w:val="32"/>
          <w:highlight w:val="none"/>
          <w:lang w:val="zh-CN"/>
        </w:rPr>
      </w:pPr>
      <w:r>
        <w:rPr>
          <w:rFonts w:hint="eastAsia" w:ascii="Arial" w:hAnsi="Arial" w:eastAsia="黑体"/>
          <w:b/>
          <w:bCs/>
          <w:color w:val="auto"/>
          <w:sz w:val="32"/>
          <w:szCs w:val="32"/>
          <w:highlight w:val="none"/>
          <w:lang w:val="zh-CN"/>
        </w:rPr>
        <w:t>第二部分通用合同条款</w:t>
      </w:r>
      <w:bookmarkEnd w:id="70"/>
      <w:bookmarkEnd w:id="71"/>
    </w:p>
    <w:p w14:paraId="712CF6B7">
      <w:pPr>
        <w:spacing w:line="360" w:lineRule="auto"/>
        <w:ind w:firstLine="420" w:firstLineChars="200"/>
        <w:rPr>
          <w:rFonts w:ascii="Calibri" w:hAnsi="宋体"/>
          <w:color w:val="auto"/>
          <w:kern w:val="0"/>
          <w:szCs w:val="22"/>
          <w:highlight w:val="none"/>
        </w:rPr>
      </w:pPr>
    </w:p>
    <w:p w14:paraId="7D3AB16C">
      <w:pPr>
        <w:spacing w:line="360" w:lineRule="auto"/>
        <w:ind w:firstLine="422" w:firstLineChars="200"/>
        <w:rPr>
          <w:rFonts w:ascii="Calibri" w:hAnsi="宋体" w:cs="宋体"/>
          <w:b/>
          <w:bCs/>
          <w:color w:val="auto"/>
          <w:kern w:val="0"/>
          <w:szCs w:val="22"/>
          <w:highlight w:val="none"/>
        </w:rPr>
      </w:pPr>
      <w:r>
        <w:rPr>
          <w:rFonts w:hint="eastAsia" w:ascii="Calibri" w:hAnsi="宋体" w:cs="宋体"/>
          <w:b/>
          <w:bCs/>
          <w:color w:val="auto"/>
          <w:kern w:val="0"/>
          <w:szCs w:val="22"/>
          <w:highlight w:val="none"/>
        </w:rPr>
        <w:t>采用《建设工程施工合同（示范文本）》（</w:t>
      </w:r>
      <w:r>
        <w:rPr>
          <w:rFonts w:ascii="Calibri" w:hAnsi="宋体"/>
          <w:b/>
          <w:bCs/>
          <w:color w:val="auto"/>
          <w:kern w:val="0"/>
          <w:szCs w:val="22"/>
          <w:highlight w:val="none"/>
        </w:rPr>
        <w:t>GF</w:t>
      </w:r>
      <w:r>
        <w:rPr>
          <w:rFonts w:ascii="Calibri" w:hAnsi="宋体" w:cs="宋体"/>
          <w:b/>
          <w:bCs/>
          <w:color w:val="auto"/>
          <w:kern w:val="0"/>
          <w:szCs w:val="22"/>
          <w:highlight w:val="none"/>
        </w:rPr>
        <w:t>—</w:t>
      </w:r>
      <w:r>
        <w:rPr>
          <w:rFonts w:hint="eastAsia" w:ascii="Calibri" w:hAnsi="宋体"/>
          <w:b/>
          <w:bCs/>
          <w:color w:val="auto"/>
          <w:kern w:val="0"/>
          <w:szCs w:val="22"/>
          <w:highlight w:val="none"/>
        </w:rPr>
        <w:t>2017</w:t>
      </w:r>
      <w:r>
        <w:rPr>
          <w:rFonts w:ascii="Calibri" w:hAnsi="宋体" w:cs="宋体"/>
          <w:b/>
          <w:bCs/>
          <w:color w:val="auto"/>
          <w:kern w:val="0"/>
          <w:szCs w:val="22"/>
          <w:highlight w:val="none"/>
        </w:rPr>
        <w:t>—</w:t>
      </w:r>
      <w:r>
        <w:rPr>
          <w:rFonts w:ascii="Calibri" w:hAnsi="宋体"/>
          <w:b/>
          <w:bCs/>
          <w:color w:val="auto"/>
          <w:kern w:val="0"/>
          <w:szCs w:val="22"/>
          <w:highlight w:val="none"/>
        </w:rPr>
        <w:t>0201</w:t>
      </w:r>
      <w:r>
        <w:rPr>
          <w:rFonts w:hint="eastAsia" w:ascii="Calibri" w:hAnsi="宋体" w:cs="宋体"/>
          <w:b/>
          <w:bCs/>
          <w:color w:val="auto"/>
          <w:kern w:val="0"/>
          <w:szCs w:val="22"/>
          <w:highlight w:val="none"/>
        </w:rPr>
        <w:t>）。</w:t>
      </w:r>
    </w:p>
    <w:p w14:paraId="32DE0FC5">
      <w:pPr>
        <w:rPr>
          <w:rFonts w:ascii="Calibri" w:hAnsi="Calibri"/>
          <w:color w:val="auto"/>
          <w:szCs w:val="22"/>
          <w:highlight w:val="none"/>
        </w:rPr>
      </w:pPr>
    </w:p>
    <w:p w14:paraId="298E1F9C">
      <w:pPr>
        <w:spacing w:line="360" w:lineRule="auto"/>
        <w:jc w:val="center"/>
        <w:outlineLvl w:val="0"/>
        <w:rPr>
          <w:rFonts w:ascii="宋体" w:hAnsi="宋体" w:eastAsia="黑体"/>
          <w:b/>
          <w:bCs/>
          <w:color w:val="auto"/>
          <w:kern w:val="44"/>
          <w:sz w:val="30"/>
          <w:szCs w:val="30"/>
          <w:highlight w:val="none"/>
          <w:lang w:val="zh-CN"/>
        </w:rPr>
      </w:pPr>
      <w:bookmarkStart w:id="72" w:name="_Toc389065257"/>
      <w:bookmarkStart w:id="73" w:name="_Toc12955993"/>
      <w:bookmarkStart w:id="74" w:name="_Toc411345171"/>
      <w:bookmarkStart w:id="75" w:name="_Toc256000082"/>
      <w:bookmarkStart w:id="76" w:name="_Toc454211102"/>
      <w:bookmarkStart w:id="77" w:name="_Toc461179232"/>
      <w:bookmarkStart w:id="78" w:name="_Toc534962161"/>
      <w:bookmarkStart w:id="79" w:name="_Toc466537225"/>
      <w:bookmarkStart w:id="80" w:name="_Toc256000081"/>
      <w:bookmarkStart w:id="81" w:name="_Toc453940964"/>
    </w:p>
    <w:p w14:paraId="59FC47DC">
      <w:pPr>
        <w:spacing w:line="360" w:lineRule="auto"/>
        <w:jc w:val="center"/>
        <w:outlineLvl w:val="0"/>
        <w:rPr>
          <w:rFonts w:ascii="宋体" w:hAnsi="宋体" w:eastAsia="黑体"/>
          <w:b/>
          <w:bCs/>
          <w:color w:val="auto"/>
          <w:kern w:val="44"/>
          <w:sz w:val="30"/>
          <w:szCs w:val="30"/>
          <w:highlight w:val="none"/>
          <w:lang w:val="zh-CN"/>
        </w:rPr>
      </w:pPr>
    </w:p>
    <w:p w14:paraId="7486E559">
      <w:pPr>
        <w:spacing w:line="360" w:lineRule="auto"/>
        <w:jc w:val="center"/>
        <w:outlineLvl w:val="0"/>
        <w:rPr>
          <w:rFonts w:ascii="宋体" w:hAnsi="宋体" w:eastAsia="黑体"/>
          <w:b/>
          <w:bCs/>
          <w:color w:val="auto"/>
          <w:kern w:val="44"/>
          <w:sz w:val="30"/>
          <w:szCs w:val="30"/>
          <w:highlight w:val="none"/>
          <w:lang w:val="zh-CN"/>
        </w:rPr>
      </w:pPr>
    </w:p>
    <w:p w14:paraId="3EB825E5">
      <w:pPr>
        <w:spacing w:line="360" w:lineRule="auto"/>
        <w:jc w:val="center"/>
        <w:outlineLvl w:val="0"/>
        <w:rPr>
          <w:rFonts w:ascii="宋体" w:hAnsi="宋体" w:eastAsia="黑体"/>
          <w:b/>
          <w:bCs/>
          <w:color w:val="auto"/>
          <w:kern w:val="44"/>
          <w:sz w:val="30"/>
          <w:szCs w:val="30"/>
          <w:highlight w:val="none"/>
          <w:lang w:val="zh-CN"/>
        </w:rPr>
      </w:pPr>
    </w:p>
    <w:p w14:paraId="2EF0BF4F">
      <w:pPr>
        <w:spacing w:line="360" w:lineRule="auto"/>
        <w:jc w:val="center"/>
        <w:outlineLvl w:val="0"/>
        <w:rPr>
          <w:rFonts w:ascii="宋体" w:hAnsi="宋体" w:eastAsia="黑体"/>
          <w:b/>
          <w:bCs/>
          <w:color w:val="auto"/>
          <w:kern w:val="44"/>
          <w:sz w:val="30"/>
          <w:szCs w:val="30"/>
          <w:highlight w:val="none"/>
          <w:lang w:val="zh-CN"/>
        </w:rPr>
      </w:pPr>
    </w:p>
    <w:p w14:paraId="2E134F36">
      <w:pPr>
        <w:spacing w:line="360" w:lineRule="auto"/>
        <w:jc w:val="center"/>
        <w:outlineLvl w:val="0"/>
        <w:rPr>
          <w:rFonts w:ascii="宋体" w:hAnsi="宋体" w:eastAsia="黑体"/>
          <w:b/>
          <w:bCs/>
          <w:color w:val="auto"/>
          <w:kern w:val="44"/>
          <w:sz w:val="30"/>
          <w:szCs w:val="30"/>
          <w:highlight w:val="none"/>
          <w:lang w:val="zh-CN"/>
        </w:rPr>
      </w:pPr>
    </w:p>
    <w:p w14:paraId="60308367">
      <w:pPr>
        <w:spacing w:line="360" w:lineRule="auto"/>
        <w:jc w:val="center"/>
        <w:outlineLvl w:val="0"/>
        <w:rPr>
          <w:rFonts w:ascii="宋体" w:hAnsi="宋体" w:eastAsia="黑体"/>
          <w:b/>
          <w:bCs/>
          <w:color w:val="auto"/>
          <w:kern w:val="44"/>
          <w:sz w:val="30"/>
          <w:szCs w:val="30"/>
          <w:highlight w:val="none"/>
          <w:lang w:val="zh-CN"/>
        </w:rPr>
      </w:pPr>
    </w:p>
    <w:p w14:paraId="40A1598C">
      <w:pPr>
        <w:spacing w:line="360" w:lineRule="auto"/>
        <w:jc w:val="center"/>
        <w:outlineLvl w:val="0"/>
        <w:rPr>
          <w:rFonts w:ascii="宋体" w:hAnsi="宋体" w:eastAsia="黑体"/>
          <w:b/>
          <w:bCs/>
          <w:color w:val="auto"/>
          <w:kern w:val="44"/>
          <w:sz w:val="30"/>
          <w:szCs w:val="30"/>
          <w:highlight w:val="none"/>
          <w:lang w:val="zh-CN"/>
        </w:rPr>
      </w:pPr>
    </w:p>
    <w:p w14:paraId="6F59985C">
      <w:pPr>
        <w:spacing w:line="360" w:lineRule="auto"/>
        <w:jc w:val="center"/>
        <w:outlineLvl w:val="0"/>
        <w:rPr>
          <w:rFonts w:ascii="宋体" w:hAnsi="宋体" w:eastAsia="黑体"/>
          <w:b/>
          <w:bCs/>
          <w:color w:val="auto"/>
          <w:kern w:val="44"/>
          <w:sz w:val="30"/>
          <w:szCs w:val="30"/>
          <w:highlight w:val="none"/>
          <w:lang w:val="zh-CN"/>
        </w:rPr>
      </w:pPr>
    </w:p>
    <w:p w14:paraId="5EB8F6CD">
      <w:pPr>
        <w:spacing w:line="360" w:lineRule="auto"/>
        <w:jc w:val="center"/>
        <w:outlineLvl w:val="0"/>
        <w:rPr>
          <w:rFonts w:ascii="宋体" w:hAnsi="宋体" w:eastAsia="黑体"/>
          <w:b/>
          <w:bCs/>
          <w:color w:val="auto"/>
          <w:kern w:val="44"/>
          <w:sz w:val="30"/>
          <w:szCs w:val="30"/>
          <w:highlight w:val="none"/>
          <w:lang w:val="zh-CN"/>
        </w:rPr>
      </w:pPr>
    </w:p>
    <w:p w14:paraId="6BBE9F18">
      <w:pPr>
        <w:spacing w:line="360" w:lineRule="auto"/>
        <w:jc w:val="center"/>
        <w:outlineLvl w:val="0"/>
        <w:rPr>
          <w:rFonts w:ascii="宋体" w:hAnsi="宋体" w:eastAsia="黑体"/>
          <w:b/>
          <w:bCs/>
          <w:color w:val="auto"/>
          <w:kern w:val="44"/>
          <w:sz w:val="30"/>
          <w:szCs w:val="30"/>
          <w:highlight w:val="none"/>
          <w:lang w:val="zh-CN"/>
        </w:rPr>
      </w:pPr>
    </w:p>
    <w:p w14:paraId="054D76EE">
      <w:pPr>
        <w:spacing w:line="360" w:lineRule="auto"/>
        <w:jc w:val="center"/>
        <w:outlineLvl w:val="0"/>
        <w:rPr>
          <w:rFonts w:ascii="宋体" w:hAnsi="宋体" w:eastAsia="黑体"/>
          <w:b/>
          <w:bCs/>
          <w:color w:val="auto"/>
          <w:kern w:val="44"/>
          <w:sz w:val="30"/>
          <w:szCs w:val="30"/>
          <w:highlight w:val="none"/>
          <w:lang w:val="zh-CN"/>
        </w:rPr>
      </w:pPr>
    </w:p>
    <w:p w14:paraId="47141A3B">
      <w:pPr>
        <w:spacing w:line="360" w:lineRule="auto"/>
        <w:jc w:val="center"/>
        <w:outlineLvl w:val="0"/>
        <w:rPr>
          <w:rFonts w:ascii="宋体" w:hAnsi="宋体" w:eastAsia="黑体"/>
          <w:b/>
          <w:bCs/>
          <w:color w:val="auto"/>
          <w:kern w:val="44"/>
          <w:sz w:val="30"/>
          <w:szCs w:val="30"/>
          <w:highlight w:val="none"/>
          <w:lang w:val="zh-CN"/>
        </w:rPr>
      </w:pPr>
    </w:p>
    <w:p w14:paraId="7B33DCA5">
      <w:pPr>
        <w:spacing w:line="360" w:lineRule="auto"/>
        <w:jc w:val="center"/>
        <w:outlineLvl w:val="0"/>
        <w:rPr>
          <w:rFonts w:ascii="宋体" w:hAnsi="宋体" w:eastAsia="黑体"/>
          <w:b/>
          <w:bCs/>
          <w:color w:val="auto"/>
          <w:kern w:val="44"/>
          <w:sz w:val="30"/>
          <w:szCs w:val="30"/>
          <w:highlight w:val="none"/>
          <w:lang w:val="zh-CN"/>
        </w:rPr>
      </w:pPr>
    </w:p>
    <w:p w14:paraId="548C14BC">
      <w:pPr>
        <w:spacing w:line="360" w:lineRule="auto"/>
        <w:jc w:val="center"/>
        <w:outlineLvl w:val="0"/>
        <w:rPr>
          <w:rFonts w:ascii="宋体" w:hAnsi="宋体" w:eastAsia="黑体"/>
          <w:b/>
          <w:bCs/>
          <w:color w:val="auto"/>
          <w:kern w:val="44"/>
          <w:sz w:val="30"/>
          <w:szCs w:val="30"/>
          <w:highlight w:val="none"/>
          <w:lang w:val="zh-CN"/>
        </w:rPr>
      </w:pPr>
    </w:p>
    <w:p w14:paraId="41CFF803">
      <w:pPr>
        <w:spacing w:line="360" w:lineRule="auto"/>
        <w:jc w:val="center"/>
        <w:outlineLvl w:val="0"/>
        <w:rPr>
          <w:rFonts w:ascii="宋体" w:hAnsi="宋体" w:eastAsia="黑体"/>
          <w:b/>
          <w:bCs/>
          <w:color w:val="auto"/>
          <w:kern w:val="44"/>
          <w:sz w:val="30"/>
          <w:szCs w:val="30"/>
          <w:highlight w:val="none"/>
          <w:lang w:val="zh-CN"/>
        </w:rPr>
      </w:pPr>
    </w:p>
    <w:p w14:paraId="024E6CDE">
      <w:pPr>
        <w:spacing w:line="360" w:lineRule="auto"/>
        <w:jc w:val="center"/>
        <w:outlineLvl w:val="0"/>
        <w:rPr>
          <w:rFonts w:ascii="宋体" w:hAnsi="宋体" w:eastAsia="黑体"/>
          <w:b/>
          <w:bCs/>
          <w:color w:val="auto"/>
          <w:kern w:val="44"/>
          <w:sz w:val="30"/>
          <w:szCs w:val="30"/>
          <w:highlight w:val="none"/>
          <w:lang w:val="zh-CN"/>
        </w:rPr>
      </w:pPr>
    </w:p>
    <w:p w14:paraId="4AF55712">
      <w:pPr>
        <w:spacing w:line="360" w:lineRule="auto"/>
        <w:jc w:val="center"/>
        <w:outlineLvl w:val="0"/>
        <w:rPr>
          <w:rFonts w:ascii="宋体" w:hAnsi="宋体" w:eastAsia="黑体"/>
          <w:b/>
          <w:bCs/>
          <w:color w:val="auto"/>
          <w:kern w:val="44"/>
          <w:sz w:val="30"/>
          <w:szCs w:val="30"/>
          <w:highlight w:val="none"/>
          <w:lang w:val="zh-CN"/>
        </w:rPr>
      </w:pPr>
    </w:p>
    <w:p w14:paraId="6C614A79">
      <w:pPr>
        <w:spacing w:line="360" w:lineRule="auto"/>
        <w:jc w:val="center"/>
        <w:outlineLvl w:val="0"/>
        <w:rPr>
          <w:rFonts w:ascii="宋体" w:hAnsi="宋体" w:eastAsia="黑体"/>
          <w:b/>
          <w:bCs/>
          <w:color w:val="auto"/>
          <w:kern w:val="44"/>
          <w:sz w:val="30"/>
          <w:szCs w:val="30"/>
          <w:highlight w:val="none"/>
          <w:lang w:val="zh-CN"/>
        </w:rPr>
      </w:pPr>
    </w:p>
    <w:p w14:paraId="4EDF9FAC">
      <w:pPr>
        <w:spacing w:line="360" w:lineRule="auto"/>
        <w:jc w:val="center"/>
        <w:outlineLvl w:val="0"/>
        <w:rPr>
          <w:rFonts w:ascii="宋体" w:hAnsi="宋体" w:eastAsia="黑体"/>
          <w:b/>
          <w:bCs/>
          <w:color w:val="auto"/>
          <w:kern w:val="44"/>
          <w:sz w:val="30"/>
          <w:szCs w:val="30"/>
          <w:highlight w:val="none"/>
          <w:lang w:val="zh-CN"/>
        </w:rPr>
      </w:pPr>
    </w:p>
    <w:p w14:paraId="2A758D5C">
      <w:pPr>
        <w:spacing w:line="360" w:lineRule="auto"/>
        <w:jc w:val="center"/>
        <w:outlineLvl w:val="0"/>
        <w:rPr>
          <w:rFonts w:ascii="宋体" w:hAnsi="宋体" w:eastAsia="黑体"/>
          <w:b/>
          <w:bCs/>
          <w:color w:val="auto"/>
          <w:kern w:val="44"/>
          <w:sz w:val="30"/>
          <w:szCs w:val="30"/>
          <w:highlight w:val="none"/>
          <w:lang w:val="zh-CN"/>
        </w:rPr>
      </w:pPr>
    </w:p>
    <w:p w14:paraId="13E69142">
      <w:pPr>
        <w:spacing w:line="360" w:lineRule="auto"/>
        <w:jc w:val="center"/>
        <w:outlineLvl w:val="0"/>
        <w:rPr>
          <w:rFonts w:ascii="宋体" w:hAnsi="宋体" w:eastAsia="黑体"/>
          <w:b/>
          <w:bCs/>
          <w:color w:val="auto"/>
          <w:kern w:val="44"/>
          <w:sz w:val="30"/>
          <w:szCs w:val="30"/>
          <w:highlight w:val="none"/>
          <w:lang w:val="zh-CN"/>
        </w:rPr>
      </w:pPr>
      <w:r>
        <w:rPr>
          <w:rFonts w:ascii="宋体" w:hAnsi="宋体" w:eastAsia="黑体"/>
          <w:b/>
          <w:bCs/>
          <w:color w:val="auto"/>
          <w:kern w:val="44"/>
          <w:sz w:val="30"/>
          <w:szCs w:val="30"/>
          <w:highlight w:val="none"/>
          <w:lang w:val="zh-CN"/>
        </w:rPr>
        <w:t>第</w:t>
      </w:r>
      <w:r>
        <w:rPr>
          <w:rFonts w:hint="eastAsia" w:ascii="宋体" w:hAnsi="宋体" w:eastAsia="黑体"/>
          <w:b/>
          <w:bCs/>
          <w:color w:val="auto"/>
          <w:kern w:val="44"/>
          <w:sz w:val="30"/>
          <w:szCs w:val="30"/>
          <w:highlight w:val="none"/>
          <w:lang w:val="zh-CN"/>
        </w:rPr>
        <w:t>三</w:t>
      </w:r>
      <w:r>
        <w:rPr>
          <w:rFonts w:ascii="宋体" w:hAnsi="宋体" w:eastAsia="黑体"/>
          <w:b/>
          <w:bCs/>
          <w:color w:val="auto"/>
          <w:kern w:val="44"/>
          <w:sz w:val="30"/>
          <w:szCs w:val="30"/>
          <w:highlight w:val="none"/>
          <w:lang w:val="zh-CN"/>
        </w:rPr>
        <w:t>部分 专用合同条款</w:t>
      </w:r>
      <w:bookmarkEnd w:id="72"/>
      <w:bookmarkEnd w:id="73"/>
      <w:bookmarkEnd w:id="74"/>
      <w:bookmarkEnd w:id="75"/>
      <w:bookmarkEnd w:id="76"/>
      <w:bookmarkEnd w:id="77"/>
      <w:bookmarkEnd w:id="78"/>
      <w:bookmarkEnd w:id="79"/>
      <w:bookmarkEnd w:id="80"/>
      <w:bookmarkEnd w:id="81"/>
    </w:p>
    <w:p w14:paraId="3BC63C72">
      <w:pPr>
        <w:spacing w:line="360" w:lineRule="auto"/>
        <w:jc w:val="center"/>
        <w:rPr>
          <w:rFonts w:ascii="Calibri" w:hAnsi="宋体"/>
          <w:b/>
          <w:color w:val="auto"/>
          <w:kern w:val="0"/>
          <w:szCs w:val="21"/>
          <w:highlight w:val="none"/>
        </w:rPr>
      </w:pPr>
      <w:r>
        <w:rPr>
          <w:rFonts w:hint="eastAsia" w:ascii="Calibri" w:hAnsi="宋体"/>
          <w:b/>
          <w:color w:val="auto"/>
          <w:kern w:val="0"/>
          <w:szCs w:val="21"/>
          <w:highlight w:val="none"/>
        </w:rPr>
        <w:t>（注：专用合同条款每一条均应填写完整！）</w:t>
      </w:r>
    </w:p>
    <w:p w14:paraId="40C37F72">
      <w:pPr>
        <w:keepNext/>
        <w:keepLines/>
        <w:spacing w:before="260" w:after="260" w:line="416" w:lineRule="auto"/>
        <w:outlineLvl w:val="1"/>
        <w:rPr>
          <w:rFonts w:ascii="宋体" w:hAnsi="宋体"/>
          <w:b/>
          <w:bCs/>
          <w:color w:val="auto"/>
          <w:sz w:val="32"/>
          <w:szCs w:val="32"/>
          <w:highlight w:val="none"/>
        </w:rPr>
      </w:pPr>
      <w:bookmarkStart w:id="82" w:name="_Toc351203633"/>
      <w:bookmarkStart w:id="83" w:name="_Toc470247793"/>
      <w:bookmarkStart w:id="84" w:name="_Toc531186595"/>
      <w:bookmarkStart w:id="85" w:name="_Toc472931599"/>
      <w:bookmarkStart w:id="86" w:name="_Toc453940965"/>
      <w:bookmarkStart w:id="87" w:name="_Toc411345172"/>
      <w:bookmarkStart w:id="88" w:name="_Toc530144460"/>
      <w:bookmarkStart w:id="89" w:name="_Toc529547318"/>
      <w:bookmarkStart w:id="90" w:name="_Toc373227692"/>
      <w:bookmarkStart w:id="91" w:name="_Toc454211103"/>
      <w:bookmarkStart w:id="92" w:name="_Toc373478339"/>
      <w:bookmarkStart w:id="93" w:name="_Toc389065258"/>
      <w:bookmarkStart w:id="94" w:name="_Toc529526966"/>
      <w:bookmarkStart w:id="95" w:name="_Toc461179233"/>
      <w:r>
        <w:rPr>
          <w:rFonts w:ascii="宋体" w:hAnsi="宋体"/>
          <w:b/>
          <w:bCs/>
          <w:color w:val="auto"/>
          <w:sz w:val="32"/>
          <w:szCs w:val="32"/>
          <w:highlight w:val="none"/>
        </w:rPr>
        <w:t>1</w:t>
      </w:r>
      <w:bookmarkStart w:id="96" w:name="_Toc296503156"/>
      <w:bookmarkStart w:id="97" w:name="_Toc296944495"/>
      <w:bookmarkStart w:id="98" w:name="_Toc297120456"/>
      <w:bookmarkStart w:id="99" w:name="_Toc297048342"/>
      <w:bookmarkStart w:id="100" w:name="_Toc296346657"/>
      <w:bookmarkStart w:id="101" w:name="_Toc292559866"/>
      <w:bookmarkStart w:id="102" w:name="_Toc296891196"/>
      <w:bookmarkStart w:id="103" w:name="_Toc296347155"/>
      <w:bookmarkStart w:id="104" w:name="_Toc296890984"/>
      <w:bookmarkStart w:id="105" w:name="_Toc292559361"/>
      <w:r>
        <w:rPr>
          <w:rFonts w:ascii="宋体" w:hAnsi="宋体"/>
          <w:b/>
          <w:bCs/>
          <w:color w:val="auto"/>
          <w:sz w:val="32"/>
          <w:szCs w:val="32"/>
          <w:highlight w:val="none"/>
        </w:rPr>
        <w:t>. 一般约定</w:t>
      </w:r>
      <w:bookmarkEnd w:id="82"/>
      <w:bookmarkEnd w:id="83"/>
      <w:bookmarkEnd w:id="84"/>
      <w:bookmarkEnd w:id="85"/>
      <w:bookmarkEnd w:id="86"/>
      <w:bookmarkEnd w:id="87"/>
      <w:bookmarkEnd w:id="88"/>
      <w:bookmarkEnd w:id="89"/>
      <w:bookmarkEnd w:id="90"/>
      <w:bookmarkEnd w:id="91"/>
      <w:bookmarkEnd w:id="92"/>
      <w:bookmarkEnd w:id="93"/>
      <w:bookmarkEnd w:id="94"/>
      <w:bookmarkEnd w:id="95"/>
    </w:p>
    <w:bookmarkEnd w:id="96"/>
    <w:bookmarkEnd w:id="97"/>
    <w:bookmarkEnd w:id="98"/>
    <w:bookmarkEnd w:id="99"/>
    <w:bookmarkEnd w:id="100"/>
    <w:bookmarkEnd w:id="101"/>
    <w:bookmarkEnd w:id="102"/>
    <w:bookmarkEnd w:id="103"/>
    <w:bookmarkEnd w:id="104"/>
    <w:bookmarkEnd w:id="105"/>
    <w:p w14:paraId="4136EB17">
      <w:pPr>
        <w:keepNext/>
        <w:keepLines/>
        <w:spacing w:before="260" w:after="260" w:line="416" w:lineRule="auto"/>
        <w:outlineLvl w:val="2"/>
        <w:rPr>
          <w:rFonts w:ascii="宋体" w:hAnsi="宋体"/>
          <w:b/>
          <w:bCs/>
          <w:color w:val="auto"/>
          <w:sz w:val="32"/>
          <w:szCs w:val="32"/>
          <w:highlight w:val="none"/>
        </w:rPr>
      </w:pPr>
      <w:bookmarkStart w:id="106" w:name="_Toc529547319"/>
      <w:bookmarkStart w:id="107" w:name="_Toc411345173"/>
      <w:bookmarkStart w:id="108" w:name="_Toc529526967"/>
      <w:bookmarkStart w:id="109" w:name="_Toc453940966"/>
      <w:bookmarkStart w:id="110" w:name="_Toc373227693"/>
      <w:bookmarkStart w:id="111" w:name="_Toc461179234"/>
      <w:bookmarkStart w:id="112" w:name="_Toc470247794"/>
      <w:bookmarkStart w:id="113" w:name="_Toc389065259"/>
      <w:bookmarkStart w:id="114" w:name="_Toc454211104"/>
      <w:bookmarkStart w:id="115" w:name="_Toc472931600"/>
      <w:bookmarkStart w:id="116" w:name="_Toc531186596"/>
      <w:bookmarkStart w:id="117" w:name="_Toc530144461"/>
      <w:bookmarkStart w:id="118" w:name="_Toc373478340"/>
      <w:r>
        <w:rPr>
          <w:rFonts w:ascii="宋体" w:hAnsi="宋体"/>
          <w:b/>
          <w:bCs/>
          <w:color w:val="auto"/>
          <w:sz w:val="32"/>
          <w:szCs w:val="32"/>
          <w:highlight w:val="none"/>
        </w:rPr>
        <w:t>1.1 词语定义</w:t>
      </w:r>
      <w:bookmarkEnd w:id="106"/>
      <w:bookmarkEnd w:id="107"/>
      <w:bookmarkEnd w:id="108"/>
      <w:bookmarkEnd w:id="109"/>
      <w:bookmarkEnd w:id="110"/>
      <w:bookmarkEnd w:id="111"/>
      <w:bookmarkEnd w:id="112"/>
      <w:bookmarkEnd w:id="113"/>
      <w:bookmarkEnd w:id="114"/>
      <w:bookmarkEnd w:id="115"/>
      <w:bookmarkEnd w:id="116"/>
      <w:bookmarkEnd w:id="117"/>
      <w:bookmarkEnd w:id="118"/>
    </w:p>
    <w:p w14:paraId="6807F79E">
      <w:pPr>
        <w:spacing w:line="360" w:lineRule="auto"/>
        <w:ind w:firstLine="420" w:firstLineChars="200"/>
        <w:rPr>
          <w:rFonts w:ascii="宋体" w:hAnsi="宋体"/>
          <w:color w:val="auto"/>
          <w:kern w:val="0"/>
          <w:szCs w:val="21"/>
          <w:highlight w:val="none"/>
        </w:rPr>
      </w:pPr>
      <w:r>
        <w:rPr>
          <w:rFonts w:ascii="宋体" w:hAnsi="宋体"/>
          <w:color w:val="auto"/>
          <w:kern w:val="0"/>
          <w:szCs w:val="21"/>
          <w:highlight w:val="none"/>
        </w:rPr>
        <w:t>1.1.1合同</w:t>
      </w:r>
    </w:p>
    <w:p w14:paraId="19241246">
      <w:pPr>
        <w:spacing w:line="360" w:lineRule="auto"/>
        <w:rPr>
          <w:rFonts w:ascii="宋体" w:hAnsi="宋体"/>
          <w:color w:val="auto"/>
          <w:kern w:val="0"/>
          <w:szCs w:val="21"/>
          <w:highlight w:val="none"/>
          <w:u w:val="single"/>
        </w:rPr>
      </w:pPr>
      <w:r>
        <w:rPr>
          <w:rFonts w:ascii="宋体" w:hAnsi="宋体"/>
          <w:color w:val="auto"/>
          <w:kern w:val="0"/>
          <w:szCs w:val="21"/>
          <w:highlight w:val="none"/>
        </w:rPr>
        <w:t>1.1.1.10其他合同文件包括：</w:t>
      </w:r>
      <w:r>
        <w:rPr>
          <w:rFonts w:hint="eastAsia" w:ascii="宋体" w:hAnsi="宋体"/>
          <w:color w:val="auto"/>
          <w:kern w:val="0"/>
          <w:szCs w:val="21"/>
          <w:highlight w:val="none"/>
          <w:u w:val="single"/>
        </w:rPr>
        <w:t>投标文件及其附件，招标文件（含补充通知和答疑），农民工工资保证金缴纳证明；履行合同过程中双方法定代表人书面确认的对合同内容有实质性影响的补充协议、签证、设计变更等资料。</w:t>
      </w:r>
    </w:p>
    <w:p w14:paraId="309F0FF8">
      <w:pPr>
        <w:spacing w:line="360" w:lineRule="auto"/>
        <w:ind w:firstLine="420" w:firstLineChars="200"/>
        <w:rPr>
          <w:rFonts w:ascii="宋体" w:hAnsi="宋体"/>
          <w:color w:val="auto"/>
          <w:szCs w:val="21"/>
          <w:highlight w:val="none"/>
        </w:rPr>
      </w:pPr>
      <w:r>
        <w:rPr>
          <w:rFonts w:ascii="宋体" w:hAnsi="宋体"/>
          <w:color w:val="auto"/>
          <w:szCs w:val="21"/>
          <w:highlight w:val="none"/>
        </w:rPr>
        <w:t>1.1.2 合同当事人及其他相关方</w:t>
      </w:r>
    </w:p>
    <w:p w14:paraId="01388402">
      <w:pPr>
        <w:spacing w:line="360" w:lineRule="auto"/>
        <w:ind w:firstLine="420" w:firstLineChars="200"/>
        <w:rPr>
          <w:rFonts w:ascii="宋体" w:hAnsi="宋体"/>
          <w:color w:val="auto"/>
          <w:szCs w:val="21"/>
          <w:highlight w:val="none"/>
        </w:rPr>
      </w:pPr>
      <w:r>
        <w:rPr>
          <w:rFonts w:ascii="宋体" w:hAnsi="宋体"/>
          <w:color w:val="auto"/>
          <w:szCs w:val="21"/>
          <w:highlight w:val="none"/>
        </w:rPr>
        <w:t>1.1.2.4监理人：</w:t>
      </w:r>
    </w:p>
    <w:p w14:paraId="10D738DF">
      <w:pPr>
        <w:spacing w:line="360" w:lineRule="auto"/>
        <w:ind w:firstLine="420" w:firstLineChars="200"/>
        <w:rPr>
          <w:rFonts w:ascii="宋体" w:hAnsi="宋体"/>
          <w:color w:val="auto"/>
          <w:szCs w:val="21"/>
          <w:highlight w:val="none"/>
        </w:rPr>
      </w:pPr>
      <w:r>
        <w:rPr>
          <w:rFonts w:ascii="宋体" w:hAnsi="宋体"/>
          <w:color w:val="auto"/>
          <w:szCs w:val="21"/>
          <w:highlight w:val="none"/>
        </w:rPr>
        <w:t>名    称：</w:t>
      </w:r>
      <w:r>
        <w:rPr>
          <w:rFonts w:ascii="宋体" w:hAnsi="宋体"/>
          <w:color w:val="auto"/>
          <w:szCs w:val="21"/>
          <w:highlight w:val="none"/>
          <w:u w:val="single"/>
        </w:rPr>
        <w:t></w:t>
      </w:r>
      <w:r>
        <w:rPr>
          <w:rFonts w:hint="eastAsia" w:ascii="宋体" w:hAnsi="宋体"/>
          <w:color w:val="auto"/>
          <w:szCs w:val="21"/>
          <w:highlight w:val="none"/>
          <w:u w:val="single"/>
        </w:rPr>
        <w:t>待定</w:t>
      </w:r>
      <w:r>
        <w:rPr>
          <w:rFonts w:ascii="宋体" w:hAnsi="宋体"/>
          <w:color w:val="auto"/>
          <w:szCs w:val="21"/>
          <w:highlight w:val="none"/>
          <w:u w:val="single"/>
        </w:rPr>
        <w:t xml:space="preserve">             </w:t>
      </w:r>
      <w:r>
        <w:rPr>
          <w:rFonts w:ascii="宋体" w:hAnsi="宋体"/>
          <w:color w:val="auto"/>
          <w:szCs w:val="21"/>
          <w:highlight w:val="none"/>
        </w:rPr>
        <w:t>；</w:t>
      </w:r>
    </w:p>
    <w:p w14:paraId="5F6E64DB">
      <w:pPr>
        <w:spacing w:line="360" w:lineRule="auto"/>
        <w:ind w:firstLine="420" w:firstLineChars="200"/>
        <w:rPr>
          <w:rFonts w:ascii="宋体" w:hAnsi="宋体"/>
          <w:color w:val="auto"/>
          <w:szCs w:val="21"/>
          <w:highlight w:val="none"/>
        </w:rPr>
      </w:pPr>
      <w:r>
        <w:rPr>
          <w:rFonts w:ascii="宋体" w:hAnsi="宋体"/>
          <w:color w:val="auto"/>
          <w:szCs w:val="21"/>
          <w:highlight w:val="none"/>
        </w:rPr>
        <w:t>资质类别和等级：</w:t>
      </w:r>
      <w:r>
        <w:rPr>
          <w:rFonts w:ascii="宋体" w:hAnsi="宋体"/>
          <w:color w:val="auto"/>
          <w:szCs w:val="21"/>
          <w:highlight w:val="none"/>
          <w:u w:val="single"/>
        </w:rPr>
        <w:t>               </w:t>
      </w:r>
      <w:r>
        <w:rPr>
          <w:rFonts w:ascii="宋体" w:hAnsi="宋体"/>
          <w:color w:val="auto"/>
          <w:szCs w:val="21"/>
          <w:highlight w:val="none"/>
        </w:rPr>
        <w:t>；</w:t>
      </w:r>
    </w:p>
    <w:p w14:paraId="041BD461">
      <w:pPr>
        <w:spacing w:line="360" w:lineRule="auto"/>
        <w:ind w:firstLine="420" w:firstLineChars="200"/>
        <w:rPr>
          <w:rFonts w:ascii="宋体" w:hAnsi="宋体"/>
          <w:color w:val="auto"/>
          <w:szCs w:val="21"/>
          <w:highlight w:val="none"/>
        </w:rPr>
      </w:pPr>
      <w:r>
        <w:rPr>
          <w:rFonts w:ascii="宋体" w:hAnsi="宋体"/>
          <w:color w:val="auto"/>
          <w:szCs w:val="21"/>
          <w:highlight w:val="none"/>
        </w:rPr>
        <w:t>联系电话：</w:t>
      </w:r>
      <w:r>
        <w:rPr>
          <w:rFonts w:ascii="宋体" w:hAnsi="宋体"/>
          <w:color w:val="auto"/>
          <w:szCs w:val="21"/>
          <w:highlight w:val="none"/>
          <w:u w:val="single"/>
        </w:rPr>
        <w:t>                </w:t>
      </w:r>
      <w:r>
        <w:rPr>
          <w:rFonts w:ascii="宋体" w:hAnsi="宋体"/>
          <w:color w:val="auto"/>
          <w:szCs w:val="21"/>
          <w:highlight w:val="none"/>
        </w:rPr>
        <w:t>；</w:t>
      </w:r>
    </w:p>
    <w:p w14:paraId="52A53635">
      <w:pPr>
        <w:spacing w:line="360" w:lineRule="auto"/>
        <w:ind w:firstLine="420" w:firstLineChars="200"/>
        <w:rPr>
          <w:rFonts w:ascii="宋体" w:hAnsi="宋体"/>
          <w:color w:val="auto"/>
          <w:szCs w:val="21"/>
          <w:highlight w:val="none"/>
        </w:rPr>
      </w:pPr>
      <w:r>
        <w:rPr>
          <w:rFonts w:ascii="宋体" w:hAnsi="宋体"/>
          <w:color w:val="auto"/>
          <w:szCs w:val="21"/>
          <w:highlight w:val="none"/>
        </w:rPr>
        <w:t>电子信箱：</w:t>
      </w:r>
      <w:r>
        <w:rPr>
          <w:rFonts w:ascii="宋体" w:hAnsi="宋体"/>
          <w:color w:val="auto"/>
          <w:szCs w:val="21"/>
          <w:highlight w:val="none"/>
          <w:u w:val="single"/>
        </w:rPr>
        <w:t>                </w:t>
      </w:r>
      <w:r>
        <w:rPr>
          <w:rFonts w:ascii="宋体" w:hAnsi="宋体"/>
          <w:color w:val="auto"/>
          <w:szCs w:val="21"/>
          <w:highlight w:val="none"/>
        </w:rPr>
        <w:t>；</w:t>
      </w:r>
    </w:p>
    <w:p w14:paraId="78CA0526">
      <w:pPr>
        <w:spacing w:line="360" w:lineRule="auto"/>
        <w:ind w:firstLine="420" w:firstLineChars="200"/>
        <w:rPr>
          <w:rFonts w:ascii="宋体" w:hAnsi="宋体"/>
          <w:color w:val="auto"/>
          <w:szCs w:val="21"/>
          <w:highlight w:val="none"/>
        </w:rPr>
      </w:pPr>
      <w:r>
        <w:rPr>
          <w:rFonts w:ascii="宋体" w:hAnsi="宋体"/>
          <w:color w:val="auto"/>
          <w:szCs w:val="21"/>
          <w:highlight w:val="none"/>
        </w:rPr>
        <w:t>通信地址：</w:t>
      </w:r>
      <w:r>
        <w:rPr>
          <w:rFonts w:ascii="宋体" w:hAnsi="宋体"/>
          <w:color w:val="auto"/>
          <w:szCs w:val="21"/>
          <w:highlight w:val="none"/>
          <w:u w:val="single"/>
        </w:rPr>
        <w:t>                </w:t>
      </w:r>
      <w:r>
        <w:rPr>
          <w:rFonts w:ascii="宋体" w:hAnsi="宋体"/>
          <w:color w:val="auto"/>
          <w:szCs w:val="21"/>
          <w:highlight w:val="none"/>
        </w:rPr>
        <w:t>。</w:t>
      </w:r>
    </w:p>
    <w:p w14:paraId="007795C6">
      <w:pPr>
        <w:spacing w:line="360" w:lineRule="auto"/>
        <w:ind w:firstLine="420" w:firstLineChars="200"/>
        <w:rPr>
          <w:rFonts w:ascii="宋体" w:hAnsi="宋体"/>
          <w:color w:val="auto"/>
          <w:szCs w:val="21"/>
          <w:highlight w:val="none"/>
        </w:rPr>
      </w:pPr>
      <w:r>
        <w:rPr>
          <w:rFonts w:ascii="宋体" w:hAnsi="宋体"/>
          <w:color w:val="auto"/>
          <w:szCs w:val="21"/>
          <w:highlight w:val="none"/>
        </w:rPr>
        <w:t>1.1.2.5 设计人：</w:t>
      </w:r>
    </w:p>
    <w:p w14:paraId="75E1D501">
      <w:pPr>
        <w:spacing w:line="360" w:lineRule="auto"/>
        <w:ind w:firstLine="420" w:firstLineChars="200"/>
        <w:rPr>
          <w:rFonts w:ascii="宋体" w:hAnsi="宋体"/>
          <w:color w:val="auto"/>
          <w:szCs w:val="21"/>
          <w:highlight w:val="none"/>
        </w:rPr>
      </w:pPr>
      <w:r>
        <w:rPr>
          <w:rFonts w:ascii="宋体" w:hAnsi="宋体"/>
          <w:color w:val="auto"/>
          <w:szCs w:val="21"/>
          <w:highlight w:val="none"/>
        </w:rPr>
        <w:t>名    称：</w:t>
      </w:r>
      <w:r>
        <w:rPr>
          <w:rFonts w:ascii="宋体" w:hAnsi="宋体"/>
          <w:color w:val="auto"/>
          <w:szCs w:val="21"/>
          <w:highlight w:val="none"/>
          <w:u w:val="single"/>
        </w:rPr>
        <w:t></w:t>
      </w:r>
      <w:r>
        <w:rPr>
          <w:rFonts w:ascii="宋体" w:hAnsi="宋体"/>
          <w:color w:val="auto"/>
          <w:szCs w:val="21"/>
          <w:highlight w:val="none"/>
        </w:rPr>
        <w:t>；</w:t>
      </w:r>
    </w:p>
    <w:p w14:paraId="0DA51C94">
      <w:pPr>
        <w:spacing w:line="360" w:lineRule="auto"/>
        <w:ind w:firstLine="420" w:firstLineChars="200"/>
        <w:rPr>
          <w:rFonts w:ascii="宋体" w:hAnsi="宋体"/>
          <w:color w:val="auto"/>
          <w:szCs w:val="21"/>
          <w:highlight w:val="none"/>
        </w:rPr>
      </w:pPr>
      <w:r>
        <w:rPr>
          <w:rFonts w:ascii="宋体" w:hAnsi="宋体"/>
          <w:color w:val="auto"/>
          <w:szCs w:val="21"/>
          <w:highlight w:val="none"/>
        </w:rPr>
        <w:t>资质类别和等级：</w:t>
      </w:r>
      <w:r>
        <w:rPr>
          <w:rFonts w:ascii="宋体" w:hAnsi="宋体"/>
          <w:color w:val="auto"/>
          <w:szCs w:val="21"/>
          <w:highlight w:val="none"/>
          <w:u w:val="single"/>
        </w:rPr>
        <w:t></w:t>
      </w:r>
      <w:r>
        <w:rPr>
          <w:rFonts w:ascii="宋体" w:hAnsi="宋体"/>
          <w:color w:val="auto"/>
          <w:szCs w:val="21"/>
          <w:highlight w:val="none"/>
        </w:rPr>
        <w:t>；</w:t>
      </w:r>
    </w:p>
    <w:p w14:paraId="4250710D">
      <w:pPr>
        <w:spacing w:line="360" w:lineRule="auto"/>
        <w:ind w:firstLine="420" w:firstLineChars="200"/>
        <w:rPr>
          <w:rFonts w:ascii="宋体" w:hAnsi="宋体"/>
          <w:color w:val="auto"/>
          <w:szCs w:val="21"/>
          <w:highlight w:val="none"/>
        </w:rPr>
      </w:pPr>
      <w:r>
        <w:rPr>
          <w:rFonts w:ascii="宋体" w:hAnsi="宋体"/>
          <w:color w:val="auto"/>
          <w:szCs w:val="21"/>
          <w:highlight w:val="none"/>
        </w:rPr>
        <w:t>联系电话：</w:t>
      </w:r>
      <w:r>
        <w:rPr>
          <w:rFonts w:ascii="宋体" w:hAnsi="宋体"/>
          <w:color w:val="auto"/>
          <w:szCs w:val="21"/>
          <w:highlight w:val="none"/>
          <w:u w:val="single"/>
        </w:rPr>
        <w:t>                 </w:t>
      </w:r>
      <w:r>
        <w:rPr>
          <w:rFonts w:ascii="宋体" w:hAnsi="宋体"/>
          <w:color w:val="auto"/>
          <w:szCs w:val="21"/>
          <w:highlight w:val="none"/>
        </w:rPr>
        <w:t>；</w:t>
      </w:r>
    </w:p>
    <w:p w14:paraId="4FBF94A2">
      <w:pPr>
        <w:spacing w:line="360" w:lineRule="auto"/>
        <w:ind w:firstLine="420" w:firstLineChars="200"/>
        <w:rPr>
          <w:rFonts w:ascii="宋体" w:hAnsi="宋体"/>
          <w:color w:val="auto"/>
          <w:szCs w:val="21"/>
          <w:highlight w:val="none"/>
        </w:rPr>
      </w:pPr>
      <w:r>
        <w:rPr>
          <w:rFonts w:ascii="宋体" w:hAnsi="宋体"/>
          <w:color w:val="auto"/>
          <w:szCs w:val="21"/>
          <w:highlight w:val="none"/>
        </w:rPr>
        <w:t>电子信箱：</w:t>
      </w:r>
      <w:r>
        <w:rPr>
          <w:rFonts w:ascii="宋体" w:hAnsi="宋体"/>
          <w:color w:val="auto"/>
          <w:szCs w:val="21"/>
          <w:highlight w:val="none"/>
          <w:u w:val="single"/>
        </w:rPr>
        <w:t xml:space="preserve">                    </w:t>
      </w:r>
      <w:r>
        <w:rPr>
          <w:rFonts w:ascii="宋体" w:hAnsi="宋体"/>
          <w:color w:val="auto"/>
          <w:szCs w:val="21"/>
          <w:highlight w:val="none"/>
        </w:rPr>
        <w:t>；</w:t>
      </w:r>
    </w:p>
    <w:p w14:paraId="2EBA15DD">
      <w:pPr>
        <w:spacing w:line="360" w:lineRule="auto"/>
        <w:ind w:firstLine="420" w:firstLineChars="200"/>
        <w:rPr>
          <w:rFonts w:ascii="宋体" w:hAnsi="宋体"/>
          <w:color w:val="auto"/>
          <w:szCs w:val="21"/>
          <w:highlight w:val="none"/>
        </w:rPr>
      </w:pPr>
      <w:r>
        <w:rPr>
          <w:rFonts w:ascii="宋体" w:hAnsi="宋体"/>
          <w:color w:val="auto"/>
          <w:szCs w:val="21"/>
          <w:highlight w:val="none"/>
        </w:rPr>
        <w:t>通信地址：</w:t>
      </w:r>
      <w:r>
        <w:rPr>
          <w:rFonts w:ascii="宋体" w:hAnsi="宋体"/>
          <w:color w:val="auto"/>
          <w:szCs w:val="21"/>
          <w:highlight w:val="none"/>
          <w:u w:val="single"/>
        </w:rPr>
        <w:t></w:t>
      </w:r>
      <w:r>
        <w:rPr>
          <w:rFonts w:ascii="宋体" w:hAnsi="宋体"/>
          <w:color w:val="auto"/>
          <w:szCs w:val="21"/>
          <w:highlight w:val="none"/>
        </w:rPr>
        <w:t>。</w:t>
      </w:r>
    </w:p>
    <w:p w14:paraId="30C54B7F">
      <w:pPr>
        <w:spacing w:line="360" w:lineRule="auto"/>
        <w:ind w:firstLine="420" w:firstLineChars="200"/>
        <w:rPr>
          <w:rFonts w:ascii="宋体" w:hAnsi="宋体"/>
          <w:color w:val="auto"/>
          <w:szCs w:val="21"/>
          <w:highlight w:val="none"/>
        </w:rPr>
      </w:pPr>
      <w:r>
        <w:rPr>
          <w:rFonts w:ascii="宋体" w:hAnsi="宋体"/>
          <w:color w:val="auto"/>
          <w:szCs w:val="21"/>
          <w:highlight w:val="none"/>
        </w:rPr>
        <w:t>1.1.3 工程和设备</w:t>
      </w:r>
    </w:p>
    <w:p w14:paraId="1BBC033F">
      <w:pPr>
        <w:spacing w:line="360" w:lineRule="auto"/>
        <w:ind w:firstLine="420" w:firstLineChars="200"/>
        <w:rPr>
          <w:rFonts w:ascii="宋体" w:hAnsi="宋体"/>
          <w:color w:val="auto"/>
          <w:szCs w:val="21"/>
          <w:highlight w:val="none"/>
          <w:u w:val="single"/>
        </w:rPr>
      </w:pPr>
      <w:r>
        <w:rPr>
          <w:rFonts w:ascii="宋体" w:hAnsi="宋体"/>
          <w:color w:val="auto"/>
          <w:szCs w:val="21"/>
          <w:highlight w:val="none"/>
        </w:rPr>
        <w:t>1.1.3.7 作为施工现场组成部分的其他场所包括：</w:t>
      </w:r>
      <w:r>
        <w:rPr>
          <w:rFonts w:hint="eastAsia" w:ascii="宋体" w:hAnsi="宋体"/>
          <w:color w:val="auto"/>
          <w:szCs w:val="21"/>
          <w:highlight w:val="none"/>
          <w:u w:val="single"/>
        </w:rPr>
        <w:t>工人宿舍、施工单位项目部、监理单位项目部、材料仓库及其他临时设施（详见施工平面图）。</w:t>
      </w:r>
    </w:p>
    <w:p w14:paraId="465795BD">
      <w:pPr>
        <w:spacing w:line="36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1.1.3.9 永久占地包括：</w:t>
      </w:r>
      <w:r>
        <w:rPr>
          <w:rFonts w:hint="eastAsia" w:ascii="宋体" w:hAnsi="宋体"/>
          <w:color w:val="auto"/>
          <w:szCs w:val="21"/>
          <w:highlight w:val="none"/>
          <w:u w:val="single"/>
        </w:rPr>
        <w:t>依据设计图纸确定</w:t>
      </w:r>
      <w:r>
        <w:rPr>
          <w:rFonts w:ascii="宋体" w:hAnsi="宋体"/>
          <w:color w:val="auto"/>
          <w:kern w:val="0"/>
          <w:szCs w:val="21"/>
          <w:highlight w:val="none"/>
        </w:rPr>
        <w:t>。</w:t>
      </w:r>
    </w:p>
    <w:p w14:paraId="49FC47ED">
      <w:pPr>
        <w:spacing w:line="360" w:lineRule="auto"/>
        <w:ind w:firstLine="420" w:firstLineChars="200"/>
        <w:jc w:val="left"/>
        <w:rPr>
          <w:rFonts w:ascii="宋体" w:hAnsi="宋体"/>
          <w:color w:val="auto"/>
          <w:szCs w:val="21"/>
          <w:highlight w:val="none"/>
          <w:u w:val="single"/>
        </w:rPr>
      </w:pPr>
      <w:r>
        <w:rPr>
          <w:rFonts w:ascii="宋体" w:hAnsi="宋体"/>
          <w:color w:val="auto"/>
          <w:kern w:val="0"/>
          <w:szCs w:val="21"/>
          <w:highlight w:val="none"/>
        </w:rPr>
        <w:t>1.1.3.10 临时占地包括：</w:t>
      </w:r>
      <w:r>
        <w:rPr>
          <w:rFonts w:hint="eastAsia" w:ascii="宋体" w:hAnsi="宋体"/>
          <w:color w:val="auto"/>
          <w:kern w:val="0"/>
          <w:szCs w:val="21"/>
          <w:highlight w:val="none"/>
          <w:u w:val="single"/>
        </w:rPr>
        <w:t>发包人临时征用的取土和弃土场地，</w:t>
      </w:r>
      <w:r>
        <w:rPr>
          <w:rFonts w:hint="eastAsia" w:ascii="宋体" w:hAnsi="宋体"/>
          <w:color w:val="auto"/>
          <w:szCs w:val="21"/>
          <w:highlight w:val="none"/>
          <w:u w:val="single"/>
        </w:rPr>
        <w:t>以及承包人自行承担且为本工程服务的工人宿舍、施工单位项目部、监理单位项目部、材料仓库，其他为本工程服务的临时设施。</w:t>
      </w:r>
    </w:p>
    <w:p w14:paraId="40399D3E">
      <w:pPr>
        <w:keepNext/>
        <w:keepLines/>
        <w:spacing w:before="260" w:after="260" w:line="416" w:lineRule="auto"/>
        <w:outlineLvl w:val="2"/>
        <w:rPr>
          <w:rFonts w:ascii="宋体" w:hAnsi="宋体"/>
          <w:b/>
          <w:bCs/>
          <w:color w:val="auto"/>
          <w:sz w:val="32"/>
          <w:szCs w:val="32"/>
          <w:highlight w:val="none"/>
        </w:rPr>
      </w:pPr>
      <w:bookmarkStart w:id="119" w:name="_Toc373478341"/>
      <w:bookmarkStart w:id="120" w:name="_Toc472931601"/>
      <w:bookmarkStart w:id="121" w:name="_Toc470247795"/>
      <w:bookmarkStart w:id="122" w:name="_Toc454211105"/>
      <w:bookmarkStart w:id="123" w:name="_Toc531186597"/>
      <w:bookmarkStart w:id="124" w:name="_Toc411345174"/>
      <w:bookmarkStart w:id="125" w:name="_Toc530144462"/>
      <w:bookmarkStart w:id="126" w:name="_Toc373227694"/>
      <w:bookmarkStart w:id="127" w:name="_Toc461179235"/>
      <w:bookmarkStart w:id="128" w:name="_Toc529547320"/>
      <w:bookmarkStart w:id="129" w:name="_Toc529526968"/>
      <w:bookmarkStart w:id="130" w:name="_Toc453940967"/>
      <w:bookmarkStart w:id="131" w:name="_Toc389065260"/>
      <w:r>
        <w:rPr>
          <w:rFonts w:ascii="宋体" w:hAnsi="宋体"/>
          <w:b/>
          <w:bCs/>
          <w:color w:val="auto"/>
          <w:sz w:val="32"/>
          <w:szCs w:val="32"/>
          <w:highlight w:val="none"/>
        </w:rPr>
        <w:t>1.3法律</w:t>
      </w:r>
      <w:bookmarkEnd w:id="119"/>
      <w:bookmarkEnd w:id="120"/>
      <w:bookmarkEnd w:id="121"/>
      <w:bookmarkEnd w:id="122"/>
      <w:bookmarkEnd w:id="123"/>
      <w:bookmarkEnd w:id="124"/>
      <w:bookmarkEnd w:id="125"/>
      <w:bookmarkEnd w:id="126"/>
      <w:bookmarkEnd w:id="127"/>
      <w:bookmarkEnd w:id="128"/>
      <w:bookmarkEnd w:id="129"/>
      <w:bookmarkEnd w:id="130"/>
      <w:bookmarkEnd w:id="131"/>
    </w:p>
    <w:p w14:paraId="07F4C887">
      <w:pPr>
        <w:autoSpaceDE w:val="0"/>
        <w:autoSpaceDN w:val="0"/>
        <w:adjustRightInd w:val="0"/>
        <w:spacing w:line="360" w:lineRule="auto"/>
        <w:ind w:firstLine="420" w:firstLineChars="200"/>
        <w:jc w:val="left"/>
        <w:rPr>
          <w:rFonts w:ascii="宋体" w:hAnsi="宋体"/>
          <w:color w:val="auto"/>
          <w:szCs w:val="21"/>
          <w:highlight w:val="none"/>
          <w:u w:val="single"/>
        </w:rPr>
      </w:pPr>
      <w:r>
        <w:rPr>
          <w:rFonts w:ascii="宋体" w:hAnsi="宋体"/>
          <w:color w:val="auto"/>
          <w:szCs w:val="21"/>
          <w:highlight w:val="none"/>
        </w:rPr>
        <w:t>适用于合同的其他规范性文件：</w:t>
      </w:r>
      <w:r>
        <w:rPr>
          <w:rFonts w:hint="eastAsia" w:ascii="宋体" w:hAnsi="宋体"/>
          <w:color w:val="auto"/>
          <w:szCs w:val="21"/>
          <w:highlight w:val="none"/>
          <w:u w:val="single"/>
        </w:rPr>
        <w:t>工程所在地的政府及相关主管部门制定的规范性文件。</w:t>
      </w:r>
    </w:p>
    <w:p w14:paraId="5B0EC0A7">
      <w:pPr>
        <w:keepNext/>
        <w:keepLines/>
        <w:spacing w:before="260" w:after="260" w:line="416" w:lineRule="auto"/>
        <w:outlineLvl w:val="2"/>
        <w:rPr>
          <w:rFonts w:ascii="宋体" w:hAnsi="宋体"/>
          <w:b/>
          <w:bCs/>
          <w:color w:val="auto"/>
          <w:sz w:val="32"/>
          <w:szCs w:val="32"/>
          <w:highlight w:val="none"/>
        </w:rPr>
      </w:pPr>
      <w:bookmarkStart w:id="132" w:name="_Toc530144463"/>
      <w:bookmarkStart w:id="133" w:name="_Toc531186598"/>
      <w:bookmarkStart w:id="134" w:name="_Toc373478342"/>
      <w:bookmarkStart w:id="135" w:name="_Toc461179236"/>
      <w:bookmarkStart w:id="136" w:name="_Toc529526969"/>
      <w:bookmarkStart w:id="137" w:name="_Toc411345175"/>
      <w:bookmarkStart w:id="138" w:name="_Toc454211106"/>
      <w:bookmarkStart w:id="139" w:name="_Toc373227695"/>
      <w:bookmarkStart w:id="140" w:name="_Toc470247796"/>
      <w:bookmarkStart w:id="141" w:name="_Toc472931602"/>
      <w:bookmarkStart w:id="142" w:name="_Toc389065261"/>
      <w:bookmarkStart w:id="143" w:name="_Toc529547321"/>
      <w:bookmarkStart w:id="144" w:name="_Toc453940968"/>
      <w:r>
        <w:rPr>
          <w:rFonts w:ascii="宋体" w:hAnsi="宋体"/>
          <w:b/>
          <w:bCs/>
          <w:color w:val="auto"/>
          <w:sz w:val="32"/>
          <w:szCs w:val="32"/>
          <w:highlight w:val="none"/>
        </w:rPr>
        <w:t>1.4 标准和规范</w:t>
      </w:r>
      <w:bookmarkEnd w:id="132"/>
      <w:bookmarkEnd w:id="133"/>
      <w:bookmarkEnd w:id="134"/>
      <w:bookmarkEnd w:id="135"/>
      <w:bookmarkEnd w:id="136"/>
      <w:bookmarkEnd w:id="137"/>
      <w:bookmarkEnd w:id="138"/>
      <w:bookmarkEnd w:id="139"/>
      <w:bookmarkEnd w:id="140"/>
      <w:bookmarkEnd w:id="141"/>
      <w:bookmarkEnd w:id="142"/>
      <w:bookmarkEnd w:id="143"/>
      <w:bookmarkEnd w:id="144"/>
    </w:p>
    <w:p w14:paraId="33B41419">
      <w:pPr>
        <w:spacing w:line="360" w:lineRule="auto"/>
        <w:rPr>
          <w:rFonts w:ascii="宋体" w:hAnsi="宋体"/>
          <w:color w:val="auto"/>
          <w:szCs w:val="21"/>
          <w:highlight w:val="none"/>
        </w:rPr>
      </w:pPr>
      <w:r>
        <w:rPr>
          <w:rFonts w:ascii="宋体" w:hAnsi="宋体"/>
          <w:color w:val="auto"/>
          <w:szCs w:val="21"/>
          <w:highlight w:val="none"/>
        </w:rPr>
        <w:t>1.4.1适用于工程的标准规范包括：</w:t>
      </w:r>
      <w:r>
        <w:rPr>
          <w:rFonts w:ascii="宋体" w:hAnsi="宋体"/>
          <w:color w:val="auto"/>
          <w:szCs w:val="21"/>
          <w:highlight w:val="none"/>
          <w:u w:val="single"/>
        </w:rPr>
        <w:t></w:t>
      </w:r>
      <w:r>
        <w:rPr>
          <w:rFonts w:hint="eastAsia" w:ascii="宋体" w:hAnsi="宋体"/>
          <w:color w:val="auto"/>
          <w:szCs w:val="21"/>
          <w:highlight w:val="none"/>
          <w:u w:val="single"/>
        </w:rPr>
        <w:t>按通用合同条款</w:t>
      </w:r>
      <w:r>
        <w:rPr>
          <w:rFonts w:hint="eastAsia" w:ascii="宋体" w:hAnsi="宋体"/>
          <w:b/>
          <w:bCs/>
          <w:color w:val="auto"/>
          <w:szCs w:val="21"/>
          <w:highlight w:val="none"/>
          <w:u w:val="single"/>
        </w:rPr>
        <w:t>1.4</w:t>
      </w:r>
      <w:r>
        <w:rPr>
          <w:rFonts w:hint="eastAsia" w:ascii="宋体" w:hAnsi="宋体"/>
          <w:color w:val="auto"/>
          <w:szCs w:val="21"/>
          <w:highlight w:val="none"/>
          <w:u w:val="single"/>
        </w:rPr>
        <w:t>条执行</w:t>
      </w:r>
      <w:r>
        <w:rPr>
          <w:rFonts w:ascii="宋体" w:hAnsi="宋体"/>
          <w:color w:val="auto"/>
          <w:szCs w:val="21"/>
          <w:highlight w:val="none"/>
        </w:rPr>
        <w:t>。</w:t>
      </w:r>
    </w:p>
    <w:p w14:paraId="1A62D78E">
      <w:pPr>
        <w:spacing w:line="360" w:lineRule="auto"/>
        <w:rPr>
          <w:rFonts w:ascii="宋体" w:hAnsi="宋体"/>
          <w:color w:val="auto"/>
          <w:kern w:val="0"/>
          <w:szCs w:val="21"/>
          <w:highlight w:val="none"/>
        </w:rPr>
      </w:pPr>
      <w:r>
        <w:rPr>
          <w:rFonts w:ascii="宋体" w:hAnsi="宋体"/>
          <w:color w:val="auto"/>
          <w:kern w:val="0"/>
          <w:szCs w:val="21"/>
          <w:highlight w:val="none"/>
        </w:rPr>
        <w:t>1.4.2 发包人提供国外标准、规范的名称：</w:t>
      </w:r>
      <w:r>
        <w:rPr>
          <w:rFonts w:hint="eastAsia" w:ascii="宋体" w:hAnsi="宋体"/>
          <w:color w:val="auto"/>
          <w:szCs w:val="21"/>
          <w:highlight w:val="none"/>
          <w:u w:val="single"/>
        </w:rPr>
        <w:t>无</w:t>
      </w:r>
      <w:r>
        <w:rPr>
          <w:rFonts w:hint="eastAsia" w:ascii="宋体" w:hAnsi="宋体"/>
          <w:color w:val="auto"/>
          <w:szCs w:val="21"/>
          <w:highlight w:val="none"/>
        </w:rPr>
        <w:t>；</w:t>
      </w:r>
    </w:p>
    <w:p w14:paraId="25FFDC24">
      <w:pPr>
        <w:spacing w:line="360" w:lineRule="auto"/>
        <w:ind w:firstLine="420" w:firstLineChars="200"/>
        <w:rPr>
          <w:rFonts w:ascii="宋体" w:hAnsi="宋体"/>
          <w:color w:val="auto"/>
          <w:kern w:val="0"/>
          <w:szCs w:val="21"/>
          <w:highlight w:val="none"/>
        </w:rPr>
      </w:pPr>
      <w:r>
        <w:rPr>
          <w:rFonts w:ascii="宋体" w:hAnsi="宋体"/>
          <w:color w:val="auto"/>
          <w:kern w:val="0"/>
          <w:szCs w:val="21"/>
          <w:highlight w:val="none"/>
        </w:rPr>
        <w:t>发包人提供国外标准、规范的份数：</w:t>
      </w:r>
      <w:r>
        <w:rPr>
          <w:rFonts w:hint="eastAsia" w:ascii="宋体" w:hAnsi="宋体"/>
          <w:color w:val="auto"/>
          <w:kern w:val="0"/>
          <w:szCs w:val="21"/>
          <w:highlight w:val="none"/>
          <w:u w:val="single"/>
        </w:rPr>
        <w:t>无</w:t>
      </w:r>
      <w:r>
        <w:rPr>
          <w:rFonts w:ascii="宋体" w:hAnsi="宋体"/>
          <w:color w:val="auto"/>
          <w:kern w:val="0"/>
          <w:szCs w:val="21"/>
          <w:highlight w:val="none"/>
        </w:rPr>
        <w:t>；</w:t>
      </w:r>
    </w:p>
    <w:p w14:paraId="4C238375">
      <w:pPr>
        <w:spacing w:line="360" w:lineRule="auto"/>
        <w:ind w:firstLine="420" w:firstLineChars="200"/>
        <w:rPr>
          <w:rFonts w:ascii="宋体" w:hAnsi="宋体"/>
          <w:color w:val="auto"/>
          <w:szCs w:val="21"/>
          <w:highlight w:val="none"/>
        </w:rPr>
      </w:pPr>
      <w:r>
        <w:rPr>
          <w:rFonts w:ascii="宋体" w:hAnsi="宋体"/>
          <w:color w:val="auto"/>
          <w:kern w:val="0"/>
          <w:szCs w:val="21"/>
          <w:highlight w:val="none"/>
        </w:rPr>
        <w:t>发包人提供国外标准、规范的名称：</w:t>
      </w:r>
      <w:r>
        <w:rPr>
          <w:rFonts w:hint="eastAsia" w:ascii="宋体" w:hAnsi="宋体"/>
          <w:color w:val="auto"/>
          <w:kern w:val="0"/>
          <w:szCs w:val="21"/>
          <w:highlight w:val="none"/>
          <w:u w:val="single"/>
        </w:rPr>
        <w:t>无</w:t>
      </w:r>
      <w:r>
        <w:rPr>
          <w:rFonts w:ascii="宋体" w:hAnsi="宋体"/>
          <w:color w:val="auto"/>
          <w:kern w:val="0"/>
          <w:szCs w:val="21"/>
          <w:highlight w:val="none"/>
        </w:rPr>
        <w:t>。</w:t>
      </w:r>
    </w:p>
    <w:p w14:paraId="48F1E55F">
      <w:pPr>
        <w:spacing w:line="360" w:lineRule="auto"/>
        <w:ind w:firstLine="420" w:firstLineChars="200"/>
        <w:rPr>
          <w:rFonts w:ascii="宋体" w:hAnsi="宋体"/>
          <w:color w:val="auto"/>
          <w:szCs w:val="21"/>
          <w:highlight w:val="none"/>
        </w:rPr>
      </w:pPr>
      <w:r>
        <w:rPr>
          <w:rFonts w:ascii="宋体" w:hAnsi="宋体"/>
          <w:color w:val="auto"/>
          <w:szCs w:val="21"/>
          <w:highlight w:val="none"/>
        </w:rPr>
        <w:t>1.4.3发包人对工程的技术标准和功能要求的特殊要求：</w:t>
      </w:r>
      <w:r>
        <w:rPr>
          <w:rFonts w:hint="eastAsia" w:ascii="宋体" w:hAnsi="宋体"/>
          <w:color w:val="auto"/>
          <w:szCs w:val="21"/>
          <w:highlight w:val="none"/>
          <w:u w:val="single"/>
        </w:rPr>
        <w:t xml:space="preserve"> 无</w:t>
      </w:r>
      <w:r>
        <w:rPr>
          <w:rFonts w:ascii="宋体" w:hAnsi="宋体"/>
          <w:color w:val="auto"/>
          <w:szCs w:val="21"/>
          <w:highlight w:val="none"/>
        </w:rPr>
        <w:t>。</w:t>
      </w:r>
    </w:p>
    <w:p w14:paraId="5FB71C75">
      <w:pPr>
        <w:keepNext/>
        <w:keepLines/>
        <w:spacing w:before="260" w:after="260" w:line="416" w:lineRule="auto"/>
        <w:outlineLvl w:val="2"/>
        <w:rPr>
          <w:rFonts w:ascii="宋体" w:hAnsi="宋体"/>
          <w:b/>
          <w:bCs/>
          <w:color w:val="auto"/>
          <w:sz w:val="32"/>
          <w:szCs w:val="32"/>
          <w:highlight w:val="none"/>
        </w:rPr>
      </w:pPr>
      <w:bookmarkStart w:id="145" w:name="_Toc461179237"/>
      <w:bookmarkStart w:id="146" w:name="_Toc373478343"/>
      <w:bookmarkStart w:id="147" w:name="_Toc453940969"/>
      <w:bookmarkStart w:id="148" w:name="_Toc531186599"/>
      <w:bookmarkStart w:id="149" w:name="_Toc389065262"/>
      <w:bookmarkStart w:id="150" w:name="_Toc530144464"/>
      <w:bookmarkStart w:id="151" w:name="_Toc373227696"/>
      <w:bookmarkStart w:id="152" w:name="_Toc454211107"/>
      <w:bookmarkStart w:id="153" w:name="_Toc529547322"/>
      <w:bookmarkStart w:id="154" w:name="_Toc529526970"/>
      <w:bookmarkStart w:id="155" w:name="_Toc472931603"/>
      <w:bookmarkStart w:id="156" w:name="_Toc411345176"/>
      <w:bookmarkStart w:id="157" w:name="_Toc470247797"/>
      <w:r>
        <w:rPr>
          <w:rFonts w:ascii="宋体" w:hAnsi="宋体"/>
          <w:b/>
          <w:bCs/>
          <w:color w:val="auto"/>
          <w:sz w:val="32"/>
          <w:szCs w:val="32"/>
          <w:highlight w:val="none"/>
        </w:rPr>
        <w:t>1.5 合同文件的优先顺序</w:t>
      </w:r>
      <w:bookmarkEnd w:id="145"/>
      <w:bookmarkEnd w:id="146"/>
      <w:bookmarkEnd w:id="147"/>
      <w:bookmarkEnd w:id="148"/>
      <w:bookmarkEnd w:id="149"/>
      <w:bookmarkEnd w:id="150"/>
      <w:bookmarkEnd w:id="151"/>
      <w:bookmarkEnd w:id="152"/>
      <w:bookmarkEnd w:id="153"/>
      <w:bookmarkEnd w:id="154"/>
      <w:bookmarkEnd w:id="155"/>
      <w:bookmarkEnd w:id="156"/>
      <w:bookmarkEnd w:id="157"/>
    </w:p>
    <w:p w14:paraId="0D6919D4">
      <w:pPr>
        <w:spacing w:line="360" w:lineRule="auto"/>
        <w:ind w:firstLine="420" w:firstLineChars="200"/>
        <w:rPr>
          <w:rFonts w:ascii="宋体" w:hAnsi="宋体"/>
          <w:color w:val="auto"/>
          <w:szCs w:val="21"/>
          <w:highlight w:val="none"/>
        </w:rPr>
      </w:pPr>
      <w:r>
        <w:rPr>
          <w:rFonts w:ascii="宋体" w:hAnsi="宋体"/>
          <w:color w:val="auto"/>
          <w:szCs w:val="21"/>
          <w:highlight w:val="none"/>
        </w:rPr>
        <w:t>合同文件组成及优先顺序为：</w:t>
      </w:r>
    </w:p>
    <w:p w14:paraId="49D25CD7">
      <w:pPr>
        <w:spacing w:line="360" w:lineRule="auto"/>
        <w:ind w:firstLine="420" w:firstLineChars="200"/>
        <w:rPr>
          <w:rFonts w:ascii="宋体" w:hAnsi="宋体"/>
          <w:color w:val="auto"/>
          <w:kern w:val="0"/>
          <w:szCs w:val="21"/>
          <w:highlight w:val="none"/>
        </w:rPr>
      </w:pPr>
      <w:r>
        <w:rPr>
          <w:rFonts w:ascii="宋体" w:hAnsi="宋体"/>
          <w:color w:val="auto"/>
          <w:kern w:val="0"/>
          <w:szCs w:val="21"/>
          <w:highlight w:val="none"/>
        </w:rPr>
        <w:t>（1）</w:t>
      </w:r>
      <w:r>
        <w:rPr>
          <w:rFonts w:hint="eastAsia" w:ascii="宋体" w:hAnsi="宋体"/>
          <w:color w:val="auto"/>
          <w:kern w:val="0"/>
          <w:szCs w:val="21"/>
          <w:highlight w:val="none"/>
        </w:rPr>
        <w:t>合同协议书;</w:t>
      </w:r>
    </w:p>
    <w:p w14:paraId="0C5E9A62">
      <w:pPr>
        <w:spacing w:line="360" w:lineRule="auto"/>
        <w:ind w:firstLine="420" w:firstLineChars="200"/>
        <w:rPr>
          <w:rFonts w:ascii="宋体" w:hAnsi="宋体"/>
          <w:color w:val="auto"/>
          <w:kern w:val="0"/>
          <w:szCs w:val="21"/>
          <w:highlight w:val="none"/>
        </w:rPr>
      </w:pPr>
      <w:r>
        <w:rPr>
          <w:rFonts w:ascii="宋体" w:hAnsi="宋体"/>
          <w:color w:val="auto"/>
          <w:kern w:val="0"/>
          <w:szCs w:val="21"/>
          <w:highlight w:val="none"/>
        </w:rPr>
        <w:t>（2）中标通知书（如果有）；</w:t>
      </w:r>
    </w:p>
    <w:p w14:paraId="11D58739">
      <w:pPr>
        <w:spacing w:line="360" w:lineRule="auto"/>
        <w:ind w:firstLine="420" w:firstLineChars="200"/>
        <w:rPr>
          <w:rFonts w:ascii="宋体" w:hAnsi="宋体"/>
          <w:color w:val="auto"/>
          <w:kern w:val="0"/>
          <w:szCs w:val="21"/>
          <w:highlight w:val="none"/>
        </w:rPr>
      </w:pPr>
      <w:r>
        <w:rPr>
          <w:rFonts w:ascii="宋体" w:hAnsi="宋体"/>
          <w:color w:val="auto"/>
          <w:kern w:val="0"/>
          <w:szCs w:val="21"/>
          <w:highlight w:val="none"/>
        </w:rPr>
        <w:t>（3）投标函及其附录（如果有）；</w:t>
      </w:r>
    </w:p>
    <w:p w14:paraId="24D7F6A1">
      <w:pPr>
        <w:spacing w:line="360" w:lineRule="auto"/>
        <w:ind w:firstLine="420" w:firstLineChars="200"/>
        <w:rPr>
          <w:rFonts w:ascii="宋体" w:hAnsi="宋体"/>
          <w:color w:val="auto"/>
          <w:kern w:val="0"/>
          <w:szCs w:val="21"/>
          <w:highlight w:val="none"/>
        </w:rPr>
      </w:pPr>
      <w:r>
        <w:rPr>
          <w:rFonts w:ascii="宋体" w:hAnsi="宋体"/>
          <w:color w:val="auto"/>
          <w:kern w:val="0"/>
          <w:szCs w:val="21"/>
          <w:highlight w:val="none"/>
        </w:rPr>
        <w:t>（4）专用合同条款及其附件；</w:t>
      </w:r>
    </w:p>
    <w:p w14:paraId="663F3E99">
      <w:pPr>
        <w:spacing w:line="360" w:lineRule="auto"/>
        <w:ind w:firstLine="420" w:firstLineChars="200"/>
        <w:rPr>
          <w:rFonts w:ascii="宋体" w:hAnsi="宋体"/>
          <w:color w:val="auto"/>
          <w:kern w:val="0"/>
          <w:szCs w:val="21"/>
          <w:highlight w:val="none"/>
        </w:rPr>
      </w:pPr>
      <w:r>
        <w:rPr>
          <w:rFonts w:ascii="宋体" w:hAnsi="宋体"/>
          <w:color w:val="auto"/>
          <w:kern w:val="0"/>
          <w:szCs w:val="21"/>
          <w:highlight w:val="none"/>
        </w:rPr>
        <w:t>（5）通用合同条款；</w:t>
      </w:r>
    </w:p>
    <w:p w14:paraId="3142E6EE">
      <w:pPr>
        <w:spacing w:line="360" w:lineRule="auto"/>
        <w:ind w:firstLine="420" w:firstLineChars="200"/>
        <w:rPr>
          <w:rFonts w:ascii="宋体" w:hAnsi="宋体"/>
          <w:color w:val="auto"/>
          <w:kern w:val="0"/>
          <w:szCs w:val="21"/>
          <w:highlight w:val="none"/>
        </w:rPr>
      </w:pPr>
      <w:r>
        <w:rPr>
          <w:rFonts w:ascii="宋体" w:hAnsi="宋体"/>
          <w:color w:val="auto"/>
          <w:kern w:val="0"/>
          <w:szCs w:val="21"/>
          <w:highlight w:val="none"/>
        </w:rPr>
        <w:t>（6）</w:t>
      </w:r>
      <w:r>
        <w:rPr>
          <w:rFonts w:hint="eastAsia" w:ascii="宋体" w:hAnsi="宋体"/>
          <w:color w:val="auto"/>
          <w:kern w:val="0"/>
          <w:szCs w:val="21"/>
          <w:highlight w:val="none"/>
          <w:u w:val="single"/>
        </w:rPr>
        <w:t xml:space="preserve">技术标准和要求  </w:t>
      </w:r>
      <w:r>
        <w:rPr>
          <w:rFonts w:ascii="宋体" w:hAnsi="宋体"/>
          <w:color w:val="auto"/>
          <w:kern w:val="0"/>
          <w:szCs w:val="21"/>
          <w:highlight w:val="none"/>
        </w:rPr>
        <w:t>；</w:t>
      </w:r>
    </w:p>
    <w:p w14:paraId="2085132C">
      <w:pPr>
        <w:spacing w:line="360" w:lineRule="auto"/>
        <w:ind w:firstLine="420" w:firstLineChars="200"/>
        <w:rPr>
          <w:rFonts w:ascii="宋体" w:hAnsi="宋体"/>
          <w:color w:val="auto"/>
          <w:kern w:val="0"/>
          <w:szCs w:val="21"/>
          <w:highlight w:val="none"/>
        </w:rPr>
      </w:pPr>
      <w:r>
        <w:rPr>
          <w:rFonts w:ascii="宋体" w:hAnsi="宋体"/>
          <w:color w:val="auto"/>
          <w:kern w:val="0"/>
          <w:szCs w:val="21"/>
          <w:highlight w:val="none"/>
        </w:rPr>
        <w:t>（7）</w:t>
      </w:r>
      <w:r>
        <w:rPr>
          <w:rFonts w:hint="eastAsia" w:ascii="宋体" w:hAnsi="宋体"/>
          <w:color w:val="auto"/>
          <w:kern w:val="0"/>
          <w:szCs w:val="21"/>
          <w:highlight w:val="none"/>
          <w:u w:val="single"/>
        </w:rPr>
        <w:t xml:space="preserve">图纸  </w:t>
      </w:r>
      <w:r>
        <w:rPr>
          <w:rFonts w:ascii="宋体" w:hAnsi="宋体"/>
          <w:color w:val="auto"/>
          <w:kern w:val="0"/>
          <w:szCs w:val="21"/>
          <w:highlight w:val="none"/>
        </w:rPr>
        <w:t>；</w:t>
      </w:r>
    </w:p>
    <w:p w14:paraId="0EA86D0F">
      <w:pPr>
        <w:spacing w:line="360" w:lineRule="auto"/>
        <w:ind w:firstLine="420" w:firstLineChars="200"/>
        <w:rPr>
          <w:rFonts w:ascii="宋体" w:hAnsi="宋体"/>
          <w:color w:val="auto"/>
          <w:kern w:val="0"/>
          <w:szCs w:val="21"/>
          <w:highlight w:val="none"/>
        </w:rPr>
      </w:pPr>
      <w:r>
        <w:rPr>
          <w:rFonts w:ascii="宋体" w:hAnsi="宋体"/>
          <w:color w:val="auto"/>
          <w:kern w:val="0"/>
          <w:szCs w:val="21"/>
          <w:highlight w:val="none"/>
        </w:rPr>
        <w:t>（8）</w:t>
      </w:r>
      <w:r>
        <w:rPr>
          <w:rFonts w:hint="eastAsia" w:ascii="宋体" w:hAnsi="宋体"/>
          <w:color w:val="auto"/>
          <w:kern w:val="0"/>
          <w:szCs w:val="21"/>
          <w:highlight w:val="none"/>
          <w:u w:val="single"/>
        </w:rPr>
        <w:t xml:space="preserve">已标价工程量清单或预算书  </w:t>
      </w:r>
      <w:r>
        <w:rPr>
          <w:rFonts w:ascii="宋体" w:hAnsi="宋体"/>
          <w:color w:val="auto"/>
          <w:kern w:val="0"/>
          <w:szCs w:val="21"/>
          <w:highlight w:val="none"/>
        </w:rPr>
        <w:t>；</w:t>
      </w:r>
    </w:p>
    <w:p w14:paraId="10F5DFAA">
      <w:pPr>
        <w:spacing w:line="360" w:lineRule="auto"/>
        <w:ind w:firstLine="420" w:firstLineChars="200"/>
        <w:rPr>
          <w:rFonts w:ascii="宋体" w:hAnsi="宋体"/>
          <w:color w:val="auto"/>
          <w:kern w:val="0"/>
          <w:szCs w:val="21"/>
          <w:highlight w:val="none"/>
        </w:rPr>
      </w:pPr>
      <w:r>
        <w:rPr>
          <w:rFonts w:ascii="Calibri" w:hAnsi="宋体"/>
          <w:color w:val="auto"/>
          <w:kern w:val="0"/>
          <w:szCs w:val="21"/>
          <w:highlight w:val="none"/>
        </w:rPr>
        <w:t>（</w:t>
      </w:r>
      <w:r>
        <w:rPr>
          <w:rFonts w:hint="eastAsia" w:ascii="Calibri" w:hAnsi="宋体"/>
          <w:color w:val="auto"/>
          <w:kern w:val="0"/>
          <w:szCs w:val="21"/>
          <w:highlight w:val="none"/>
        </w:rPr>
        <w:t>9</w:t>
      </w:r>
      <w:r>
        <w:rPr>
          <w:rFonts w:ascii="Calibri" w:hAnsi="宋体"/>
          <w:color w:val="auto"/>
          <w:kern w:val="0"/>
          <w:szCs w:val="21"/>
          <w:highlight w:val="none"/>
        </w:rPr>
        <w:t>）</w:t>
      </w:r>
      <w:r>
        <w:rPr>
          <w:rFonts w:hint="eastAsia" w:ascii="宋体" w:hAnsi="宋体"/>
          <w:color w:val="auto"/>
          <w:kern w:val="0"/>
          <w:szCs w:val="21"/>
          <w:highlight w:val="none"/>
          <w:u w:val="single"/>
        </w:rPr>
        <w:t xml:space="preserve"> 其他合同文件                   </w:t>
      </w:r>
      <w:r>
        <w:rPr>
          <w:rFonts w:ascii="宋体" w:hAnsi="宋体"/>
          <w:color w:val="auto"/>
          <w:kern w:val="0"/>
          <w:szCs w:val="21"/>
          <w:highlight w:val="none"/>
        </w:rPr>
        <w:t>。</w:t>
      </w:r>
    </w:p>
    <w:p w14:paraId="52529905">
      <w:pPr>
        <w:spacing w:line="360" w:lineRule="auto"/>
        <w:ind w:firstLine="420" w:firstLineChars="200"/>
        <w:rPr>
          <w:rFonts w:ascii="Calibri" w:hAnsi="宋体"/>
          <w:color w:val="auto"/>
          <w:kern w:val="0"/>
          <w:szCs w:val="21"/>
          <w:highlight w:val="none"/>
        </w:rPr>
      </w:pPr>
      <w:bookmarkStart w:id="158" w:name="_Toc389065263"/>
      <w:bookmarkStart w:id="159" w:name="_Toc411345177"/>
      <w:bookmarkStart w:id="160" w:name="_Toc373227697"/>
      <w:bookmarkStart w:id="161" w:name="_Toc373478344"/>
      <w:r>
        <w:rPr>
          <w:rFonts w:hint="eastAsia" w:ascii="Calibri" w:hAnsi="宋体"/>
          <w:color w:val="auto"/>
          <w:kern w:val="0"/>
          <w:szCs w:val="21"/>
          <w:highlight w:val="none"/>
        </w:rPr>
        <w:t>（10）《</w:t>
      </w:r>
      <w:r>
        <w:rPr>
          <w:rFonts w:ascii="Calibri" w:hAnsi="宋体"/>
          <w:color w:val="auto"/>
          <w:kern w:val="0"/>
          <w:szCs w:val="21"/>
          <w:highlight w:val="none"/>
        </w:rPr>
        <w:t>建设工程工程量清单计价规范（GB5050-2013）</w:t>
      </w:r>
      <w:r>
        <w:rPr>
          <w:rFonts w:hint="eastAsia" w:ascii="Calibri" w:hAnsi="宋体"/>
          <w:color w:val="auto"/>
          <w:kern w:val="0"/>
          <w:szCs w:val="21"/>
          <w:highlight w:val="none"/>
        </w:rPr>
        <w:t>》及其</w:t>
      </w:r>
      <w:r>
        <w:rPr>
          <w:rFonts w:ascii="Calibri" w:hAnsi="宋体"/>
          <w:color w:val="auto"/>
          <w:kern w:val="0"/>
          <w:szCs w:val="21"/>
          <w:highlight w:val="none"/>
        </w:rPr>
        <w:t>广西实施细则</w:t>
      </w:r>
      <w:r>
        <w:rPr>
          <w:rFonts w:hint="eastAsia" w:ascii="Calibri" w:hAnsi="宋体"/>
          <w:color w:val="auto"/>
          <w:kern w:val="0"/>
          <w:szCs w:val="21"/>
          <w:highlight w:val="none"/>
        </w:rPr>
        <w:t>及《关于建筑业实施营业税改征增值税后广西壮族自治区建设工程计价依据调整的通知》（桂建标〔2016〕17号）、《</w:t>
      </w:r>
      <w:r>
        <w:rPr>
          <w:rFonts w:ascii="Calibri" w:hAnsi="宋体"/>
          <w:color w:val="auto"/>
          <w:kern w:val="0"/>
          <w:szCs w:val="21"/>
          <w:highlight w:val="none"/>
        </w:rPr>
        <w:t>建设工程工程量清单计</w:t>
      </w:r>
      <w:r>
        <w:rPr>
          <w:rFonts w:hint="eastAsia" w:ascii="Calibri" w:hAnsi="宋体"/>
          <w:color w:val="auto"/>
          <w:kern w:val="0"/>
          <w:szCs w:val="21"/>
          <w:highlight w:val="none"/>
        </w:rPr>
        <w:t>算</w:t>
      </w:r>
      <w:r>
        <w:rPr>
          <w:rFonts w:ascii="Calibri" w:hAnsi="宋体"/>
          <w:color w:val="auto"/>
          <w:kern w:val="0"/>
          <w:szCs w:val="21"/>
          <w:highlight w:val="none"/>
        </w:rPr>
        <w:t>规范（GB5</w:t>
      </w:r>
      <w:r>
        <w:rPr>
          <w:rFonts w:hint="eastAsia" w:ascii="Calibri" w:hAnsi="宋体"/>
          <w:color w:val="auto"/>
          <w:kern w:val="0"/>
          <w:szCs w:val="21"/>
          <w:highlight w:val="none"/>
        </w:rPr>
        <w:t>854~50862</w:t>
      </w:r>
      <w:r>
        <w:rPr>
          <w:rFonts w:ascii="Calibri" w:hAnsi="宋体"/>
          <w:color w:val="auto"/>
          <w:kern w:val="0"/>
          <w:szCs w:val="21"/>
          <w:highlight w:val="none"/>
        </w:rPr>
        <w:t>-2013）</w:t>
      </w:r>
      <w:r>
        <w:rPr>
          <w:rFonts w:hint="eastAsia" w:ascii="Calibri" w:hAnsi="宋体"/>
          <w:color w:val="auto"/>
          <w:kern w:val="0"/>
          <w:szCs w:val="21"/>
          <w:highlight w:val="none"/>
        </w:rPr>
        <w:t>》及其</w:t>
      </w:r>
      <w:r>
        <w:rPr>
          <w:rFonts w:ascii="Calibri" w:hAnsi="宋体"/>
          <w:color w:val="auto"/>
          <w:kern w:val="0"/>
          <w:szCs w:val="21"/>
          <w:highlight w:val="none"/>
        </w:rPr>
        <w:t>广西实施细则</w:t>
      </w:r>
      <w:r>
        <w:rPr>
          <w:rFonts w:hint="eastAsia" w:ascii="Calibri" w:hAnsi="宋体"/>
          <w:color w:val="auto"/>
          <w:kern w:val="0"/>
          <w:szCs w:val="21"/>
          <w:highlight w:val="none"/>
        </w:rPr>
        <w:t>（修订本）</w:t>
      </w:r>
      <w:r>
        <w:rPr>
          <w:rFonts w:ascii="Calibri" w:hAnsi="宋体"/>
          <w:color w:val="auto"/>
          <w:kern w:val="0"/>
          <w:szCs w:val="21"/>
          <w:highlight w:val="none"/>
        </w:rPr>
        <w:t>。</w:t>
      </w:r>
    </w:p>
    <w:p w14:paraId="5A3CB1B3">
      <w:pPr>
        <w:spacing w:line="360" w:lineRule="auto"/>
        <w:ind w:firstLine="420" w:firstLineChars="200"/>
        <w:rPr>
          <w:rFonts w:ascii="Calibri" w:hAnsi="Calibri"/>
          <w:color w:val="auto"/>
          <w:szCs w:val="21"/>
          <w:highlight w:val="none"/>
        </w:rPr>
      </w:pPr>
      <w:r>
        <w:rPr>
          <w:rFonts w:ascii="Calibri" w:hAnsi="宋体"/>
          <w:color w:val="auto"/>
          <w:kern w:val="0"/>
          <w:szCs w:val="21"/>
          <w:highlight w:val="none"/>
        </w:rPr>
        <w:t>说明：</w:t>
      </w:r>
      <w:r>
        <w:rPr>
          <w:rFonts w:hint="eastAsia" w:ascii="Calibri" w:hAnsi="宋体"/>
          <w:color w:val="auto"/>
          <w:kern w:val="0"/>
          <w:szCs w:val="21"/>
          <w:highlight w:val="none"/>
        </w:rPr>
        <w:t>（6）、（7）</w:t>
      </w:r>
      <w:r>
        <w:rPr>
          <w:rFonts w:ascii="Calibri" w:hAnsi="宋体"/>
          <w:color w:val="auto"/>
          <w:kern w:val="0"/>
          <w:szCs w:val="21"/>
          <w:highlight w:val="none"/>
        </w:rPr>
        <w:t>、</w:t>
      </w:r>
      <w:r>
        <w:rPr>
          <w:rFonts w:hint="eastAsia" w:ascii="Calibri" w:hAnsi="宋体"/>
          <w:color w:val="auto"/>
          <w:kern w:val="0"/>
          <w:szCs w:val="21"/>
          <w:highlight w:val="none"/>
        </w:rPr>
        <w:t>（8）</w:t>
      </w:r>
      <w:r>
        <w:rPr>
          <w:rFonts w:ascii="Calibri" w:hAnsi="宋体"/>
          <w:color w:val="auto"/>
          <w:kern w:val="0"/>
          <w:szCs w:val="21"/>
          <w:highlight w:val="none"/>
        </w:rPr>
        <w:t>、</w:t>
      </w:r>
      <w:r>
        <w:rPr>
          <w:rFonts w:hint="eastAsia" w:ascii="Calibri" w:hAnsi="宋体"/>
          <w:color w:val="auto"/>
          <w:kern w:val="0"/>
          <w:szCs w:val="21"/>
          <w:highlight w:val="none"/>
        </w:rPr>
        <w:t>（9）</w:t>
      </w:r>
      <w:r>
        <w:rPr>
          <w:rFonts w:ascii="Calibri" w:hAnsi="宋体"/>
          <w:color w:val="auto"/>
          <w:kern w:val="0"/>
          <w:szCs w:val="21"/>
          <w:highlight w:val="none"/>
        </w:rPr>
        <w:t>填空内容分别限于技术标准和要求、图纸、已标价工程量清单</w:t>
      </w:r>
      <w:r>
        <w:rPr>
          <w:rFonts w:hint="eastAsia" w:ascii="Calibri" w:hAnsi="宋体"/>
          <w:color w:val="auto"/>
          <w:kern w:val="0"/>
          <w:szCs w:val="21"/>
          <w:highlight w:val="none"/>
        </w:rPr>
        <w:t>或预算书、</w:t>
      </w:r>
      <w:r>
        <w:rPr>
          <w:rFonts w:ascii="Calibri" w:hAnsi="宋体"/>
          <w:color w:val="auto"/>
          <w:kern w:val="0"/>
          <w:szCs w:val="21"/>
          <w:highlight w:val="none"/>
        </w:rPr>
        <w:t>其他合同文件</w:t>
      </w:r>
      <w:r>
        <w:rPr>
          <w:rFonts w:hint="eastAsia" w:ascii="Calibri" w:hAnsi="宋体"/>
          <w:color w:val="auto"/>
          <w:kern w:val="0"/>
          <w:szCs w:val="21"/>
          <w:highlight w:val="none"/>
        </w:rPr>
        <w:t>四</w:t>
      </w:r>
      <w:r>
        <w:rPr>
          <w:rFonts w:ascii="Calibri" w:hAnsi="宋体"/>
          <w:color w:val="auto"/>
          <w:kern w:val="0"/>
          <w:szCs w:val="21"/>
          <w:highlight w:val="none"/>
        </w:rPr>
        <w:t>者之一</w:t>
      </w:r>
      <w:r>
        <w:rPr>
          <w:rFonts w:hint="eastAsia" w:ascii="Calibri" w:hAnsi="宋体"/>
          <w:color w:val="auto"/>
          <w:kern w:val="0"/>
          <w:szCs w:val="21"/>
          <w:highlight w:val="none"/>
        </w:rPr>
        <w:t>，其优先顺序可根据采取的不同合同方式由双方约定</w:t>
      </w:r>
      <w:r>
        <w:rPr>
          <w:rFonts w:ascii="Calibri" w:hAnsi="宋体"/>
          <w:color w:val="auto"/>
          <w:kern w:val="0"/>
          <w:szCs w:val="21"/>
          <w:highlight w:val="none"/>
        </w:rPr>
        <w:t>。</w:t>
      </w:r>
    </w:p>
    <w:p w14:paraId="07A1158C">
      <w:pPr>
        <w:keepNext/>
        <w:keepLines/>
        <w:spacing w:before="260" w:after="260" w:line="416" w:lineRule="auto"/>
        <w:outlineLvl w:val="2"/>
        <w:rPr>
          <w:rFonts w:ascii="宋体" w:hAnsi="宋体"/>
          <w:b/>
          <w:bCs/>
          <w:color w:val="auto"/>
          <w:sz w:val="32"/>
          <w:szCs w:val="32"/>
          <w:highlight w:val="none"/>
        </w:rPr>
      </w:pPr>
      <w:bookmarkStart w:id="162" w:name="_Toc531186600"/>
      <w:bookmarkStart w:id="163" w:name="_Toc453940970"/>
      <w:bookmarkStart w:id="164" w:name="_Toc470247798"/>
      <w:bookmarkStart w:id="165" w:name="_Toc529547323"/>
      <w:bookmarkStart w:id="166" w:name="_Toc461179238"/>
      <w:bookmarkStart w:id="167" w:name="_Toc529526971"/>
      <w:bookmarkStart w:id="168" w:name="_Toc472931604"/>
      <w:bookmarkStart w:id="169" w:name="_Toc530144465"/>
      <w:bookmarkStart w:id="170" w:name="_Toc454211108"/>
      <w:r>
        <w:rPr>
          <w:rFonts w:ascii="宋体" w:hAnsi="宋体"/>
          <w:b/>
          <w:bCs/>
          <w:color w:val="auto"/>
          <w:sz w:val="32"/>
          <w:szCs w:val="32"/>
          <w:highlight w:val="none"/>
        </w:rPr>
        <w:t>1.6 图纸和承包人文件</w:t>
      </w:r>
      <w:bookmarkEnd w:id="158"/>
      <w:bookmarkEnd w:id="159"/>
      <w:bookmarkEnd w:id="160"/>
      <w:bookmarkEnd w:id="161"/>
      <w:bookmarkEnd w:id="162"/>
      <w:bookmarkEnd w:id="163"/>
      <w:bookmarkEnd w:id="164"/>
      <w:bookmarkEnd w:id="165"/>
      <w:bookmarkEnd w:id="166"/>
      <w:bookmarkEnd w:id="167"/>
      <w:bookmarkEnd w:id="168"/>
      <w:bookmarkEnd w:id="169"/>
      <w:bookmarkEnd w:id="170"/>
      <w:r>
        <w:rPr>
          <w:rFonts w:ascii="宋体" w:hAnsi="宋体"/>
          <w:b/>
          <w:bCs/>
          <w:color w:val="auto"/>
          <w:sz w:val="32"/>
          <w:szCs w:val="32"/>
          <w:highlight w:val="none"/>
        </w:rPr>
        <w:tab/>
      </w:r>
    </w:p>
    <w:p w14:paraId="74DA6268">
      <w:pPr>
        <w:spacing w:line="360" w:lineRule="auto"/>
        <w:ind w:firstLine="420" w:firstLineChars="200"/>
        <w:rPr>
          <w:rFonts w:ascii="宋体" w:hAnsi="宋体"/>
          <w:color w:val="auto"/>
          <w:szCs w:val="21"/>
          <w:highlight w:val="none"/>
        </w:rPr>
      </w:pPr>
      <w:r>
        <w:rPr>
          <w:rFonts w:ascii="宋体" w:hAnsi="宋体"/>
          <w:color w:val="auto"/>
          <w:szCs w:val="21"/>
          <w:highlight w:val="none"/>
        </w:rPr>
        <w:t>1.6.1 图纸的提供</w:t>
      </w:r>
    </w:p>
    <w:p w14:paraId="251EEB05">
      <w:pPr>
        <w:spacing w:line="360" w:lineRule="auto"/>
        <w:ind w:firstLine="420" w:firstLineChars="200"/>
        <w:rPr>
          <w:rFonts w:ascii="宋体" w:hAnsi="宋体"/>
          <w:color w:val="auto"/>
          <w:szCs w:val="21"/>
          <w:highlight w:val="none"/>
        </w:rPr>
      </w:pPr>
      <w:r>
        <w:rPr>
          <w:rFonts w:ascii="宋体" w:hAnsi="宋体"/>
          <w:color w:val="auto"/>
          <w:szCs w:val="21"/>
          <w:highlight w:val="none"/>
        </w:rPr>
        <w:t>发包人向承包人提供图纸的期限：</w:t>
      </w:r>
      <w:r>
        <w:rPr>
          <w:rFonts w:ascii="宋体" w:hAnsi="宋体"/>
          <w:color w:val="auto"/>
          <w:szCs w:val="21"/>
          <w:highlight w:val="none"/>
          <w:u w:val="single"/>
        </w:rPr>
        <w:t></w:t>
      </w:r>
      <w:r>
        <w:rPr>
          <w:rFonts w:hint="eastAsia" w:ascii="宋体" w:hAnsi="宋体"/>
          <w:color w:val="auto"/>
          <w:szCs w:val="21"/>
          <w:highlight w:val="none"/>
          <w:u w:val="single"/>
        </w:rPr>
        <w:t>合同生效后7天内</w:t>
      </w:r>
      <w:r>
        <w:rPr>
          <w:rFonts w:ascii="宋体" w:hAnsi="宋体"/>
          <w:color w:val="auto"/>
          <w:szCs w:val="21"/>
          <w:highlight w:val="none"/>
        </w:rPr>
        <w:t>；</w:t>
      </w:r>
    </w:p>
    <w:p w14:paraId="7DE3043C">
      <w:pPr>
        <w:spacing w:line="360" w:lineRule="auto"/>
        <w:ind w:firstLine="420" w:firstLineChars="200"/>
        <w:rPr>
          <w:rFonts w:ascii="宋体" w:hAnsi="宋体"/>
          <w:color w:val="auto"/>
          <w:szCs w:val="21"/>
          <w:highlight w:val="none"/>
        </w:rPr>
      </w:pPr>
      <w:r>
        <w:rPr>
          <w:rFonts w:ascii="宋体" w:hAnsi="宋体"/>
          <w:color w:val="auto"/>
          <w:szCs w:val="21"/>
          <w:highlight w:val="none"/>
        </w:rPr>
        <w:t>发包人向承包人提供图纸的数量：</w:t>
      </w:r>
      <w:r>
        <w:rPr>
          <w:rFonts w:ascii="宋体" w:hAnsi="宋体"/>
          <w:color w:val="auto"/>
          <w:szCs w:val="21"/>
          <w:highlight w:val="none"/>
          <w:u w:val="single"/>
        </w:rPr>
        <w:t></w:t>
      </w:r>
      <w:r>
        <w:rPr>
          <w:rFonts w:hint="eastAsia" w:ascii="宋体" w:hAnsi="宋体"/>
          <w:b/>
          <w:bCs/>
          <w:color w:val="auto"/>
          <w:szCs w:val="21"/>
          <w:highlight w:val="none"/>
          <w:u w:val="single"/>
        </w:rPr>
        <w:t>一</w:t>
      </w:r>
      <w:r>
        <w:rPr>
          <w:rFonts w:ascii="宋体" w:hAnsi="宋体"/>
          <w:color w:val="auto"/>
          <w:szCs w:val="21"/>
          <w:highlight w:val="none"/>
          <w:u w:val="single"/>
        </w:rPr>
        <w:t>套，承包人需要增加图纸套数的，复制费用由承包人承担</w:t>
      </w:r>
      <w:r>
        <w:rPr>
          <w:rFonts w:ascii="宋体" w:hAnsi="宋体"/>
          <w:color w:val="auto"/>
          <w:szCs w:val="21"/>
          <w:highlight w:val="none"/>
        </w:rPr>
        <w:t>；</w:t>
      </w:r>
    </w:p>
    <w:p w14:paraId="4C321A65">
      <w:pPr>
        <w:spacing w:line="360" w:lineRule="auto"/>
        <w:ind w:firstLine="420" w:firstLineChars="200"/>
        <w:rPr>
          <w:rFonts w:ascii="宋体" w:hAnsi="宋体"/>
          <w:color w:val="auto"/>
          <w:szCs w:val="21"/>
          <w:highlight w:val="none"/>
        </w:rPr>
      </w:pPr>
      <w:r>
        <w:rPr>
          <w:rFonts w:ascii="宋体" w:hAnsi="宋体"/>
          <w:color w:val="auto"/>
          <w:szCs w:val="21"/>
          <w:highlight w:val="none"/>
        </w:rPr>
        <w:t>发包人向承包人提供图纸的内容：</w:t>
      </w:r>
      <w:r>
        <w:rPr>
          <w:rFonts w:hint="eastAsia" w:ascii="宋体" w:hAnsi="宋体"/>
          <w:color w:val="auto"/>
          <w:szCs w:val="21"/>
          <w:highlight w:val="none"/>
          <w:u w:val="single"/>
        </w:rPr>
        <w:t>施工设计图</w:t>
      </w:r>
      <w:r>
        <w:rPr>
          <w:rFonts w:ascii="宋体" w:hAnsi="宋体"/>
          <w:color w:val="auto"/>
          <w:szCs w:val="21"/>
          <w:highlight w:val="none"/>
        </w:rPr>
        <w:t>。</w:t>
      </w:r>
    </w:p>
    <w:p w14:paraId="60508C1E">
      <w:pPr>
        <w:spacing w:line="360" w:lineRule="auto"/>
        <w:ind w:firstLine="420" w:firstLineChars="200"/>
        <w:rPr>
          <w:rFonts w:ascii="宋体" w:hAnsi="宋体"/>
          <w:color w:val="auto"/>
          <w:szCs w:val="21"/>
          <w:highlight w:val="none"/>
        </w:rPr>
      </w:pPr>
      <w:r>
        <w:rPr>
          <w:rFonts w:ascii="宋体" w:hAnsi="宋体"/>
          <w:color w:val="auto"/>
          <w:szCs w:val="21"/>
          <w:highlight w:val="none"/>
        </w:rPr>
        <w:t>1.6.4 承包人文件</w:t>
      </w:r>
    </w:p>
    <w:p w14:paraId="3ED13CAC">
      <w:pPr>
        <w:spacing w:line="360" w:lineRule="auto"/>
        <w:ind w:firstLine="420" w:firstLineChars="200"/>
        <w:jc w:val="left"/>
        <w:rPr>
          <w:rFonts w:ascii="宋体" w:hAnsi="宋体"/>
          <w:color w:val="auto"/>
          <w:szCs w:val="21"/>
          <w:highlight w:val="none"/>
          <w:u w:val="single"/>
        </w:rPr>
      </w:pPr>
      <w:r>
        <w:rPr>
          <w:rFonts w:ascii="宋体" w:hAnsi="宋体"/>
          <w:color w:val="auto"/>
          <w:szCs w:val="21"/>
          <w:highlight w:val="none"/>
        </w:rPr>
        <w:t>需要由承包人提供的文件，包括：</w:t>
      </w:r>
      <w:r>
        <w:rPr>
          <w:rFonts w:hint="eastAsia" w:ascii="宋体" w:hAnsi="宋体"/>
          <w:color w:val="auto"/>
          <w:szCs w:val="21"/>
          <w:highlight w:val="none"/>
          <w:u w:val="single"/>
        </w:rPr>
        <w:t>报建程序所需要的所有资料；开工前3天应提供完善的施工组织设计等资料；竣工资料（含竣工图，竣工图编制费已含在签约合同价中，提供时间：工程竣工后[30]天内。份数：满足相应要求。承包人应协助发包人办理城建档案馆手续。），与城建档案馆手续未办理完成，视为承包人的合同义务未履行完毕。</w:t>
      </w:r>
    </w:p>
    <w:p w14:paraId="4C68F23E">
      <w:pPr>
        <w:spacing w:line="360" w:lineRule="auto"/>
        <w:ind w:firstLine="420" w:firstLineChars="200"/>
        <w:rPr>
          <w:rFonts w:ascii="宋体" w:hAnsi="宋体"/>
          <w:color w:val="auto"/>
          <w:szCs w:val="21"/>
          <w:highlight w:val="none"/>
        </w:rPr>
      </w:pPr>
      <w:r>
        <w:rPr>
          <w:rFonts w:ascii="宋体" w:hAnsi="宋体"/>
          <w:color w:val="auto"/>
          <w:szCs w:val="21"/>
          <w:highlight w:val="none"/>
        </w:rPr>
        <w:t>承包人提供的文件的期限为：</w:t>
      </w:r>
      <w:r>
        <w:rPr>
          <w:rFonts w:ascii="宋体" w:hAnsi="宋体"/>
          <w:color w:val="auto"/>
          <w:szCs w:val="21"/>
          <w:highlight w:val="none"/>
          <w:u w:val="single"/>
        </w:rPr>
        <w:t></w:t>
      </w:r>
      <w:r>
        <w:rPr>
          <w:rFonts w:hint="eastAsia" w:ascii="宋体" w:hAnsi="宋体"/>
          <w:color w:val="auto"/>
          <w:szCs w:val="21"/>
          <w:highlight w:val="none"/>
          <w:u w:val="single"/>
        </w:rPr>
        <w:t>报建手续开始前7天内</w:t>
      </w:r>
      <w:r>
        <w:rPr>
          <w:rFonts w:ascii="宋体" w:hAnsi="宋体"/>
          <w:color w:val="auto"/>
          <w:szCs w:val="21"/>
          <w:highlight w:val="none"/>
          <w:u w:val="single"/>
        </w:rPr>
        <w:t></w:t>
      </w:r>
      <w:r>
        <w:rPr>
          <w:rFonts w:ascii="宋体" w:hAnsi="宋体"/>
          <w:color w:val="auto"/>
          <w:szCs w:val="21"/>
          <w:highlight w:val="none"/>
        </w:rPr>
        <w:t>；</w:t>
      </w:r>
    </w:p>
    <w:p w14:paraId="64EFF25A">
      <w:pPr>
        <w:spacing w:line="360" w:lineRule="auto"/>
        <w:ind w:firstLine="420" w:firstLineChars="200"/>
        <w:rPr>
          <w:rFonts w:ascii="宋体" w:hAnsi="宋体"/>
          <w:color w:val="auto"/>
          <w:szCs w:val="21"/>
          <w:highlight w:val="none"/>
        </w:rPr>
      </w:pPr>
      <w:r>
        <w:rPr>
          <w:rFonts w:ascii="宋体" w:hAnsi="宋体"/>
          <w:color w:val="auto"/>
          <w:szCs w:val="21"/>
          <w:highlight w:val="none"/>
        </w:rPr>
        <w:t>承包人提供的文件的数量为：</w:t>
      </w:r>
      <w:r>
        <w:rPr>
          <w:rFonts w:ascii="宋体" w:hAnsi="宋体"/>
          <w:color w:val="auto"/>
          <w:szCs w:val="21"/>
          <w:highlight w:val="none"/>
          <w:u w:val="single"/>
        </w:rPr>
        <w:t></w:t>
      </w:r>
      <w:r>
        <w:rPr>
          <w:rFonts w:hint="eastAsia" w:ascii="宋体" w:hAnsi="宋体"/>
          <w:color w:val="auto"/>
          <w:szCs w:val="21"/>
          <w:highlight w:val="none"/>
          <w:u w:val="single"/>
        </w:rPr>
        <w:t xml:space="preserve">按实提供 </w:t>
      </w:r>
      <w:r>
        <w:rPr>
          <w:rFonts w:ascii="宋体" w:hAnsi="宋体"/>
          <w:color w:val="auto"/>
          <w:szCs w:val="21"/>
          <w:highlight w:val="none"/>
        </w:rPr>
        <w:t>；</w:t>
      </w:r>
    </w:p>
    <w:p w14:paraId="775FEDA6">
      <w:pPr>
        <w:spacing w:line="360" w:lineRule="auto"/>
        <w:ind w:firstLine="420" w:firstLineChars="200"/>
        <w:rPr>
          <w:rFonts w:ascii="宋体" w:hAnsi="宋体"/>
          <w:color w:val="auto"/>
          <w:szCs w:val="21"/>
          <w:highlight w:val="none"/>
        </w:rPr>
      </w:pPr>
      <w:r>
        <w:rPr>
          <w:rFonts w:ascii="宋体" w:hAnsi="宋体"/>
          <w:color w:val="auto"/>
          <w:szCs w:val="21"/>
          <w:highlight w:val="none"/>
        </w:rPr>
        <w:t>承包人提供的文件的形式为：</w:t>
      </w:r>
      <w:r>
        <w:rPr>
          <w:rFonts w:ascii="宋体" w:hAnsi="宋体"/>
          <w:color w:val="auto"/>
          <w:szCs w:val="21"/>
          <w:highlight w:val="none"/>
          <w:u w:val="single"/>
        </w:rPr>
        <w:t></w:t>
      </w:r>
      <w:r>
        <w:rPr>
          <w:rFonts w:hint="eastAsia" w:ascii="宋体" w:hAnsi="宋体"/>
          <w:color w:val="auto"/>
          <w:szCs w:val="21"/>
          <w:highlight w:val="none"/>
          <w:u w:val="single"/>
        </w:rPr>
        <w:t>书面及电子文档</w:t>
      </w:r>
      <w:r>
        <w:rPr>
          <w:rFonts w:ascii="宋体" w:hAnsi="宋体"/>
          <w:color w:val="auto"/>
          <w:szCs w:val="21"/>
          <w:highlight w:val="none"/>
          <w:u w:val="single"/>
        </w:rPr>
        <w:t></w:t>
      </w:r>
      <w:r>
        <w:rPr>
          <w:rFonts w:ascii="宋体" w:hAnsi="宋体"/>
          <w:color w:val="auto"/>
          <w:szCs w:val="21"/>
          <w:highlight w:val="none"/>
        </w:rPr>
        <w:t>；</w:t>
      </w:r>
    </w:p>
    <w:p w14:paraId="378371CA">
      <w:pPr>
        <w:spacing w:line="360" w:lineRule="auto"/>
        <w:ind w:firstLine="420" w:firstLineChars="200"/>
        <w:rPr>
          <w:rFonts w:ascii="宋体" w:hAnsi="宋体"/>
          <w:color w:val="auto"/>
          <w:szCs w:val="21"/>
          <w:highlight w:val="none"/>
        </w:rPr>
      </w:pPr>
      <w:r>
        <w:rPr>
          <w:rFonts w:ascii="宋体" w:hAnsi="宋体"/>
          <w:color w:val="auto"/>
          <w:szCs w:val="21"/>
          <w:highlight w:val="none"/>
        </w:rPr>
        <w:t>发包人审批承包人文件的期限：</w:t>
      </w:r>
      <w:r>
        <w:rPr>
          <w:rFonts w:ascii="宋体" w:hAnsi="宋体"/>
          <w:color w:val="auto"/>
          <w:szCs w:val="21"/>
          <w:highlight w:val="none"/>
          <w:u w:val="single"/>
        </w:rPr>
        <w:t></w:t>
      </w:r>
      <w:r>
        <w:rPr>
          <w:rFonts w:hint="eastAsia" w:ascii="宋体" w:hAnsi="宋体"/>
          <w:bCs/>
          <w:color w:val="auto"/>
          <w:szCs w:val="21"/>
          <w:highlight w:val="none"/>
          <w:u w:val="single"/>
        </w:rPr>
        <w:t>7</w:t>
      </w:r>
      <w:r>
        <w:rPr>
          <w:rFonts w:hint="eastAsia" w:ascii="宋体" w:hAnsi="宋体"/>
          <w:color w:val="auto"/>
          <w:szCs w:val="21"/>
          <w:highlight w:val="none"/>
          <w:u w:val="single"/>
        </w:rPr>
        <w:t xml:space="preserve">天 </w:t>
      </w:r>
      <w:r>
        <w:rPr>
          <w:rFonts w:ascii="宋体" w:hAnsi="宋体"/>
          <w:color w:val="auto"/>
          <w:szCs w:val="21"/>
          <w:highlight w:val="none"/>
        </w:rPr>
        <w:t>。</w:t>
      </w:r>
    </w:p>
    <w:p w14:paraId="6A81E2B2">
      <w:pPr>
        <w:spacing w:line="360" w:lineRule="auto"/>
        <w:ind w:firstLine="420" w:firstLineChars="200"/>
        <w:rPr>
          <w:rFonts w:ascii="宋体" w:hAnsi="宋体"/>
          <w:color w:val="auto"/>
          <w:szCs w:val="21"/>
          <w:highlight w:val="none"/>
        </w:rPr>
      </w:pPr>
      <w:r>
        <w:rPr>
          <w:rFonts w:ascii="宋体" w:hAnsi="宋体"/>
          <w:color w:val="auto"/>
          <w:szCs w:val="21"/>
          <w:highlight w:val="none"/>
        </w:rPr>
        <w:t>1.6.5 现场图纸准备</w:t>
      </w:r>
    </w:p>
    <w:p w14:paraId="3AD09DE4">
      <w:pPr>
        <w:spacing w:line="360" w:lineRule="auto"/>
        <w:ind w:firstLine="420" w:firstLineChars="200"/>
        <w:rPr>
          <w:rFonts w:ascii="宋体" w:hAnsi="宋体"/>
          <w:color w:val="auto"/>
          <w:szCs w:val="21"/>
          <w:highlight w:val="none"/>
        </w:rPr>
      </w:pPr>
      <w:r>
        <w:rPr>
          <w:rFonts w:ascii="宋体" w:hAnsi="宋体"/>
          <w:color w:val="auto"/>
          <w:szCs w:val="21"/>
          <w:highlight w:val="none"/>
        </w:rPr>
        <w:t>关于现场图纸准备的约定：</w:t>
      </w:r>
      <w:r>
        <w:rPr>
          <w:rFonts w:hint="eastAsia" w:ascii="宋体" w:hAnsi="宋体"/>
          <w:color w:val="auto"/>
          <w:szCs w:val="21"/>
          <w:highlight w:val="none"/>
          <w:u w:val="single"/>
        </w:rPr>
        <w:t>承包人在施工现场保留一份完整的设计文件，供甲方及有关人员进行工程检查时使用</w:t>
      </w:r>
      <w:r>
        <w:rPr>
          <w:rFonts w:ascii="宋体" w:hAnsi="宋体"/>
          <w:color w:val="auto"/>
          <w:szCs w:val="21"/>
          <w:highlight w:val="none"/>
        </w:rPr>
        <w:t>。</w:t>
      </w:r>
    </w:p>
    <w:p w14:paraId="0FA6761E">
      <w:pPr>
        <w:keepNext/>
        <w:keepLines/>
        <w:spacing w:before="260" w:after="260" w:line="416" w:lineRule="auto"/>
        <w:outlineLvl w:val="2"/>
        <w:rPr>
          <w:rFonts w:ascii="宋体" w:hAnsi="宋体"/>
          <w:b/>
          <w:bCs/>
          <w:color w:val="auto"/>
          <w:sz w:val="32"/>
          <w:szCs w:val="32"/>
          <w:highlight w:val="none"/>
        </w:rPr>
      </w:pPr>
      <w:bookmarkStart w:id="171" w:name="_Toc411345178"/>
      <w:bookmarkStart w:id="172" w:name="_Toc453940971"/>
      <w:bookmarkStart w:id="173" w:name="_Toc472931605"/>
      <w:bookmarkStart w:id="174" w:name="_Toc373227698"/>
      <w:bookmarkStart w:id="175" w:name="_Toc373478345"/>
      <w:bookmarkStart w:id="176" w:name="_Toc529526972"/>
      <w:bookmarkStart w:id="177" w:name="_Toc470247799"/>
      <w:bookmarkStart w:id="178" w:name="_Toc389065264"/>
      <w:bookmarkStart w:id="179" w:name="_Toc461179239"/>
      <w:bookmarkStart w:id="180" w:name="_Toc531186601"/>
      <w:bookmarkStart w:id="181" w:name="_Toc529547324"/>
      <w:bookmarkStart w:id="182" w:name="_Toc530144466"/>
      <w:bookmarkStart w:id="183" w:name="_Toc454211109"/>
      <w:r>
        <w:rPr>
          <w:rFonts w:ascii="宋体" w:hAnsi="宋体"/>
          <w:b/>
          <w:bCs/>
          <w:color w:val="auto"/>
          <w:sz w:val="32"/>
          <w:szCs w:val="32"/>
          <w:highlight w:val="none"/>
        </w:rPr>
        <w:t>1.7 联络</w:t>
      </w:r>
      <w:bookmarkEnd w:id="171"/>
      <w:bookmarkEnd w:id="172"/>
      <w:bookmarkEnd w:id="173"/>
      <w:bookmarkEnd w:id="174"/>
      <w:bookmarkEnd w:id="175"/>
      <w:bookmarkEnd w:id="176"/>
      <w:bookmarkEnd w:id="177"/>
      <w:bookmarkEnd w:id="178"/>
      <w:bookmarkEnd w:id="179"/>
      <w:bookmarkEnd w:id="180"/>
      <w:bookmarkEnd w:id="181"/>
      <w:bookmarkEnd w:id="182"/>
      <w:bookmarkEnd w:id="183"/>
    </w:p>
    <w:p w14:paraId="1413CB5F">
      <w:pPr>
        <w:spacing w:line="360" w:lineRule="auto"/>
        <w:ind w:firstLine="420" w:firstLineChars="200"/>
        <w:rPr>
          <w:rFonts w:ascii="宋体" w:hAnsi="宋体"/>
          <w:color w:val="auto"/>
          <w:kern w:val="0"/>
          <w:szCs w:val="21"/>
          <w:highlight w:val="none"/>
        </w:rPr>
      </w:pPr>
      <w:r>
        <w:rPr>
          <w:rFonts w:ascii="宋体" w:hAnsi="宋体"/>
          <w:color w:val="auto"/>
          <w:kern w:val="0"/>
          <w:szCs w:val="21"/>
          <w:highlight w:val="none"/>
        </w:rPr>
        <w:t>1.7.1发包人和承包人应当在</w:t>
      </w:r>
      <w:r>
        <w:rPr>
          <w:rFonts w:ascii="宋体" w:hAnsi="宋体"/>
          <w:color w:val="auto"/>
          <w:szCs w:val="21"/>
          <w:highlight w:val="none"/>
          <w:u w:val="single"/>
        </w:rPr>
        <w:t></w:t>
      </w:r>
      <w:r>
        <w:rPr>
          <w:rFonts w:hint="eastAsia" w:ascii="宋体" w:hAnsi="宋体"/>
          <w:b/>
          <w:bCs/>
          <w:color w:val="auto"/>
          <w:szCs w:val="21"/>
          <w:highlight w:val="none"/>
          <w:u w:val="single"/>
        </w:rPr>
        <w:t>5</w:t>
      </w:r>
      <w:r>
        <w:rPr>
          <w:rFonts w:ascii="宋体" w:hAnsi="宋体"/>
          <w:color w:val="auto"/>
          <w:kern w:val="0"/>
          <w:szCs w:val="21"/>
          <w:highlight w:val="none"/>
        </w:rPr>
        <w:t>天内将与合同有关的通知、批准、证明、证书、指示、指令、要求、请求、同意、意见、确定和决定等书面函件送达对方当事人。</w:t>
      </w:r>
    </w:p>
    <w:p w14:paraId="60E9BA6D">
      <w:pPr>
        <w:spacing w:line="360" w:lineRule="auto"/>
        <w:ind w:firstLine="420" w:firstLineChars="200"/>
        <w:rPr>
          <w:rFonts w:ascii="宋体" w:hAnsi="宋体"/>
          <w:color w:val="auto"/>
          <w:kern w:val="0"/>
          <w:szCs w:val="21"/>
          <w:highlight w:val="none"/>
        </w:rPr>
      </w:pPr>
      <w:r>
        <w:rPr>
          <w:rFonts w:ascii="宋体" w:hAnsi="宋体"/>
          <w:color w:val="auto"/>
          <w:kern w:val="0"/>
          <w:szCs w:val="21"/>
          <w:highlight w:val="none"/>
        </w:rPr>
        <w:t>1.7.2 发包人接收文件的地点：</w:t>
      </w:r>
      <w:r>
        <w:rPr>
          <w:rFonts w:ascii="宋体" w:hAnsi="宋体"/>
          <w:color w:val="auto"/>
          <w:szCs w:val="21"/>
          <w:highlight w:val="none"/>
          <w:u w:val="single"/>
        </w:rPr>
        <w:t></w:t>
      </w:r>
      <w:r>
        <w:rPr>
          <w:rFonts w:hint="eastAsia" w:ascii="宋体" w:hAnsi="宋体"/>
          <w:color w:val="auto"/>
          <w:szCs w:val="21"/>
          <w:highlight w:val="none"/>
          <w:u w:val="single"/>
        </w:rPr>
        <w:t>发包人办公室</w:t>
      </w:r>
      <w:r>
        <w:rPr>
          <w:rFonts w:ascii="宋体" w:hAnsi="宋体"/>
          <w:color w:val="auto"/>
          <w:szCs w:val="21"/>
          <w:highlight w:val="none"/>
          <w:u w:val="single"/>
        </w:rPr>
        <w:t></w:t>
      </w:r>
      <w:r>
        <w:rPr>
          <w:rFonts w:ascii="宋体" w:hAnsi="宋体"/>
          <w:color w:val="auto"/>
          <w:kern w:val="0"/>
          <w:szCs w:val="21"/>
          <w:highlight w:val="none"/>
        </w:rPr>
        <w:t>；</w:t>
      </w:r>
    </w:p>
    <w:p w14:paraId="4FB22F07">
      <w:pPr>
        <w:spacing w:line="360" w:lineRule="auto"/>
        <w:ind w:firstLine="420" w:firstLineChars="200"/>
        <w:rPr>
          <w:rFonts w:ascii="宋体" w:hAnsi="宋体"/>
          <w:color w:val="auto"/>
          <w:kern w:val="0"/>
          <w:szCs w:val="21"/>
          <w:highlight w:val="none"/>
        </w:rPr>
      </w:pPr>
      <w:r>
        <w:rPr>
          <w:rFonts w:ascii="宋体" w:hAnsi="宋体"/>
          <w:color w:val="auto"/>
          <w:kern w:val="0"/>
          <w:szCs w:val="21"/>
          <w:highlight w:val="none"/>
        </w:rPr>
        <w:t>发包人指定的接收人为：</w:t>
      </w:r>
      <w:r>
        <w:rPr>
          <w:rFonts w:ascii="宋体" w:hAnsi="宋体"/>
          <w:color w:val="auto"/>
          <w:szCs w:val="21"/>
          <w:highlight w:val="none"/>
          <w:u w:val="single"/>
        </w:rPr>
        <w:t></w:t>
      </w:r>
      <w:r>
        <w:rPr>
          <w:rFonts w:hint="eastAsia" w:ascii="宋体" w:hAnsi="宋体"/>
          <w:color w:val="auto"/>
          <w:szCs w:val="21"/>
          <w:highlight w:val="none"/>
          <w:u w:val="single"/>
        </w:rPr>
        <w:t xml:space="preserve">发包人代表  </w:t>
      </w:r>
      <w:r>
        <w:rPr>
          <w:rFonts w:ascii="宋体" w:hAnsi="宋体"/>
          <w:color w:val="auto"/>
          <w:kern w:val="0"/>
          <w:szCs w:val="21"/>
          <w:highlight w:val="none"/>
        </w:rPr>
        <w:t>。</w:t>
      </w:r>
    </w:p>
    <w:p w14:paraId="17C0D5D8">
      <w:pPr>
        <w:spacing w:line="360" w:lineRule="auto"/>
        <w:ind w:firstLine="420" w:firstLineChars="200"/>
        <w:rPr>
          <w:rFonts w:ascii="宋体" w:hAnsi="宋体"/>
          <w:color w:val="auto"/>
          <w:kern w:val="0"/>
          <w:szCs w:val="21"/>
          <w:highlight w:val="none"/>
        </w:rPr>
      </w:pPr>
      <w:r>
        <w:rPr>
          <w:rFonts w:ascii="宋体" w:hAnsi="宋体"/>
          <w:color w:val="auto"/>
          <w:kern w:val="0"/>
          <w:szCs w:val="21"/>
          <w:highlight w:val="none"/>
        </w:rPr>
        <w:t>承包人接收文件的地点：</w:t>
      </w:r>
      <w:r>
        <w:rPr>
          <w:rFonts w:ascii="宋体" w:hAnsi="宋体"/>
          <w:color w:val="auto"/>
          <w:szCs w:val="21"/>
          <w:highlight w:val="none"/>
          <w:u w:val="single"/>
        </w:rPr>
        <w:t></w:t>
      </w:r>
      <w:r>
        <w:rPr>
          <w:rFonts w:hint="eastAsia" w:ascii="宋体" w:hAnsi="宋体" w:cs="宋体"/>
          <w:color w:val="auto"/>
          <w:szCs w:val="21"/>
          <w:highlight w:val="none"/>
          <w:u w:val="single"/>
        </w:rPr>
        <w:t>项目所在地承包人办公室</w:t>
      </w:r>
      <w:r>
        <w:rPr>
          <w:rFonts w:ascii="宋体" w:hAnsi="宋体"/>
          <w:color w:val="auto"/>
          <w:kern w:val="0"/>
          <w:szCs w:val="21"/>
          <w:highlight w:val="none"/>
        </w:rPr>
        <w:t>；</w:t>
      </w:r>
    </w:p>
    <w:p w14:paraId="1BB6CC4C">
      <w:pPr>
        <w:spacing w:line="360" w:lineRule="auto"/>
        <w:ind w:firstLine="420" w:firstLineChars="200"/>
        <w:rPr>
          <w:rFonts w:ascii="宋体" w:hAnsi="宋体"/>
          <w:color w:val="auto"/>
          <w:kern w:val="0"/>
          <w:szCs w:val="21"/>
          <w:highlight w:val="none"/>
        </w:rPr>
      </w:pPr>
      <w:r>
        <w:rPr>
          <w:rFonts w:ascii="宋体" w:hAnsi="宋体"/>
          <w:color w:val="auto"/>
          <w:kern w:val="0"/>
          <w:szCs w:val="21"/>
          <w:highlight w:val="none"/>
        </w:rPr>
        <w:t>承包人指定的接收人为：</w:t>
      </w:r>
      <w:r>
        <w:rPr>
          <w:rFonts w:ascii="宋体" w:hAnsi="宋体"/>
          <w:color w:val="auto"/>
          <w:szCs w:val="21"/>
          <w:highlight w:val="none"/>
          <w:u w:val="single"/>
        </w:rPr>
        <w:t></w:t>
      </w:r>
      <w:r>
        <w:rPr>
          <w:rFonts w:hint="eastAsia" w:ascii="宋体" w:hAnsi="宋体"/>
          <w:color w:val="auto"/>
          <w:szCs w:val="21"/>
          <w:highlight w:val="none"/>
          <w:u w:val="single"/>
        </w:rPr>
        <w:t>项目经理</w:t>
      </w:r>
      <w:r>
        <w:rPr>
          <w:rFonts w:ascii="宋体" w:hAnsi="宋体"/>
          <w:color w:val="auto"/>
          <w:kern w:val="0"/>
          <w:szCs w:val="21"/>
          <w:highlight w:val="none"/>
        </w:rPr>
        <w:t>。</w:t>
      </w:r>
    </w:p>
    <w:p w14:paraId="2A7A794D">
      <w:pPr>
        <w:spacing w:line="360" w:lineRule="auto"/>
        <w:ind w:firstLine="420" w:firstLineChars="200"/>
        <w:rPr>
          <w:rFonts w:ascii="宋体" w:hAnsi="宋体"/>
          <w:color w:val="auto"/>
          <w:kern w:val="0"/>
          <w:szCs w:val="21"/>
          <w:highlight w:val="none"/>
        </w:rPr>
      </w:pPr>
      <w:r>
        <w:rPr>
          <w:rFonts w:ascii="宋体" w:hAnsi="宋体"/>
          <w:color w:val="auto"/>
          <w:kern w:val="0"/>
          <w:szCs w:val="21"/>
          <w:highlight w:val="none"/>
        </w:rPr>
        <w:t>监理人接收文件的地点：</w:t>
      </w:r>
      <w:r>
        <w:rPr>
          <w:rFonts w:ascii="宋体" w:hAnsi="宋体"/>
          <w:color w:val="auto"/>
          <w:szCs w:val="21"/>
          <w:highlight w:val="none"/>
          <w:u w:val="single"/>
        </w:rPr>
        <w:t></w:t>
      </w:r>
      <w:r>
        <w:rPr>
          <w:rFonts w:hint="eastAsia" w:ascii="宋体" w:hAnsi="宋体" w:cs="宋体"/>
          <w:color w:val="auto"/>
          <w:szCs w:val="21"/>
          <w:highlight w:val="none"/>
          <w:u w:val="single"/>
        </w:rPr>
        <w:t>项目所在地监理人办公室</w:t>
      </w:r>
      <w:r>
        <w:rPr>
          <w:rFonts w:ascii="宋体" w:hAnsi="宋体"/>
          <w:color w:val="auto"/>
          <w:kern w:val="0"/>
          <w:szCs w:val="21"/>
          <w:highlight w:val="none"/>
        </w:rPr>
        <w:t>；</w:t>
      </w:r>
    </w:p>
    <w:p w14:paraId="658E13CD">
      <w:pPr>
        <w:spacing w:line="360" w:lineRule="auto"/>
        <w:ind w:firstLine="420" w:firstLineChars="200"/>
        <w:rPr>
          <w:rFonts w:ascii="宋体" w:hAnsi="宋体"/>
          <w:color w:val="auto"/>
          <w:kern w:val="0"/>
          <w:szCs w:val="21"/>
          <w:highlight w:val="none"/>
        </w:rPr>
      </w:pPr>
      <w:r>
        <w:rPr>
          <w:rFonts w:ascii="宋体" w:hAnsi="宋体"/>
          <w:color w:val="auto"/>
          <w:kern w:val="0"/>
          <w:szCs w:val="21"/>
          <w:highlight w:val="none"/>
        </w:rPr>
        <w:t>监理人指定的接收人为：</w:t>
      </w:r>
      <w:r>
        <w:rPr>
          <w:rFonts w:hint="eastAsia" w:ascii="宋体" w:hAnsi="宋体"/>
          <w:color w:val="auto"/>
          <w:szCs w:val="21"/>
          <w:highlight w:val="none"/>
          <w:u w:val="single"/>
        </w:rPr>
        <w:t>总监理工程师</w:t>
      </w:r>
      <w:r>
        <w:rPr>
          <w:rFonts w:ascii="宋体" w:hAnsi="宋体"/>
          <w:color w:val="auto"/>
          <w:kern w:val="0"/>
          <w:szCs w:val="21"/>
          <w:highlight w:val="none"/>
        </w:rPr>
        <w:t>。</w:t>
      </w:r>
    </w:p>
    <w:p w14:paraId="668896B5">
      <w:pPr>
        <w:keepNext/>
        <w:keepLines/>
        <w:spacing w:before="260" w:after="260" w:line="416" w:lineRule="auto"/>
        <w:outlineLvl w:val="2"/>
        <w:rPr>
          <w:rFonts w:ascii="宋体" w:hAnsi="宋体"/>
          <w:b/>
          <w:bCs/>
          <w:color w:val="auto"/>
          <w:sz w:val="32"/>
          <w:szCs w:val="32"/>
          <w:highlight w:val="none"/>
        </w:rPr>
      </w:pPr>
      <w:bookmarkStart w:id="184" w:name="_Toc373478346"/>
      <w:bookmarkStart w:id="185" w:name="_Toc531186602"/>
      <w:bookmarkStart w:id="186" w:name="_Toc453940972"/>
      <w:bookmarkStart w:id="187" w:name="_Toc411345179"/>
      <w:bookmarkStart w:id="188" w:name="_Toc529547325"/>
      <w:bookmarkStart w:id="189" w:name="_Toc454211110"/>
      <w:bookmarkStart w:id="190" w:name="_Toc461179240"/>
      <w:bookmarkStart w:id="191" w:name="_Toc389065265"/>
      <w:bookmarkStart w:id="192" w:name="_Toc373227699"/>
      <w:bookmarkStart w:id="193" w:name="_Toc529526973"/>
      <w:bookmarkStart w:id="194" w:name="_Toc472931606"/>
      <w:bookmarkStart w:id="195" w:name="_Toc470247800"/>
      <w:bookmarkStart w:id="196" w:name="_Toc530144467"/>
      <w:r>
        <w:rPr>
          <w:rFonts w:ascii="宋体" w:hAnsi="宋体"/>
          <w:b/>
          <w:bCs/>
          <w:color w:val="auto"/>
          <w:sz w:val="32"/>
          <w:szCs w:val="32"/>
          <w:highlight w:val="none"/>
        </w:rPr>
        <w:t>1.10 交通运输</w:t>
      </w:r>
      <w:bookmarkEnd w:id="184"/>
      <w:bookmarkEnd w:id="185"/>
      <w:bookmarkEnd w:id="186"/>
      <w:bookmarkEnd w:id="187"/>
      <w:bookmarkEnd w:id="188"/>
      <w:bookmarkEnd w:id="189"/>
      <w:bookmarkEnd w:id="190"/>
      <w:bookmarkEnd w:id="191"/>
      <w:bookmarkEnd w:id="192"/>
      <w:bookmarkEnd w:id="193"/>
      <w:bookmarkEnd w:id="194"/>
      <w:bookmarkEnd w:id="195"/>
      <w:bookmarkEnd w:id="196"/>
    </w:p>
    <w:p w14:paraId="49CD45E9">
      <w:pPr>
        <w:spacing w:line="360" w:lineRule="auto"/>
        <w:ind w:firstLine="420" w:firstLineChars="200"/>
        <w:rPr>
          <w:rFonts w:ascii="宋体" w:hAnsi="宋体"/>
          <w:color w:val="auto"/>
          <w:szCs w:val="21"/>
          <w:highlight w:val="none"/>
        </w:rPr>
      </w:pPr>
      <w:r>
        <w:rPr>
          <w:rFonts w:ascii="宋体" w:hAnsi="宋体"/>
          <w:color w:val="auto"/>
          <w:szCs w:val="21"/>
          <w:highlight w:val="none"/>
        </w:rPr>
        <w:t>1</w:t>
      </w:r>
      <w:bookmarkStart w:id="197" w:name="_Toc318581155"/>
      <w:bookmarkStart w:id="198" w:name="_Toc304295521"/>
      <w:bookmarkStart w:id="199" w:name="_Toc303539100"/>
      <w:bookmarkStart w:id="200" w:name="_Toc312677986"/>
      <w:bookmarkStart w:id="201" w:name="_Toc300934943"/>
      <w:r>
        <w:rPr>
          <w:rFonts w:ascii="宋体" w:hAnsi="宋体"/>
          <w:color w:val="auto"/>
          <w:szCs w:val="21"/>
          <w:highlight w:val="none"/>
        </w:rPr>
        <w:t>.10.1 出入现场的权利</w:t>
      </w:r>
    </w:p>
    <w:p w14:paraId="1BE265D7">
      <w:pPr>
        <w:spacing w:line="360" w:lineRule="auto"/>
        <w:ind w:firstLine="420" w:firstLineChars="200"/>
        <w:rPr>
          <w:rFonts w:ascii="宋体" w:hAnsi="宋体"/>
          <w:color w:val="auto"/>
          <w:szCs w:val="21"/>
          <w:highlight w:val="none"/>
          <w:u w:val="single"/>
        </w:rPr>
      </w:pPr>
      <w:r>
        <w:rPr>
          <w:rFonts w:ascii="宋体" w:hAnsi="宋体"/>
          <w:color w:val="auto"/>
          <w:szCs w:val="21"/>
          <w:highlight w:val="none"/>
        </w:rPr>
        <w:t>关于出入现场的权利的约定：</w:t>
      </w:r>
      <w:r>
        <w:rPr>
          <w:rFonts w:hint="eastAsia" w:ascii="宋体" w:hAnsi="宋体"/>
          <w:color w:val="auto"/>
          <w:szCs w:val="21"/>
          <w:highlight w:val="none"/>
          <w:u w:val="single"/>
        </w:rPr>
        <w:t>由承包人按发包人要求负责取得出入施工现场所需的批准手续</w:t>
      </w:r>
    </w:p>
    <w:bookmarkEnd w:id="197"/>
    <w:bookmarkEnd w:id="198"/>
    <w:bookmarkEnd w:id="199"/>
    <w:bookmarkEnd w:id="200"/>
    <w:bookmarkEnd w:id="201"/>
    <w:p w14:paraId="0FD63C94">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1</w:t>
      </w:r>
      <w:bookmarkStart w:id="202" w:name="_Toc318581156"/>
      <w:bookmarkStart w:id="203" w:name="_Toc312677987"/>
      <w:bookmarkStart w:id="204" w:name="_Toc304295522"/>
      <w:bookmarkStart w:id="205" w:name="_Toc300934944"/>
      <w:bookmarkStart w:id="206" w:name="_Toc303539101"/>
      <w:r>
        <w:rPr>
          <w:rFonts w:ascii="宋体" w:hAnsi="宋体"/>
          <w:color w:val="auto"/>
          <w:szCs w:val="21"/>
          <w:highlight w:val="none"/>
        </w:rPr>
        <w:t>.10.3 场内交通</w:t>
      </w:r>
    </w:p>
    <w:p w14:paraId="4D6535DD">
      <w:pPr>
        <w:spacing w:line="36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关于场外交通和场内交通的边界的约定：</w:t>
      </w:r>
      <w:r>
        <w:rPr>
          <w:rFonts w:ascii="宋体" w:hAnsi="宋体"/>
          <w:color w:val="auto"/>
          <w:szCs w:val="21"/>
          <w:highlight w:val="none"/>
          <w:u w:val="single"/>
        </w:rPr>
        <w:t></w:t>
      </w:r>
      <w:r>
        <w:rPr>
          <w:rFonts w:hint="eastAsia" w:ascii="宋体" w:hAnsi="宋体"/>
          <w:bCs/>
          <w:color w:val="auto"/>
          <w:szCs w:val="21"/>
          <w:highlight w:val="none"/>
          <w:u w:val="single"/>
        </w:rPr>
        <w:t>施工现场红线为界</w:t>
      </w:r>
      <w:r>
        <w:rPr>
          <w:rFonts w:ascii="宋体" w:hAnsi="宋体"/>
          <w:color w:val="auto"/>
          <w:szCs w:val="21"/>
          <w:highlight w:val="none"/>
        </w:rPr>
        <w:t>。</w:t>
      </w:r>
    </w:p>
    <w:p w14:paraId="3C1ED43D">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关于发包人向承包人免费提供满足工程施工需要的场内道路和交通设施的约定：</w:t>
      </w:r>
      <w:r>
        <w:rPr>
          <w:rFonts w:hint="eastAsia" w:ascii="宋体" w:hAnsi="宋体"/>
          <w:color w:val="auto"/>
          <w:szCs w:val="21"/>
          <w:highlight w:val="none"/>
          <w:u w:val="single"/>
        </w:rPr>
        <w:t xml:space="preserve">由承包人自行解决 </w:t>
      </w:r>
      <w:r>
        <w:rPr>
          <w:rFonts w:ascii="宋体" w:hAnsi="宋体"/>
          <w:color w:val="auto"/>
          <w:szCs w:val="21"/>
          <w:highlight w:val="none"/>
        </w:rPr>
        <w:t>。</w:t>
      </w:r>
      <w:bookmarkEnd w:id="202"/>
      <w:bookmarkEnd w:id="203"/>
      <w:bookmarkEnd w:id="204"/>
      <w:bookmarkEnd w:id="205"/>
      <w:bookmarkEnd w:id="206"/>
      <w:bookmarkStart w:id="207" w:name="_Toc318581157"/>
    </w:p>
    <w:p w14:paraId="268861BA">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1.10.4超大件和超重件的运输</w:t>
      </w:r>
    </w:p>
    <w:p w14:paraId="247874FA">
      <w:pPr>
        <w:spacing w:line="360" w:lineRule="auto"/>
        <w:ind w:firstLine="420" w:firstLineChars="200"/>
        <w:jc w:val="left"/>
        <w:rPr>
          <w:rFonts w:ascii="宋体" w:hAnsi="宋体"/>
          <w:color w:val="auto"/>
          <w:szCs w:val="21"/>
          <w:highlight w:val="none"/>
          <w:u w:val="single"/>
        </w:rPr>
      </w:pPr>
      <w:r>
        <w:rPr>
          <w:rFonts w:ascii="宋体" w:hAnsi="宋体"/>
          <w:color w:val="auto"/>
          <w:szCs w:val="21"/>
          <w:highlight w:val="none"/>
        </w:rPr>
        <w:t>运输超大件或超重件所需的道路和桥梁临时加固改造费用和其他有关费用由</w:t>
      </w:r>
      <w:r>
        <w:rPr>
          <w:rFonts w:hint="eastAsia" w:ascii="宋体" w:hAnsi="宋体"/>
          <w:color w:val="auto"/>
          <w:szCs w:val="21"/>
          <w:highlight w:val="none"/>
          <w:u w:val="single"/>
        </w:rPr>
        <w:t>承包人</w:t>
      </w:r>
      <w:r>
        <w:rPr>
          <w:rFonts w:ascii="宋体" w:hAnsi="宋体"/>
          <w:color w:val="auto"/>
          <w:szCs w:val="21"/>
          <w:highlight w:val="none"/>
        </w:rPr>
        <w:t>承担。</w:t>
      </w:r>
    </w:p>
    <w:bookmarkEnd w:id="207"/>
    <w:p w14:paraId="6021E727">
      <w:pPr>
        <w:keepNext/>
        <w:keepLines/>
        <w:spacing w:before="260" w:after="260" w:line="416" w:lineRule="auto"/>
        <w:outlineLvl w:val="2"/>
        <w:rPr>
          <w:rFonts w:ascii="宋体" w:hAnsi="宋体"/>
          <w:b/>
          <w:bCs/>
          <w:color w:val="auto"/>
          <w:sz w:val="32"/>
          <w:szCs w:val="32"/>
          <w:highlight w:val="none"/>
        </w:rPr>
      </w:pPr>
      <w:bookmarkStart w:id="208" w:name="_Toc531186603"/>
      <w:bookmarkStart w:id="209" w:name="_Toc454211111"/>
      <w:bookmarkStart w:id="210" w:name="_Toc529547326"/>
      <w:bookmarkStart w:id="211" w:name="_Toc529526974"/>
      <w:bookmarkStart w:id="212" w:name="_Toc389065266"/>
      <w:bookmarkStart w:id="213" w:name="_Toc470247801"/>
      <w:bookmarkStart w:id="214" w:name="_Toc461179241"/>
      <w:bookmarkStart w:id="215" w:name="_Toc530144468"/>
      <w:bookmarkStart w:id="216" w:name="_Toc373478347"/>
      <w:bookmarkStart w:id="217" w:name="_Toc373227700"/>
      <w:bookmarkStart w:id="218" w:name="_Toc453940973"/>
      <w:bookmarkStart w:id="219" w:name="_Toc472931607"/>
      <w:bookmarkStart w:id="220" w:name="_Toc411345180"/>
      <w:r>
        <w:rPr>
          <w:rFonts w:ascii="宋体" w:hAnsi="宋体"/>
          <w:b/>
          <w:bCs/>
          <w:color w:val="auto"/>
          <w:sz w:val="32"/>
          <w:szCs w:val="32"/>
          <w:highlight w:val="none"/>
        </w:rPr>
        <w:t>1.11 知识产权</w:t>
      </w:r>
      <w:bookmarkEnd w:id="208"/>
      <w:bookmarkEnd w:id="209"/>
      <w:bookmarkEnd w:id="210"/>
      <w:bookmarkEnd w:id="211"/>
      <w:bookmarkEnd w:id="212"/>
      <w:bookmarkEnd w:id="213"/>
      <w:bookmarkEnd w:id="214"/>
      <w:bookmarkEnd w:id="215"/>
      <w:bookmarkEnd w:id="216"/>
      <w:bookmarkEnd w:id="217"/>
      <w:bookmarkEnd w:id="218"/>
      <w:bookmarkEnd w:id="219"/>
      <w:bookmarkEnd w:id="220"/>
    </w:p>
    <w:p w14:paraId="3AFEE705">
      <w:pPr>
        <w:spacing w:line="360" w:lineRule="auto"/>
        <w:ind w:firstLine="420" w:firstLineChars="200"/>
        <w:rPr>
          <w:rFonts w:ascii="宋体" w:hAnsi="宋体"/>
          <w:color w:val="auto"/>
          <w:szCs w:val="21"/>
          <w:highlight w:val="none"/>
        </w:rPr>
      </w:pPr>
      <w:r>
        <w:rPr>
          <w:rFonts w:ascii="宋体" w:hAnsi="宋体"/>
          <w:color w:val="auto"/>
          <w:szCs w:val="21"/>
          <w:highlight w:val="none"/>
        </w:rPr>
        <w:t>1.11.1关于发包人提供给承包人的图纸、发包人为实施工程自行编制或委托编制的技术规范以及反映发包人关于合同要求或其他类似性质的文件的著作权的归属：</w:t>
      </w:r>
      <w:r>
        <w:rPr>
          <w:rFonts w:hint="eastAsia" w:ascii="宋体" w:hAnsi="宋体"/>
          <w:b/>
          <w:color w:val="auto"/>
          <w:szCs w:val="21"/>
          <w:highlight w:val="none"/>
          <w:u w:val="single"/>
        </w:rPr>
        <w:t>归属发包人所有，承包人不得向其他人转借、出售或泄露与本项目有关的上述文件资料情况。</w:t>
      </w:r>
    </w:p>
    <w:p w14:paraId="41D8F5DC">
      <w:pPr>
        <w:spacing w:line="360" w:lineRule="auto"/>
        <w:ind w:firstLine="420" w:firstLineChars="200"/>
        <w:rPr>
          <w:rFonts w:ascii="宋体" w:hAnsi="宋体"/>
          <w:color w:val="auto"/>
          <w:szCs w:val="21"/>
          <w:highlight w:val="none"/>
        </w:rPr>
      </w:pPr>
      <w:r>
        <w:rPr>
          <w:rFonts w:ascii="宋体" w:hAnsi="宋体"/>
          <w:color w:val="auto"/>
          <w:szCs w:val="21"/>
          <w:highlight w:val="none"/>
        </w:rPr>
        <w:t>关于发包人提供的上述文件的使用限制的要求：</w:t>
      </w:r>
      <w:r>
        <w:rPr>
          <w:rFonts w:hint="eastAsia" w:ascii="宋体" w:hAnsi="宋体"/>
          <w:b/>
          <w:color w:val="auto"/>
          <w:szCs w:val="21"/>
          <w:highlight w:val="none"/>
          <w:u w:val="single"/>
        </w:rPr>
        <w:t>仅使用于本项目的建设</w:t>
      </w:r>
      <w:r>
        <w:rPr>
          <w:rFonts w:ascii="宋体" w:hAnsi="宋体"/>
          <w:color w:val="auto"/>
          <w:szCs w:val="21"/>
          <w:highlight w:val="none"/>
        </w:rPr>
        <w:t>。</w:t>
      </w:r>
    </w:p>
    <w:p w14:paraId="6E9015EE">
      <w:pPr>
        <w:spacing w:line="360" w:lineRule="auto"/>
        <w:ind w:firstLine="420" w:firstLineChars="200"/>
        <w:rPr>
          <w:rFonts w:ascii="宋体" w:hAnsi="宋体"/>
          <w:color w:val="auto"/>
          <w:szCs w:val="21"/>
          <w:highlight w:val="none"/>
        </w:rPr>
      </w:pPr>
      <w:r>
        <w:rPr>
          <w:rFonts w:ascii="宋体" w:hAnsi="宋体"/>
          <w:color w:val="auto"/>
          <w:szCs w:val="21"/>
          <w:highlight w:val="none"/>
        </w:rPr>
        <w:t>1.11.2 关于承包人为实施工程所编制文件的著作权的归属：</w:t>
      </w:r>
      <w:r>
        <w:rPr>
          <w:rFonts w:hint="eastAsia" w:ascii="宋体" w:hAnsi="宋体"/>
          <w:b/>
          <w:color w:val="auto"/>
          <w:szCs w:val="21"/>
          <w:highlight w:val="none"/>
          <w:u w:val="single"/>
        </w:rPr>
        <w:t>发包人</w:t>
      </w:r>
      <w:r>
        <w:rPr>
          <w:rFonts w:ascii="宋体" w:hAnsi="宋体"/>
          <w:color w:val="auto"/>
          <w:szCs w:val="21"/>
          <w:highlight w:val="none"/>
        </w:rPr>
        <w:t>。</w:t>
      </w:r>
    </w:p>
    <w:p w14:paraId="0E2B0051">
      <w:pPr>
        <w:spacing w:line="360" w:lineRule="auto"/>
        <w:ind w:firstLine="420" w:firstLineChars="200"/>
        <w:rPr>
          <w:rFonts w:ascii="宋体" w:hAnsi="宋体"/>
          <w:color w:val="auto"/>
          <w:szCs w:val="21"/>
          <w:highlight w:val="none"/>
          <w:u w:val="single"/>
        </w:rPr>
      </w:pPr>
      <w:r>
        <w:rPr>
          <w:rFonts w:ascii="宋体" w:hAnsi="宋体"/>
          <w:color w:val="auto"/>
          <w:szCs w:val="21"/>
          <w:highlight w:val="none"/>
        </w:rPr>
        <w:t>关于承包人提供的上述文件的使用限制的要求：</w:t>
      </w:r>
      <w:r>
        <w:rPr>
          <w:rFonts w:ascii="宋体" w:hAnsi="宋体"/>
          <w:color w:val="auto"/>
          <w:szCs w:val="21"/>
          <w:highlight w:val="none"/>
          <w:u w:val="single"/>
        </w:rPr>
        <w:t></w:t>
      </w:r>
      <w:r>
        <w:rPr>
          <w:rFonts w:hint="eastAsia" w:ascii="宋体" w:hAnsi="宋体"/>
          <w:b/>
          <w:color w:val="auto"/>
          <w:szCs w:val="21"/>
          <w:highlight w:val="none"/>
          <w:u w:val="single"/>
        </w:rPr>
        <w:t>仅限本项目使用</w:t>
      </w:r>
      <w:r>
        <w:rPr>
          <w:rFonts w:ascii="宋体" w:hAnsi="宋体"/>
          <w:color w:val="auto"/>
          <w:szCs w:val="21"/>
          <w:highlight w:val="none"/>
          <w:u w:val="single"/>
        </w:rPr>
        <w:t></w:t>
      </w:r>
      <w:r>
        <w:rPr>
          <w:rFonts w:ascii="宋体" w:hAnsi="宋体"/>
          <w:color w:val="auto"/>
          <w:szCs w:val="21"/>
          <w:highlight w:val="none"/>
        </w:rPr>
        <w:t>。</w:t>
      </w:r>
    </w:p>
    <w:p w14:paraId="6E31AF81">
      <w:pPr>
        <w:spacing w:line="360" w:lineRule="auto"/>
        <w:ind w:firstLine="420" w:firstLineChars="200"/>
        <w:rPr>
          <w:rFonts w:ascii="宋体" w:hAnsi="宋体"/>
          <w:color w:val="auto"/>
          <w:kern w:val="0"/>
          <w:szCs w:val="21"/>
          <w:highlight w:val="none"/>
        </w:rPr>
      </w:pPr>
      <w:r>
        <w:rPr>
          <w:rFonts w:ascii="宋体" w:hAnsi="宋体"/>
          <w:color w:val="auto"/>
          <w:szCs w:val="21"/>
          <w:highlight w:val="none"/>
        </w:rPr>
        <w:t>1.11.4 承包人在施工过程中所采用的专利、专有技术、技术秘密的使用费的承担方式：</w:t>
      </w:r>
      <w:r>
        <w:rPr>
          <w:rFonts w:hint="eastAsia" w:ascii="宋体" w:hAnsi="宋体"/>
          <w:b/>
          <w:color w:val="auto"/>
          <w:szCs w:val="21"/>
          <w:highlight w:val="none"/>
          <w:u w:val="single"/>
        </w:rPr>
        <w:t>承包人自行承担</w:t>
      </w:r>
      <w:r>
        <w:rPr>
          <w:rFonts w:ascii="宋体" w:hAnsi="宋体"/>
          <w:color w:val="auto"/>
          <w:kern w:val="0"/>
          <w:szCs w:val="21"/>
          <w:highlight w:val="none"/>
        </w:rPr>
        <w:t>。</w:t>
      </w:r>
    </w:p>
    <w:p w14:paraId="1A299BE2">
      <w:pPr>
        <w:keepNext/>
        <w:keepLines/>
        <w:spacing w:before="260" w:after="260" w:line="416" w:lineRule="auto"/>
        <w:outlineLvl w:val="2"/>
        <w:rPr>
          <w:rFonts w:ascii="宋体" w:hAnsi="宋体"/>
          <w:b/>
          <w:bCs/>
          <w:color w:val="auto"/>
          <w:sz w:val="32"/>
          <w:szCs w:val="32"/>
          <w:highlight w:val="none"/>
        </w:rPr>
      </w:pPr>
      <w:bookmarkStart w:id="221" w:name="_Toc529547327"/>
      <w:bookmarkStart w:id="222" w:name="_Toc470247802"/>
      <w:bookmarkStart w:id="223" w:name="_Toc461179242"/>
      <w:bookmarkStart w:id="224" w:name="_Toc389065267"/>
      <w:bookmarkStart w:id="225" w:name="_Toc530144469"/>
      <w:bookmarkStart w:id="226" w:name="_Toc472931608"/>
      <w:bookmarkStart w:id="227" w:name="_Toc529526975"/>
      <w:bookmarkStart w:id="228" w:name="_Toc373478348"/>
      <w:bookmarkStart w:id="229" w:name="_Toc411345181"/>
      <w:bookmarkStart w:id="230" w:name="_Toc373227701"/>
      <w:bookmarkStart w:id="231" w:name="_Toc454211112"/>
      <w:bookmarkStart w:id="232" w:name="_Toc531186604"/>
      <w:bookmarkStart w:id="233" w:name="_Toc453940974"/>
      <w:r>
        <w:rPr>
          <w:rFonts w:ascii="宋体" w:hAnsi="宋体"/>
          <w:b/>
          <w:bCs/>
          <w:color w:val="auto"/>
          <w:sz w:val="32"/>
          <w:szCs w:val="32"/>
          <w:highlight w:val="none"/>
        </w:rPr>
        <w:t>1.13工程量清单错误的修正</w:t>
      </w:r>
      <w:bookmarkEnd w:id="221"/>
      <w:bookmarkEnd w:id="222"/>
      <w:bookmarkEnd w:id="223"/>
      <w:bookmarkEnd w:id="224"/>
      <w:bookmarkEnd w:id="225"/>
      <w:bookmarkEnd w:id="226"/>
      <w:bookmarkEnd w:id="227"/>
      <w:bookmarkEnd w:id="228"/>
      <w:bookmarkEnd w:id="229"/>
      <w:bookmarkEnd w:id="230"/>
      <w:bookmarkEnd w:id="231"/>
      <w:bookmarkEnd w:id="232"/>
      <w:bookmarkEnd w:id="233"/>
    </w:p>
    <w:p w14:paraId="3616F7C0">
      <w:pPr>
        <w:spacing w:line="360" w:lineRule="auto"/>
        <w:ind w:firstLine="420" w:firstLineChars="200"/>
        <w:rPr>
          <w:rFonts w:hint="default" w:ascii="宋体" w:hAnsi="宋体" w:eastAsia="宋体"/>
          <w:color w:val="auto"/>
          <w:szCs w:val="21"/>
          <w:highlight w:val="none"/>
          <w:lang w:val="en-US" w:eastAsia="zh-CN"/>
        </w:rPr>
      </w:pPr>
      <w:r>
        <w:rPr>
          <w:rFonts w:hint="eastAsia" w:ascii="宋体" w:hAnsi="宋体"/>
          <w:color w:val="auto"/>
          <w:szCs w:val="21"/>
          <w:highlight w:val="none"/>
        </w:rPr>
        <w:t>出现工程量清单工程量偏差，是否调整合同价格：</w:t>
      </w:r>
      <w:r>
        <w:rPr>
          <w:rFonts w:hint="eastAsia" w:hAnsi="宋体"/>
          <w:color w:val="auto"/>
          <w:szCs w:val="21"/>
          <w:highlight w:val="none"/>
          <w:u w:val="single"/>
          <w:lang w:val="en-US" w:eastAsia="zh-CN"/>
        </w:rPr>
        <w:t xml:space="preserve"> </w:t>
      </w:r>
      <w:r>
        <w:rPr>
          <w:rFonts w:hint="eastAsia" w:ascii="宋体" w:hAnsi="宋体"/>
          <w:color w:val="auto"/>
          <w:szCs w:val="21"/>
          <w:highlight w:val="none"/>
          <w:u w:val="single"/>
        </w:rPr>
        <w:t>合同履行期间，由于招标工程量清单缺项、漏项，新增分部分项工程清单项目的，按照以下规定确定单价，并调整</w:t>
      </w:r>
      <w:r>
        <w:rPr>
          <w:rFonts w:hint="eastAsia"/>
          <w:color w:val="auto"/>
          <w:szCs w:val="21"/>
          <w:highlight w:val="none"/>
          <w:u w:val="single"/>
        </w:rPr>
        <w:t>清单综合单价</w:t>
      </w:r>
      <w:r>
        <w:rPr>
          <w:rFonts w:hint="eastAsia" w:ascii="宋体" w:hAnsi="宋体"/>
          <w:color w:val="auto"/>
          <w:szCs w:val="21"/>
          <w:highlight w:val="none"/>
          <w:u w:val="single"/>
        </w:rPr>
        <w:t>：（</w:t>
      </w:r>
      <w:r>
        <w:rPr>
          <w:rFonts w:hAnsi="宋体"/>
          <w:color w:val="auto"/>
          <w:szCs w:val="21"/>
          <w:highlight w:val="none"/>
          <w:u w:val="single"/>
        </w:rPr>
        <w:t>1</w:t>
      </w:r>
      <w:r>
        <w:rPr>
          <w:rFonts w:hint="eastAsia" w:ascii="宋体" w:hAnsi="宋体"/>
          <w:color w:val="auto"/>
          <w:szCs w:val="21"/>
          <w:highlight w:val="none"/>
          <w:u w:val="single"/>
        </w:rPr>
        <w:t>）合同中已有相同子目的，按合同该子目价格进行计算；（</w:t>
      </w:r>
      <w:r>
        <w:rPr>
          <w:rFonts w:hAnsi="宋体"/>
          <w:color w:val="auto"/>
          <w:szCs w:val="21"/>
          <w:highlight w:val="none"/>
          <w:u w:val="single"/>
        </w:rPr>
        <w:t>2</w:t>
      </w:r>
      <w:r>
        <w:rPr>
          <w:rFonts w:hint="eastAsia" w:ascii="宋体" w:hAnsi="宋体"/>
          <w:color w:val="auto"/>
          <w:szCs w:val="21"/>
          <w:highlight w:val="none"/>
          <w:u w:val="single"/>
        </w:rPr>
        <w:t>）合同中只有类似子目的，参照该类似子目价格进行计算；（</w:t>
      </w:r>
      <w:r>
        <w:rPr>
          <w:rFonts w:hAnsi="宋体"/>
          <w:color w:val="auto"/>
          <w:szCs w:val="21"/>
          <w:highlight w:val="none"/>
          <w:u w:val="single"/>
        </w:rPr>
        <w:t>3</w:t>
      </w:r>
      <w:r>
        <w:rPr>
          <w:rFonts w:hint="eastAsia" w:ascii="宋体" w:hAnsi="宋体"/>
          <w:color w:val="auto"/>
          <w:szCs w:val="21"/>
          <w:highlight w:val="none"/>
          <w:u w:val="single"/>
        </w:rPr>
        <w:t>）合同中没有适用或类似子目的价格计算方法：有定额的套定额（含石方工程），并乘以下浮系数（中标价/工程招标控制价）计算，其中材料价格按施工期间的《防城港市建设工程造价信息》相应价格信息计算；《防城港市建设工程造价信息》没有相应价格信息的按市场价计算；无定额可套的，根据市场价格协商确定综合价格；新增项目的单价必须事前经招标人审定。除以上情况之外出现工程量清单错误的，不调整</w:t>
      </w:r>
      <w:r>
        <w:rPr>
          <w:rFonts w:hint="eastAsia"/>
          <w:color w:val="auto"/>
          <w:szCs w:val="21"/>
          <w:highlight w:val="none"/>
          <w:u w:val="single"/>
        </w:rPr>
        <w:t>清单综合单价</w:t>
      </w:r>
      <w:r>
        <w:rPr>
          <w:rFonts w:hint="eastAsia" w:hAnsi="宋体" w:cs="宋体"/>
          <w:color w:val="auto"/>
          <w:kern w:val="0"/>
          <w:highlight w:val="none"/>
        </w:rPr>
        <w:t>。</w:t>
      </w:r>
      <w:r>
        <w:rPr>
          <w:rFonts w:hint="eastAsia" w:hAnsi="宋体"/>
          <w:color w:val="auto"/>
          <w:szCs w:val="21"/>
          <w:highlight w:val="none"/>
          <w:u w:val="none"/>
          <w:lang w:val="en-US" w:eastAsia="zh-CN"/>
        </w:rPr>
        <w:t xml:space="preserve">    </w:t>
      </w:r>
    </w:p>
    <w:p w14:paraId="5EA0BE49">
      <w:pPr>
        <w:spacing w:line="360" w:lineRule="auto"/>
        <w:ind w:firstLine="420" w:firstLineChars="200"/>
        <w:rPr>
          <w:rFonts w:ascii="宋体" w:hAnsi="宋体"/>
          <w:color w:val="auto"/>
          <w:szCs w:val="21"/>
          <w:highlight w:val="none"/>
          <w:u w:val="single"/>
        </w:rPr>
      </w:pPr>
      <w:r>
        <w:rPr>
          <w:rFonts w:hint="eastAsia" w:ascii="宋体" w:hAnsi="宋体"/>
          <w:color w:val="auto"/>
          <w:szCs w:val="21"/>
          <w:highlight w:val="none"/>
          <w:u w:val="none"/>
        </w:rPr>
        <w:t>允许调整合同价格的工程量偏差范围及其调整办法</w:t>
      </w:r>
      <w:r>
        <w:rPr>
          <w:rFonts w:hint="eastAsia" w:ascii="宋体" w:hAnsi="宋体"/>
          <w:color w:val="auto"/>
          <w:szCs w:val="21"/>
          <w:highlight w:val="none"/>
          <w:u w:val="single"/>
        </w:rPr>
        <w:t>：实际完成工程量超过±15%时允许调整，按</w:t>
      </w:r>
      <w:r>
        <w:rPr>
          <w:rFonts w:hint="eastAsia" w:hAnsi="宋体"/>
          <w:color w:val="auto"/>
          <w:szCs w:val="21"/>
          <w:highlight w:val="none"/>
          <w:u w:val="single"/>
          <w:lang w:eastAsia="zh-CN"/>
        </w:rPr>
        <w:t>《</w:t>
      </w:r>
      <w:r>
        <w:rPr>
          <w:rFonts w:hint="eastAsia" w:ascii="宋体" w:hAnsi="宋体"/>
          <w:color w:val="auto"/>
          <w:szCs w:val="21"/>
          <w:highlight w:val="none"/>
          <w:u w:val="single"/>
        </w:rPr>
        <w:t>GB 50500-2013</w:t>
      </w:r>
      <w:r>
        <w:rPr>
          <w:rFonts w:hint="eastAsia" w:ascii="微软雅黑" w:hAnsi="微软雅黑" w:eastAsia="微软雅黑" w:cs="微软雅黑"/>
          <w:color w:val="auto"/>
          <w:szCs w:val="21"/>
          <w:highlight w:val="none"/>
          <w:u w:val="single"/>
          <w:lang w:eastAsia="zh-CN"/>
        </w:rPr>
        <w:t>〈</w:t>
      </w:r>
      <w:r>
        <w:rPr>
          <w:rFonts w:hint="eastAsia" w:ascii="宋体" w:hAnsi="宋体"/>
          <w:color w:val="auto"/>
          <w:szCs w:val="21"/>
          <w:highlight w:val="none"/>
          <w:u w:val="single"/>
        </w:rPr>
        <w:t>建设工程工程量清单计价规范</w:t>
      </w:r>
      <w:r>
        <w:rPr>
          <w:rFonts w:hint="eastAsia" w:ascii="微软雅黑" w:hAnsi="微软雅黑" w:eastAsia="微软雅黑" w:cs="微软雅黑"/>
          <w:color w:val="auto"/>
          <w:szCs w:val="21"/>
          <w:highlight w:val="none"/>
          <w:u w:val="single"/>
          <w:lang w:eastAsia="zh-CN"/>
        </w:rPr>
        <w:t>〉</w:t>
      </w:r>
      <w:r>
        <w:rPr>
          <w:rFonts w:hint="eastAsia" w:ascii="宋体" w:hAnsi="宋体"/>
          <w:color w:val="auto"/>
          <w:szCs w:val="21"/>
          <w:highlight w:val="none"/>
          <w:u w:val="single"/>
        </w:rPr>
        <w:t>广西壮族自治区实施细则</w:t>
      </w:r>
      <w:r>
        <w:rPr>
          <w:rFonts w:hint="eastAsia" w:hAnsi="宋体"/>
          <w:color w:val="auto"/>
          <w:szCs w:val="21"/>
          <w:highlight w:val="none"/>
          <w:u w:val="single"/>
          <w:lang w:eastAsia="zh-CN"/>
        </w:rPr>
        <w:t>》</w:t>
      </w:r>
      <w:r>
        <w:rPr>
          <w:rFonts w:hint="eastAsia" w:ascii="宋体" w:hAnsi="宋体"/>
          <w:color w:val="auto"/>
          <w:szCs w:val="21"/>
          <w:highlight w:val="none"/>
          <w:u w:val="single"/>
        </w:rPr>
        <w:t>进行调整</w:t>
      </w:r>
      <w:r>
        <w:rPr>
          <w:rFonts w:ascii="宋体" w:hAnsi="宋体"/>
          <w:color w:val="auto"/>
          <w:szCs w:val="21"/>
          <w:highlight w:val="none"/>
          <w:u w:val="single"/>
        </w:rPr>
        <w:t>。</w:t>
      </w:r>
    </w:p>
    <w:p w14:paraId="0565E66E">
      <w:pPr>
        <w:keepNext/>
        <w:keepLines/>
        <w:spacing w:before="260" w:after="260" w:line="416" w:lineRule="auto"/>
        <w:outlineLvl w:val="2"/>
        <w:rPr>
          <w:rFonts w:ascii="宋体" w:hAnsi="宋体"/>
          <w:b/>
          <w:bCs/>
          <w:color w:val="auto"/>
          <w:sz w:val="32"/>
          <w:szCs w:val="32"/>
          <w:highlight w:val="none"/>
        </w:rPr>
      </w:pPr>
      <w:bookmarkStart w:id="234" w:name="_Toc454211113"/>
      <w:bookmarkStart w:id="235" w:name="_Toc529547328"/>
      <w:bookmarkStart w:id="236" w:name="_Toc461179243"/>
      <w:bookmarkStart w:id="237" w:name="_Toc470247803"/>
      <w:bookmarkStart w:id="238" w:name="_Toc472931609"/>
      <w:bookmarkStart w:id="239" w:name="_Toc529526976"/>
      <w:bookmarkStart w:id="240" w:name="_Toc530144470"/>
      <w:bookmarkStart w:id="241" w:name="_Toc531186605"/>
      <w:r>
        <w:rPr>
          <w:rFonts w:ascii="宋体" w:hAnsi="宋体"/>
          <w:b/>
          <w:bCs/>
          <w:color w:val="auto"/>
          <w:sz w:val="32"/>
          <w:szCs w:val="32"/>
          <w:highlight w:val="none"/>
        </w:rPr>
        <w:t>2</w:t>
      </w:r>
      <w:bookmarkStart w:id="242" w:name="_Toc296891197"/>
      <w:bookmarkStart w:id="243" w:name="_Toc292559362"/>
      <w:bookmarkStart w:id="244" w:name="_Toc297120457"/>
      <w:bookmarkStart w:id="245" w:name="_Toc297048343"/>
      <w:bookmarkStart w:id="246" w:name="_Toc296346658"/>
      <w:bookmarkStart w:id="247" w:name="_Toc296347156"/>
      <w:bookmarkStart w:id="248" w:name="_Toc296890985"/>
      <w:bookmarkStart w:id="249" w:name="_Toc296503157"/>
      <w:bookmarkStart w:id="250" w:name="_Toc292559867"/>
      <w:bookmarkStart w:id="251" w:name="_Toc296944496"/>
      <w:r>
        <w:rPr>
          <w:rFonts w:ascii="宋体" w:hAnsi="宋体"/>
          <w:b/>
          <w:bCs/>
          <w:color w:val="auto"/>
          <w:sz w:val="32"/>
          <w:szCs w:val="32"/>
          <w:highlight w:val="none"/>
        </w:rPr>
        <w:t>. 发包人</w:t>
      </w:r>
      <w:bookmarkEnd w:id="234"/>
      <w:bookmarkEnd w:id="235"/>
      <w:bookmarkEnd w:id="236"/>
      <w:bookmarkEnd w:id="237"/>
      <w:bookmarkEnd w:id="238"/>
      <w:bookmarkEnd w:id="239"/>
      <w:bookmarkEnd w:id="240"/>
      <w:bookmarkEnd w:id="241"/>
    </w:p>
    <w:bookmarkEnd w:id="242"/>
    <w:bookmarkEnd w:id="243"/>
    <w:bookmarkEnd w:id="244"/>
    <w:bookmarkEnd w:id="245"/>
    <w:bookmarkEnd w:id="246"/>
    <w:bookmarkEnd w:id="247"/>
    <w:bookmarkEnd w:id="248"/>
    <w:bookmarkEnd w:id="249"/>
    <w:bookmarkEnd w:id="250"/>
    <w:bookmarkEnd w:id="251"/>
    <w:p w14:paraId="4E12BFA5">
      <w:pPr>
        <w:keepNext/>
        <w:keepLines/>
        <w:spacing w:before="260" w:after="260" w:line="416" w:lineRule="auto"/>
        <w:outlineLvl w:val="2"/>
        <w:rPr>
          <w:rFonts w:ascii="宋体" w:hAnsi="宋体"/>
          <w:b/>
          <w:bCs/>
          <w:color w:val="auto"/>
          <w:sz w:val="32"/>
          <w:szCs w:val="32"/>
          <w:highlight w:val="none"/>
        </w:rPr>
      </w:pPr>
      <w:bookmarkStart w:id="252" w:name="_Toc373227703"/>
      <w:bookmarkStart w:id="253" w:name="_Toc411345184"/>
      <w:bookmarkStart w:id="254" w:name="_Toc529547329"/>
      <w:bookmarkStart w:id="255" w:name="_Toc470247804"/>
      <w:bookmarkStart w:id="256" w:name="_Toc461179245"/>
      <w:bookmarkStart w:id="257" w:name="_Toc454211115"/>
      <w:bookmarkStart w:id="258" w:name="_Toc373478350"/>
      <w:bookmarkStart w:id="259" w:name="_Toc531186606"/>
      <w:bookmarkStart w:id="260" w:name="_Toc472931610"/>
      <w:bookmarkStart w:id="261" w:name="_Toc389065269"/>
      <w:bookmarkStart w:id="262" w:name="_Toc529526977"/>
      <w:bookmarkStart w:id="263" w:name="_Toc530144471"/>
      <w:bookmarkStart w:id="264" w:name="_Toc432343891"/>
      <w:r>
        <w:rPr>
          <w:rFonts w:ascii="宋体" w:hAnsi="宋体"/>
          <w:b/>
          <w:bCs/>
          <w:color w:val="auto"/>
          <w:sz w:val="32"/>
          <w:szCs w:val="32"/>
          <w:highlight w:val="none"/>
        </w:rPr>
        <w:t>2.2 发包人代表</w:t>
      </w:r>
      <w:bookmarkEnd w:id="252"/>
      <w:bookmarkEnd w:id="253"/>
      <w:bookmarkEnd w:id="254"/>
      <w:bookmarkEnd w:id="255"/>
      <w:bookmarkEnd w:id="256"/>
      <w:bookmarkEnd w:id="257"/>
      <w:bookmarkEnd w:id="258"/>
      <w:bookmarkEnd w:id="259"/>
      <w:bookmarkEnd w:id="260"/>
      <w:bookmarkEnd w:id="261"/>
      <w:bookmarkEnd w:id="262"/>
      <w:bookmarkEnd w:id="263"/>
      <w:bookmarkEnd w:id="264"/>
    </w:p>
    <w:p w14:paraId="307A0021">
      <w:pPr>
        <w:spacing w:line="360" w:lineRule="auto"/>
        <w:ind w:firstLine="420" w:firstLineChars="200"/>
        <w:rPr>
          <w:rFonts w:ascii="宋体" w:hAnsi="宋体"/>
          <w:color w:val="auto"/>
          <w:szCs w:val="21"/>
          <w:highlight w:val="none"/>
        </w:rPr>
      </w:pPr>
      <w:r>
        <w:rPr>
          <w:rFonts w:ascii="宋体" w:hAnsi="宋体"/>
          <w:color w:val="auto"/>
          <w:szCs w:val="21"/>
          <w:highlight w:val="none"/>
        </w:rPr>
        <w:t>发包人代表：</w:t>
      </w:r>
    </w:p>
    <w:p w14:paraId="2CD83137">
      <w:pPr>
        <w:spacing w:line="360" w:lineRule="auto"/>
        <w:ind w:firstLine="420" w:firstLineChars="200"/>
        <w:rPr>
          <w:rFonts w:ascii="宋体" w:hAnsi="宋体"/>
          <w:color w:val="auto"/>
          <w:szCs w:val="21"/>
          <w:highlight w:val="none"/>
        </w:rPr>
      </w:pPr>
      <w:r>
        <w:rPr>
          <w:rFonts w:ascii="宋体" w:hAnsi="宋体"/>
          <w:color w:val="auto"/>
          <w:szCs w:val="21"/>
          <w:highlight w:val="none"/>
        </w:rPr>
        <w:t>姓    名：</w:t>
      </w:r>
      <w:r>
        <w:rPr>
          <w:rFonts w:ascii="宋体" w:hAnsi="宋体"/>
          <w:color w:val="auto"/>
          <w:szCs w:val="21"/>
          <w:highlight w:val="none"/>
          <w:u w:val="single"/>
        </w:rPr>
        <w:t></w:t>
      </w:r>
      <w:r>
        <w:rPr>
          <w:rFonts w:hint="eastAsia" w:ascii="宋体" w:hAnsi="宋体"/>
          <w:color w:val="auto"/>
          <w:szCs w:val="21"/>
          <w:highlight w:val="none"/>
          <w:u w:val="single"/>
        </w:rPr>
        <w:t>待定</w:t>
      </w:r>
      <w:r>
        <w:rPr>
          <w:rFonts w:ascii="宋体" w:hAnsi="宋体"/>
          <w:color w:val="auto"/>
          <w:szCs w:val="21"/>
          <w:highlight w:val="none"/>
          <w:u w:val="single"/>
        </w:rPr>
        <w:t>     </w:t>
      </w:r>
      <w:r>
        <w:rPr>
          <w:rFonts w:ascii="宋体" w:hAnsi="宋体"/>
          <w:color w:val="auto"/>
          <w:szCs w:val="21"/>
          <w:highlight w:val="none"/>
        </w:rPr>
        <w:t>；</w:t>
      </w:r>
    </w:p>
    <w:p w14:paraId="21BB8B81">
      <w:pPr>
        <w:spacing w:line="360" w:lineRule="auto"/>
        <w:ind w:firstLine="420" w:firstLineChars="200"/>
        <w:rPr>
          <w:rFonts w:ascii="宋体" w:hAnsi="宋体"/>
          <w:color w:val="auto"/>
          <w:szCs w:val="21"/>
          <w:highlight w:val="none"/>
        </w:rPr>
      </w:pPr>
      <w:r>
        <w:rPr>
          <w:rFonts w:ascii="宋体" w:hAnsi="宋体"/>
          <w:color w:val="auto"/>
          <w:szCs w:val="21"/>
          <w:highlight w:val="none"/>
        </w:rPr>
        <w:t>身份证号：</w:t>
      </w:r>
      <w:r>
        <w:rPr>
          <w:rFonts w:ascii="宋体" w:hAnsi="宋体"/>
          <w:color w:val="auto"/>
          <w:szCs w:val="21"/>
          <w:highlight w:val="none"/>
          <w:u w:val="single"/>
        </w:rPr>
        <w:t>      </w:t>
      </w:r>
      <w:r>
        <w:rPr>
          <w:rFonts w:ascii="宋体" w:hAnsi="宋体"/>
          <w:color w:val="auto"/>
          <w:szCs w:val="21"/>
          <w:highlight w:val="none"/>
        </w:rPr>
        <w:t>；</w:t>
      </w:r>
    </w:p>
    <w:p w14:paraId="31308E11">
      <w:pPr>
        <w:spacing w:line="360" w:lineRule="auto"/>
        <w:ind w:firstLine="420" w:firstLineChars="200"/>
        <w:rPr>
          <w:rFonts w:ascii="宋体" w:hAnsi="宋体"/>
          <w:color w:val="auto"/>
          <w:szCs w:val="21"/>
          <w:highlight w:val="none"/>
        </w:rPr>
      </w:pPr>
      <w:r>
        <w:rPr>
          <w:rFonts w:ascii="宋体" w:hAnsi="宋体"/>
          <w:color w:val="auto"/>
          <w:szCs w:val="21"/>
          <w:highlight w:val="none"/>
        </w:rPr>
        <w:t>职    务：</w:t>
      </w:r>
      <w:r>
        <w:rPr>
          <w:rFonts w:ascii="宋体" w:hAnsi="宋体"/>
          <w:color w:val="auto"/>
          <w:szCs w:val="21"/>
          <w:highlight w:val="none"/>
          <w:u w:val="single"/>
        </w:rPr>
        <w:t>    </w:t>
      </w:r>
      <w:r>
        <w:rPr>
          <w:rFonts w:ascii="宋体" w:hAnsi="宋体"/>
          <w:color w:val="auto"/>
          <w:szCs w:val="21"/>
          <w:highlight w:val="none"/>
        </w:rPr>
        <w:t>；</w:t>
      </w:r>
    </w:p>
    <w:p w14:paraId="0425DECE">
      <w:pPr>
        <w:spacing w:line="360" w:lineRule="auto"/>
        <w:ind w:firstLine="420" w:firstLineChars="200"/>
        <w:rPr>
          <w:rFonts w:ascii="宋体" w:hAnsi="宋体"/>
          <w:color w:val="auto"/>
          <w:szCs w:val="21"/>
          <w:highlight w:val="none"/>
        </w:rPr>
      </w:pPr>
      <w:r>
        <w:rPr>
          <w:rFonts w:ascii="宋体" w:hAnsi="宋体"/>
          <w:color w:val="auto"/>
          <w:szCs w:val="21"/>
          <w:highlight w:val="none"/>
        </w:rPr>
        <w:t>联系电话：</w:t>
      </w:r>
      <w:r>
        <w:rPr>
          <w:rFonts w:ascii="宋体" w:hAnsi="宋体"/>
          <w:color w:val="auto"/>
          <w:szCs w:val="21"/>
          <w:highlight w:val="none"/>
          <w:u w:val="single"/>
        </w:rPr>
        <w:t>     </w:t>
      </w:r>
      <w:r>
        <w:rPr>
          <w:rFonts w:ascii="宋体" w:hAnsi="宋体"/>
          <w:color w:val="auto"/>
          <w:szCs w:val="21"/>
          <w:highlight w:val="none"/>
        </w:rPr>
        <w:t>；</w:t>
      </w:r>
    </w:p>
    <w:p w14:paraId="21CA7012">
      <w:pPr>
        <w:spacing w:line="360" w:lineRule="auto"/>
        <w:ind w:firstLine="420" w:firstLineChars="200"/>
        <w:rPr>
          <w:rFonts w:ascii="宋体" w:hAnsi="宋体"/>
          <w:color w:val="auto"/>
          <w:szCs w:val="21"/>
          <w:highlight w:val="none"/>
        </w:rPr>
      </w:pPr>
      <w:r>
        <w:rPr>
          <w:rFonts w:ascii="宋体" w:hAnsi="宋体"/>
          <w:color w:val="auto"/>
          <w:szCs w:val="21"/>
          <w:highlight w:val="none"/>
        </w:rPr>
        <w:t>电子信箱：</w:t>
      </w:r>
      <w:r>
        <w:rPr>
          <w:rFonts w:ascii="宋体" w:hAnsi="宋体"/>
          <w:color w:val="auto"/>
          <w:szCs w:val="21"/>
          <w:highlight w:val="none"/>
          <w:u w:val="single"/>
        </w:rPr>
        <w:t>     </w:t>
      </w:r>
      <w:r>
        <w:rPr>
          <w:rFonts w:ascii="宋体" w:hAnsi="宋体"/>
          <w:color w:val="auto"/>
          <w:szCs w:val="21"/>
          <w:highlight w:val="none"/>
        </w:rPr>
        <w:t>；</w:t>
      </w:r>
    </w:p>
    <w:p w14:paraId="186A938F">
      <w:pPr>
        <w:spacing w:line="360" w:lineRule="auto"/>
        <w:ind w:firstLine="420" w:firstLineChars="200"/>
        <w:rPr>
          <w:rFonts w:ascii="宋体" w:hAnsi="宋体"/>
          <w:color w:val="auto"/>
          <w:szCs w:val="21"/>
          <w:highlight w:val="none"/>
        </w:rPr>
      </w:pPr>
      <w:r>
        <w:rPr>
          <w:rFonts w:ascii="宋体" w:hAnsi="宋体"/>
          <w:color w:val="auto"/>
          <w:szCs w:val="21"/>
          <w:highlight w:val="none"/>
        </w:rPr>
        <w:t>通信地址：。</w:t>
      </w:r>
    </w:p>
    <w:p w14:paraId="55C83485">
      <w:pPr>
        <w:spacing w:line="360" w:lineRule="auto"/>
        <w:ind w:firstLine="420" w:firstLineChars="200"/>
        <w:rPr>
          <w:rFonts w:ascii="宋体" w:hAnsi="宋体"/>
          <w:color w:val="auto"/>
          <w:szCs w:val="21"/>
          <w:highlight w:val="none"/>
          <w:u w:val="single"/>
        </w:rPr>
      </w:pPr>
      <w:r>
        <w:rPr>
          <w:rFonts w:ascii="宋体" w:hAnsi="宋体"/>
          <w:color w:val="auto"/>
          <w:szCs w:val="21"/>
          <w:highlight w:val="none"/>
        </w:rPr>
        <w:t>发包人对发包人代表的授权范围如下：</w:t>
      </w:r>
      <w:r>
        <w:rPr>
          <w:rFonts w:ascii="宋体" w:hAnsi="宋体"/>
          <w:color w:val="auto"/>
          <w:szCs w:val="21"/>
          <w:highlight w:val="none"/>
          <w:u w:val="single"/>
        </w:rPr>
        <w:t></w:t>
      </w:r>
      <w:r>
        <w:rPr>
          <w:rFonts w:hint="eastAsia" w:ascii="Calibri" w:hAnsi="宋体"/>
          <w:color w:val="auto"/>
          <w:sz w:val="22"/>
          <w:szCs w:val="22"/>
          <w:highlight w:val="none"/>
          <w:u w:val="single"/>
        </w:rPr>
        <w:t>以发包人签署予发包人代表的授权委托书的授权范围为准</w:t>
      </w:r>
      <w:r>
        <w:rPr>
          <w:rFonts w:ascii="宋体" w:hAnsi="宋体"/>
          <w:color w:val="auto"/>
          <w:szCs w:val="21"/>
          <w:highlight w:val="none"/>
        </w:rPr>
        <w:t>。</w:t>
      </w:r>
    </w:p>
    <w:p w14:paraId="1E69A556">
      <w:pPr>
        <w:keepNext/>
        <w:keepLines/>
        <w:spacing w:before="260" w:after="260" w:line="416" w:lineRule="auto"/>
        <w:outlineLvl w:val="2"/>
        <w:rPr>
          <w:rFonts w:ascii="宋体" w:hAnsi="宋体"/>
          <w:b/>
          <w:bCs/>
          <w:color w:val="auto"/>
          <w:sz w:val="32"/>
          <w:szCs w:val="21"/>
          <w:highlight w:val="none"/>
        </w:rPr>
      </w:pPr>
      <w:bookmarkStart w:id="265" w:name="_Toc529547330"/>
      <w:bookmarkStart w:id="266" w:name="_Toc531186607"/>
      <w:bookmarkStart w:id="267" w:name="_Toc373227704"/>
      <w:bookmarkStart w:id="268" w:name="_Toc472931611"/>
      <w:bookmarkStart w:id="269" w:name="_Toc389065270"/>
      <w:bookmarkStart w:id="270" w:name="_Toc461179246"/>
      <w:bookmarkStart w:id="271" w:name="_Toc470247805"/>
      <w:bookmarkStart w:id="272" w:name="_Toc411345185"/>
      <w:bookmarkStart w:id="273" w:name="_Toc373478351"/>
      <w:bookmarkStart w:id="274" w:name="_Toc454211116"/>
      <w:bookmarkStart w:id="275" w:name="_Toc530144472"/>
      <w:bookmarkStart w:id="276" w:name="_Toc432343892"/>
      <w:bookmarkStart w:id="277" w:name="_Toc529526978"/>
      <w:r>
        <w:rPr>
          <w:rFonts w:ascii="宋体" w:hAnsi="宋体"/>
          <w:b/>
          <w:bCs/>
          <w:color w:val="auto"/>
          <w:sz w:val="32"/>
          <w:szCs w:val="21"/>
          <w:highlight w:val="none"/>
        </w:rPr>
        <w:t>2.4 施工现场、施工条件和基础资料的提供</w:t>
      </w:r>
      <w:bookmarkEnd w:id="265"/>
      <w:bookmarkEnd w:id="266"/>
      <w:bookmarkEnd w:id="267"/>
      <w:bookmarkEnd w:id="268"/>
      <w:bookmarkEnd w:id="269"/>
      <w:bookmarkEnd w:id="270"/>
      <w:bookmarkEnd w:id="271"/>
      <w:bookmarkEnd w:id="272"/>
      <w:bookmarkEnd w:id="273"/>
      <w:bookmarkEnd w:id="274"/>
      <w:bookmarkEnd w:id="275"/>
      <w:bookmarkEnd w:id="276"/>
      <w:bookmarkEnd w:id="277"/>
    </w:p>
    <w:p w14:paraId="3EB64C3F">
      <w:pPr>
        <w:spacing w:line="360" w:lineRule="auto"/>
        <w:ind w:firstLine="420" w:firstLineChars="200"/>
        <w:rPr>
          <w:rFonts w:ascii="宋体" w:hAnsi="宋体"/>
          <w:color w:val="auto"/>
          <w:szCs w:val="21"/>
          <w:highlight w:val="none"/>
        </w:rPr>
      </w:pPr>
      <w:r>
        <w:rPr>
          <w:rFonts w:ascii="宋体" w:hAnsi="宋体"/>
          <w:color w:val="auto"/>
          <w:szCs w:val="21"/>
          <w:highlight w:val="none"/>
        </w:rPr>
        <w:t>2.4.1 提供施工现场</w:t>
      </w:r>
    </w:p>
    <w:p w14:paraId="1BC641A8">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关于发包人移交施工现场的期限要求：</w:t>
      </w:r>
      <w:r>
        <w:rPr>
          <w:rFonts w:ascii="宋体" w:hAnsi="宋体"/>
          <w:color w:val="auto"/>
          <w:szCs w:val="21"/>
          <w:highlight w:val="none"/>
          <w:u w:val="single"/>
        </w:rPr>
        <w:t></w:t>
      </w:r>
      <w:r>
        <w:rPr>
          <w:rFonts w:hint="eastAsia" w:ascii="宋体" w:hAnsi="宋体"/>
          <w:bCs/>
          <w:color w:val="auto"/>
          <w:szCs w:val="21"/>
          <w:highlight w:val="none"/>
          <w:u w:val="single"/>
        </w:rPr>
        <w:t>开工前7天内</w:t>
      </w:r>
      <w:r>
        <w:rPr>
          <w:rFonts w:ascii="宋体" w:hAnsi="宋体"/>
          <w:color w:val="auto"/>
          <w:szCs w:val="21"/>
          <w:highlight w:val="none"/>
          <w:u w:val="single"/>
        </w:rPr>
        <w:t></w:t>
      </w:r>
      <w:r>
        <w:rPr>
          <w:rFonts w:ascii="宋体" w:hAnsi="宋体"/>
          <w:color w:val="auto"/>
          <w:szCs w:val="21"/>
          <w:highlight w:val="none"/>
        </w:rPr>
        <w:t>。</w:t>
      </w:r>
    </w:p>
    <w:p w14:paraId="3906D888">
      <w:pPr>
        <w:spacing w:line="360" w:lineRule="auto"/>
        <w:ind w:firstLine="420" w:firstLineChars="200"/>
        <w:rPr>
          <w:rFonts w:ascii="宋体" w:hAnsi="宋体"/>
          <w:color w:val="auto"/>
          <w:szCs w:val="21"/>
          <w:highlight w:val="none"/>
        </w:rPr>
      </w:pPr>
      <w:r>
        <w:rPr>
          <w:rFonts w:ascii="宋体" w:hAnsi="宋体"/>
          <w:color w:val="auto"/>
          <w:szCs w:val="21"/>
          <w:highlight w:val="none"/>
        </w:rPr>
        <w:t>2.4.2 提供施工条件</w:t>
      </w:r>
    </w:p>
    <w:p w14:paraId="162B6084">
      <w:pPr>
        <w:pStyle w:val="228"/>
        <w:spacing w:line="360" w:lineRule="auto"/>
        <w:ind w:firstLine="420" w:firstLineChars="200"/>
        <w:rPr>
          <w:color w:val="auto"/>
          <w:highlight w:val="none"/>
          <w:u w:val="single"/>
        </w:rPr>
      </w:pPr>
      <w:r>
        <w:rPr>
          <w:rFonts w:ascii="宋体" w:hAnsi="宋体"/>
          <w:color w:val="auto"/>
          <w:szCs w:val="21"/>
          <w:highlight w:val="none"/>
        </w:rPr>
        <w:t>关于发包人应负责提供施工所需要的条件，包括：</w:t>
      </w:r>
      <w:r>
        <w:rPr>
          <w:rFonts w:hint="eastAsia" w:hAnsi="宋体" w:cs="宋体"/>
          <w:color w:val="auto"/>
          <w:highlight w:val="none"/>
        </w:rPr>
        <w:t>发包人负责将工程所需的临时水、电、路接至施工场地红线50米范围内，并办理临时水、电手续。在工程量清单《发包人提供主要材料和工程设备一览表》数量范围内的水费、电费由发包人承担，超出数量范围的，由承包人承担。承包人负责施工配电房（箱）的管理和维护，并承担管护费用。</w:t>
      </w:r>
    </w:p>
    <w:p w14:paraId="46DBCDE2">
      <w:pPr>
        <w:spacing w:line="360" w:lineRule="auto"/>
        <w:ind w:firstLine="420" w:firstLineChars="200"/>
        <w:rPr>
          <w:rFonts w:ascii="宋体" w:hAnsi="宋体"/>
          <w:bCs/>
          <w:color w:val="auto"/>
          <w:szCs w:val="21"/>
          <w:highlight w:val="none"/>
          <w:u w:val="single"/>
        </w:rPr>
      </w:pPr>
    </w:p>
    <w:p w14:paraId="7353D08E">
      <w:pPr>
        <w:keepNext/>
        <w:keepLines/>
        <w:spacing w:before="260" w:after="260" w:line="416" w:lineRule="auto"/>
        <w:outlineLvl w:val="2"/>
        <w:rPr>
          <w:rFonts w:ascii="宋体" w:hAnsi="宋体"/>
          <w:b/>
          <w:bCs/>
          <w:color w:val="auto"/>
          <w:sz w:val="32"/>
          <w:szCs w:val="32"/>
          <w:highlight w:val="none"/>
        </w:rPr>
      </w:pPr>
      <w:bookmarkStart w:id="278" w:name="_Toc529526979"/>
      <w:bookmarkStart w:id="279" w:name="_Toc472931612"/>
      <w:bookmarkStart w:id="280" w:name="_Toc389065271"/>
      <w:bookmarkStart w:id="281" w:name="_Toc373227705"/>
      <w:bookmarkStart w:id="282" w:name="_Toc373478352"/>
      <w:bookmarkStart w:id="283" w:name="_Toc432343893"/>
      <w:bookmarkStart w:id="284" w:name="_Toc529547331"/>
      <w:bookmarkStart w:id="285" w:name="_Toc530144473"/>
      <w:bookmarkStart w:id="286" w:name="_Toc411345186"/>
      <w:bookmarkStart w:id="287" w:name="_Toc470247806"/>
      <w:bookmarkStart w:id="288" w:name="_Toc531186608"/>
      <w:bookmarkStart w:id="289" w:name="_Toc454211117"/>
      <w:bookmarkStart w:id="290" w:name="_Toc461179247"/>
      <w:r>
        <w:rPr>
          <w:rFonts w:ascii="宋体" w:hAnsi="宋体"/>
          <w:b/>
          <w:bCs/>
          <w:color w:val="auto"/>
          <w:sz w:val="32"/>
          <w:szCs w:val="32"/>
          <w:highlight w:val="none"/>
        </w:rPr>
        <w:t>2.5 资金来源证明及支付担保</w:t>
      </w:r>
      <w:bookmarkEnd w:id="278"/>
      <w:bookmarkEnd w:id="279"/>
      <w:bookmarkEnd w:id="280"/>
      <w:bookmarkEnd w:id="281"/>
      <w:bookmarkEnd w:id="282"/>
      <w:bookmarkEnd w:id="283"/>
      <w:bookmarkEnd w:id="284"/>
      <w:bookmarkEnd w:id="285"/>
      <w:bookmarkEnd w:id="286"/>
      <w:bookmarkEnd w:id="287"/>
      <w:bookmarkEnd w:id="288"/>
      <w:bookmarkEnd w:id="289"/>
      <w:bookmarkEnd w:id="290"/>
    </w:p>
    <w:p w14:paraId="42BFAEEC">
      <w:pPr>
        <w:spacing w:line="360" w:lineRule="auto"/>
        <w:ind w:firstLine="420" w:firstLineChars="200"/>
        <w:rPr>
          <w:rFonts w:ascii="宋体" w:hAnsi="宋体"/>
          <w:color w:val="auto"/>
          <w:szCs w:val="21"/>
          <w:highlight w:val="none"/>
        </w:rPr>
      </w:pPr>
      <w:r>
        <w:rPr>
          <w:rFonts w:ascii="宋体" w:hAnsi="宋体"/>
          <w:color w:val="auto"/>
          <w:szCs w:val="21"/>
          <w:highlight w:val="none"/>
        </w:rPr>
        <w:t>发包人提供资金来源证明的期限要求：</w:t>
      </w:r>
      <w:r>
        <w:rPr>
          <w:rFonts w:ascii="宋体" w:hAnsi="宋体"/>
          <w:color w:val="auto"/>
          <w:szCs w:val="21"/>
          <w:highlight w:val="none"/>
          <w:u w:val="single"/>
        </w:rPr>
        <w:t></w:t>
      </w:r>
      <w:r>
        <w:rPr>
          <w:rFonts w:hint="eastAsia" w:ascii="宋体" w:hAnsi="宋体"/>
          <w:color w:val="auto"/>
          <w:szCs w:val="21"/>
          <w:highlight w:val="none"/>
          <w:u w:val="single"/>
        </w:rPr>
        <w:t>无</w:t>
      </w:r>
      <w:r>
        <w:rPr>
          <w:rFonts w:ascii="宋体" w:hAnsi="宋体"/>
          <w:color w:val="auto"/>
          <w:szCs w:val="21"/>
          <w:highlight w:val="none"/>
          <w:u w:val="single"/>
        </w:rPr>
        <w:t></w:t>
      </w:r>
      <w:r>
        <w:rPr>
          <w:rFonts w:ascii="宋体" w:hAnsi="宋体"/>
          <w:color w:val="auto"/>
          <w:szCs w:val="21"/>
          <w:highlight w:val="none"/>
        </w:rPr>
        <w:t>。</w:t>
      </w:r>
    </w:p>
    <w:p w14:paraId="72F5779B">
      <w:pPr>
        <w:spacing w:line="360" w:lineRule="auto"/>
        <w:ind w:firstLine="420" w:firstLineChars="200"/>
        <w:rPr>
          <w:rFonts w:ascii="宋体" w:hAnsi="宋体"/>
          <w:color w:val="auto"/>
          <w:szCs w:val="21"/>
          <w:highlight w:val="none"/>
        </w:rPr>
      </w:pPr>
      <w:r>
        <w:rPr>
          <w:rFonts w:ascii="宋体" w:hAnsi="宋体"/>
          <w:color w:val="auto"/>
          <w:szCs w:val="21"/>
          <w:highlight w:val="none"/>
        </w:rPr>
        <w:t>发包人是否提供支付担保：</w:t>
      </w:r>
      <w:r>
        <w:rPr>
          <w:rFonts w:hint="eastAsia" w:ascii="宋体" w:hAnsi="宋体"/>
          <w:color w:val="auto"/>
          <w:szCs w:val="21"/>
          <w:highlight w:val="none"/>
          <w:u w:val="single"/>
        </w:rPr>
        <w:t xml:space="preserve"> 无</w:t>
      </w:r>
      <w:r>
        <w:rPr>
          <w:rFonts w:ascii="宋体" w:hAnsi="宋体"/>
          <w:color w:val="auto"/>
          <w:szCs w:val="21"/>
          <w:highlight w:val="none"/>
        </w:rPr>
        <w:t>。</w:t>
      </w:r>
    </w:p>
    <w:p w14:paraId="17B9291E">
      <w:pPr>
        <w:spacing w:line="360" w:lineRule="auto"/>
        <w:ind w:firstLine="420" w:firstLineChars="200"/>
        <w:rPr>
          <w:rFonts w:ascii="宋体" w:hAnsi="宋体"/>
          <w:color w:val="auto"/>
          <w:szCs w:val="21"/>
          <w:highlight w:val="none"/>
        </w:rPr>
      </w:pPr>
      <w:r>
        <w:rPr>
          <w:rFonts w:ascii="宋体" w:hAnsi="宋体"/>
          <w:color w:val="auto"/>
          <w:szCs w:val="21"/>
          <w:highlight w:val="none"/>
        </w:rPr>
        <w:t>发包人提供支付担保的形式：</w:t>
      </w:r>
      <w:r>
        <w:rPr>
          <w:rFonts w:hint="eastAsia" w:ascii="宋体" w:hAnsi="宋体"/>
          <w:color w:val="auto"/>
          <w:szCs w:val="21"/>
          <w:highlight w:val="none"/>
          <w:u w:val="single"/>
        </w:rPr>
        <w:t>无</w:t>
      </w:r>
      <w:r>
        <w:rPr>
          <w:rFonts w:ascii="宋体" w:hAnsi="宋体"/>
          <w:color w:val="auto"/>
          <w:szCs w:val="21"/>
          <w:highlight w:val="none"/>
        </w:rPr>
        <w:t>。</w:t>
      </w:r>
    </w:p>
    <w:p w14:paraId="472E9C15">
      <w:pPr>
        <w:spacing w:line="360" w:lineRule="auto"/>
        <w:ind w:firstLine="420" w:firstLineChars="200"/>
        <w:rPr>
          <w:rFonts w:ascii="宋体" w:hAnsi="宋体"/>
          <w:color w:val="auto"/>
          <w:szCs w:val="21"/>
          <w:highlight w:val="none"/>
          <w:u w:val="single"/>
        </w:rPr>
      </w:pPr>
      <w:r>
        <w:rPr>
          <w:rFonts w:hint="eastAsia" w:ascii="宋体" w:hAnsi="宋体"/>
          <w:color w:val="auto"/>
          <w:szCs w:val="21"/>
          <w:highlight w:val="none"/>
        </w:rPr>
        <w:t>发包人提供的支付担保格式见合同附件2。</w:t>
      </w:r>
    </w:p>
    <w:p w14:paraId="26D1F91C">
      <w:pPr>
        <w:keepNext/>
        <w:keepLines/>
        <w:spacing w:before="260" w:after="260" w:line="416" w:lineRule="auto"/>
        <w:outlineLvl w:val="2"/>
        <w:rPr>
          <w:rFonts w:ascii="宋体" w:hAnsi="宋体"/>
          <w:b/>
          <w:bCs/>
          <w:color w:val="auto"/>
          <w:sz w:val="32"/>
          <w:szCs w:val="32"/>
          <w:highlight w:val="none"/>
        </w:rPr>
      </w:pPr>
      <w:bookmarkStart w:id="291" w:name="_Toc411345187"/>
      <w:bookmarkStart w:id="292" w:name="_Toc529526980"/>
      <w:bookmarkStart w:id="293" w:name="_Toc470247807"/>
      <w:bookmarkStart w:id="294" w:name="_Toc389065272"/>
      <w:bookmarkStart w:id="295" w:name="_Toc531186609"/>
      <w:bookmarkStart w:id="296" w:name="_Toc432343894"/>
      <w:bookmarkStart w:id="297" w:name="_Toc472931613"/>
      <w:bookmarkStart w:id="298" w:name="_Toc454211118"/>
      <w:bookmarkStart w:id="299" w:name="_Toc373227706"/>
      <w:bookmarkStart w:id="300" w:name="_Toc351203635"/>
      <w:bookmarkStart w:id="301" w:name="_Toc529547332"/>
      <w:bookmarkStart w:id="302" w:name="_Toc530144474"/>
      <w:bookmarkStart w:id="303" w:name="_Toc461179248"/>
      <w:bookmarkStart w:id="304" w:name="_Toc373478353"/>
      <w:r>
        <w:rPr>
          <w:rFonts w:ascii="宋体" w:hAnsi="宋体"/>
          <w:b/>
          <w:bCs/>
          <w:color w:val="auto"/>
          <w:sz w:val="32"/>
          <w:szCs w:val="32"/>
          <w:highlight w:val="none"/>
        </w:rPr>
        <w:t>3</w:t>
      </w:r>
      <w:bookmarkStart w:id="305" w:name="_Toc296346659"/>
      <w:bookmarkStart w:id="306" w:name="_Toc297120458"/>
      <w:bookmarkStart w:id="307" w:name="_Toc292559868"/>
      <w:bookmarkStart w:id="308" w:name="_Toc296891198"/>
      <w:bookmarkStart w:id="309" w:name="_Toc296944497"/>
      <w:bookmarkStart w:id="310" w:name="_Toc297048344"/>
      <w:bookmarkStart w:id="311" w:name="_Toc292559363"/>
      <w:bookmarkStart w:id="312" w:name="_Toc296890986"/>
      <w:bookmarkStart w:id="313" w:name="_Toc296503158"/>
      <w:bookmarkStart w:id="314" w:name="_Toc296347157"/>
      <w:r>
        <w:rPr>
          <w:rFonts w:ascii="宋体" w:hAnsi="宋体"/>
          <w:b/>
          <w:bCs/>
          <w:color w:val="auto"/>
          <w:sz w:val="32"/>
          <w:szCs w:val="32"/>
          <w:highlight w:val="none"/>
        </w:rPr>
        <w:t>. 承包人</w:t>
      </w:r>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p>
    <w:bookmarkEnd w:id="305"/>
    <w:bookmarkEnd w:id="306"/>
    <w:bookmarkEnd w:id="307"/>
    <w:bookmarkEnd w:id="308"/>
    <w:bookmarkEnd w:id="309"/>
    <w:bookmarkEnd w:id="310"/>
    <w:bookmarkEnd w:id="311"/>
    <w:bookmarkEnd w:id="312"/>
    <w:bookmarkEnd w:id="313"/>
    <w:bookmarkEnd w:id="314"/>
    <w:p w14:paraId="7B03FAB9">
      <w:pPr>
        <w:keepNext/>
        <w:keepLines/>
        <w:spacing w:before="260" w:after="260" w:line="416" w:lineRule="auto"/>
        <w:outlineLvl w:val="2"/>
        <w:rPr>
          <w:rFonts w:ascii="宋体" w:hAnsi="宋体"/>
          <w:b/>
          <w:bCs/>
          <w:color w:val="auto"/>
          <w:sz w:val="32"/>
          <w:szCs w:val="32"/>
          <w:highlight w:val="none"/>
        </w:rPr>
      </w:pPr>
      <w:bookmarkStart w:id="315" w:name="_Toc432343895"/>
      <w:bookmarkStart w:id="316" w:name="_Toc373227707"/>
      <w:bookmarkStart w:id="317" w:name="_Toc454211119"/>
      <w:bookmarkStart w:id="318" w:name="_Toc529526981"/>
      <w:bookmarkStart w:id="319" w:name="_Toc472931614"/>
      <w:bookmarkStart w:id="320" w:name="_Toc470247808"/>
      <w:bookmarkStart w:id="321" w:name="_Toc531186610"/>
      <w:bookmarkStart w:id="322" w:name="_Toc389065273"/>
      <w:bookmarkStart w:id="323" w:name="_Toc529547333"/>
      <w:bookmarkStart w:id="324" w:name="_Toc461179249"/>
      <w:bookmarkStart w:id="325" w:name="_Toc373478354"/>
      <w:bookmarkStart w:id="326" w:name="_Toc411345188"/>
      <w:bookmarkStart w:id="327" w:name="_Toc530144475"/>
      <w:r>
        <w:rPr>
          <w:rFonts w:ascii="宋体" w:hAnsi="宋体"/>
          <w:b/>
          <w:bCs/>
          <w:color w:val="auto"/>
          <w:sz w:val="32"/>
          <w:szCs w:val="32"/>
          <w:highlight w:val="none"/>
        </w:rPr>
        <w:t>3.1 承包人的一般义务</w:t>
      </w:r>
      <w:bookmarkEnd w:id="315"/>
      <w:bookmarkEnd w:id="316"/>
      <w:bookmarkEnd w:id="317"/>
      <w:bookmarkEnd w:id="318"/>
      <w:bookmarkEnd w:id="319"/>
      <w:bookmarkEnd w:id="320"/>
      <w:bookmarkEnd w:id="321"/>
      <w:bookmarkEnd w:id="322"/>
      <w:bookmarkEnd w:id="323"/>
      <w:bookmarkEnd w:id="324"/>
      <w:bookmarkEnd w:id="325"/>
      <w:bookmarkEnd w:id="326"/>
      <w:bookmarkEnd w:id="327"/>
    </w:p>
    <w:p w14:paraId="0115B491">
      <w:pPr>
        <w:spacing w:line="360" w:lineRule="auto"/>
        <w:ind w:firstLine="420" w:firstLineChars="200"/>
        <w:rPr>
          <w:rFonts w:ascii="宋体" w:hAnsi="宋体"/>
          <w:color w:val="auto"/>
          <w:kern w:val="0"/>
          <w:szCs w:val="21"/>
          <w:highlight w:val="none"/>
        </w:rPr>
      </w:pPr>
      <w:r>
        <w:rPr>
          <w:rFonts w:hint="eastAsia" w:ascii="宋体" w:hAnsi="宋体"/>
          <w:color w:val="auto"/>
          <w:kern w:val="0"/>
          <w:szCs w:val="21"/>
          <w:highlight w:val="none"/>
        </w:rPr>
        <w:t>（9）承包人提交的竣工资料的内容：工程施工技术资料、工程质量资料、工程检验评定资料、竣工图，项目所在地建设主管部门规定的其他应交资料。</w:t>
      </w:r>
    </w:p>
    <w:p w14:paraId="793DC484">
      <w:pPr>
        <w:spacing w:line="360" w:lineRule="auto"/>
        <w:ind w:firstLine="420" w:firstLineChars="200"/>
        <w:rPr>
          <w:rFonts w:ascii="宋体" w:hAnsi="宋体"/>
          <w:color w:val="auto"/>
          <w:kern w:val="0"/>
          <w:szCs w:val="21"/>
          <w:highlight w:val="none"/>
          <w:u w:val="single"/>
        </w:rPr>
      </w:pPr>
      <w:r>
        <w:rPr>
          <w:rFonts w:hint="eastAsia" w:ascii="宋体" w:hAnsi="宋体"/>
          <w:color w:val="auto"/>
          <w:kern w:val="0"/>
          <w:szCs w:val="21"/>
          <w:highlight w:val="none"/>
        </w:rPr>
        <w:t>承包人需要提交的竣工资料套数：</w:t>
      </w:r>
      <w:r>
        <w:rPr>
          <w:rFonts w:hint="eastAsia" w:ascii="宋体" w:hAnsi="宋体"/>
          <w:color w:val="auto"/>
          <w:kern w:val="0"/>
          <w:szCs w:val="21"/>
          <w:highlight w:val="none"/>
          <w:u w:val="single"/>
        </w:rPr>
        <w:t>四套。</w:t>
      </w:r>
    </w:p>
    <w:p w14:paraId="77C94C63">
      <w:pPr>
        <w:spacing w:line="360" w:lineRule="auto"/>
        <w:ind w:firstLine="420" w:firstLineChars="200"/>
        <w:rPr>
          <w:rFonts w:ascii="宋体" w:hAnsi="宋体"/>
          <w:color w:val="auto"/>
          <w:kern w:val="0"/>
          <w:szCs w:val="21"/>
          <w:highlight w:val="none"/>
        </w:rPr>
      </w:pPr>
      <w:r>
        <w:rPr>
          <w:rFonts w:hint="eastAsia" w:ascii="宋体" w:hAnsi="宋体"/>
          <w:color w:val="auto"/>
          <w:kern w:val="0"/>
          <w:szCs w:val="21"/>
          <w:highlight w:val="none"/>
        </w:rPr>
        <w:t>承包人提交的竣工资料的费用承担：</w:t>
      </w:r>
      <w:r>
        <w:rPr>
          <w:rFonts w:hint="eastAsia" w:ascii="宋体" w:hAnsi="宋体"/>
          <w:color w:val="auto"/>
          <w:kern w:val="0"/>
          <w:szCs w:val="21"/>
          <w:highlight w:val="none"/>
          <w:u w:val="single"/>
        </w:rPr>
        <w:t>由承包人承担。</w:t>
      </w:r>
    </w:p>
    <w:p w14:paraId="6755A67D">
      <w:pPr>
        <w:spacing w:line="360" w:lineRule="auto"/>
        <w:ind w:firstLine="420" w:firstLineChars="200"/>
        <w:rPr>
          <w:rFonts w:ascii="宋体" w:hAnsi="宋体"/>
          <w:color w:val="auto"/>
          <w:kern w:val="0"/>
          <w:szCs w:val="21"/>
          <w:highlight w:val="none"/>
        </w:rPr>
      </w:pPr>
      <w:r>
        <w:rPr>
          <w:rFonts w:hint="eastAsia" w:ascii="宋体" w:hAnsi="宋体"/>
          <w:color w:val="auto"/>
          <w:kern w:val="0"/>
          <w:szCs w:val="21"/>
          <w:highlight w:val="none"/>
        </w:rPr>
        <w:t>承包人提交的竣工资料移交时间：</w:t>
      </w:r>
      <w:r>
        <w:rPr>
          <w:rFonts w:hint="eastAsia" w:ascii="宋体" w:hAnsi="宋体"/>
          <w:color w:val="auto"/>
          <w:kern w:val="0"/>
          <w:szCs w:val="21"/>
          <w:highlight w:val="none"/>
          <w:u w:val="single"/>
        </w:rPr>
        <w:t>竣工验收合格之日起30天内。</w:t>
      </w:r>
    </w:p>
    <w:p w14:paraId="6E30DF9D">
      <w:pPr>
        <w:spacing w:line="360" w:lineRule="auto"/>
        <w:ind w:firstLine="420" w:firstLineChars="200"/>
        <w:rPr>
          <w:rFonts w:ascii="宋体" w:hAnsi="宋体"/>
          <w:color w:val="auto"/>
          <w:kern w:val="0"/>
          <w:szCs w:val="21"/>
          <w:highlight w:val="none"/>
        </w:rPr>
      </w:pPr>
      <w:r>
        <w:rPr>
          <w:rFonts w:hint="eastAsia" w:ascii="宋体" w:hAnsi="宋体"/>
          <w:color w:val="auto"/>
          <w:kern w:val="0"/>
          <w:szCs w:val="21"/>
          <w:highlight w:val="none"/>
        </w:rPr>
        <w:t>承包人提交的竣工资料形式要求：</w:t>
      </w:r>
      <w:r>
        <w:rPr>
          <w:rFonts w:hint="eastAsia" w:ascii="宋体" w:hAnsi="宋体"/>
          <w:color w:val="auto"/>
          <w:kern w:val="0"/>
          <w:szCs w:val="21"/>
          <w:highlight w:val="none"/>
          <w:u w:val="single"/>
        </w:rPr>
        <w:t>书面及电子文档。</w:t>
      </w:r>
    </w:p>
    <w:p w14:paraId="1B8CE1B4">
      <w:pPr>
        <w:spacing w:line="360" w:lineRule="auto"/>
        <w:ind w:firstLine="420" w:firstLineChars="200"/>
        <w:rPr>
          <w:rFonts w:ascii="宋体" w:hAnsi="宋体"/>
          <w:color w:val="auto"/>
          <w:kern w:val="0"/>
          <w:szCs w:val="21"/>
          <w:highlight w:val="none"/>
          <w:u w:val="single"/>
        </w:rPr>
      </w:pPr>
      <w:r>
        <w:rPr>
          <w:rFonts w:hint="eastAsia" w:ascii="宋体" w:hAnsi="宋体"/>
          <w:color w:val="auto"/>
          <w:kern w:val="0"/>
          <w:szCs w:val="21"/>
          <w:highlight w:val="none"/>
        </w:rPr>
        <w:t>（10）承包人应履行的其他义务：</w:t>
      </w:r>
      <w:r>
        <w:rPr>
          <w:rFonts w:hint="eastAsia" w:ascii="宋体" w:hAnsi="宋体"/>
          <w:color w:val="auto"/>
          <w:kern w:val="0"/>
          <w:szCs w:val="21"/>
          <w:highlight w:val="none"/>
          <w:u w:val="single"/>
        </w:rPr>
        <w:t>1）协调处理施工场地内及场地周围地下管线和邻近建筑物、构筑物（含文物保护建筑）、古树名木的保护工作；若发生上述情况所产生的费用，由承包人承担（包含于合同总价中）。2）充分考虑工地现场的周围环境、交通道路、现场条件、施工图纸、施工组织设计、施工技术措施、安全文明施工措施等因素，应积极做好综合组织和协调，负责解决施工扰民和民扰问题。3）承包人负责补遗工作，即对于任何属于本工程的工作范围，但未以文字形式明确约定属于承包人的工作，且未在合同中以文字形式明确约定为属于发包人自行完成的工作范围，此类工作应由承包人作为本工程的责任和义务自行完成。4）对于施工过程中有需发包人配合完成的工作，承包人应提前足够时间通知发包人。5) 施工区内临时设施、水电管线安装和保养，施工现场内地下管线和临近建筑物、构筑物及临街交通要道、人行道的保护，费用由承包人负担。因承包人防护不力而发生事故，相关责任和费用由承包人承担。承包人施工完毕后，对所破坏的公共设施、劳动成果及道路应修复原貌，若承包人无能力或未在规定的时间内修复，由发包人代为修复，费用由承包人承担，由工程款中相应核减。6) 承包人须在现场踏勘的基础上充分考虑场内临时道路的施工维护，并在合同总价中包含。7) 档案管理要求</w:t>
      </w:r>
    </w:p>
    <w:p w14:paraId="27A85AC2">
      <w:pPr>
        <w:spacing w:line="360" w:lineRule="auto"/>
        <w:ind w:firstLine="420" w:firstLineChars="200"/>
        <w:rPr>
          <w:rFonts w:ascii="宋体" w:hAnsi="宋体"/>
          <w:color w:val="auto"/>
          <w:kern w:val="0"/>
          <w:szCs w:val="21"/>
          <w:highlight w:val="none"/>
          <w:u w:val="single"/>
        </w:rPr>
      </w:pPr>
      <w:r>
        <w:rPr>
          <w:rFonts w:hint="eastAsia" w:ascii="宋体" w:hAnsi="宋体"/>
          <w:color w:val="auto"/>
          <w:kern w:val="0"/>
          <w:szCs w:val="21"/>
          <w:highlight w:val="none"/>
          <w:u w:val="single"/>
        </w:rPr>
        <w:t>①承包人应设置负责施工档案管理的负责人；</w:t>
      </w:r>
    </w:p>
    <w:p w14:paraId="72D3944A">
      <w:pPr>
        <w:spacing w:line="360" w:lineRule="auto"/>
        <w:ind w:firstLine="420" w:firstLineChars="200"/>
        <w:rPr>
          <w:rFonts w:ascii="宋体" w:hAnsi="宋体"/>
          <w:color w:val="auto"/>
          <w:kern w:val="0"/>
          <w:szCs w:val="21"/>
          <w:highlight w:val="none"/>
          <w:u w:val="single"/>
        </w:rPr>
      </w:pPr>
      <w:r>
        <w:rPr>
          <w:rFonts w:hint="eastAsia" w:ascii="宋体" w:hAnsi="宋体"/>
          <w:color w:val="auto"/>
          <w:kern w:val="0"/>
          <w:szCs w:val="21"/>
          <w:highlight w:val="none"/>
          <w:u w:val="single"/>
        </w:rPr>
        <w:t>②承包人应确保本单位施工档案的形成与施工进度同步，发包人在支付进度款时，如发现档案形成未与施工进度同步，可延迟支付相应进度款，直至同步为止；</w:t>
      </w:r>
    </w:p>
    <w:p w14:paraId="533EEEA8">
      <w:pPr>
        <w:spacing w:line="360" w:lineRule="auto"/>
        <w:ind w:firstLine="420" w:firstLineChars="200"/>
        <w:rPr>
          <w:rFonts w:ascii="宋体" w:hAnsi="宋体"/>
          <w:color w:val="auto"/>
          <w:kern w:val="0"/>
          <w:szCs w:val="21"/>
          <w:highlight w:val="none"/>
          <w:u w:val="single"/>
        </w:rPr>
      </w:pPr>
      <w:r>
        <w:rPr>
          <w:rFonts w:hint="eastAsia" w:ascii="宋体" w:hAnsi="宋体"/>
          <w:color w:val="auto"/>
          <w:kern w:val="0"/>
          <w:szCs w:val="21"/>
          <w:highlight w:val="none"/>
          <w:u w:val="single"/>
        </w:rPr>
        <w:t>③承包人应在发包人组织的竣工验收后30日内，将本单位施工过程中形成的所有施工档案，经监理单位审核确认后，移交给发包人，否则发包人拒绝向其颁发工程接收证书。</w:t>
      </w:r>
    </w:p>
    <w:p w14:paraId="417D7DEA">
      <w:pPr>
        <w:spacing w:line="360" w:lineRule="auto"/>
        <w:ind w:firstLine="420" w:firstLineChars="200"/>
        <w:rPr>
          <w:rFonts w:ascii="宋体" w:hAnsi="宋体"/>
          <w:color w:val="auto"/>
          <w:kern w:val="0"/>
          <w:szCs w:val="21"/>
          <w:highlight w:val="none"/>
          <w:u w:val="single"/>
        </w:rPr>
      </w:pPr>
      <w:r>
        <w:rPr>
          <w:rFonts w:hint="eastAsia" w:ascii="宋体" w:hAnsi="宋体"/>
          <w:color w:val="auto"/>
          <w:kern w:val="0"/>
          <w:szCs w:val="21"/>
          <w:highlight w:val="none"/>
          <w:u w:val="single"/>
        </w:rPr>
        <w:t>④承包人在发包人组织的工程竣工投产验收（初验）前，将经监理单位审核确认的施工档案移交给发包人，是发包人完全支付除质量保证金外剩余款项的必要条件之一，否则，发包人有权扣除一定比例款项。</w:t>
      </w:r>
    </w:p>
    <w:p w14:paraId="53FC3D53">
      <w:pPr>
        <w:spacing w:line="360" w:lineRule="auto"/>
        <w:ind w:firstLine="420" w:firstLineChars="200"/>
        <w:rPr>
          <w:rFonts w:ascii="宋体" w:hAnsi="宋体"/>
          <w:color w:val="auto"/>
          <w:kern w:val="0"/>
          <w:szCs w:val="21"/>
          <w:highlight w:val="none"/>
          <w:u w:val="single"/>
        </w:rPr>
      </w:pPr>
      <w:r>
        <w:rPr>
          <w:rFonts w:hint="eastAsia" w:ascii="宋体" w:hAnsi="宋体"/>
          <w:color w:val="auto"/>
          <w:kern w:val="0"/>
          <w:szCs w:val="21"/>
          <w:highlight w:val="none"/>
          <w:u w:val="single"/>
        </w:rPr>
        <w:t xml:space="preserve">⑤移交给发包人的施工档案应符合以下要求： </w:t>
      </w:r>
    </w:p>
    <w:p w14:paraId="009BB84E">
      <w:pPr>
        <w:spacing w:line="360" w:lineRule="auto"/>
        <w:ind w:firstLine="420" w:firstLineChars="200"/>
        <w:rPr>
          <w:rFonts w:ascii="宋体" w:hAnsi="宋体"/>
          <w:color w:val="auto"/>
          <w:kern w:val="0"/>
          <w:szCs w:val="21"/>
          <w:highlight w:val="none"/>
          <w:u w:val="single"/>
        </w:rPr>
      </w:pPr>
      <w:r>
        <w:rPr>
          <w:rFonts w:hint="eastAsia" w:ascii="宋体" w:hAnsi="宋体"/>
          <w:color w:val="auto"/>
          <w:kern w:val="0"/>
          <w:szCs w:val="21"/>
          <w:highlight w:val="none"/>
          <w:u w:val="single"/>
        </w:rPr>
        <w:t>移交范围：承包人在合同约定的工程施工过程中形成的所有档案，包括但不限于发包人《科技文件归档范围与整理细则》附件3所列相应的清单及所有资料的电子版；</w:t>
      </w:r>
    </w:p>
    <w:p w14:paraId="7DA63D18">
      <w:pPr>
        <w:spacing w:line="360" w:lineRule="auto"/>
        <w:ind w:firstLine="420" w:firstLineChars="200"/>
        <w:rPr>
          <w:rFonts w:ascii="宋体" w:hAnsi="宋体"/>
          <w:color w:val="auto"/>
          <w:kern w:val="0"/>
          <w:szCs w:val="21"/>
          <w:highlight w:val="none"/>
          <w:u w:val="single"/>
        </w:rPr>
      </w:pPr>
      <w:r>
        <w:rPr>
          <w:rFonts w:hint="eastAsia" w:ascii="宋体" w:hAnsi="宋体"/>
          <w:color w:val="auto"/>
          <w:kern w:val="0"/>
          <w:szCs w:val="21"/>
          <w:highlight w:val="none"/>
          <w:u w:val="single"/>
        </w:rPr>
        <w:t>移交档案质量要求：移交的档案应是原件而非复印件，每份档案齐全、无漏页与破损等情况，签字与盖章手续完备，档案清晰，档案载体能长久保存。</w:t>
      </w:r>
    </w:p>
    <w:p w14:paraId="543333F8">
      <w:pPr>
        <w:keepNext/>
        <w:keepLines/>
        <w:spacing w:before="260" w:after="260" w:line="416" w:lineRule="auto"/>
        <w:outlineLvl w:val="2"/>
        <w:rPr>
          <w:rFonts w:ascii="宋体" w:hAnsi="宋体"/>
          <w:b/>
          <w:bCs/>
          <w:color w:val="auto"/>
          <w:sz w:val="32"/>
          <w:szCs w:val="32"/>
          <w:highlight w:val="none"/>
        </w:rPr>
      </w:pPr>
      <w:bookmarkStart w:id="328" w:name="_Toc529547334"/>
      <w:bookmarkStart w:id="329" w:name="_Toc470247809"/>
      <w:bookmarkStart w:id="330" w:name="_Toc454211120"/>
      <w:bookmarkStart w:id="331" w:name="_Toc461179250"/>
      <w:bookmarkStart w:id="332" w:name="_Toc531186611"/>
      <w:bookmarkStart w:id="333" w:name="_Toc530144476"/>
      <w:bookmarkStart w:id="334" w:name="_Toc432343896"/>
      <w:bookmarkStart w:id="335" w:name="_Toc389065274"/>
      <w:bookmarkStart w:id="336" w:name="_Toc373478355"/>
      <w:bookmarkStart w:id="337" w:name="_Toc411345189"/>
      <w:bookmarkStart w:id="338" w:name="_Toc472931615"/>
      <w:bookmarkStart w:id="339" w:name="_Toc373227708"/>
      <w:bookmarkStart w:id="340" w:name="_Toc529526982"/>
      <w:r>
        <w:rPr>
          <w:rFonts w:ascii="宋体" w:hAnsi="宋体"/>
          <w:b/>
          <w:bCs/>
          <w:color w:val="auto"/>
          <w:sz w:val="32"/>
          <w:szCs w:val="32"/>
          <w:highlight w:val="none"/>
        </w:rPr>
        <w:t>3.2 项目经理</w:t>
      </w:r>
      <w:bookmarkEnd w:id="328"/>
      <w:bookmarkEnd w:id="329"/>
      <w:bookmarkEnd w:id="330"/>
      <w:bookmarkEnd w:id="331"/>
      <w:bookmarkEnd w:id="332"/>
      <w:bookmarkEnd w:id="333"/>
      <w:bookmarkEnd w:id="334"/>
      <w:bookmarkEnd w:id="335"/>
      <w:bookmarkEnd w:id="336"/>
      <w:bookmarkEnd w:id="337"/>
      <w:bookmarkEnd w:id="338"/>
      <w:bookmarkEnd w:id="339"/>
      <w:bookmarkEnd w:id="340"/>
    </w:p>
    <w:p w14:paraId="2B6CE81C">
      <w:pPr>
        <w:spacing w:line="360" w:lineRule="auto"/>
        <w:ind w:firstLine="420" w:firstLineChars="200"/>
        <w:rPr>
          <w:rFonts w:ascii="宋体" w:hAnsi="宋体"/>
          <w:color w:val="auto"/>
          <w:szCs w:val="21"/>
          <w:highlight w:val="none"/>
        </w:rPr>
      </w:pPr>
      <w:r>
        <w:rPr>
          <w:rFonts w:ascii="宋体" w:hAnsi="宋体"/>
          <w:color w:val="auto"/>
          <w:kern w:val="0"/>
          <w:szCs w:val="21"/>
          <w:highlight w:val="none"/>
        </w:rPr>
        <w:t xml:space="preserve">3.2.1 </w:t>
      </w:r>
      <w:r>
        <w:rPr>
          <w:rFonts w:ascii="宋体" w:hAnsi="宋体"/>
          <w:color w:val="auto"/>
          <w:szCs w:val="21"/>
          <w:highlight w:val="none"/>
        </w:rPr>
        <w:t>项目经理：</w:t>
      </w:r>
    </w:p>
    <w:p w14:paraId="12E19B49">
      <w:pPr>
        <w:spacing w:line="360" w:lineRule="auto"/>
        <w:ind w:firstLine="420" w:firstLineChars="200"/>
        <w:rPr>
          <w:rFonts w:ascii="宋体" w:hAnsi="宋体"/>
          <w:color w:val="auto"/>
          <w:szCs w:val="21"/>
          <w:highlight w:val="none"/>
        </w:rPr>
      </w:pPr>
      <w:r>
        <w:rPr>
          <w:rFonts w:ascii="宋体" w:hAnsi="宋体"/>
          <w:color w:val="auto"/>
          <w:szCs w:val="21"/>
          <w:highlight w:val="none"/>
        </w:rPr>
        <w:t>姓    名：</w:t>
      </w:r>
      <w:r>
        <w:rPr>
          <w:rFonts w:ascii="宋体" w:hAnsi="宋体"/>
          <w:color w:val="auto"/>
          <w:szCs w:val="21"/>
          <w:highlight w:val="none"/>
          <w:u w:val="single"/>
        </w:rPr>
        <w:t></w:t>
      </w:r>
      <w:r>
        <w:rPr>
          <w:rFonts w:hint="eastAsia" w:ascii="宋体" w:hAnsi="宋体"/>
          <w:color w:val="auto"/>
          <w:szCs w:val="21"/>
          <w:highlight w:val="none"/>
          <w:u w:val="single"/>
        </w:rPr>
        <w:t xml:space="preserve">待定 </w:t>
      </w:r>
      <w:r>
        <w:rPr>
          <w:rFonts w:ascii="宋体" w:hAnsi="宋体"/>
          <w:color w:val="auto"/>
          <w:szCs w:val="21"/>
          <w:highlight w:val="none"/>
          <w:u w:val="single"/>
        </w:rPr>
        <w:t xml:space="preserve">        </w:t>
      </w:r>
      <w:r>
        <w:rPr>
          <w:rFonts w:ascii="宋体" w:hAnsi="宋体"/>
          <w:color w:val="auto"/>
          <w:szCs w:val="21"/>
          <w:highlight w:val="none"/>
        </w:rPr>
        <w:t>；</w:t>
      </w:r>
    </w:p>
    <w:p w14:paraId="65BDA28F">
      <w:pPr>
        <w:spacing w:line="360" w:lineRule="auto"/>
        <w:ind w:firstLine="420" w:firstLineChars="200"/>
        <w:rPr>
          <w:rFonts w:ascii="宋体" w:hAnsi="宋体"/>
          <w:color w:val="auto"/>
          <w:szCs w:val="21"/>
          <w:highlight w:val="none"/>
        </w:rPr>
      </w:pPr>
      <w:r>
        <w:rPr>
          <w:rFonts w:ascii="宋体" w:hAnsi="宋体"/>
          <w:color w:val="auto"/>
          <w:szCs w:val="21"/>
          <w:highlight w:val="none"/>
        </w:rPr>
        <w:t>身份证号：</w:t>
      </w:r>
      <w:r>
        <w:rPr>
          <w:rFonts w:ascii="宋体" w:hAnsi="宋体"/>
          <w:color w:val="auto"/>
          <w:szCs w:val="21"/>
          <w:highlight w:val="none"/>
          <w:u w:val="single"/>
        </w:rPr>
        <w:t>         </w:t>
      </w:r>
      <w:r>
        <w:rPr>
          <w:rFonts w:ascii="宋体" w:hAnsi="宋体"/>
          <w:color w:val="auto"/>
          <w:szCs w:val="21"/>
          <w:highlight w:val="none"/>
        </w:rPr>
        <w:t>；</w:t>
      </w:r>
    </w:p>
    <w:p w14:paraId="4D04FE07">
      <w:pPr>
        <w:spacing w:line="360" w:lineRule="auto"/>
        <w:ind w:firstLine="420" w:firstLineChars="200"/>
        <w:rPr>
          <w:rFonts w:ascii="宋体" w:hAnsi="宋体"/>
          <w:color w:val="auto"/>
          <w:szCs w:val="21"/>
          <w:highlight w:val="none"/>
        </w:rPr>
      </w:pPr>
      <w:r>
        <w:rPr>
          <w:rFonts w:ascii="宋体" w:hAnsi="宋体"/>
          <w:color w:val="auto"/>
          <w:szCs w:val="21"/>
          <w:highlight w:val="none"/>
        </w:rPr>
        <w:t>建造师执业资格等级：</w:t>
      </w:r>
      <w:r>
        <w:rPr>
          <w:rFonts w:ascii="宋体" w:hAnsi="宋体"/>
          <w:color w:val="auto"/>
          <w:szCs w:val="21"/>
          <w:highlight w:val="none"/>
          <w:u w:val="single"/>
        </w:rPr>
        <w:t>   </w:t>
      </w:r>
      <w:r>
        <w:rPr>
          <w:rFonts w:ascii="宋体" w:hAnsi="宋体"/>
          <w:color w:val="auto"/>
          <w:szCs w:val="21"/>
          <w:highlight w:val="none"/>
        </w:rPr>
        <w:t>；</w:t>
      </w:r>
    </w:p>
    <w:p w14:paraId="7F3FDF4B">
      <w:pPr>
        <w:spacing w:line="360" w:lineRule="auto"/>
        <w:ind w:firstLine="420" w:firstLineChars="200"/>
        <w:rPr>
          <w:rFonts w:ascii="宋体" w:hAnsi="宋体"/>
          <w:color w:val="auto"/>
          <w:szCs w:val="21"/>
          <w:highlight w:val="none"/>
        </w:rPr>
      </w:pPr>
      <w:r>
        <w:rPr>
          <w:rFonts w:ascii="宋体" w:hAnsi="宋体"/>
          <w:color w:val="auto"/>
          <w:szCs w:val="21"/>
          <w:highlight w:val="none"/>
        </w:rPr>
        <w:t>建造师注册证书号：</w:t>
      </w:r>
      <w:r>
        <w:rPr>
          <w:rFonts w:ascii="宋体" w:hAnsi="宋体"/>
          <w:color w:val="auto"/>
          <w:szCs w:val="21"/>
          <w:highlight w:val="none"/>
          <w:u w:val="single"/>
        </w:rPr>
        <w:t> </w:t>
      </w:r>
      <w:r>
        <w:rPr>
          <w:rFonts w:ascii="宋体" w:hAnsi="宋体"/>
          <w:color w:val="auto"/>
          <w:szCs w:val="21"/>
          <w:highlight w:val="none"/>
        </w:rPr>
        <w:t>；</w:t>
      </w:r>
    </w:p>
    <w:p w14:paraId="7697BFDA">
      <w:pPr>
        <w:spacing w:line="360" w:lineRule="auto"/>
        <w:ind w:firstLine="420" w:firstLineChars="200"/>
        <w:rPr>
          <w:rFonts w:ascii="宋体" w:hAnsi="宋体"/>
          <w:color w:val="auto"/>
          <w:szCs w:val="21"/>
          <w:highlight w:val="none"/>
        </w:rPr>
      </w:pPr>
      <w:r>
        <w:rPr>
          <w:rFonts w:ascii="宋体" w:hAnsi="宋体"/>
          <w:color w:val="auto"/>
          <w:szCs w:val="21"/>
          <w:highlight w:val="none"/>
        </w:rPr>
        <w:t>建造师执业印章号：</w:t>
      </w:r>
      <w:r>
        <w:rPr>
          <w:rFonts w:ascii="宋体" w:hAnsi="宋体"/>
          <w:color w:val="auto"/>
          <w:szCs w:val="21"/>
          <w:highlight w:val="none"/>
          <w:u w:val="single"/>
        </w:rPr>
        <w:t> </w:t>
      </w:r>
      <w:r>
        <w:rPr>
          <w:rFonts w:ascii="宋体" w:hAnsi="宋体"/>
          <w:color w:val="auto"/>
          <w:szCs w:val="21"/>
          <w:highlight w:val="none"/>
        </w:rPr>
        <w:t>；</w:t>
      </w:r>
    </w:p>
    <w:p w14:paraId="6E2CB09C">
      <w:pPr>
        <w:spacing w:line="360" w:lineRule="auto"/>
        <w:ind w:firstLine="420" w:firstLineChars="200"/>
        <w:rPr>
          <w:rFonts w:ascii="宋体" w:hAnsi="宋体"/>
          <w:color w:val="auto"/>
          <w:szCs w:val="21"/>
          <w:highlight w:val="none"/>
        </w:rPr>
      </w:pPr>
      <w:r>
        <w:rPr>
          <w:rFonts w:ascii="宋体" w:hAnsi="宋体"/>
          <w:color w:val="auto"/>
          <w:szCs w:val="21"/>
          <w:highlight w:val="none"/>
        </w:rPr>
        <w:t>安全生产考核合格证书号：</w:t>
      </w:r>
      <w:r>
        <w:rPr>
          <w:rFonts w:ascii="宋体" w:hAnsi="宋体"/>
          <w:color w:val="auto"/>
          <w:szCs w:val="21"/>
          <w:highlight w:val="none"/>
          <w:u w:val="single"/>
        </w:rPr>
        <w:t> </w:t>
      </w:r>
      <w:r>
        <w:rPr>
          <w:rFonts w:ascii="宋体" w:hAnsi="宋体"/>
          <w:color w:val="auto"/>
          <w:szCs w:val="21"/>
          <w:highlight w:val="none"/>
        </w:rPr>
        <w:t>；</w:t>
      </w:r>
    </w:p>
    <w:p w14:paraId="77BCB986">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身份证号：；</w:t>
      </w:r>
    </w:p>
    <w:p w14:paraId="76C7616F">
      <w:pPr>
        <w:spacing w:line="360" w:lineRule="auto"/>
        <w:ind w:firstLine="420" w:firstLineChars="200"/>
        <w:rPr>
          <w:rFonts w:ascii="宋体" w:hAnsi="宋体"/>
          <w:color w:val="auto"/>
          <w:szCs w:val="21"/>
          <w:highlight w:val="none"/>
        </w:rPr>
      </w:pPr>
      <w:r>
        <w:rPr>
          <w:rFonts w:ascii="宋体" w:hAnsi="宋体"/>
          <w:color w:val="auto"/>
          <w:szCs w:val="21"/>
          <w:highlight w:val="none"/>
        </w:rPr>
        <w:t>联系电话：</w:t>
      </w:r>
      <w:r>
        <w:rPr>
          <w:rFonts w:ascii="宋体" w:hAnsi="宋体"/>
          <w:color w:val="auto"/>
          <w:szCs w:val="21"/>
          <w:highlight w:val="none"/>
          <w:u w:val="single"/>
        </w:rPr>
        <w:t>         </w:t>
      </w:r>
      <w:r>
        <w:rPr>
          <w:rFonts w:ascii="宋体" w:hAnsi="宋体"/>
          <w:color w:val="auto"/>
          <w:szCs w:val="21"/>
          <w:highlight w:val="none"/>
        </w:rPr>
        <w:t>；</w:t>
      </w:r>
    </w:p>
    <w:p w14:paraId="68A2785E">
      <w:pPr>
        <w:spacing w:line="360" w:lineRule="auto"/>
        <w:ind w:firstLine="420" w:firstLineChars="200"/>
        <w:rPr>
          <w:rFonts w:ascii="宋体" w:hAnsi="宋体"/>
          <w:color w:val="auto"/>
          <w:szCs w:val="21"/>
          <w:highlight w:val="none"/>
        </w:rPr>
      </w:pPr>
      <w:r>
        <w:rPr>
          <w:rFonts w:ascii="宋体" w:hAnsi="宋体"/>
          <w:color w:val="auto"/>
          <w:szCs w:val="21"/>
          <w:highlight w:val="none"/>
        </w:rPr>
        <w:t>电子信箱：</w:t>
      </w:r>
      <w:r>
        <w:rPr>
          <w:rFonts w:ascii="宋体" w:hAnsi="宋体"/>
          <w:color w:val="auto"/>
          <w:szCs w:val="21"/>
          <w:highlight w:val="none"/>
          <w:u w:val="single"/>
        </w:rPr>
        <w:t>         </w:t>
      </w:r>
      <w:r>
        <w:rPr>
          <w:rFonts w:ascii="宋体" w:hAnsi="宋体"/>
          <w:color w:val="auto"/>
          <w:szCs w:val="21"/>
          <w:highlight w:val="none"/>
        </w:rPr>
        <w:t>；</w:t>
      </w:r>
    </w:p>
    <w:p w14:paraId="2C74CFB7">
      <w:pPr>
        <w:spacing w:line="360" w:lineRule="auto"/>
        <w:ind w:firstLine="420" w:firstLineChars="200"/>
        <w:rPr>
          <w:rFonts w:ascii="宋体" w:hAnsi="宋体"/>
          <w:color w:val="auto"/>
          <w:szCs w:val="21"/>
          <w:highlight w:val="none"/>
        </w:rPr>
      </w:pPr>
      <w:r>
        <w:rPr>
          <w:rFonts w:ascii="宋体" w:hAnsi="宋体"/>
          <w:color w:val="auto"/>
          <w:szCs w:val="21"/>
          <w:highlight w:val="none"/>
        </w:rPr>
        <w:t>通信地址：</w:t>
      </w:r>
      <w:r>
        <w:rPr>
          <w:rFonts w:ascii="宋体" w:hAnsi="宋体"/>
          <w:color w:val="auto"/>
          <w:szCs w:val="21"/>
          <w:highlight w:val="none"/>
          <w:u w:val="single"/>
        </w:rPr>
        <w:t>         </w:t>
      </w:r>
      <w:r>
        <w:rPr>
          <w:rFonts w:ascii="宋体" w:hAnsi="宋体"/>
          <w:color w:val="auto"/>
          <w:szCs w:val="21"/>
          <w:highlight w:val="none"/>
        </w:rPr>
        <w:t>；</w:t>
      </w:r>
    </w:p>
    <w:p w14:paraId="346CF762">
      <w:pPr>
        <w:spacing w:line="360" w:lineRule="auto"/>
        <w:ind w:firstLine="420" w:firstLineChars="200"/>
        <w:rPr>
          <w:rFonts w:ascii="宋体" w:hAnsi="宋体"/>
          <w:color w:val="auto"/>
          <w:szCs w:val="21"/>
          <w:highlight w:val="none"/>
        </w:rPr>
      </w:pPr>
      <w:r>
        <w:rPr>
          <w:rFonts w:ascii="宋体" w:hAnsi="宋体"/>
          <w:color w:val="auto"/>
          <w:szCs w:val="21"/>
          <w:highlight w:val="none"/>
        </w:rPr>
        <w:t>承包人对项目经理的授权范围如下：</w:t>
      </w:r>
      <w:r>
        <w:rPr>
          <w:rFonts w:hint="eastAsia" w:ascii="宋体" w:hAnsi="宋体"/>
          <w:color w:val="auto"/>
          <w:szCs w:val="21"/>
          <w:highlight w:val="none"/>
          <w:u w:val="single"/>
        </w:rPr>
        <w:t xml:space="preserve">    待定                </w:t>
      </w:r>
      <w:r>
        <w:rPr>
          <w:rFonts w:ascii="宋体" w:hAnsi="宋体"/>
          <w:color w:val="auto"/>
          <w:szCs w:val="21"/>
          <w:highlight w:val="none"/>
        </w:rPr>
        <w:t>。</w:t>
      </w:r>
    </w:p>
    <w:p w14:paraId="0F3EC531">
      <w:pPr>
        <w:spacing w:line="36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关于项目经理每月在施工现场的时间要求：</w:t>
      </w:r>
      <w:r>
        <w:rPr>
          <w:rFonts w:hint="eastAsia" w:ascii="宋体" w:hAnsi="宋体"/>
          <w:color w:val="auto"/>
          <w:szCs w:val="21"/>
          <w:highlight w:val="none"/>
          <w:u w:val="single"/>
        </w:rPr>
        <w:t>21天以上，如投标文件承诺时间超过21天的，按投标文件执行</w:t>
      </w:r>
      <w:r>
        <w:rPr>
          <w:rFonts w:ascii="宋体" w:hAnsi="宋体"/>
          <w:color w:val="auto"/>
          <w:szCs w:val="21"/>
          <w:highlight w:val="none"/>
        </w:rPr>
        <w:t>。</w:t>
      </w:r>
    </w:p>
    <w:p w14:paraId="33BA377E">
      <w:pPr>
        <w:spacing w:line="360" w:lineRule="auto"/>
        <w:ind w:firstLine="420" w:firstLineChars="200"/>
        <w:rPr>
          <w:rFonts w:ascii="宋体" w:hAnsi="宋体"/>
          <w:color w:val="auto"/>
          <w:szCs w:val="21"/>
          <w:highlight w:val="none"/>
          <w:u w:val="single"/>
        </w:rPr>
      </w:pPr>
      <w:r>
        <w:rPr>
          <w:rFonts w:ascii="宋体" w:hAnsi="宋体"/>
          <w:color w:val="auto"/>
          <w:kern w:val="0"/>
          <w:szCs w:val="21"/>
          <w:highlight w:val="none"/>
        </w:rPr>
        <w:t>承包人未提交劳动合同，以及没有为项目经理缴纳社会保险证明的违约责任：</w:t>
      </w:r>
      <w:r>
        <w:rPr>
          <w:rFonts w:hint="eastAsia" w:ascii="宋体" w:hAnsi="宋体"/>
          <w:color w:val="auto"/>
          <w:szCs w:val="21"/>
          <w:highlight w:val="none"/>
          <w:u w:val="single"/>
        </w:rPr>
        <w:t xml:space="preserve">处以3万元罚款，责令限期提交劳动合同并补缴社会保险 </w:t>
      </w:r>
      <w:r>
        <w:rPr>
          <w:rFonts w:ascii="宋体" w:hAnsi="宋体"/>
          <w:color w:val="auto"/>
          <w:szCs w:val="21"/>
          <w:highlight w:val="none"/>
        </w:rPr>
        <w:t>。</w:t>
      </w:r>
    </w:p>
    <w:p w14:paraId="17DC4BD6">
      <w:pPr>
        <w:spacing w:line="360" w:lineRule="auto"/>
        <w:ind w:firstLine="420" w:firstLineChars="200"/>
        <w:rPr>
          <w:rFonts w:ascii="宋体" w:hAnsi="宋体"/>
          <w:color w:val="auto"/>
          <w:szCs w:val="21"/>
          <w:highlight w:val="none"/>
          <w:u w:val="single"/>
        </w:rPr>
      </w:pPr>
      <w:r>
        <w:rPr>
          <w:rFonts w:ascii="宋体" w:hAnsi="宋体"/>
          <w:color w:val="auto"/>
          <w:kern w:val="0"/>
          <w:szCs w:val="21"/>
          <w:highlight w:val="none"/>
        </w:rPr>
        <w:t>项目经理未经批准，擅自离开施工现场的违约责任：</w:t>
      </w:r>
      <w:r>
        <w:rPr>
          <w:rFonts w:hint="eastAsia" w:ascii="宋体" w:hAnsi="宋体"/>
          <w:color w:val="auto"/>
          <w:szCs w:val="21"/>
          <w:highlight w:val="none"/>
          <w:u w:val="single"/>
        </w:rPr>
        <w:t>项目经理每月在岗带班时间不得少于当月施工时间的80%。</w:t>
      </w:r>
      <w:r>
        <w:rPr>
          <w:rFonts w:ascii="宋体" w:hAnsi="宋体"/>
          <w:color w:val="auto"/>
          <w:szCs w:val="21"/>
          <w:highlight w:val="none"/>
          <w:u w:val="single"/>
        </w:rPr>
        <w:t>未经发包人同意或正当理由，项目经理</w:t>
      </w:r>
      <w:r>
        <w:rPr>
          <w:rFonts w:hint="eastAsia" w:ascii="宋体" w:hAnsi="宋体"/>
          <w:color w:val="auto"/>
          <w:szCs w:val="21"/>
          <w:highlight w:val="none"/>
          <w:u w:val="single"/>
        </w:rPr>
        <w:t>每月在岗带班时间少于当月施工时间80%的，少在岗带班一天</w:t>
      </w:r>
      <w:r>
        <w:rPr>
          <w:rFonts w:ascii="宋体" w:hAnsi="宋体"/>
          <w:color w:val="auto"/>
          <w:szCs w:val="21"/>
          <w:highlight w:val="none"/>
          <w:u w:val="single"/>
        </w:rPr>
        <w:t xml:space="preserve">，发包人有权处违约金 </w:t>
      </w:r>
      <w:r>
        <w:rPr>
          <w:rFonts w:hint="eastAsia" w:ascii="宋体" w:hAnsi="宋体"/>
          <w:b/>
          <w:bCs/>
          <w:color w:val="auto"/>
          <w:szCs w:val="21"/>
          <w:highlight w:val="none"/>
          <w:u w:val="single"/>
        </w:rPr>
        <w:t>5000.00</w:t>
      </w:r>
      <w:r>
        <w:rPr>
          <w:rFonts w:ascii="宋体" w:hAnsi="宋体"/>
          <w:color w:val="auto"/>
          <w:szCs w:val="21"/>
          <w:highlight w:val="none"/>
          <w:u w:val="single"/>
        </w:rPr>
        <w:t>元/</w:t>
      </w:r>
      <w:r>
        <w:rPr>
          <w:rFonts w:hint="eastAsia" w:ascii="宋体" w:hAnsi="宋体"/>
          <w:color w:val="auto"/>
          <w:szCs w:val="21"/>
          <w:highlight w:val="none"/>
          <w:u w:val="single"/>
        </w:rPr>
        <w:t>日（</w:t>
      </w:r>
      <w:r>
        <w:rPr>
          <w:rFonts w:ascii="宋体" w:hAnsi="宋体"/>
          <w:color w:val="auto"/>
          <w:szCs w:val="21"/>
          <w:highlight w:val="none"/>
          <w:u w:val="single"/>
        </w:rPr>
        <w:t>人民币</w:t>
      </w:r>
      <w:r>
        <w:rPr>
          <w:rFonts w:hint="eastAsia" w:ascii="宋体" w:hAnsi="宋体"/>
          <w:color w:val="auto"/>
          <w:szCs w:val="21"/>
          <w:highlight w:val="none"/>
          <w:u w:val="single"/>
        </w:rPr>
        <w:t xml:space="preserve">）  </w:t>
      </w:r>
      <w:r>
        <w:rPr>
          <w:rFonts w:ascii="宋体" w:hAnsi="宋体"/>
          <w:color w:val="auto"/>
          <w:szCs w:val="21"/>
          <w:highlight w:val="none"/>
        </w:rPr>
        <w:t>。</w:t>
      </w:r>
    </w:p>
    <w:p w14:paraId="3695F74D">
      <w:pPr>
        <w:spacing w:line="360" w:lineRule="auto"/>
        <w:ind w:firstLine="420" w:firstLineChars="200"/>
        <w:rPr>
          <w:rFonts w:ascii="宋体" w:hAnsi="宋体"/>
          <w:color w:val="auto"/>
          <w:szCs w:val="21"/>
          <w:highlight w:val="none"/>
        </w:rPr>
      </w:pPr>
      <w:r>
        <w:rPr>
          <w:rFonts w:ascii="宋体" w:hAnsi="宋体"/>
          <w:color w:val="auto"/>
          <w:szCs w:val="21"/>
          <w:highlight w:val="none"/>
        </w:rPr>
        <w:t>3.2.3 承包人擅自更换项目经理的违约责任：</w:t>
      </w:r>
      <w:r>
        <w:rPr>
          <w:rFonts w:ascii="宋体" w:hAnsi="宋体"/>
          <w:color w:val="auto"/>
          <w:szCs w:val="21"/>
          <w:highlight w:val="none"/>
          <w:u w:val="single"/>
        </w:rPr>
        <w:t>承包人项目经理必须与承包人投标时所承诺的人员一致，并在</w:t>
      </w:r>
      <w:r>
        <w:rPr>
          <w:rFonts w:hint="eastAsia" w:ascii="宋体" w:hAnsi="宋体"/>
          <w:color w:val="auto"/>
          <w:szCs w:val="21"/>
          <w:highlight w:val="none"/>
          <w:u w:val="single"/>
        </w:rPr>
        <w:t>本工程开工</w:t>
      </w:r>
      <w:r>
        <w:rPr>
          <w:rFonts w:ascii="宋体" w:hAnsi="宋体"/>
          <w:color w:val="auto"/>
          <w:szCs w:val="21"/>
          <w:highlight w:val="none"/>
          <w:u w:val="single"/>
        </w:rPr>
        <w:t>前到任。在监理人向承包人颁发</w:t>
      </w:r>
      <w:r>
        <w:rPr>
          <w:rFonts w:hint="eastAsia" w:ascii="宋体" w:hAnsi="宋体"/>
          <w:b/>
          <w:color w:val="auto"/>
          <w:szCs w:val="21"/>
          <w:highlight w:val="none"/>
          <w:u w:val="single"/>
        </w:rPr>
        <w:t>完</w:t>
      </w:r>
      <w:r>
        <w:rPr>
          <w:rFonts w:hint="eastAsia" w:ascii="宋体" w:hAnsi="宋体"/>
          <w:color w:val="auto"/>
          <w:szCs w:val="21"/>
          <w:highlight w:val="none"/>
          <w:u w:val="single"/>
        </w:rPr>
        <w:t>工证书</w:t>
      </w:r>
      <w:r>
        <w:rPr>
          <w:rFonts w:ascii="宋体" w:hAnsi="宋体"/>
          <w:color w:val="auto"/>
          <w:szCs w:val="21"/>
          <w:highlight w:val="none"/>
          <w:u w:val="single"/>
        </w:rPr>
        <w:t>前，项目经理不得同时兼任其他任何项目的项目经理</w:t>
      </w:r>
      <w:r>
        <w:rPr>
          <w:rFonts w:ascii="宋体" w:hAnsi="宋体"/>
          <w:color w:val="auto"/>
          <w:kern w:val="0"/>
          <w:szCs w:val="21"/>
          <w:highlight w:val="none"/>
          <w:u w:val="single"/>
        </w:rPr>
        <w:t>（符合桂建管</w:t>
      </w:r>
      <w:r>
        <w:rPr>
          <w:rFonts w:ascii="宋体" w:hAnsi="宋体"/>
          <w:color w:val="auto"/>
          <w:szCs w:val="21"/>
          <w:highlight w:val="none"/>
          <w:u w:val="single"/>
        </w:rPr>
        <w:t>﹝2013﹞</w:t>
      </w:r>
      <w:r>
        <w:rPr>
          <w:rFonts w:ascii="宋体" w:hAnsi="宋体"/>
          <w:color w:val="auto"/>
          <w:kern w:val="0"/>
          <w:szCs w:val="21"/>
          <w:highlight w:val="none"/>
          <w:u w:val="single"/>
        </w:rPr>
        <w:t>17号和</w:t>
      </w:r>
      <w:r>
        <w:rPr>
          <w:rFonts w:ascii="宋体" w:hAnsi="宋体"/>
          <w:color w:val="auto"/>
          <w:szCs w:val="21"/>
          <w:highlight w:val="none"/>
          <w:u w:val="single"/>
        </w:rPr>
        <w:t>桂建管﹝2014﹞25号</w:t>
      </w:r>
      <w:r>
        <w:rPr>
          <w:rFonts w:ascii="宋体" w:hAnsi="宋体"/>
          <w:color w:val="auto"/>
          <w:kern w:val="0"/>
          <w:szCs w:val="21"/>
          <w:highlight w:val="none"/>
          <w:u w:val="single"/>
        </w:rPr>
        <w:t>文除外）</w:t>
      </w:r>
      <w:r>
        <w:rPr>
          <w:rFonts w:ascii="宋体" w:hAnsi="宋体"/>
          <w:color w:val="auto"/>
          <w:szCs w:val="21"/>
          <w:highlight w:val="none"/>
          <w:u w:val="single"/>
        </w:rPr>
        <w:t>。未经发包人书面同意，承包人擅自更换项目经理的视为违约</w:t>
      </w:r>
      <w:r>
        <w:rPr>
          <w:rFonts w:hint="eastAsia" w:ascii="宋体" w:hAnsi="宋体"/>
          <w:color w:val="auto"/>
          <w:szCs w:val="21"/>
          <w:highlight w:val="none"/>
          <w:u w:val="single"/>
        </w:rPr>
        <w:t>，</w:t>
      </w:r>
      <w:r>
        <w:rPr>
          <w:rFonts w:ascii="宋体" w:hAnsi="宋体"/>
          <w:color w:val="auto"/>
          <w:szCs w:val="21"/>
          <w:highlight w:val="none"/>
          <w:u w:val="single"/>
        </w:rPr>
        <w:t>违约金处</w:t>
      </w:r>
      <w:r>
        <w:rPr>
          <w:rFonts w:hint="eastAsia" w:ascii="宋体" w:hAnsi="宋体"/>
          <w:b/>
          <w:bCs/>
          <w:color w:val="auto"/>
          <w:szCs w:val="21"/>
          <w:highlight w:val="none"/>
          <w:u w:val="single"/>
        </w:rPr>
        <w:t>20000.00</w:t>
      </w:r>
      <w:r>
        <w:rPr>
          <w:rFonts w:ascii="宋体" w:hAnsi="宋体"/>
          <w:color w:val="auto"/>
          <w:szCs w:val="21"/>
          <w:highlight w:val="none"/>
          <w:u w:val="single"/>
        </w:rPr>
        <w:t xml:space="preserve">  元/人•次</w:t>
      </w:r>
      <w:r>
        <w:rPr>
          <w:rFonts w:hint="eastAsia" w:ascii="宋体" w:hAnsi="宋体"/>
          <w:color w:val="auto"/>
          <w:szCs w:val="21"/>
          <w:highlight w:val="none"/>
          <w:u w:val="single"/>
        </w:rPr>
        <w:t>（</w:t>
      </w:r>
      <w:r>
        <w:rPr>
          <w:rFonts w:ascii="宋体" w:hAnsi="宋体"/>
          <w:color w:val="auto"/>
          <w:szCs w:val="21"/>
          <w:highlight w:val="none"/>
          <w:u w:val="single"/>
        </w:rPr>
        <w:t>人民币</w:t>
      </w:r>
      <w:r>
        <w:rPr>
          <w:rFonts w:hint="eastAsia" w:ascii="宋体" w:hAnsi="宋体"/>
          <w:color w:val="auto"/>
          <w:szCs w:val="21"/>
          <w:highlight w:val="none"/>
          <w:u w:val="single"/>
        </w:rPr>
        <w:t>）</w:t>
      </w:r>
      <w:r>
        <w:rPr>
          <w:rFonts w:ascii="宋体" w:hAnsi="宋体"/>
          <w:color w:val="auto"/>
          <w:szCs w:val="21"/>
          <w:highlight w:val="none"/>
        </w:rPr>
        <w:t>。</w:t>
      </w:r>
    </w:p>
    <w:p w14:paraId="2EB4B83D">
      <w:pPr>
        <w:spacing w:line="360" w:lineRule="auto"/>
        <w:ind w:firstLine="420" w:firstLineChars="200"/>
        <w:rPr>
          <w:rFonts w:ascii="宋体" w:hAnsi="宋体"/>
          <w:color w:val="auto"/>
          <w:szCs w:val="21"/>
          <w:highlight w:val="none"/>
        </w:rPr>
      </w:pPr>
      <w:r>
        <w:rPr>
          <w:rFonts w:ascii="宋体" w:hAnsi="宋体"/>
          <w:color w:val="auto"/>
          <w:szCs w:val="21"/>
          <w:highlight w:val="none"/>
        </w:rPr>
        <w:t>3.2.4 承包人无正当理由拒绝更换项目经理的违约责任：</w:t>
      </w:r>
      <w:r>
        <w:rPr>
          <w:rFonts w:ascii="宋体" w:hAnsi="宋体"/>
          <w:color w:val="auto"/>
          <w:szCs w:val="21"/>
          <w:highlight w:val="none"/>
          <w:u w:val="single"/>
        </w:rPr>
        <w:t xml:space="preserve">因承包人项目经理不称职，发包人要求调换而未及时调换的，视为承包人违约，必须向发包人交纳处罚金 </w:t>
      </w:r>
      <w:r>
        <w:rPr>
          <w:rFonts w:hint="eastAsia" w:ascii="宋体" w:hAnsi="宋体"/>
          <w:b/>
          <w:bCs/>
          <w:color w:val="auto"/>
          <w:szCs w:val="21"/>
          <w:highlight w:val="none"/>
          <w:u w:val="single"/>
        </w:rPr>
        <w:t>20000.00</w:t>
      </w:r>
      <w:r>
        <w:rPr>
          <w:rFonts w:ascii="宋体" w:hAnsi="宋体"/>
          <w:color w:val="auto"/>
          <w:szCs w:val="21"/>
          <w:highlight w:val="none"/>
          <w:u w:val="single"/>
        </w:rPr>
        <w:t xml:space="preserve"> 元/人•次</w:t>
      </w:r>
      <w:r>
        <w:rPr>
          <w:rFonts w:hint="eastAsia" w:ascii="宋体" w:hAnsi="宋体"/>
          <w:color w:val="auto"/>
          <w:szCs w:val="21"/>
          <w:highlight w:val="none"/>
          <w:u w:val="single"/>
        </w:rPr>
        <w:t>（</w:t>
      </w:r>
      <w:r>
        <w:rPr>
          <w:rFonts w:ascii="宋体" w:hAnsi="宋体"/>
          <w:color w:val="auto"/>
          <w:szCs w:val="21"/>
          <w:highlight w:val="none"/>
          <w:u w:val="single"/>
        </w:rPr>
        <w:t>人民币</w:t>
      </w:r>
      <w:r>
        <w:rPr>
          <w:rFonts w:hint="eastAsia" w:ascii="宋体" w:hAnsi="宋体"/>
          <w:color w:val="auto"/>
          <w:szCs w:val="21"/>
          <w:highlight w:val="none"/>
          <w:u w:val="single"/>
        </w:rPr>
        <w:t>）</w:t>
      </w:r>
      <w:r>
        <w:rPr>
          <w:rFonts w:ascii="宋体" w:hAnsi="宋体"/>
          <w:color w:val="auto"/>
          <w:szCs w:val="21"/>
          <w:highlight w:val="none"/>
        </w:rPr>
        <w:t>。</w:t>
      </w:r>
    </w:p>
    <w:p w14:paraId="17911D23">
      <w:pPr>
        <w:keepNext/>
        <w:keepLines/>
        <w:spacing w:before="260" w:after="260" w:line="416" w:lineRule="auto"/>
        <w:ind w:firstLine="200"/>
        <w:outlineLvl w:val="2"/>
        <w:rPr>
          <w:rFonts w:ascii="宋体" w:hAnsi="宋体"/>
          <w:b/>
          <w:bCs/>
          <w:color w:val="auto"/>
          <w:sz w:val="32"/>
          <w:szCs w:val="32"/>
          <w:highlight w:val="none"/>
        </w:rPr>
      </w:pPr>
      <w:bookmarkStart w:id="341" w:name="_Toc432343897"/>
      <w:bookmarkStart w:id="342" w:name="_Toc454211121"/>
      <w:bookmarkStart w:id="343" w:name="_Toc373478356"/>
      <w:bookmarkStart w:id="344" w:name="_Toc373227709"/>
      <w:bookmarkStart w:id="345" w:name="_Toc531186612"/>
      <w:bookmarkStart w:id="346" w:name="_Toc529547335"/>
      <w:bookmarkStart w:id="347" w:name="_Toc411345190"/>
      <w:bookmarkStart w:id="348" w:name="_Toc461179251"/>
      <w:bookmarkStart w:id="349" w:name="_Toc530144477"/>
      <w:bookmarkStart w:id="350" w:name="_Toc472931616"/>
      <w:bookmarkStart w:id="351" w:name="_Toc529526983"/>
      <w:bookmarkStart w:id="352" w:name="_Toc389065275"/>
      <w:bookmarkStart w:id="353" w:name="_Toc470247810"/>
      <w:r>
        <w:rPr>
          <w:rFonts w:ascii="宋体" w:hAnsi="宋体"/>
          <w:b/>
          <w:bCs/>
          <w:color w:val="auto"/>
          <w:sz w:val="32"/>
          <w:szCs w:val="32"/>
          <w:highlight w:val="none"/>
        </w:rPr>
        <w:t>3.3 承包人人员</w:t>
      </w:r>
      <w:bookmarkEnd w:id="341"/>
      <w:bookmarkEnd w:id="342"/>
      <w:bookmarkEnd w:id="343"/>
      <w:bookmarkEnd w:id="344"/>
      <w:bookmarkEnd w:id="345"/>
      <w:bookmarkEnd w:id="346"/>
      <w:bookmarkEnd w:id="347"/>
      <w:bookmarkEnd w:id="348"/>
      <w:bookmarkEnd w:id="349"/>
      <w:bookmarkEnd w:id="350"/>
      <w:bookmarkEnd w:id="351"/>
      <w:bookmarkEnd w:id="352"/>
      <w:bookmarkEnd w:id="353"/>
    </w:p>
    <w:p w14:paraId="7BF51F66">
      <w:pPr>
        <w:spacing w:line="360" w:lineRule="auto"/>
        <w:ind w:firstLine="420" w:firstLineChars="200"/>
        <w:rPr>
          <w:rFonts w:ascii="宋体" w:hAnsi="宋体"/>
          <w:color w:val="auto"/>
          <w:szCs w:val="21"/>
          <w:highlight w:val="none"/>
        </w:rPr>
      </w:pPr>
      <w:r>
        <w:rPr>
          <w:rFonts w:ascii="宋体" w:hAnsi="宋体"/>
          <w:color w:val="auto"/>
          <w:szCs w:val="21"/>
          <w:highlight w:val="none"/>
        </w:rPr>
        <w:t>3.3.1 承包人提交项目管理机构及施工现场管理人员安排报告</w:t>
      </w:r>
      <w:r>
        <w:rPr>
          <w:rFonts w:hint="eastAsia" w:ascii="宋体" w:hAnsi="宋体"/>
          <w:color w:val="auto"/>
          <w:szCs w:val="21"/>
          <w:highlight w:val="none"/>
        </w:rPr>
        <w:t>（格式见合同附件3）</w:t>
      </w:r>
      <w:r>
        <w:rPr>
          <w:rFonts w:ascii="宋体" w:hAnsi="宋体"/>
          <w:color w:val="auto"/>
          <w:szCs w:val="21"/>
          <w:highlight w:val="none"/>
        </w:rPr>
        <w:t>的期限：</w:t>
      </w:r>
      <w:r>
        <w:rPr>
          <w:rFonts w:hint="eastAsia" w:ascii="宋体" w:hAnsi="宋体"/>
          <w:bCs/>
          <w:color w:val="auto"/>
          <w:szCs w:val="21"/>
          <w:highlight w:val="none"/>
          <w:u w:val="single"/>
        </w:rPr>
        <w:t>工程开工前5天</w:t>
      </w:r>
      <w:r>
        <w:rPr>
          <w:rFonts w:ascii="宋体" w:hAnsi="宋体"/>
          <w:color w:val="auto"/>
          <w:szCs w:val="21"/>
          <w:highlight w:val="none"/>
        </w:rPr>
        <w:t>。</w:t>
      </w:r>
    </w:p>
    <w:p w14:paraId="788A9ED5">
      <w:pPr>
        <w:spacing w:line="360" w:lineRule="auto"/>
        <w:ind w:firstLine="420" w:firstLineChars="200"/>
        <w:rPr>
          <w:rFonts w:ascii="宋体" w:hAnsi="宋体"/>
          <w:color w:val="auto"/>
          <w:szCs w:val="21"/>
          <w:highlight w:val="none"/>
        </w:rPr>
      </w:pPr>
      <w:r>
        <w:rPr>
          <w:rFonts w:ascii="宋体" w:hAnsi="宋体"/>
          <w:color w:val="auto"/>
          <w:szCs w:val="21"/>
          <w:highlight w:val="none"/>
        </w:rPr>
        <w:t>3.3.3 承包人无正当理由拒绝撤换主要施工管理人员的违约责任：</w:t>
      </w:r>
      <w:r>
        <w:rPr>
          <w:rFonts w:ascii="宋体" w:hAnsi="宋体"/>
          <w:color w:val="auto"/>
          <w:szCs w:val="21"/>
          <w:highlight w:val="none"/>
          <w:u w:val="single"/>
        </w:rPr>
        <w:t>因承包人主要施工管理人员不称职，发包人要求调换而无正当理由拒绝撤换或未及时调换的，视为承包人违约，必须向发包人交纳处罚金，处罚标准：技术负责人</w:t>
      </w:r>
      <w:r>
        <w:rPr>
          <w:rFonts w:hint="eastAsia" w:ascii="宋体" w:hAnsi="宋体"/>
          <w:b/>
          <w:bCs/>
          <w:color w:val="auto"/>
          <w:szCs w:val="21"/>
          <w:highlight w:val="none"/>
          <w:u w:val="single"/>
        </w:rPr>
        <w:t>20000.00</w:t>
      </w:r>
      <w:r>
        <w:rPr>
          <w:rFonts w:ascii="宋体" w:hAnsi="宋体"/>
          <w:color w:val="auto"/>
          <w:szCs w:val="21"/>
          <w:highlight w:val="none"/>
          <w:u w:val="single"/>
        </w:rPr>
        <w:t>元/人•次</w:t>
      </w:r>
      <w:r>
        <w:rPr>
          <w:rFonts w:hint="eastAsia" w:ascii="宋体" w:hAnsi="宋体"/>
          <w:color w:val="auto"/>
          <w:szCs w:val="21"/>
          <w:highlight w:val="none"/>
          <w:u w:val="single"/>
        </w:rPr>
        <w:t>（</w:t>
      </w:r>
      <w:r>
        <w:rPr>
          <w:rFonts w:ascii="宋体" w:hAnsi="宋体"/>
          <w:color w:val="auto"/>
          <w:szCs w:val="21"/>
          <w:highlight w:val="none"/>
          <w:u w:val="single"/>
        </w:rPr>
        <w:t>人民币</w:t>
      </w:r>
      <w:r>
        <w:rPr>
          <w:rFonts w:hint="eastAsia" w:ascii="宋体" w:hAnsi="宋体"/>
          <w:color w:val="auto"/>
          <w:szCs w:val="21"/>
          <w:highlight w:val="none"/>
          <w:u w:val="single"/>
        </w:rPr>
        <w:t>）</w:t>
      </w:r>
      <w:r>
        <w:rPr>
          <w:rFonts w:ascii="宋体" w:hAnsi="宋体"/>
          <w:color w:val="auto"/>
          <w:szCs w:val="21"/>
          <w:highlight w:val="none"/>
          <w:u w:val="single"/>
        </w:rPr>
        <w:t>；专业工程师</w:t>
      </w:r>
      <w:r>
        <w:rPr>
          <w:rFonts w:hint="eastAsia" w:ascii="宋体" w:hAnsi="宋体"/>
          <w:b/>
          <w:bCs/>
          <w:color w:val="auto"/>
          <w:szCs w:val="21"/>
          <w:highlight w:val="none"/>
          <w:u w:val="single"/>
        </w:rPr>
        <w:t>10000.00</w:t>
      </w:r>
      <w:r>
        <w:rPr>
          <w:rFonts w:ascii="宋体" w:hAnsi="宋体"/>
          <w:color w:val="auto"/>
          <w:szCs w:val="21"/>
          <w:highlight w:val="none"/>
          <w:u w:val="single"/>
        </w:rPr>
        <w:t>元/人•次</w:t>
      </w:r>
      <w:r>
        <w:rPr>
          <w:rFonts w:hint="eastAsia" w:ascii="宋体" w:hAnsi="宋体"/>
          <w:color w:val="auto"/>
          <w:szCs w:val="21"/>
          <w:highlight w:val="none"/>
          <w:u w:val="single"/>
        </w:rPr>
        <w:t>（</w:t>
      </w:r>
      <w:r>
        <w:rPr>
          <w:rFonts w:ascii="宋体" w:hAnsi="宋体"/>
          <w:color w:val="auto"/>
          <w:szCs w:val="21"/>
          <w:highlight w:val="none"/>
          <w:u w:val="single"/>
        </w:rPr>
        <w:t>人民币</w:t>
      </w:r>
      <w:r>
        <w:rPr>
          <w:rFonts w:hint="eastAsia" w:ascii="宋体" w:hAnsi="宋体"/>
          <w:color w:val="auto"/>
          <w:szCs w:val="21"/>
          <w:highlight w:val="none"/>
          <w:u w:val="single"/>
        </w:rPr>
        <w:t>）</w:t>
      </w:r>
      <w:r>
        <w:rPr>
          <w:rFonts w:ascii="宋体" w:hAnsi="宋体"/>
          <w:color w:val="auto"/>
          <w:szCs w:val="21"/>
          <w:highlight w:val="none"/>
        </w:rPr>
        <w:t>。</w:t>
      </w:r>
    </w:p>
    <w:p w14:paraId="7A285D74">
      <w:pPr>
        <w:spacing w:line="360" w:lineRule="auto"/>
        <w:ind w:firstLine="420" w:firstLineChars="200"/>
        <w:rPr>
          <w:rFonts w:ascii="宋体" w:hAnsi="宋体"/>
          <w:color w:val="auto"/>
          <w:szCs w:val="21"/>
          <w:highlight w:val="none"/>
          <w:u w:val="single"/>
        </w:rPr>
      </w:pPr>
      <w:r>
        <w:rPr>
          <w:rFonts w:ascii="宋体" w:hAnsi="宋体"/>
          <w:color w:val="auto"/>
          <w:szCs w:val="21"/>
          <w:highlight w:val="none"/>
        </w:rPr>
        <w:t>3.3.4 承包人主要施工管理人员离开施工现场的批准要求：</w:t>
      </w:r>
      <w:r>
        <w:rPr>
          <w:rFonts w:hint="eastAsia" w:ascii="宋体" w:hAnsi="宋体"/>
          <w:bCs/>
          <w:color w:val="auto"/>
          <w:szCs w:val="21"/>
          <w:highlight w:val="none"/>
          <w:u w:val="single"/>
        </w:rPr>
        <w:t xml:space="preserve">提前2天报发包人审批 </w:t>
      </w:r>
      <w:r>
        <w:rPr>
          <w:rFonts w:ascii="宋体" w:hAnsi="宋体"/>
          <w:color w:val="auto"/>
          <w:szCs w:val="21"/>
          <w:highlight w:val="none"/>
        </w:rPr>
        <w:t>。</w:t>
      </w:r>
    </w:p>
    <w:p w14:paraId="160CFEB1">
      <w:pPr>
        <w:spacing w:line="360" w:lineRule="auto"/>
        <w:ind w:firstLine="420" w:firstLineChars="200"/>
        <w:rPr>
          <w:rFonts w:ascii="宋体" w:hAnsi="宋体"/>
          <w:color w:val="auto"/>
          <w:szCs w:val="21"/>
          <w:highlight w:val="none"/>
        </w:rPr>
      </w:pPr>
      <w:r>
        <w:rPr>
          <w:rFonts w:ascii="宋体" w:hAnsi="宋体"/>
          <w:color w:val="auto"/>
          <w:szCs w:val="21"/>
          <w:highlight w:val="none"/>
        </w:rPr>
        <w:t>3.3.5承包人擅自更换主要施工管理人员的违约责任：</w:t>
      </w:r>
      <w:r>
        <w:rPr>
          <w:rFonts w:hint="eastAsia" w:ascii="宋体" w:hAnsi="宋体"/>
          <w:color w:val="auto"/>
          <w:szCs w:val="21"/>
          <w:highlight w:val="none"/>
          <w:u w:val="single"/>
        </w:rPr>
        <w:t>项目</w:t>
      </w:r>
      <w:r>
        <w:rPr>
          <w:rFonts w:ascii="宋体" w:hAnsi="宋体"/>
          <w:color w:val="auto"/>
          <w:szCs w:val="21"/>
          <w:highlight w:val="none"/>
          <w:u w:val="single"/>
        </w:rPr>
        <w:t>技术负责人、</w:t>
      </w:r>
      <w:r>
        <w:rPr>
          <w:rFonts w:hint="eastAsia" w:ascii="宋体" w:hAnsi="宋体"/>
          <w:color w:val="auto"/>
          <w:szCs w:val="21"/>
          <w:highlight w:val="none"/>
          <w:u w:val="single"/>
        </w:rPr>
        <w:t>专职安全员及其承诺的其它在场管理人员</w:t>
      </w:r>
      <w:r>
        <w:rPr>
          <w:rFonts w:ascii="宋体" w:hAnsi="宋体"/>
          <w:color w:val="auto"/>
          <w:szCs w:val="21"/>
          <w:highlight w:val="none"/>
          <w:u w:val="single"/>
        </w:rPr>
        <w:t>未经发包人书面同意不准擅自更换，擅自更换</w:t>
      </w:r>
      <w:r>
        <w:rPr>
          <w:rFonts w:hint="eastAsia" w:ascii="宋体" w:hAnsi="宋体"/>
          <w:color w:val="auto"/>
          <w:szCs w:val="21"/>
          <w:highlight w:val="none"/>
          <w:u w:val="single"/>
        </w:rPr>
        <w:t>项目</w:t>
      </w:r>
      <w:r>
        <w:rPr>
          <w:rFonts w:ascii="宋体" w:hAnsi="宋体"/>
          <w:color w:val="auto"/>
          <w:szCs w:val="21"/>
          <w:highlight w:val="none"/>
          <w:u w:val="single"/>
        </w:rPr>
        <w:t>技术负责人处</w:t>
      </w:r>
      <w:r>
        <w:rPr>
          <w:rFonts w:hint="eastAsia" w:ascii="宋体" w:hAnsi="宋体"/>
          <w:b/>
          <w:bCs/>
          <w:color w:val="auto"/>
          <w:szCs w:val="21"/>
          <w:highlight w:val="none"/>
          <w:u w:val="single"/>
        </w:rPr>
        <w:t>20000.00</w:t>
      </w:r>
      <w:r>
        <w:rPr>
          <w:rFonts w:ascii="宋体" w:hAnsi="宋体"/>
          <w:color w:val="auto"/>
          <w:szCs w:val="21"/>
          <w:highlight w:val="none"/>
          <w:u w:val="single"/>
        </w:rPr>
        <w:t>元/人•次</w:t>
      </w:r>
      <w:r>
        <w:rPr>
          <w:rFonts w:hint="eastAsia" w:ascii="宋体" w:hAnsi="宋体"/>
          <w:color w:val="auto"/>
          <w:szCs w:val="21"/>
          <w:highlight w:val="none"/>
          <w:u w:val="single"/>
        </w:rPr>
        <w:t>（</w:t>
      </w:r>
      <w:r>
        <w:rPr>
          <w:rFonts w:ascii="宋体" w:hAnsi="宋体"/>
          <w:color w:val="auto"/>
          <w:szCs w:val="21"/>
          <w:highlight w:val="none"/>
          <w:u w:val="single"/>
        </w:rPr>
        <w:t>人民币</w:t>
      </w:r>
      <w:r>
        <w:rPr>
          <w:rFonts w:hint="eastAsia" w:ascii="宋体" w:hAnsi="宋体"/>
          <w:color w:val="auto"/>
          <w:szCs w:val="21"/>
          <w:highlight w:val="none"/>
          <w:u w:val="single"/>
        </w:rPr>
        <w:t>）</w:t>
      </w:r>
      <w:r>
        <w:rPr>
          <w:rFonts w:ascii="宋体" w:hAnsi="宋体"/>
          <w:color w:val="auto"/>
          <w:szCs w:val="21"/>
          <w:highlight w:val="none"/>
          <w:u w:val="single"/>
        </w:rPr>
        <w:t>违约金；擅自更换</w:t>
      </w:r>
      <w:r>
        <w:rPr>
          <w:rFonts w:hint="eastAsia" w:ascii="宋体" w:hAnsi="宋体"/>
          <w:color w:val="auto"/>
          <w:szCs w:val="21"/>
          <w:highlight w:val="none"/>
          <w:u w:val="single"/>
        </w:rPr>
        <w:t>专职安全员</w:t>
      </w:r>
      <w:r>
        <w:rPr>
          <w:rFonts w:ascii="宋体" w:hAnsi="宋体"/>
          <w:color w:val="auto"/>
          <w:szCs w:val="21"/>
          <w:highlight w:val="none"/>
          <w:u w:val="single"/>
        </w:rPr>
        <w:t>处</w:t>
      </w:r>
      <w:r>
        <w:rPr>
          <w:rFonts w:hint="eastAsia" w:ascii="宋体" w:hAnsi="宋体"/>
          <w:b/>
          <w:bCs/>
          <w:color w:val="auto"/>
          <w:szCs w:val="21"/>
          <w:highlight w:val="none"/>
          <w:u w:val="single"/>
        </w:rPr>
        <w:t>10000.00</w:t>
      </w:r>
      <w:r>
        <w:rPr>
          <w:rFonts w:ascii="宋体" w:hAnsi="宋体"/>
          <w:color w:val="auto"/>
          <w:szCs w:val="21"/>
          <w:highlight w:val="none"/>
          <w:u w:val="single"/>
        </w:rPr>
        <w:t>元/人•次</w:t>
      </w:r>
      <w:r>
        <w:rPr>
          <w:rFonts w:hint="eastAsia" w:ascii="宋体" w:hAnsi="宋体"/>
          <w:color w:val="auto"/>
          <w:szCs w:val="21"/>
          <w:highlight w:val="none"/>
          <w:u w:val="single"/>
        </w:rPr>
        <w:t>（</w:t>
      </w:r>
      <w:r>
        <w:rPr>
          <w:rFonts w:ascii="宋体" w:hAnsi="宋体"/>
          <w:color w:val="auto"/>
          <w:szCs w:val="21"/>
          <w:highlight w:val="none"/>
          <w:u w:val="single"/>
        </w:rPr>
        <w:t>人民币</w:t>
      </w:r>
      <w:r>
        <w:rPr>
          <w:rFonts w:hint="eastAsia" w:ascii="宋体" w:hAnsi="宋体"/>
          <w:color w:val="auto"/>
          <w:szCs w:val="21"/>
          <w:highlight w:val="none"/>
          <w:u w:val="single"/>
        </w:rPr>
        <w:t>）</w:t>
      </w:r>
      <w:r>
        <w:rPr>
          <w:rFonts w:ascii="宋体" w:hAnsi="宋体"/>
          <w:color w:val="auto"/>
          <w:szCs w:val="21"/>
          <w:highlight w:val="none"/>
          <w:u w:val="single"/>
        </w:rPr>
        <w:t>违约金</w:t>
      </w:r>
      <w:r>
        <w:rPr>
          <w:rFonts w:hint="eastAsia" w:ascii="宋体" w:hAnsi="宋体"/>
          <w:color w:val="auto"/>
          <w:szCs w:val="21"/>
          <w:highlight w:val="none"/>
          <w:u w:val="single"/>
        </w:rPr>
        <w:t>；</w:t>
      </w:r>
      <w:r>
        <w:rPr>
          <w:rFonts w:ascii="宋体" w:hAnsi="宋体"/>
          <w:color w:val="auto"/>
          <w:szCs w:val="21"/>
          <w:highlight w:val="none"/>
          <w:u w:val="single"/>
        </w:rPr>
        <w:t>擅自更换</w:t>
      </w:r>
      <w:r>
        <w:rPr>
          <w:rFonts w:hint="eastAsia" w:ascii="宋体" w:hAnsi="宋体"/>
          <w:color w:val="auto"/>
          <w:szCs w:val="21"/>
          <w:highlight w:val="none"/>
          <w:u w:val="single"/>
        </w:rPr>
        <w:t>其它在场管理人员</w:t>
      </w:r>
      <w:r>
        <w:rPr>
          <w:rFonts w:ascii="宋体" w:hAnsi="宋体"/>
          <w:color w:val="auto"/>
          <w:szCs w:val="21"/>
          <w:highlight w:val="none"/>
          <w:u w:val="single"/>
        </w:rPr>
        <w:t>处</w:t>
      </w:r>
      <w:r>
        <w:rPr>
          <w:rFonts w:hint="eastAsia" w:ascii="宋体" w:hAnsi="宋体"/>
          <w:b/>
          <w:bCs/>
          <w:color w:val="auto"/>
          <w:szCs w:val="21"/>
          <w:highlight w:val="none"/>
          <w:u w:val="single"/>
        </w:rPr>
        <w:t>10000.00</w:t>
      </w:r>
      <w:r>
        <w:rPr>
          <w:rFonts w:ascii="宋体" w:hAnsi="宋体"/>
          <w:color w:val="auto"/>
          <w:szCs w:val="21"/>
          <w:highlight w:val="none"/>
          <w:u w:val="single"/>
        </w:rPr>
        <w:t>元/人•次</w:t>
      </w:r>
      <w:r>
        <w:rPr>
          <w:rFonts w:hint="eastAsia" w:ascii="宋体" w:hAnsi="宋体"/>
          <w:color w:val="auto"/>
          <w:szCs w:val="21"/>
          <w:highlight w:val="none"/>
          <w:u w:val="single"/>
        </w:rPr>
        <w:t>（</w:t>
      </w:r>
      <w:r>
        <w:rPr>
          <w:rFonts w:ascii="宋体" w:hAnsi="宋体"/>
          <w:color w:val="auto"/>
          <w:szCs w:val="21"/>
          <w:highlight w:val="none"/>
          <w:u w:val="single"/>
        </w:rPr>
        <w:t>人民币</w:t>
      </w:r>
      <w:r>
        <w:rPr>
          <w:rFonts w:hint="eastAsia" w:ascii="宋体" w:hAnsi="宋体"/>
          <w:color w:val="auto"/>
          <w:szCs w:val="21"/>
          <w:highlight w:val="none"/>
          <w:u w:val="single"/>
        </w:rPr>
        <w:t>）</w:t>
      </w:r>
      <w:r>
        <w:rPr>
          <w:rFonts w:ascii="宋体" w:hAnsi="宋体"/>
          <w:color w:val="auto"/>
          <w:szCs w:val="21"/>
          <w:highlight w:val="none"/>
          <w:u w:val="single"/>
        </w:rPr>
        <w:t>违约金</w:t>
      </w:r>
      <w:r>
        <w:rPr>
          <w:rFonts w:ascii="宋体" w:hAnsi="宋体"/>
          <w:color w:val="auto"/>
          <w:szCs w:val="21"/>
          <w:highlight w:val="none"/>
        </w:rPr>
        <w:t>。</w:t>
      </w:r>
    </w:p>
    <w:p w14:paraId="45C04C8C">
      <w:pPr>
        <w:spacing w:line="360" w:lineRule="auto"/>
        <w:ind w:firstLine="420" w:firstLineChars="200"/>
        <w:rPr>
          <w:rFonts w:ascii="宋体" w:hAnsi="宋体"/>
          <w:color w:val="auto"/>
          <w:szCs w:val="21"/>
          <w:highlight w:val="none"/>
        </w:rPr>
      </w:pPr>
      <w:r>
        <w:rPr>
          <w:rFonts w:ascii="宋体" w:hAnsi="宋体"/>
          <w:color w:val="auto"/>
          <w:szCs w:val="21"/>
          <w:highlight w:val="none"/>
        </w:rPr>
        <w:t>承包人主要施工管理人员擅自离开施工现场的违约责任：</w:t>
      </w:r>
      <w:r>
        <w:rPr>
          <w:rFonts w:ascii="宋体" w:hAnsi="宋体"/>
          <w:color w:val="auto"/>
          <w:szCs w:val="21"/>
          <w:highlight w:val="none"/>
          <w:u w:val="single"/>
        </w:rPr>
        <w:t>未经发包人同意，</w:t>
      </w:r>
      <w:r>
        <w:rPr>
          <w:rFonts w:hint="eastAsia" w:ascii="宋体" w:hAnsi="宋体"/>
          <w:color w:val="auto"/>
          <w:szCs w:val="21"/>
          <w:highlight w:val="none"/>
          <w:u w:val="single"/>
        </w:rPr>
        <w:t>项目</w:t>
      </w:r>
      <w:r>
        <w:rPr>
          <w:rFonts w:ascii="宋体" w:hAnsi="宋体"/>
          <w:color w:val="auto"/>
          <w:szCs w:val="21"/>
          <w:highlight w:val="none"/>
          <w:u w:val="single"/>
        </w:rPr>
        <w:t>技术负责人擅自离岗的，视为承包人违约，发包人有权处违约金</w:t>
      </w:r>
      <w:r>
        <w:rPr>
          <w:rFonts w:hint="eastAsia" w:ascii="宋体" w:hAnsi="宋体"/>
          <w:b/>
          <w:bCs/>
          <w:color w:val="auto"/>
          <w:szCs w:val="21"/>
          <w:highlight w:val="none"/>
          <w:u w:val="single"/>
        </w:rPr>
        <w:t>5000.00</w:t>
      </w:r>
      <w:r>
        <w:rPr>
          <w:rFonts w:ascii="宋体" w:hAnsi="宋体"/>
          <w:color w:val="auto"/>
          <w:szCs w:val="21"/>
          <w:highlight w:val="none"/>
          <w:u w:val="single"/>
        </w:rPr>
        <w:t>元/人•次</w:t>
      </w:r>
      <w:r>
        <w:rPr>
          <w:rFonts w:hint="eastAsia" w:ascii="宋体" w:hAnsi="宋体"/>
          <w:color w:val="auto"/>
          <w:szCs w:val="21"/>
          <w:highlight w:val="none"/>
          <w:u w:val="single"/>
        </w:rPr>
        <w:t>（</w:t>
      </w:r>
      <w:r>
        <w:rPr>
          <w:rFonts w:ascii="宋体" w:hAnsi="宋体"/>
          <w:color w:val="auto"/>
          <w:szCs w:val="21"/>
          <w:highlight w:val="none"/>
          <w:u w:val="single"/>
        </w:rPr>
        <w:t>人民币</w:t>
      </w:r>
      <w:r>
        <w:rPr>
          <w:rFonts w:hint="eastAsia" w:ascii="宋体" w:hAnsi="宋体"/>
          <w:color w:val="auto"/>
          <w:szCs w:val="21"/>
          <w:highlight w:val="none"/>
          <w:u w:val="single"/>
        </w:rPr>
        <w:t>）</w:t>
      </w:r>
      <w:r>
        <w:rPr>
          <w:rFonts w:ascii="宋体" w:hAnsi="宋体"/>
          <w:color w:val="auto"/>
          <w:szCs w:val="21"/>
          <w:highlight w:val="none"/>
          <w:u w:val="single"/>
        </w:rPr>
        <w:t>；未经发包人同意，</w:t>
      </w:r>
      <w:r>
        <w:rPr>
          <w:rFonts w:hint="eastAsia" w:ascii="宋体" w:hAnsi="宋体"/>
          <w:color w:val="auto"/>
          <w:szCs w:val="21"/>
          <w:highlight w:val="none"/>
          <w:u w:val="single"/>
        </w:rPr>
        <w:t>专职安全员</w:t>
      </w:r>
      <w:r>
        <w:rPr>
          <w:rFonts w:ascii="宋体" w:hAnsi="宋体"/>
          <w:color w:val="auto"/>
          <w:szCs w:val="21"/>
          <w:highlight w:val="none"/>
          <w:u w:val="single"/>
        </w:rPr>
        <w:t>擅自离岗的，视为承包人违约，发包人有权处违约金</w:t>
      </w:r>
      <w:r>
        <w:rPr>
          <w:rFonts w:hint="eastAsia" w:ascii="宋体" w:hAnsi="宋体"/>
          <w:b/>
          <w:bCs/>
          <w:color w:val="auto"/>
          <w:szCs w:val="21"/>
          <w:highlight w:val="none"/>
          <w:u w:val="single"/>
        </w:rPr>
        <w:t>3000.00</w:t>
      </w:r>
      <w:r>
        <w:rPr>
          <w:rFonts w:ascii="宋体" w:hAnsi="宋体"/>
          <w:color w:val="auto"/>
          <w:szCs w:val="21"/>
          <w:highlight w:val="none"/>
          <w:u w:val="single"/>
        </w:rPr>
        <w:t>元/人•次</w:t>
      </w:r>
      <w:r>
        <w:rPr>
          <w:rFonts w:hint="eastAsia" w:ascii="宋体" w:hAnsi="宋体"/>
          <w:color w:val="auto"/>
          <w:szCs w:val="21"/>
          <w:highlight w:val="none"/>
          <w:u w:val="single"/>
        </w:rPr>
        <w:t>（</w:t>
      </w:r>
      <w:r>
        <w:rPr>
          <w:rFonts w:ascii="宋体" w:hAnsi="宋体"/>
          <w:color w:val="auto"/>
          <w:szCs w:val="21"/>
          <w:highlight w:val="none"/>
          <w:u w:val="single"/>
        </w:rPr>
        <w:t>人民币</w:t>
      </w:r>
      <w:r>
        <w:rPr>
          <w:rFonts w:hint="eastAsia" w:ascii="宋体" w:hAnsi="宋体"/>
          <w:color w:val="auto"/>
          <w:szCs w:val="21"/>
          <w:highlight w:val="none"/>
          <w:u w:val="single"/>
        </w:rPr>
        <w:t>）</w:t>
      </w:r>
      <w:r>
        <w:rPr>
          <w:rFonts w:ascii="宋体" w:hAnsi="宋体"/>
          <w:color w:val="auto"/>
          <w:szCs w:val="21"/>
          <w:highlight w:val="none"/>
          <w:u w:val="single"/>
        </w:rPr>
        <w:t>；</w:t>
      </w:r>
      <w:r>
        <w:rPr>
          <w:rFonts w:hint="eastAsia" w:ascii="宋体" w:hAnsi="宋体"/>
          <w:color w:val="auto"/>
          <w:szCs w:val="21"/>
          <w:highlight w:val="none"/>
          <w:u w:val="single"/>
        </w:rPr>
        <w:t>其它在场管理人员</w:t>
      </w:r>
      <w:r>
        <w:rPr>
          <w:rFonts w:ascii="宋体" w:hAnsi="宋体"/>
          <w:color w:val="auto"/>
          <w:szCs w:val="21"/>
          <w:highlight w:val="none"/>
          <w:u w:val="single"/>
        </w:rPr>
        <w:t>擅自离岗的，视为承包人违约，发包人有权处违约金</w:t>
      </w:r>
      <w:r>
        <w:rPr>
          <w:rFonts w:hint="eastAsia" w:ascii="宋体" w:hAnsi="宋体"/>
          <w:b/>
          <w:bCs/>
          <w:color w:val="auto"/>
          <w:szCs w:val="21"/>
          <w:highlight w:val="none"/>
          <w:u w:val="single"/>
        </w:rPr>
        <w:t>3000.00</w:t>
      </w:r>
      <w:r>
        <w:rPr>
          <w:rFonts w:ascii="宋体" w:hAnsi="宋体"/>
          <w:color w:val="auto"/>
          <w:szCs w:val="21"/>
          <w:highlight w:val="none"/>
          <w:u w:val="single"/>
        </w:rPr>
        <w:t>元/人•次</w:t>
      </w:r>
      <w:r>
        <w:rPr>
          <w:rFonts w:hint="eastAsia" w:ascii="宋体" w:hAnsi="宋体"/>
          <w:color w:val="auto"/>
          <w:szCs w:val="21"/>
          <w:highlight w:val="none"/>
          <w:u w:val="single"/>
        </w:rPr>
        <w:t>（</w:t>
      </w:r>
      <w:r>
        <w:rPr>
          <w:rFonts w:ascii="宋体" w:hAnsi="宋体"/>
          <w:color w:val="auto"/>
          <w:szCs w:val="21"/>
          <w:highlight w:val="none"/>
          <w:u w:val="single"/>
        </w:rPr>
        <w:t>人民币</w:t>
      </w:r>
      <w:r>
        <w:rPr>
          <w:rFonts w:hint="eastAsia" w:ascii="宋体" w:hAnsi="宋体"/>
          <w:color w:val="auto"/>
          <w:szCs w:val="21"/>
          <w:highlight w:val="none"/>
          <w:u w:val="single"/>
        </w:rPr>
        <w:t>）</w:t>
      </w:r>
      <w:r>
        <w:rPr>
          <w:rFonts w:ascii="宋体" w:hAnsi="宋体"/>
          <w:color w:val="auto"/>
          <w:szCs w:val="21"/>
          <w:highlight w:val="none"/>
        </w:rPr>
        <w:t>。</w:t>
      </w:r>
    </w:p>
    <w:p w14:paraId="71B3D96F">
      <w:pPr>
        <w:keepNext/>
        <w:keepLines/>
        <w:spacing w:before="260" w:after="260" w:line="416" w:lineRule="auto"/>
        <w:outlineLvl w:val="2"/>
        <w:rPr>
          <w:rFonts w:ascii="宋体" w:hAnsi="宋体"/>
          <w:b/>
          <w:bCs/>
          <w:color w:val="auto"/>
          <w:sz w:val="32"/>
          <w:szCs w:val="21"/>
          <w:highlight w:val="none"/>
        </w:rPr>
      </w:pPr>
      <w:bookmarkStart w:id="354" w:name="_Toc432343898"/>
      <w:bookmarkStart w:id="355" w:name="_Toc531186613"/>
      <w:bookmarkStart w:id="356" w:name="_Toc373227710"/>
      <w:bookmarkStart w:id="357" w:name="_Toc389065276"/>
      <w:bookmarkStart w:id="358" w:name="_Toc411345191"/>
      <w:bookmarkStart w:id="359" w:name="_Toc529526984"/>
      <w:bookmarkStart w:id="360" w:name="_Toc472931617"/>
      <w:bookmarkStart w:id="361" w:name="_Toc461179252"/>
      <w:bookmarkStart w:id="362" w:name="_Toc454211122"/>
      <w:bookmarkStart w:id="363" w:name="_Toc470247811"/>
      <w:bookmarkStart w:id="364" w:name="_Toc373478357"/>
      <w:bookmarkStart w:id="365" w:name="_Toc530144478"/>
      <w:bookmarkStart w:id="366" w:name="_Toc529547336"/>
      <w:r>
        <w:rPr>
          <w:rFonts w:ascii="宋体" w:hAnsi="宋体"/>
          <w:b/>
          <w:bCs/>
          <w:color w:val="auto"/>
          <w:sz w:val="32"/>
          <w:szCs w:val="21"/>
          <w:highlight w:val="none"/>
        </w:rPr>
        <w:t>3</w:t>
      </w:r>
      <w:bookmarkStart w:id="367" w:name="_Toc292559869"/>
      <w:bookmarkStart w:id="368" w:name="_Toc296347158"/>
      <w:bookmarkStart w:id="369" w:name="_Toc296346660"/>
      <w:bookmarkStart w:id="370" w:name="_Toc300934945"/>
      <w:bookmarkStart w:id="371" w:name="_Toc304295523"/>
      <w:bookmarkStart w:id="372" w:name="_Toc303539102"/>
      <w:bookmarkStart w:id="373" w:name="_Toc297048345"/>
      <w:bookmarkStart w:id="374" w:name="_Toc297216151"/>
      <w:bookmarkStart w:id="375" w:name="_Toc292559364"/>
      <w:bookmarkStart w:id="376" w:name="_Toc296890987"/>
      <w:bookmarkStart w:id="377" w:name="_Toc296891199"/>
      <w:bookmarkStart w:id="378" w:name="_Toc297120459"/>
      <w:bookmarkStart w:id="379" w:name="_Toc297123492"/>
      <w:bookmarkStart w:id="380" w:name="_Toc296503159"/>
      <w:bookmarkStart w:id="381" w:name="_Toc312677988"/>
      <w:bookmarkStart w:id="382" w:name="_Toc296944498"/>
      <w:r>
        <w:rPr>
          <w:rFonts w:ascii="宋体" w:hAnsi="宋体"/>
          <w:b/>
          <w:bCs/>
          <w:color w:val="auto"/>
          <w:sz w:val="32"/>
          <w:szCs w:val="21"/>
          <w:highlight w:val="none"/>
        </w:rPr>
        <w:t>.5 分包</w:t>
      </w:r>
      <w:bookmarkEnd w:id="354"/>
      <w:bookmarkEnd w:id="355"/>
      <w:bookmarkEnd w:id="356"/>
      <w:bookmarkEnd w:id="357"/>
      <w:bookmarkEnd w:id="358"/>
      <w:bookmarkEnd w:id="359"/>
      <w:bookmarkEnd w:id="360"/>
      <w:bookmarkEnd w:id="361"/>
      <w:bookmarkEnd w:id="362"/>
      <w:bookmarkEnd w:id="363"/>
      <w:bookmarkEnd w:id="364"/>
      <w:bookmarkEnd w:id="365"/>
      <w:bookmarkEnd w:id="366"/>
    </w:p>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p w14:paraId="22E3F118">
      <w:pPr>
        <w:spacing w:line="360" w:lineRule="auto"/>
        <w:ind w:firstLine="420" w:firstLineChars="200"/>
        <w:rPr>
          <w:rFonts w:ascii="宋体" w:hAnsi="宋体"/>
          <w:color w:val="auto"/>
          <w:szCs w:val="21"/>
          <w:highlight w:val="none"/>
        </w:rPr>
      </w:pPr>
      <w:r>
        <w:rPr>
          <w:rFonts w:ascii="宋体" w:hAnsi="宋体"/>
          <w:color w:val="auto"/>
          <w:szCs w:val="21"/>
          <w:highlight w:val="none"/>
        </w:rPr>
        <w:t>3</w:t>
      </w:r>
      <w:bookmarkStart w:id="383" w:name="_Toc297120460"/>
      <w:bookmarkStart w:id="384" w:name="_Toc297048346"/>
      <w:bookmarkStart w:id="385" w:name="_Toc292559365"/>
      <w:bookmarkStart w:id="386" w:name="_Toc312677989"/>
      <w:bookmarkStart w:id="387" w:name="_Toc303539103"/>
      <w:bookmarkStart w:id="388" w:name="_Toc296944499"/>
      <w:bookmarkStart w:id="389" w:name="_Toc296890988"/>
      <w:bookmarkStart w:id="390" w:name="_Toc297123493"/>
      <w:bookmarkStart w:id="391" w:name="_Toc304295524"/>
      <w:bookmarkStart w:id="392" w:name="_Toc297216152"/>
      <w:bookmarkStart w:id="393" w:name="_Toc296346661"/>
      <w:bookmarkStart w:id="394" w:name="_Toc296347159"/>
      <w:bookmarkStart w:id="395" w:name="_Toc296503160"/>
      <w:bookmarkStart w:id="396" w:name="_Toc318581158"/>
      <w:bookmarkStart w:id="397" w:name="_Toc300934946"/>
      <w:bookmarkStart w:id="398" w:name="_Toc292559870"/>
      <w:bookmarkStart w:id="399" w:name="_Toc296891200"/>
      <w:r>
        <w:rPr>
          <w:rFonts w:ascii="宋体" w:hAnsi="宋体"/>
          <w:color w:val="auto"/>
          <w:szCs w:val="21"/>
          <w:highlight w:val="none"/>
        </w:rPr>
        <w:t>.5.1 分包的一般约定</w:t>
      </w:r>
    </w:p>
    <w:p w14:paraId="427CF7FC">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禁止分包的工程包括：</w:t>
      </w:r>
      <w:r>
        <w:rPr>
          <w:rFonts w:ascii="宋体" w:hAnsi="宋体"/>
          <w:color w:val="auto"/>
          <w:szCs w:val="21"/>
          <w:highlight w:val="none"/>
          <w:u w:val="single"/>
        </w:rPr>
        <w:t></w:t>
      </w:r>
      <w:r>
        <w:rPr>
          <w:rFonts w:hint="eastAsia" w:ascii="宋体" w:hAnsi="宋体"/>
          <w:color w:val="auto"/>
          <w:szCs w:val="21"/>
          <w:highlight w:val="none"/>
          <w:u w:val="single"/>
        </w:rPr>
        <w:t>本项目禁止分包</w:t>
      </w:r>
      <w:r>
        <w:rPr>
          <w:rFonts w:ascii="宋体" w:hAnsi="宋体"/>
          <w:color w:val="auto"/>
          <w:szCs w:val="21"/>
          <w:highlight w:val="none"/>
        </w:rPr>
        <w:t>。</w:t>
      </w:r>
    </w:p>
    <w:p w14:paraId="27DAF61E">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主体结构、关键性工作的范围：</w:t>
      </w:r>
      <w:r>
        <w:rPr>
          <w:rFonts w:hint="eastAsia" w:ascii="宋体" w:hAnsi="宋体"/>
          <w:color w:val="auto"/>
          <w:szCs w:val="21"/>
          <w:highlight w:val="none"/>
          <w:u w:val="single"/>
        </w:rPr>
        <w:t>无</w:t>
      </w:r>
      <w:r>
        <w:rPr>
          <w:rFonts w:ascii="宋体" w:hAnsi="宋体"/>
          <w:color w:val="auto"/>
          <w:szCs w:val="21"/>
          <w:highlight w:val="none"/>
        </w:rPr>
        <w:t>。</w:t>
      </w:r>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p>
    <w:p w14:paraId="605DA9D7">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3</w:t>
      </w:r>
      <w:bookmarkStart w:id="400" w:name="_Toc318581159"/>
      <w:bookmarkStart w:id="401" w:name="_Toc312677990"/>
      <w:r>
        <w:rPr>
          <w:rFonts w:ascii="宋体" w:hAnsi="宋体"/>
          <w:color w:val="auto"/>
          <w:szCs w:val="21"/>
          <w:highlight w:val="none"/>
        </w:rPr>
        <w:t>.5.2分包的确定</w:t>
      </w:r>
    </w:p>
    <w:p w14:paraId="7139DD9E">
      <w:pPr>
        <w:spacing w:line="360" w:lineRule="auto"/>
        <w:ind w:firstLine="420" w:firstLineChars="200"/>
        <w:rPr>
          <w:rFonts w:ascii="宋体" w:hAnsi="宋体"/>
          <w:color w:val="auto"/>
          <w:szCs w:val="21"/>
          <w:highlight w:val="none"/>
          <w:u w:val="single"/>
        </w:rPr>
      </w:pPr>
      <w:r>
        <w:rPr>
          <w:rFonts w:ascii="宋体" w:hAnsi="宋体"/>
          <w:color w:val="auto"/>
          <w:szCs w:val="21"/>
          <w:highlight w:val="none"/>
        </w:rPr>
        <w:t>允许分包的专业工程包括：</w:t>
      </w:r>
      <w:r>
        <w:rPr>
          <w:rFonts w:ascii="宋体" w:hAnsi="宋体"/>
          <w:color w:val="auto"/>
          <w:szCs w:val="21"/>
          <w:highlight w:val="none"/>
          <w:u w:val="single"/>
        </w:rPr>
        <w:t xml:space="preserve">  </w:t>
      </w:r>
      <w:r>
        <w:rPr>
          <w:rFonts w:hint="eastAsia" w:ascii="宋体" w:hAnsi="宋体"/>
          <w:color w:val="auto"/>
          <w:szCs w:val="21"/>
          <w:highlight w:val="none"/>
          <w:u w:val="single"/>
        </w:rPr>
        <w:t>无</w:t>
      </w:r>
      <w:r>
        <w:rPr>
          <w:rFonts w:ascii="宋体" w:hAnsi="宋体"/>
          <w:color w:val="auto"/>
          <w:szCs w:val="21"/>
          <w:highlight w:val="none"/>
        </w:rPr>
        <w:t>。</w:t>
      </w:r>
    </w:p>
    <w:p w14:paraId="662ED8A8">
      <w:pPr>
        <w:spacing w:line="360" w:lineRule="auto"/>
        <w:ind w:firstLine="420" w:firstLineChars="200"/>
        <w:rPr>
          <w:rFonts w:ascii="宋体" w:hAnsi="宋体"/>
          <w:color w:val="auto"/>
          <w:szCs w:val="21"/>
          <w:highlight w:val="none"/>
        </w:rPr>
      </w:pPr>
      <w:r>
        <w:rPr>
          <w:rFonts w:ascii="宋体" w:hAnsi="宋体"/>
          <w:color w:val="auto"/>
          <w:szCs w:val="21"/>
          <w:highlight w:val="none"/>
        </w:rPr>
        <w:t>其他关于分包的约定：</w:t>
      </w:r>
    </w:p>
    <w:p w14:paraId="03545B7A">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1</w:t>
      </w:r>
      <w:r>
        <w:rPr>
          <w:rFonts w:hint="eastAsia" w:ascii="宋体" w:hAnsi="宋体"/>
          <w:color w:val="auto"/>
          <w:szCs w:val="21"/>
          <w:highlight w:val="none"/>
        </w:rPr>
        <w:t>）</w:t>
      </w:r>
      <w:r>
        <w:rPr>
          <w:rFonts w:ascii="宋体" w:hAnsi="宋体"/>
          <w:color w:val="auto"/>
          <w:szCs w:val="21"/>
          <w:highlight w:val="none"/>
        </w:rPr>
        <w:t>除前款约定的分包内容外，经过发包人和监理人同意，承包人可以将其他非主体、非关键性工作分包给第三人，但分包人应当经过发包人和监理人审批。发包人和监理人有权拒绝承包人的分包请求和承包人选择的分包人。</w:t>
      </w:r>
      <w:r>
        <w:rPr>
          <w:rFonts w:hint="eastAsia" w:ascii="宋体" w:hAnsi="宋体"/>
          <w:color w:val="auto"/>
          <w:szCs w:val="21"/>
          <w:highlight w:val="none"/>
        </w:rPr>
        <w:t>本项目分包人主要施工管理人员名单详见合同附件4。</w:t>
      </w:r>
    </w:p>
    <w:p w14:paraId="482454F8">
      <w:pPr>
        <w:spacing w:line="360" w:lineRule="auto"/>
        <w:ind w:firstLine="420" w:firstLineChars="200"/>
        <w:rPr>
          <w:rFonts w:ascii="宋体" w:hAnsi="宋体"/>
          <w:color w:val="auto"/>
          <w:szCs w:val="21"/>
          <w:highlight w:val="none"/>
          <w:u w:val="single"/>
        </w:rPr>
      </w:pPr>
      <w:r>
        <w:rPr>
          <w:rFonts w:hint="eastAsia" w:ascii="宋体" w:hAnsi="宋体"/>
          <w:color w:val="auto"/>
          <w:szCs w:val="21"/>
          <w:highlight w:val="none"/>
        </w:rPr>
        <w:t>（</w:t>
      </w:r>
      <w:r>
        <w:rPr>
          <w:rFonts w:ascii="宋体" w:hAnsi="宋体"/>
          <w:color w:val="auto"/>
          <w:szCs w:val="21"/>
          <w:highlight w:val="none"/>
        </w:rPr>
        <w:t>2</w:t>
      </w:r>
      <w:r>
        <w:rPr>
          <w:rFonts w:hint="eastAsia" w:ascii="宋体" w:hAnsi="宋体"/>
          <w:color w:val="auto"/>
          <w:szCs w:val="21"/>
          <w:highlight w:val="none"/>
        </w:rPr>
        <w:t>）</w:t>
      </w:r>
      <w:r>
        <w:rPr>
          <w:rFonts w:ascii="宋体" w:hAnsi="宋体"/>
          <w:color w:val="auto"/>
          <w:szCs w:val="21"/>
          <w:highlight w:val="none"/>
        </w:rPr>
        <w:t>在相关分包合同签订并报送有关建设行政主管部门备案后7天内，承包人应当将一份副本提交给监理人，承包人应保障分包工作不得再次分包。</w:t>
      </w:r>
    </w:p>
    <w:p w14:paraId="0E3DC7F4">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3</w:t>
      </w:r>
      <w:r>
        <w:rPr>
          <w:rFonts w:hint="eastAsia" w:ascii="宋体" w:hAnsi="宋体"/>
          <w:color w:val="auto"/>
          <w:szCs w:val="21"/>
          <w:highlight w:val="none"/>
        </w:rPr>
        <w:t>）</w:t>
      </w:r>
      <w:r>
        <w:rPr>
          <w:rFonts w:ascii="宋体" w:hAnsi="宋体"/>
          <w:color w:val="auto"/>
          <w:szCs w:val="21"/>
          <w:highlight w:val="none"/>
        </w:rPr>
        <w:t>未经承包人和监理人审批同意的分包工程和分包人，承包人有权拒绝验收分包工程和支付相应款项，由此引起的发包人费用增加和(或)延误的工期由发包人承担。</w:t>
      </w:r>
    </w:p>
    <w:p w14:paraId="6F553314">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4</w:t>
      </w:r>
      <w:r>
        <w:rPr>
          <w:rFonts w:hint="eastAsia" w:ascii="宋体" w:hAnsi="宋体"/>
          <w:color w:val="auto"/>
          <w:szCs w:val="21"/>
          <w:highlight w:val="none"/>
        </w:rPr>
        <w:t>）</w:t>
      </w:r>
      <w:r>
        <w:rPr>
          <w:rFonts w:ascii="宋体" w:hAnsi="宋体"/>
          <w:color w:val="auto"/>
          <w:szCs w:val="21"/>
          <w:highlight w:val="none"/>
        </w:rPr>
        <w:t>承包人有以下情况之一者，发包人有权解除合同：</w:t>
      </w:r>
    </w:p>
    <w:p w14:paraId="13655F65">
      <w:pPr>
        <w:spacing w:line="360" w:lineRule="auto"/>
        <w:ind w:firstLine="441" w:firstLineChars="210"/>
        <w:rPr>
          <w:rFonts w:ascii="宋体" w:hAnsi="宋体"/>
          <w:color w:val="auto"/>
          <w:szCs w:val="21"/>
          <w:highlight w:val="none"/>
        </w:rPr>
      </w:pPr>
      <w:r>
        <w:rPr>
          <w:rFonts w:ascii="宋体" w:hAnsi="宋体"/>
          <w:color w:val="auto"/>
          <w:szCs w:val="21"/>
          <w:highlight w:val="none"/>
        </w:rPr>
        <w:t>①个人承包工程，包括本人单位及外单位人员承包，发包人不承认其个人拥有任何资质等级及营业许可资格。</w:t>
      </w:r>
    </w:p>
    <w:p w14:paraId="2BB19CF4">
      <w:pPr>
        <w:spacing w:line="360" w:lineRule="auto"/>
        <w:ind w:firstLine="441" w:firstLineChars="210"/>
        <w:rPr>
          <w:rFonts w:ascii="宋体" w:hAnsi="宋体"/>
          <w:color w:val="auto"/>
          <w:szCs w:val="21"/>
          <w:highlight w:val="none"/>
        </w:rPr>
      </w:pPr>
      <w:r>
        <w:rPr>
          <w:rFonts w:ascii="宋体" w:hAnsi="宋体"/>
          <w:color w:val="auto"/>
          <w:szCs w:val="21"/>
          <w:highlight w:val="none"/>
        </w:rPr>
        <w:t>②几个人联合承包工程，就地组织暗分包队伍，不具备完成本工程的技术、机械能力，被发包人判定为没有能力履行的承包人。</w:t>
      </w:r>
    </w:p>
    <w:p w14:paraId="443C7220">
      <w:pPr>
        <w:spacing w:line="360" w:lineRule="auto"/>
        <w:ind w:firstLine="441" w:firstLineChars="210"/>
        <w:rPr>
          <w:rFonts w:ascii="宋体" w:hAnsi="宋体"/>
          <w:color w:val="auto"/>
          <w:szCs w:val="21"/>
          <w:highlight w:val="none"/>
        </w:rPr>
      </w:pPr>
      <w:r>
        <w:rPr>
          <w:rFonts w:ascii="宋体" w:hAnsi="宋体"/>
          <w:color w:val="auto"/>
          <w:szCs w:val="21"/>
          <w:highlight w:val="none"/>
        </w:rPr>
        <w:t>③就地转包全部的工程，以谋取高额转让费、管理费的承包人。</w:t>
      </w:r>
    </w:p>
    <w:p w14:paraId="75B3AE8E">
      <w:pPr>
        <w:spacing w:line="360" w:lineRule="auto"/>
        <w:ind w:firstLine="420" w:firstLineChars="200"/>
        <w:rPr>
          <w:rFonts w:ascii="宋体" w:hAnsi="宋体"/>
          <w:color w:val="auto"/>
          <w:szCs w:val="21"/>
          <w:highlight w:val="none"/>
          <w:u w:val="single"/>
        </w:rPr>
      </w:pPr>
      <w:r>
        <w:rPr>
          <w:rFonts w:ascii="宋体" w:hAnsi="宋体"/>
          <w:color w:val="auto"/>
          <w:szCs w:val="21"/>
          <w:highlight w:val="none"/>
        </w:rPr>
        <w:t>④承包人有部分分包现象（其中包括冒充承包人下属单位的</w:t>
      </w:r>
      <w:r>
        <w:rPr>
          <w:rFonts w:hint="eastAsia" w:hAnsi="宋体"/>
          <w:color w:val="auto"/>
          <w:szCs w:val="21"/>
          <w:highlight w:val="none"/>
          <w:lang w:eastAsia="zh-CN"/>
        </w:rPr>
        <w:t>挂钩</w:t>
      </w:r>
      <w:r>
        <w:rPr>
          <w:rFonts w:ascii="宋体" w:hAnsi="宋体"/>
          <w:color w:val="auto"/>
          <w:szCs w:val="21"/>
          <w:highlight w:val="none"/>
        </w:rPr>
        <w:t>单位，凭口头协议参与施工的分包人及其他暗分包个体户），一经发现核实，发包人将采取驱逐该暗分包人措施。</w:t>
      </w:r>
    </w:p>
    <w:p w14:paraId="51BBB6D7">
      <w:pPr>
        <w:spacing w:line="360" w:lineRule="auto"/>
        <w:ind w:firstLine="420" w:firstLineChars="200"/>
        <w:rPr>
          <w:rFonts w:ascii="宋体" w:hAnsi="宋体"/>
          <w:color w:val="auto"/>
          <w:szCs w:val="21"/>
          <w:highlight w:val="none"/>
        </w:rPr>
      </w:pPr>
      <w:r>
        <w:rPr>
          <w:rFonts w:ascii="宋体" w:hAnsi="宋体"/>
          <w:color w:val="auto"/>
          <w:szCs w:val="21"/>
          <w:highlight w:val="none"/>
        </w:rPr>
        <w:t>3.5.4 分包合同价款</w:t>
      </w:r>
    </w:p>
    <w:bookmarkEnd w:id="400"/>
    <w:bookmarkEnd w:id="401"/>
    <w:p w14:paraId="18ABC9A8">
      <w:pPr>
        <w:spacing w:line="360" w:lineRule="auto"/>
        <w:ind w:firstLine="420" w:firstLineChars="200"/>
        <w:rPr>
          <w:rFonts w:ascii="宋体" w:hAnsi="宋体"/>
          <w:color w:val="auto"/>
          <w:szCs w:val="21"/>
          <w:highlight w:val="none"/>
        </w:rPr>
      </w:pPr>
      <w:bookmarkStart w:id="402" w:name="_Toc389065277"/>
      <w:bookmarkStart w:id="403" w:name="_Toc373227711"/>
      <w:bookmarkStart w:id="404" w:name="_Toc373478358"/>
      <w:r>
        <w:rPr>
          <w:rFonts w:ascii="宋体" w:hAnsi="宋体"/>
          <w:color w:val="auto"/>
          <w:szCs w:val="21"/>
          <w:highlight w:val="none"/>
        </w:rPr>
        <w:t>关于分包合同价款支付的约定：</w:t>
      </w:r>
      <w:r>
        <w:rPr>
          <w:rFonts w:ascii="宋体" w:hAnsi="宋体"/>
          <w:color w:val="auto"/>
          <w:szCs w:val="21"/>
          <w:highlight w:val="none"/>
          <w:u w:val="single"/>
        </w:rPr>
        <w:t>分包工程价款由承包人与分包人</w:t>
      </w:r>
      <w:r>
        <w:rPr>
          <w:rFonts w:hint="eastAsia" w:ascii="宋体" w:hAnsi="宋体"/>
          <w:color w:val="auto"/>
          <w:szCs w:val="21"/>
          <w:highlight w:val="none"/>
          <w:u w:val="single"/>
        </w:rPr>
        <w:t>（</w:t>
      </w:r>
      <w:r>
        <w:rPr>
          <w:rFonts w:ascii="宋体" w:hAnsi="宋体"/>
          <w:color w:val="auto"/>
          <w:szCs w:val="21"/>
          <w:highlight w:val="none"/>
          <w:u w:val="single"/>
        </w:rPr>
        <w:t>包括专业分包人</w:t>
      </w:r>
      <w:r>
        <w:rPr>
          <w:rFonts w:hint="eastAsia" w:ascii="宋体" w:hAnsi="宋体"/>
          <w:color w:val="auto"/>
          <w:szCs w:val="21"/>
          <w:highlight w:val="none"/>
          <w:u w:val="single"/>
        </w:rPr>
        <w:t>）</w:t>
      </w:r>
      <w:r>
        <w:rPr>
          <w:rFonts w:ascii="宋体" w:hAnsi="宋体"/>
          <w:color w:val="auto"/>
          <w:szCs w:val="21"/>
          <w:highlight w:val="none"/>
          <w:u w:val="single"/>
        </w:rPr>
        <w:t>结算。发包人未经承包人同意不得以任何形式向分包人</w:t>
      </w:r>
      <w:r>
        <w:rPr>
          <w:rFonts w:hint="eastAsia" w:ascii="宋体" w:hAnsi="宋体"/>
          <w:color w:val="auto"/>
          <w:szCs w:val="21"/>
          <w:highlight w:val="none"/>
          <w:u w:val="single"/>
        </w:rPr>
        <w:t>（</w:t>
      </w:r>
      <w:r>
        <w:rPr>
          <w:rFonts w:ascii="宋体" w:hAnsi="宋体"/>
          <w:color w:val="auto"/>
          <w:szCs w:val="21"/>
          <w:highlight w:val="none"/>
          <w:u w:val="single"/>
        </w:rPr>
        <w:t>包括专业分包人</w:t>
      </w:r>
      <w:r>
        <w:rPr>
          <w:rFonts w:hint="eastAsia" w:ascii="宋体" w:hAnsi="宋体"/>
          <w:color w:val="auto"/>
          <w:szCs w:val="21"/>
          <w:highlight w:val="none"/>
          <w:u w:val="single"/>
        </w:rPr>
        <w:t>）</w:t>
      </w:r>
      <w:r>
        <w:rPr>
          <w:rFonts w:ascii="宋体" w:hAnsi="宋体"/>
          <w:color w:val="auto"/>
          <w:szCs w:val="21"/>
          <w:highlight w:val="none"/>
          <w:u w:val="single"/>
        </w:rPr>
        <w:t>支付相关分包合同项下的任何工程款项。因发包人未经承包人同意直接向分包人</w:t>
      </w:r>
      <w:r>
        <w:rPr>
          <w:rFonts w:hint="eastAsia" w:ascii="宋体" w:hAnsi="宋体"/>
          <w:color w:val="auto"/>
          <w:szCs w:val="21"/>
          <w:highlight w:val="none"/>
          <w:u w:val="single"/>
        </w:rPr>
        <w:t>（</w:t>
      </w:r>
      <w:r>
        <w:rPr>
          <w:rFonts w:ascii="宋体" w:hAnsi="宋体"/>
          <w:color w:val="auto"/>
          <w:szCs w:val="21"/>
          <w:highlight w:val="none"/>
          <w:u w:val="single"/>
        </w:rPr>
        <w:t>包括专业分包人</w:t>
      </w:r>
      <w:r>
        <w:rPr>
          <w:rFonts w:hint="eastAsia" w:ascii="宋体" w:hAnsi="宋体"/>
          <w:color w:val="auto"/>
          <w:szCs w:val="21"/>
          <w:highlight w:val="none"/>
          <w:u w:val="single"/>
        </w:rPr>
        <w:t>）</w:t>
      </w:r>
      <w:r>
        <w:rPr>
          <w:rFonts w:ascii="宋体" w:hAnsi="宋体"/>
          <w:color w:val="auto"/>
          <w:szCs w:val="21"/>
          <w:highlight w:val="none"/>
          <w:u w:val="single"/>
        </w:rPr>
        <w:t>支付相关分包合同项下的任何工程款项而影响承包人工作的，所造成的承包人费用增加和</w:t>
      </w:r>
      <w:r>
        <w:rPr>
          <w:rFonts w:hint="eastAsia" w:ascii="宋体" w:hAnsi="宋体"/>
          <w:color w:val="auto"/>
          <w:szCs w:val="21"/>
          <w:highlight w:val="none"/>
          <w:u w:val="single"/>
        </w:rPr>
        <w:t>（</w:t>
      </w:r>
      <w:r>
        <w:rPr>
          <w:rFonts w:ascii="宋体" w:hAnsi="宋体"/>
          <w:color w:val="auto"/>
          <w:szCs w:val="21"/>
          <w:highlight w:val="none"/>
          <w:u w:val="single"/>
        </w:rPr>
        <w:t>或</w:t>
      </w:r>
      <w:r>
        <w:rPr>
          <w:rFonts w:hint="eastAsia" w:ascii="宋体" w:hAnsi="宋体"/>
          <w:color w:val="auto"/>
          <w:szCs w:val="21"/>
          <w:highlight w:val="none"/>
          <w:u w:val="single"/>
        </w:rPr>
        <w:t>）</w:t>
      </w:r>
      <w:r>
        <w:rPr>
          <w:rFonts w:ascii="宋体" w:hAnsi="宋体"/>
          <w:color w:val="auto"/>
          <w:szCs w:val="21"/>
          <w:highlight w:val="none"/>
          <w:u w:val="single"/>
        </w:rPr>
        <w:t>延误的工期由发包人承担。</w:t>
      </w:r>
    </w:p>
    <w:p w14:paraId="27235886">
      <w:pPr>
        <w:keepNext/>
        <w:keepLines/>
        <w:spacing w:before="260" w:after="260" w:line="416" w:lineRule="auto"/>
        <w:outlineLvl w:val="2"/>
        <w:rPr>
          <w:rFonts w:ascii="宋体" w:hAnsi="宋体"/>
          <w:b/>
          <w:bCs/>
          <w:color w:val="auto"/>
          <w:sz w:val="32"/>
          <w:szCs w:val="21"/>
          <w:highlight w:val="none"/>
        </w:rPr>
      </w:pPr>
      <w:bookmarkStart w:id="405" w:name="_Toc529526985"/>
      <w:bookmarkStart w:id="406" w:name="_Toc530144479"/>
      <w:bookmarkStart w:id="407" w:name="_Toc472931618"/>
      <w:bookmarkStart w:id="408" w:name="_Toc432343899"/>
      <w:bookmarkStart w:id="409" w:name="_Toc454211123"/>
      <w:bookmarkStart w:id="410" w:name="_Toc461179253"/>
      <w:bookmarkStart w:id="411" w:name="_Toc411345192"/>
      <w:bookmarkStart w:id="412" w:name="_Toc529547337"/>
      <w:bookmarkStart w:id="413" w:name="_Toc531186614"/>
      <w:bookmarkStart w:id="414" w:name="_Toc470247812"/>
      <w:r>
        <w:rPr>
          <w:rFonts w:ascii="宋体" w:hAnsi="宋体"/>
          <w:b/>
          <w:bCs/>
          <w:color w:val="auto"/>
          <w:sz w:val="32"/>
          <w:szCs w:val="21"/>
          <w:highlight w:val="none"/>
        </w:rPr>
        <w:t>3.6 工程照管与成品、半成品保护</w:t>
      </w:r>
      <w:bookmarkEnd w:id="402"/>
      <w:bookmarkEnd w:id="403"/>
      <w:bookmarkEnd w:id="404"/>
      <w:bookmarkEnd w:id="405"/>
      <w:bookmarkEnd w:id="406"/>
      <w:bookmarkEnd w:id="407"/>
      <w:bookmarkEnd w:id="408"/>
      <w:bookmarkEnd w:id="409"/>
      <w:bookmarkEnd w:id="410"/>
      <w:bookmarkEnd w:id="411"/>
      <w:bookmarkEnd w:id="412"/>
      <w:bookmarkEnd w:id="413"/>
      <w:bookmarkEnd w:id="414"/>
    </w:p>
    <w:p w14:paraId="1D0F3EDB">
      <w:pPr>
        <w:spacing w:line="360" w:lineRule="auto"/>
        <w:ind w:firstLine="420" w:firstLineChars="200"/>
        <w:rPr>
          <w:rFonts w:ascii="宋体" w:hAnsi="宋体"/>
          <w:color w:val="auto"/>
          <w:kern w:val="0"/>
          <w:szCs w:val="21"/>
          <w:highlight w:val="none"/>
          <w:u w:val="single"/>
        </w:rPr>
      </w:pPr>
      <w:r>
        <w:rPr>
          <w:rFonts w:ascii="宋体" w:hAnsi="宋体"/>
          <w:color w:val="auto"/>
          <w:kern w:val="0"/>
          <w:szCs w:val="21"/>
          <w:highlight w:val="none"/>
        </w:rPr>
        <w:t>承包人负责照管工程及工程相关的材料、工程设备的起始时间：</w:t>
      </w:r>
      <w:r>
        <w:rPr>
          <w:rFonts w:hint="eastAsia" w:ascii="宋体" w:hAnsi="宋体"/>
          <w:bCs/>
          <w:color w:val="auto"/>
          <w:szCs w:val="21"/>
          <w:highlight w:val="none"/>
          <w:u w:val="single"/>
        </w:rPr>
        <w:t>设备、人员进场至验收交付使用前由承包人负责保管，无其他特殊要求的，费用由承包人承担。</w:t>
      </w:r>
    </w:p>
    <w:p w14:paraId="5CC87ACC">
      <w:pPr>
        <w:keepNext/>
        <w:keepLines/>
        <w:spacing w:before="260" w:after="260" w:line="416" w:lineRule="auto"/>
        <w:outlineLvl w:val="2"/>
        <w:rPr>
          <w:rFonts w:ascii="宋体" w:hAnsi="宋体"/>
          <w:b/>
          <w:bCs/>
          <w:color w:val="auto"/>
          <w:sz w:val="32"/>
          <w:szCs w:val="32"/>
          <w:highlight w:val="none"/>
        </w:rPr>
      </w:pPr>
      <w:bookmarkStart w:id="415" w:name="_Toc470247814"/>
      <w:bookmarkStart w:id="416" w:name="_Toc531186616"/>
      <w:bookmarkStart w:id="417" w:name="_Toc530144481"/>
      <w:bookmarkStart w:id="418" w:name="_Toc389065279"/>
      <w:bookmarkStart w:id="419" w:name="_Toc373478360"/>
      <w:bookmarkStart w:id="420" w:name="_Toc432343901"/>
      <w:bookmarkStart w:id="421" w:name="_Toc461179255"/>
      <w:bookmarkStart w:id="422" w:name="_Toc351203636"/>
      <w:bookmarkStart w:id="423" w:name="_Toc529547339"/>
      <w:bookmarkStart w:id="424" w:name="_Toc472931620"/>
      <w:bookmarkStart w:id="425" w:name="_Toc411345194"/>
      <w:bookmarkStart w:id="426" w:name="_Toc529526987"/>
      <w:bookmarkStart w:id="427" w:name="_Toc373227713"/>
      <w:bookmarkStart w:id="428" w:name="_Toc454211125"/>
      <w:r>
        <w:rPr>
          <w:rFonts w:ascii="宋体" w:hAnsi="宋体"/>
          <w:b/>
          <w:bCs/>
          <w:color w:val="auto"/>
          <w:sz w:val="32"/>
          <w:szCs w:val="32"/>
          <w:highlight w:val="none"/>
        </w:rPr>
        <w:t>4</w:t>
      </w:r>
      <w:bookmarkStart w:id="429" w:name="_Toc267251413"/>
      <w:bookmarkStart w:id="430" w:name="_Toc296347161"/>
      <w:bookmarkStart w:id="431" w:name="_Toc296890990"/>
      <w:bookmarkStart w:id="432" w:name="_Toc292559366"/>
      <w:bookmarkStart w:id="433" w:name="_Toc296503162"/>
      <w:bookmarkStart w:id="434" w:name="_Toc297048348"/>
      <w:bookmarkStart w:id="435" w:name="_Toc296891202"/>
      <w:bookmarkStart w:id="436" w:name="_Toc296944501"/>
      <w:bookmarkStart w:id="437" w:name="_Toc296346663"/>
      <w:bookmarkStart w:id="438" w:name="_Toc292559871"/>
      <w:bookmarkStart w:id="439" w:name="_Toc297120462"/>
      <w:r>
        <w:rPr>
          <w:rFonts w:ascii="宋体" w:hAnsi="宋体"/>
          <w:b/>
          <w:bCs/>
          <w:color w:val="auto"/>
          <w:sz w:val="32"/>
          <w:szCs w:val="32"/>
          <w:highlight w:val="none"/>
        </w:rPr>
        <w:t>. 监</w:t>
      </w:r>
      <w:bookmarkEnd w:id="429"/>
      <w:bookmarkEnd w:id="430"/>
      <w:bookmarkEnd w:id="431"/>
      <w:bookmarkEnd w:id="432"/>
      <w:bookmarkEnd w:id="433"/>
      <w:bookmarkEnd w:id="434"/>
      <w:bookmarkEnd w:id="435"/>
      <w:bookmarkEnd w:id="436"/>
      <w:bookmarkEnd w:id="437"/>
      <w:bookmarkEnd w:id="438"/>
      <w:bookmarkEnd w:id="439"/>
      <w:r>
        <w:rPr>
          <w:rFonts w:ascii="宋体" w:hAnsi="宋体"/>
          <w:b/>
          <w:bCs/>
          <w:color w:val="auto"/>
          <w:sz w:val="32"/>
          <w:szCs w:val="32"/>
          <w:highlight w:val="none"/>
        </w:rPr>
        <w:t>理人</w:t>
      </w:r>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p>
    <w:p w14:paraId="117DAD78">
      <w:pPr>
        <w:keepNext/>
        <w:keepLines/>
        <w:spacing w:before="260" w:after="260" w:line="416" w:lineRule="auto"/>
        <w:outlineLvl w:val="2"/>
        <w:rPr>
          <w:rFonts w:ascii="宋体" w:hAnsi="宋体"/>
          <w:b/>
          <w:bCs/>
          <w:color w:val="auto"/>
          <w:sz w:val="32"/>
          <w:szCs w:val="32"/>
          <w:highlight w:val="none"/>
        </w:rPr>
      </w:pPr>
      <w:bookmarkStart w:id="440" w:name="_Toc472931621"/>
      <w:bookmarkStart w:id="441" w:name="_Toc389065280"/>
      <w:bookmarkStart w:id="442" w:name="_Toc531186617"/>
      <w:bookmarkStart w:id="443" w:name="_Toc432343902"/>
      <w:bookmarkStart w:id="444" w:name="_Toc454211126"/>
      <w:bookmarkStart w:id="445" w:name="_Toc411345195"/>
      <w:bookmarkStart w:id="446" w:name="_Toc530144482"/>
      <w:bookmarkStart w:id="447" w:name="_Toc470247815"/>
      <w:bookmarkStart w:id="448" w:name="_Toc529526988"/>
      <w:bookmarkStart w:id="449" w:name="_Toc461179256"/>
      <w:bookmarkStart w:id="450" w:name="_Toc373478361"/>
      <w:bookmarkStart w:id="451" w:name="_Toc373227714"/>
      <w:bookmarkStart w:id="452" w:name="_Toc529547340"/>
      <w:r>
        <w:rPr>
          <w:rFonts w:ascii="宋体" w:hAnsi="宋体"/>
          <w:b/>
          <w:bCs/>
          <w:color w:val="auto"/>
          <w:sz w:val="32"/>
          <w:szCs w:val="32"/>
          <w:highlight w:val="none"/>
        </w:rPr>
        <w:t>4.1监理人的一般规定</w:t>
      </w:r>
      <w:bookmarkEnd w:id="440"/>
      <w:bookmarkEnd w:id="441"/>
      <w:bookmarkEnd w:id="442"/>
      <w:bookmarkEnd w:id="443"/>
      <w:bookmarkEnd w:id="444"/>
      <w:bookmarkEnd w:id="445"/>
      <w:bookmarkEnd w:id="446"/>
      <w:bookmarkEnd w:id="447"/>
      <w:bookmarkEnd w:id="448"/>
      <w:bookmarkEnd w:id="449"/>
      <w:bookmarkEnd w:id="450"/>
      <w:bookmarkEnd w:id="451"/>
      <w:bookmarkEnd w:id="452"/>
    </w:p>
    <w:p w14:paraId="2C3FF5F3">
      <w:pPr>
        <w:spacing w:line="300" w:lineRule="exact"/>
        <w:ind w:firstLine="420" w:firstLineChars="200"/>
        <w:jc w:val="left"/>
        <w:rPr>
          <w:rFonts w:ascii="Calibri" w:hAnsi="Calibri"/>
          <w:color w:val="auto"/>
          <w:szCs w:val="21"/>
          <w:highlight w:val="none"/>
        </w:rPr>
      </w:pPr>
      <w:r>
        <w:rPr>
          <w:rFonts w:ascii="宋体" w:hAnsi="宋体"/>
          <w:color w:val="auto"/>
          <w:szCs w:val="21"/>
          <w:highlight w:val="none"/>
        </w:rPr>
        <w:t>关于监理人的监理内容：</w:t>
      </w:r>
      <w:r>
        <w:rPr>
          <w:rFonts w:hint="eastAsia" w:ascii="Calibri" w:hAnsi="Calibri"/>
          <w:color w:val="auto"/>
          <w:szCs w:val="21"/>
          <w:highlight w:val="none"/>
          <w:u w:val="single"/>
        </w:rPr>
        <w:t>按本工程的监理合同中的有关条款</w:t>
      </w:r>
      <w:r>
        <w:rPr>
          <w:rFonts w:ascii="Calibri" w:hAnsi="宋体"/>
          <w:color w:val="auto"/>
          <w:szCs w:val="21"/>
          <w:highlight w:val="none"/>
        </w:rPr>
        <w:t>。</w:t>
      </w:r>
    </w:p>
    <w:p w14:paraId="05D0C0ED">
      <w:pPr>
        <w:spacing w:line="360" w:lineRule="auto"/>
        <w:ind w:firstLine="420" w:firstLineChars="200"/>
        <w:jc w:val="left"/>
        <w:rPr>
          <w:rFonts w:ascii="宋体" w:hAnsi="宋体"/>
          <w:color w:val="auto"/>
          <w:szCs w:val="21"/>
          <w:highlight w:val="none"/>
        </w:rPr>
      </w:pPr>
      <w:r>
        <w:rPr>
          <w:rFonts w:ascii="Calibri" w:hAnsi="宋体"/>
          <w:color w:val="auto"/>
          <w:szCs w:val="21"/>
          <w:highlight w:val="none"/>
        </w:rPr>
        <w:t>关于监理人的监理权限：</w:t>
      </w:r>
      <w:r>
        <w:rPr>
          <w:rFonts w:hint="eastAsia" w:ascii="Calibri" w:hAnsi="Calibri"/>
          <w:color w:val="auto"/>
          <w:szCs w:val="21"/>
          <w:highlight w:val="none"/>
          <w:u w:val="single"/>
        </w:rPr>
        <w:t>按本工程的监理合同中的有关条款</w:t>
      </w:r>
      <w:r>
        <w:rPr>
          <w:rFonts w:hint="eastAsia" w:ascii="宋体" w:hAnsi="宋体"/>
          <w:bCs/>
          <w:color w:val="auto"/>
          <w:szCs w:val="21"/>
          <w:highlight w:val="none"/>
          <w:u w:val="single"/>
        </w:rPr>
        <w:t>。</w:t>
      </w:r>
    </w:p>
    <w:p w14:paraId="1EA842F3">
      <w:pPr>
        <w:spacing w:line="360" w:lineRule="auto"/>
        <w:ind w:firstLine="420" w:firstLineChars="200"/>
        <w:rPr>
          <w:rFonts w:ascii="宋体" w:hAnsi="宋体"/>
          <w:color w:val="auto"/>
          <w:szCs w:val="21"/>
          <w:highlight w:val="none"/>
          <w:u w:val="single"/>
        </w:rPr>
      </w:pPr>
      <w:r>
        <w:rPr>
          <w:rFonts w:ascii="宋体" w:hAnsi="宋体"/>
          <w:color w:val="auto"/>
          <w:szCs w:val="21"/>
          <w:highlight w:val="none"/>
        </w:rPr>
        <w:t>关于监理人在施工现场的办公场所、生活场所的提供和费用承担的约定：</w:t>
      </w:r>
      <w:r>
        <w:rPr>
          <w:rFonts w:ascii="宋体" w:hAnsi="宋体"/>
          <w:color w:val="auto"/>
          <w:szCs w:val="21"/>
          <w:highlight w:val="none"/>
          <w:u w:val="single"/>
        </w:rPr>
        <w:t xml:space="preserve">            </w:t>
      </w:r>
    </w:p>
    <w:p w14:paraId="3D47D2A8">
      <w:pPr>
        <w:keepNext/>
        <w:keepLines/>
        <w:spacing w:before="260" w:after="260" w:line="416" w:lineRule="auto"/>
        <w:outlineLvl w:val="2"/>
        <w:rPr>
          <w:rFonts w:ascii="宋体" w:hAnsi="宋体"/>
          <w:b/>
          <w:bCs/>
          <w:color w:val="auto"/>
          <w:sz w:val="32"/>
          <w:szCs w:val="21"/>
          <w:highlight w:val="none"/>
        </w:rPr>
      </w:pPr>
      <w:bookmarkStart w:id="453" w:name="_Toc454211127"/>
      <w:bookmarkStart w:id="454" w:name="_Toc461179257"/>
      <w:bookmarkStart w:id="455" w:name="_Toc389065281"/>
      <w:bookmarkStart w:id="456" w:name="_Toc432343903"/>
      <w:bookmarkStart w:id="457" w:name="_Toc470247816"/>
      <w:bookmarkStart w:id="458" w:name="_Toc531186618"/>
      <w:bookmarkStart w:id="459" w:name="_Toc472931622"/>
      <w:bookmarkStart w:id="460" w:name="_Toc373227715"/>
      <w:bookmarkStart w:id="461" w:name="_Toc529547341"/>
      <w:bookmarkStart w:id="462" w:name="_Toc529526989"/>
      <w:bookmarkStart w:id="463" w:name="_Toc411345196"/>
      <w:bookmarkStart w:id="464" w:name="_Toc373478362"/>
      <w:bookmarkStart w:id="465" w:name="_Toc530144483"/>
      <w:r>
        <w:rPr>
          <w:rFonts w:ascii="宋体" w:hAnsi="宋体"/>
          <w:b/>
          <w:bCs/>
          <w:color w:val="auto"/>
          <w:sz w:val="32"/>
          <w:szCs w:val="21"/>
          <w:highlight w:val="none"/>
        </w:rPr>
        <w:t>4.2 监理人员</w:t>
      </w:r>
      <w:bookmarkEnd w:id="453"/>
      <w:bookmarkEnd w:id="454"/>
      <w:bookmarkEnd w:id="455"/>
      <w:bookmarkEnd w:id="456"/>
      <w:bookmarkEnd w:id="457"/>
      <w:bookmarkEnd w:id="458"/>
      <w:bookmarkEnd w:id="459"/>
      <w:bookmarkEnd w:id="460"/>
      <w:bookmarkEnd w:id="461"/>
      <w:bookmarkEnd w:id="462"/>
      <w:bookmarkEnd w:id="463"/>
      <w:bookmarkEnd w:id="464"/>
      <w:bookmarkEnd w:id="465"/>
    </w:p>
    <w:p w14:paraId="6C633552">
      <w:pPr>
        <w:spacing w:line="360" w:lineRule="auto"/>
        <w:ind w:firstLine="420" w:firstLineChars="200"/>
        <w:rPr>
          <w:rFonts w:ascii="宋体" w:hAnsi="宋体"/>
          <w:color w:val="auto"/>
          <w:szCs w:val="21"/>
          <w:highlight w:val="none"/>
        </w:rPr>
      </w:pPr>
      <w:r>
        <w:rPr>
          <w:rFonts w:ascii="宋体" w:hAnsi="宋体"/>
          <w:color w:val="auto"/>
          <w:szCs w:val="21"/>
          <w:highlight w:val="none"/>
        </w:rPr>
        <w:t>总监理工程师：</w:t>
      </w:r>
    </w:p>
    <w:p w14:paraId="6C77BE4F">
      <w:pPr>
        <w:spacing w:line="360" w:lineRule="auto"/>
        <w:ind w:firstLine="420" w:firstLineChars="200"/>
        <w:rPr>
          <w:rFonts w:ascii="宋体" w:hAnsi="宋体"/>
          <w:color w:val="auto"/>
          <w:szCs w:val="21"/>
          <w:highlight w:val="none"/>
        </w:rPr>
      </w:pPr>
      <w:r>
        <w:rPr>
          <w:rFonts w:ascii="宋体" w:hAnsi="宋体"/>
          <w:color w:val="auto"/>
          <w:szCs w:val="21"/>
          <w:highlight w:val="none"/>
        </w:rPr>
        <w:t>姓    名：</w:t>
      </w:r>
      <w:r>
        <w:rPr>
          <w:rFonts w:ascii="宋体" w:hAnsi="宋体"/>
          <w:color w:val="auto"/>
          <w:szCs w:val="21"/>
          <w:highlight w:val="none"/>
          <w:u w:val="single"/>
        </w:rPr>
        <w:t></w:t>
      </w:r>
      <w:r>
        <w:rPr>
          <w:rFonts w:hint="eastAsia" w:ascii="宋体" w:hAnsi="宋体"/>
          <w:color w:val="auto"/>
          <w:szCs w:val="21"/>
          <w:highlight w:val="none"/>
          <w:u w:val="single"/>
        </w:rPr>
        <w:t>待定</w:t>
      </w:r>
      <w:r>
        <w:rPr>
          <w:rFonts w:ascii="宋体" w:hAnsi="宋体"/>
          <w:color w:val="auto"/>
          <w:szCs w:val="21"/>
          <w:highlight w:val="none"/>
          <w:u w:val="single"/>
        </w:rPr>
        <w:t>   </w:t>
      </w:r>
      <w:r>
        <w:rPr>
          <w:rFonts w:ascii="宋体" w:hAnsi="宋体"/>
          <w:color w:val="auto"/>
          <w:szCs w:val="21"/>
          <w:highlight w:val="none"/>
        </w:rPr>
        <w:t>；</w:t>
      </w:r>
    </w:p>
    <w:p w14:paraId="2D2B1C69">
      <w:pPr>
        <w:spacing w:line="360" w:lineRule="auto"/>
        <w:ind w:firstLine="420" w:firstLineChars="200"/>
        <w:rPr>
          <w:rFonts w:ascii="宋体" w:hAnsi="宋体"/>
          <w:color w:val="auto"/>
          <w:szCs w:val="21"/>
          <w:highlight w:val="none"/>
        </w:rPr>
      </w:pPr>
      <w:r>
        <w:rPr>
          <w:rFonts w:ascii="宋体" w:hAnsi="宋体"/>
          <w:color w:val="auto"/>
          <w:szCs w:val="21"/>
          <w:highlight w:val="none"/>
        </w:rPr>
        <w:t>职    务：</w:t>
      </w:r>
      <w:r>
        <w:rPr>
          <w:rFonts w:ascii="宋体" w:hAnsi="宋体"/>
          <w:color w:val="auto"/>
          <w:szCs w:val="21"/>
          <w:highlight w:val="none"/>
          <w:u w:val="single"/>
        </w:rPr>
        <w:t>   </w:t>
      </w:r>
      <w:r>
        <w:rPr>
          <w:rFonts w:ascii="宋体" w:hAnsi="宋体"/>
          <w:color w:val="auto"/>
          <w:szCs w:val="21"/>
          <w:highlight w:val="none"/>
        </w:rPr>
        <w:t>；</w:t>
      </w:r>
    </w:p>
    <w:p w14:paraId="139A45E4">
      <w:pPr>
        <w:spacing w:line="360" w:lineRule="auto"/>
        <w:ind w:firstLine="420" w:firstLineChars="200"/>
        <w:rPr>
          <w:rFonts w:ascii="宋体" w:hAnsi="宋体"/>
          <w:color w:val="auto"/>
          <w:szCs w:val="21"/>
          <w:highlight w:val="none"/>
        </w:rPr>
      </w:pPr>
      <w:r>
        <w:rPr>
          <w:rFonts w:ascii="宋体" w:hAnsi="宋体"/>
          <w:color w:val="auto"/>
          <w:szCs w:val="21"/>
          <w:highlight w:val="none"/>
        </w:rPr>
        <w:t>监理工程师执业资格证书号：</w:t>
      </w:r>
      <w:r>
        <w:rPr>
          <w:rFonts w:ascii="宋体" w:hAnsi="宋体"/>
          <w:color w:val="auto"/>
          <w:szCs w:val="21"/>
          <w:highlight w:val="none"/>
          <w:u w:val="single"/>
        </w:rPr>
        <w:t> </w:t>
      </w:r>
      <w:r>
        <w:rPr>
          <w:rFonts w:ascii="宋体" w:hAnsi="宋体"/>
          <w:color w:val="auto"/>
          <w:szCs w:val="21"/>
          <w:highlight w:val="none"/>
        </w:rPr>
        <w:t>；</w:t>
      </w:r>
    </w:p>
    <w:p w14:paraId="5B180F32">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身份证号：；</w:t>
      </w:r>
    </w:p>
    <w:p w14:paraId="314F09F5">
      <w:pPr>
        <w:spacing w:line="360" w:lineRule="auto"/>
        <w:ind w:firstLine="420" w:firstLineChars="200"/>
        <w:rPr>
          <w:rFonts w:ascii="宋体" w:hAnsi="宋体"/>
          <w:color w:val="auto"/>
          <w:szCs w:val="21"/>
          <w:highlight w:val="none"/>
        </w:rPr>
      </w:pPr>
      <w:r>
        <w:rPr>
          <w:rFonts w:ascii="宋体" w:hAnsi="宋体"/>
          <w:color w:val="auto"/>
          <w:szCs w:val="21"/>
          <w:highlight w:val="none"/>
        </w:rPr>
        <w:t>联系电话：</w:t>
      </w:r>
      <w:r>
        <w:rPr>
          <w:rFonts w:ascii="宋体" w:hAnsi="宋体"/>
          <w:color w:val="auto"/>
          <w:szCs w:val="21"/>
          <w:highlight w:val="none"/>
          <w:u w:val="single"/>
        </w:rPr>
        <w:t>   </w:t>
      </w:r>
      <w:r>
        <w:rPr>
          <w:rFonts w:ascii="宋体" w:hAnsi="宋体"/>
          <w:color w:val="auto"/>
          <w:szCs w:val="21"/>
          <w:highlight w:val="none"/>
        </w:rPr>
        <w:t>；</w:t>
      </w:r>
    </w:p>
    <w:p w14:paraId="589D879B">
      <w:pPr>
        <w:spacing w:line="360" w:lineRule="auto"/>
        <w:ind w:firstLine="420" w:firstLineChars="200"/>
        <w:rPr>
          <w:rFonts w:ascii="宋体" w:hAnsi="宋体"/>
          <w:color w:val="auto"/>
          <w:szCs w:val="21"/>
          <w:highlight w:val="none"/>
        </w:rPr>
      </w:pPr>
      <w:r>
        <w:rPr>
          <w:rFonts w:ascii="宋体" w:hAnsi="宋体"/>
          <w:color w:val="auto"/>
          <w:szCs w:val="21"/>
          <w:highlight w:val="none"/>
        </w:rPr>
        <w:t>电子信箱：</w:t>
      </w:r>
      <w:r>
        <w:rPr>
          <w:rFonts w:ascii="宋体" w:hAnsi="宋体"/>
          <w:color w:val="auto"/>
          <w:szCs w:val="21"/>
          <w:highlight w:val="none"/>
          <w:u w:val="single"/>
        </w:rPr>
        <w:t>   </w:t>
      </w:r>
      <w:r>
        <w:rPr>
          <w:rFonts w:ascii="宋体" w:hAnsi="宋体"/>
          <w:color w:val="auto"/>
          <w:szCs w:val="21"/>
          <w:highlight w:val="none"/>
        </w:rPr>
        <w:t>；</w:t>
      </w:r>
    </w:p>
    <w:p w14:paraId="769C84AE">
      <w:pPr>
        <w:spacing w:line="360" w:lineRule="auto"/>
        <w:ind w:firstLine="420" w:firstLineChars="200"/>
        <w:rPr>
          <w:rFonts w:ascii="宋体" w:hAnsi="宋体"/>
          <w:color w:val="auto"/>
          <w:szCs w:val="21"/>
          <w:highlight w:val="none"/>
        </w:rPr>
      </w:pPr>
      <w:r>
        <w:rPr>
          <w:rFonts w:ascii="宋体" w:hAnsi="宋体"/>
          <w:color w:val="auto"/>
          <w:szCs w:val="21"/>
          <w:highlight w:val="none"/>
        </w:rPr>
        <w:t>通信地址：</w:t>
      </w:r>
      <w:r>
        <w:rPr>
          <w:rFonts w:ascii="宋体" w:hAnsi="宋体"/>
          <w:color w:val="auto"/>
          <w:szCs w:val="21"/>
          <w:highlight w:val="none"/>
          <w:u w:val="single"/>
        </w:rPr>
        <w:t>   </w:t>
      </w:r>
      <w:r>
        <w:rPr>
          <w:rFonts w:ascii="宋体" w:hAnsi="宋体"/>
          <w:color w:val="auto"/>
          <w:szCs w:val="21"/>
          <w:highlight w:val="none"/>
        </w:rPr>
        <w:t>；</w:t>
      </w:r>
    </w:p>
    <w:p w14:paraId="4B3F2451">
      <w:pPr>
        <w:spacing w:line="360" w:lineRule="auto"/>
        <w:ind w:firstLine="420" w:firstLineChars="200"/>
        <w:rPr>
          <w:rFonts w:ascii="宋体" w:hAnsi="宋体"/>
          <w:color w:val="auto"/>
          <w:szCs w:val="21"/>
          <w:highlight w:val="none"/>
        </w:rPr>
      </w:pPr>
      <w:r>
        <w:rPr>
          <w:rFonts w:ascii="宋体" w:hAnsi="宋体"/>
          <w:color w:val="auto"/>
          <w:szCs w:val="21"/>
          <w:highlight w:val="none"/>
        </w:rPr>
        <w:t>关于监理人的其他约定：</w:t>
      </w:r>
      <w:r>
        <w:rPr>
          <w:rFonts w:ascii="宋体" w:hAnsi="宋体"/>
          <w:color w:val="auto"/>
          <w:szCs w:val="21"/>
          <w:highlight w:val="none"/>
          <w:u w:val="single"/>
        </w:rPr>
        <w:t>   </w:t>
      </w:r>
      <w:r>
        <w:rPr>
          <w:rFonts w:ascii="宋体" w:hAnsi="宋体"/>
          <w:color w:val="auto"/>
          <w:szCs w:val="21"/>
          <w:highlight w:val="none"/>
        </w:rPr>
        <w:t>。</w:t>
      </w:r>
    </w:p>
    <w:p w14:paraId="3811910B">
      <w:pPr>
        <w:keepNext/>
        <w:keepLines/>
        <w:spacing w:before="260" w:after="260" w:line="416" w:lineRule="auto"/>
        <w:outlineLvl w:val="2"/>
        <w:rPr>
          <w:rFonts w:ascii="宋体" w:hAnsi="宋体"/>
          <w:b/>
          <w:bCs/>
          <w:color w:val="auto"/>
          <w:sz w:val="32"/>
          <w:szCs w:val="32"/>
          <w:highlight w:val="none"/>
        </w:rPr>
      </w:pPr>
      <w:bookmarkStart w:id="466" w:name="_Toc472931623"/>
      <w:bookmarkStart w:id="467" w:name="_Toc373227716"/>
      <w:bookmarkStart w:id="468" w:name="_Toc531186619"/>
      <w:bookmarkStart w:id="469" w:name="_Toc373478363"/>
      <w:bookmarkStart w:id="470" w:name="_Toc529547342"/>
      <w:bookmarkStart w:id="471" w:name="_Toc389065282"/>
      <w:bookmarkStart w:id="472" w:name="_Toc470247817"/>
      <w:bookmarkStart w:id="473" w:name="_Toc461179258"/>
      <w:bookmarkStart w:id="474" w:name="_Toc432343904"/>
      <w:bookmarkStart w:id="475" w:name="_Toc454211128"/>
      <w:bookmarkStart w:id="476" w:name="_Toc529526990"/>
      <w:bookmarkStart w:id="477" w:name="_Toc530144484"/>
      <w:bookmarkStart w:id="478" w:name="_Toc411345197"/>
      <w:r>
        <w:rPr>
          <w:rFonts w:ascii="宋体" w:hAnsi="宋体"/>
          <w:b/>
          <w:bCs/>
          <w:color w:val="auto"/>
          <w:sz w:val="32"/>
          <w:szCs w:val="32"/>
          <w:highlight w:val="none"/>
        </w:rPr>
        <w:t>4.4 商定或确定</w:t>
      </w:r>
      <w:bookmarkEnd w:id="466"/>
      <w:bookmarkEnd w:id="467"/>
      <w:bookmarkEnd w:id="468"/>
      <w:bookmarkEnd w:id="469"/>
      <w:bookmarkEnd w:id="470"/>
      <w:bookmarkEnd w:id="471"/>
      <w:bookmarkEnd w:id="472"/>
      <w:bookmarkEnd w:id="473"/>
      <w:bookmarkEnd w:id="474"/>
      <w:bookmarkEnd w:id="475"/>
      <w:bookmarkEnd w:id="476"/>
      <w:bookmarkEnd w:id="477"/>
      <w:bookmarkEnd w:id="478"/>
    </w:p>
    <w:p w14:paraId="356FD90B">
      <w:pPr>
        <w:spacing w:line="360" w:lineRule="auto"/>
        <w:ind w:firstLine="420" w:firstLineChars="200"/>
        <w:rPr>
          <w:rFonts w:ascii="宋体" w:hAnsi="宋体"/>
          <w:color w:val="auto"/>
          <w:szCs w:val="21"/>
          <w:highlight w:val="none"/>
        </w:rPr>
      </w:pPr>
      <w:bookmarkStart w:id="479" w:name="_Toc267251418"/>
      <w:r>
        <w:rPr>
          <w:rFonts w:ascii="宋体" w:hAnsi="宋体"/>
          <w:color w:val="auto"/>
          <w:szCs w:val="21"/>
          <w:highlight w:val="none"/>
        </w:rPr>
        <w:t>在发包人和承包人不能通过协商达成一致意见时，发包人授权监理人对以下事项进行确定：</w:t>
      </w:r>
    </w:p>
    <w:p w14:paraId="43EF5D95">
      <w:pPr>
        <w:autoSpaceDE w:val="0"/>
        <w:autoSpaceDN w:val="0"/>
        <w:adjustRightInd w:val="0"/>
        <w:spacing w:line="36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（1）</w:t>
      </w:r>
      <w:r>
        <w:rPr>
          <w:rFonts w:hint="eastAsia" w:ascii="宋体" w:hAnsi="宋体"/>
          <w:color w:val="auto"/>
          <w:szCs w:val="21"/>
          <w:highlight w:val="none"/>
          <w:u w:val="single"/>
        </w:rPr>
        <w:t>无</w:t>
      </w:r>
      <w:r>
        <w:rPr>
          <w:rFonts w:ascii="宋体" w:hAnsi="宋体"/>
          <w:color w:val="auto"/>
          <w:szCs w:val="21"/>
          <w:highlight w:val="none"/>
        </w:rPr>
        <w:t>；</w:t>
      </w:r>
    </w:p>
    <w:p w14:paraId="3747B18F">
      <w:pPr>
        <w:autoSpaceDE w:val="0"/>
        <w:autoSpaceDN w:val="0"/>
        <w:adjustRightInd w:val="0"/>
        <w:spacing w:line="36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（2）</w:t>
      </w:r>
      <w:r>
        <w:rPr>
          <w:rFonts w:hint="eastAsia" w:ascii="宋体" w:hAnsi="宋体"/>
          <w:color w:val="auto"/>
          <w:szCs w:val="21"/>
          <w:highlight w:val="none"/>
          <w:u w:val="single"/>
        </w:rPr>
        <w:t>无</w:t>
      </w:r>
      <w:r>
        <w:rPr>
          <w:rFonts w:ascii="宋体" w:hAnsi="宋体"/>
          <w:color w:val="auto"/>
          <w:szCs w:val="21"/>
          <w:highlight w:val="none"/>
        </w:rPr>
        <w:t>；</w:t>
      </w:r>
    </w:p>
    <w:p w14:paraId="7E59C115">
      <w:pPr>
        <w:autoSpaceDE w:val="0"/>
        <w:autoSpaceDN w:val="0"/>
        <w:adjustRightInd w:val="0"/>
        <w:spacing w:line="36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（3）</w:t>
      </w:r>
      <w:r>
        <w:rPr>
          <w:rFonts w:hint="eastAsia" w:ascii="宋体" w:hAnsi="宋体"/>
          <w:color w:val="auto"/>
          <w:szCs w:val="21"/>
          <w:highlight w:val="none"/>
          <w:u w:val="single"/>
        </w:rPr>
        <w:t>无</w:t>
      </w:r>
      <w:r>
        <w:rPr>
          <w:rFonts w:ascii="宋体" w:hAnsi="宋体"/>
          <w:color w:val="auto"/>
          <w:szCs w:val="21"/>
          <w:highlight w:val="none"/>
        </w:rPr>
        <w:t>。</w:t>
      </w:r>
    </w:p>
    <w:p w14:paraId="693541CE">
      <w:pPr>
        <w:keepNext/>
        <w:keepLines/>
        <w:spacing w:before="260" w:after="260" w:line="416" w:lineRule="auto"/>
        <w:outlineLvl w:val="1"/>
        <w:rPr>
          <w:rFonts w:ascii="宋体" w:hAnsi="宋体"/>
          <w:b/>
          <w:bCs/>
          <w:color w:val="auto"/>
          <w:sz w:val="32"/>
          <w:szCs w:val="32"/>
          <w:highlight w:val="none"/>
        </w:rPr>
      </w:pPr>
      <w:bookmarkStart w:id="480" w:name="_Toc461179259"/>
      <w:bookmarkStart w:id="481" w:name="_Toc529526991"/>
      <w:bookmarkStart w:id="482" w:name="_Toc529547343"/>
      <w:bookmarkStart w:id="483" w:name="_Toc530144485"/>
      <w:bookmarkStart w:id="484" w:name="_Toc531186620"/>
      <w:bookmarkStart w:id="485" w:name="_Toc454211129"/>
      <w:bookmarkStart w:id="486" w:name="_Toc373227717"/>
      <w:bookmarkStart w:id="487" w:name="_Toc351203637"/>
      <w:bookmarkStart w:id="488" w:name="_Toc470247818"/>
      <w:bookmarkStart w:id="489" w:name="_Toc411345198"/>
      <w:bookmarkStart w:id="490" w:name="_Toc373478364"/>
      <w:bookmarkStart w:id="491" w:name="_Toc472931624"/>
      <w:bookmarkStart w:id="492" w:name="_Toc432343905"/>
      <w:bookmarkStart w:id="493" w:name="_Toc389065283"/>
      <w:r>
        <w:rPr>
          <w:rFonts w:ascii="宋体" w:hAnsi="宋体"/>
          <w:b/>
          <w:bCs/>
          <w:color w:val="auto"/>
          <w:sz w:val="32"/>
          <w:szCs w:val="32"/>
          <w:highlight w:val="none"/>
        </w:rPr>
        <w:t>5</w:t>
      </w:r>
      <w:bookmarkEnd w:id="479"/>
      <w:bookmarkStart w:id="494" w:name="_Toc296890991"/>
      <w:bookmarkStart w:id="495" w:name="_Toc296891203"/>
      <w:bookmarkStart w:id="496" w:name="_Toc296944502"/>
      <w:bookmarkStart w:id="497" w:name="_Toc296346664"/>
      <w:bookmarkStart w:id="498" w:name="_Toc296503163"/>
      <w:bookmarkStart w:id="499" w:name="_Toc296347162"/>
      <w:bookmarkStart w:id="500" w:name="_Toc292559367"/>
      <w:bookmarkStart w:id="501" w:name="_Toc292559872"/>
      <w:bookmarkStart w:id="502" w:name="_Toc297048349"/>
      <w:bookmarkStart w:id="503" w:name="_Toc297120463"/>
      <w:r>
        <w:rPr>
          <w:rFonts w:ascii="宋体" w:hAnsi="宋体"/>
          <w:b/>
          <w:bCs/>
          <w:color w:val="auto"/>
          <w:sz w:val="32"/>
          <w:szCs w:val="32"/>
          <w:highlight w:val="none"/>
        </w:rPr>
        <w:t>. 工程质量</w:t>
      </w:r>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p>
    <w:p w14:paraId="2130D441">
      <w:pPr>
        <w:keepNext/>
        <w:keepLines/>
        <w:spacing w:before="260" w:after="260" w:line="416" w:lineRule="auto"/>
        <w:outlineLvl w:val="2"/>
        <w:rPr>
          <w:rFonts w:ascii="宋体" w:hAnsi="宋体"/>
          <w:b/>
          <w:bCs/>
          <w:color w:val="auto"/>
          <w:sz w:val="32"/>
          <w:szCs w:val="32"/>
          <w:highlight w:val="none"/>
        </w:rPr>
      </w:pPr>
      <w:bookmarkStart w:id="504" w:name="_Toc389065284"/>
      <w:bookmarkStart w:id="505" w:name="_Toc373227718"/>
      <w:bookmarkStart w:id="506" w:name="_Toc531186621"/>
      <w:bookmarkStart w:id="507" w:name="_Toc373478365"/>
      <w:bookmarkStart w:id="508" w:name="_Toc529547344"/>
      <w:bookmarkStart w:id="509" w:name="_Toc470247819"/>
      <w:bookmarkStart w:id="510" w:name="_Toc432343906"/>
      <w:bookmarkStart w:id="511" w:name="_Toc461179260"/>
      <w:bookmarkStart w:id="512" w:name="_Toc472931625"/>
      <w:bookmarkStart w:id="513" w:name="_Toc411345199"/>
      <w:bookmarkStart w:id="514" w:name="_Toc530144486"/>
      <w:bookmarkStart w:id="515" w:name="_Toc529526992"/>
      <w:bookmarkStart w:id="516" w:name="_Toc454211130"/>
      <w:r>
        <w:rPr>
          <w:rFonts w:ascii="宋体" w:hAnsi="宋体"/>
          <w:b/>
          <w:bCs/>
          <w:color w:val="auto"/>
          <w:sz w:val="32"/>
          <w:szCs w:val="32"/>
          <w:highlight w:val="none"/>
        </w:rPr>
        <w:t>5.1 质量要求</w:t>
      </w:r>
      <w:bookmarkEnd w:id="504"/>
      <w:bookmarkEnd w:id="505"/>
      <w:bookmarkEnd w:id="506"/>
      <w:bookmarkEnd w:id="507"/>
      <w:bookmarkEnd w:id="508"/>
      <w:bookmarkEnd w:id="509"/>
      <w:bookmarkEnd w:id="510"/>
      <w:bookmarkEnd w:id="511"/>
      <w:bookmarkEnd w:id="512"/>
      <w:bookmarkEnd w:id="513"/>
      <w:bookmarkEnd w:id="514"/>
      <w:bookmarkEnd w:id="515"/>
      <w:bookmarkEnd w:id="516"/>
    </w:p>
    <w:p w14:paraId="2E894B4D">
      <w:pPr>
        <w:spacing w:line="360" w:lineRule="auto"/>
        <w:ind w:firstLine="420" w:firstLineChars="200"/>
        <w:jc w:val="left"/>
        <w:rPr>
          <w:rFonts w:ascii="宋体" w:hAnsi="宋体"/>
          <w:color w:val="auto"/>
          <w:szCs w:val="21"/>
          <w:highlight w:val="none"/>
          <w:u w:val="single"/>
        </w:rPr>
      </w:pPr>
      <w:r>
        <w:rPr>
          <w:rFonts w:ascii="宋体" w:hAnsi="宋体"/>
          <w:color w:val="auto"/>
          <w:szCs w:val="21"/>
          <w:highlight w:val="none"/>
        </w:rPr>
        <w:t>5</w:t>
      </w:r>
      <w:bookmarkStart w:id="517" w:name="_Toc297216155"/>
      <w:bookmarkStart w:id="518" w:name="_Toc304295527"/>
      <w:bookmarkStart w:id="519" w:name="_Toc318581164"/>
      <w:bookmarkStart w:id="520" w:name="_Toc297123496"/>
      <w:bookmarkStart w:id="521" w:name="_Toc312677997"/>
      <w:bookmarkStart w:id="522" w:name="_Toc303539106"/>
      <w:bookmarkStart w:id="523" w:name="_Toc300934949"/>
      <w:r>
        <w:rPr>
          <w:rFonts w:ascii="宋体" w:hAnsi="宋体"/>
          <w:color w:val="auto"/>
          <w:szCs w:val="21"/>
          <w:highlight w:val="none"/>
        </w:rPr>
        <w:t>.1.1 特殊质量标准和要求：</w:t>
      </w:r>
      <w:r>
        <w:rPr>
          <w:rFonts w:hint="eastAsia" w:ascii="宋体" w:hAnsi="宋体"/>
          <w:color w:val="auto"/>
          <w:szCs w:val="21"/>
          <w:highlight w:val="none"/>
          <w:u w:val="single"/>
        </w:rPr>
        <w:t>合格</w:t>
      </w:r>
      <w:r>
        <w:rPr>
          <w:rFonts w:ascii="宋体" w:hAnsi="宋体"/>
          <w:color w:val="auto"/>
          <w:szCs w:val="21"/>
          <w:highlight w:val="none"/>
        </w:rPr>
        <w:t>。</w:t>
      </w:r>
    </w:p>
    <w:p w14:paraId="316404B8">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关于工程奖项的约定：</w:t>
      </w:r>
      <w:r>
        <w:rPr>
          <w:rFonts w:hint="eastAsia" w:ascii="宋体" w:hAnsi="宋体"/>
          <w:color w:val="auto"/>
          <w:szCs w:val="21"/>
          <w:highlight w:val="none"/>
          <w:u w:val="single"/>
        </w:rPr>
        <w:t>无</w:t>
      </w:r>
      <w:r>
        <w:rPr>
          <w:rFonts w:ascii="宋体" w:hAnsi="宋体"/>
          <w:color w:val="auto"/>
          <w:szCs w:val="21"/>
          <w:highlight w:val="none"/>
        </w:rPr>
        <w:t>。</w:t>
      </w:r>
    </w:p>
    <w:p w14:paraId="383B91CE">
      <w:pPr>
        <w:keepNext/>
        <w:keepLines/>
        <w:spacing w:before="260" w:after="260" w:line="416" w:lineRule="auto"/>
        <w:outlineLvl w:val="2"/>
        <w:rPr>
          <w:rFonts w:ascii="宋体" w:hAnsi="宋体"/>
          <w:b/>
          <w:bCs/>
          <w:color w:val="auto"/>
          <w:sz w:val="32"/>
          <w:szCs w:val="32"/>
          <w:highlight w:val="none"/>
        </w:rPr>
      </w:pPr>
      <w:r>
        <w:rPr>
          <w:rFonts w:ascii="宋体" w:hAnsi="宋体"/>
          <w:b/>
          <w:bCs/>
          <w:color w:val="auto"/>
          <w:sz w:val="32"/>
          <w:szCs w:val="32"/>
          <w:highlight w:val="none"/>
        </w:rPr>
        <w:t>5.3 隐蔽工程检查</w:t>
      </w:r>
    </w:p>
    <w:p w14:paraId="2955EA35">
      <w:pPr>
        <w:spacing w:line="360" w:lineRule="auto"/>
        <w:ind w:firstLine="420" w:firstLineChars="200"/>
        <w:jc w:val="left"/>
        <w:rPr>
          <w:rFonts w:ascii="宋体" w:hAnsi="宋体"/>
          <w:color w:val="auto"/>
          <w:szCs w:val="21"/>
          <w:highlight w:val="none"/>
          <w:u w:val="single"/>
        </w:rPr>
      </w:pPr>
      <w:r>
        <w:rPr>
          <w:rFonts w:ascii="宋体" w:hAnsi="宋体"/>
          <w:color w:val="auto"/>
          <w:szCs w:val="21"/>
          <w:highlight w:val="none"/>
        </w:rPr>
        <w:t>5.3.2承包人提前通知监理人隐蔽工程检查的期限的约定：</w:t>
      </w:r>
      <w:r>
        <w:rPr>
          <w:rFonts w:ascii="宋体" w:hAnsi="宋体"/>
          <w:bCs/>
          <w:color w:val="auto"/>
          <w:szCs w:val="21"/>
          <w:highlight w:val="none"/>
        </w:rPr>
        <w:t>工程隐蔽或中间验收前12小时以书面形式通知发包人和监理工程师验收的内容、时间、地点，承包人准备验收记录单（最好是印制的表格）由双方签证。验收合格，承包人可进行隐蔽和继续施工；验收不合格，双方商订时限内修改后按上述循序重新验收。</w:t>
      </w:r>
    </w:p>
    <w:p w14:paraId="16ED7B58">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监理人不能按时进行检查时，应提前</w:t>
      </w:r>
      <w:r>
        <w:rPr>
          <w:rFonts w:hint="eastAsia" w:ascii="宋体" w:hAnsi="宋体"/>
          <w:b/>
          <w:bCs/>
          <w:color w:val="auto"/>
          <w:szCs w:val="21"/>
          <w:highlight w:val="none"/>
          <w:u w:val="single"/>
        </w:rPr>
        <w:t>6</w:t>
      </w:r>
      <w:r>
        <w:rPr>
          <w:rFonts w:ascii="宋体" w:hAnsi="宋体"/>
          <w:color w:val="auto"/>
          <w:szCs w:val="21"/>
          <w:highlight w:val="none"/>
        </w:rPr>
        <w:t>小时提交书面延期要求。</w:t>
      </w:r>
    </w:p>
    <w:p w14:paraId="4DEED559">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关于延期最长不得超过：</w:t>
      </w:r>
      <w:r>
        <w:rPr>
          <w:rFonts w:hint="eastAsia" w:ascii="宋体" w:hAnsi="宋体"/>
          <w:b/>
          <w:bCs/>
          <w:color w:val="auto"/>
          <w:szCs w:val="21"/>
          <w:highlight w:val="none"/>
          <w:u w:val="single"/>
        </w:rPr>
        <w:t>12</w:t>
      </w:r>
      <w:r>
        <w:rPr>
          <w:rFonts w:ascii="宋体" w:hAnsi="宋体"/>
          <w:color w:val="auto"/>
          <w:szCs w:val="21"/>
          <w:highlight w:val="none"/>
        </w:rPr>
        <w:t>小时。</w:t>
      </w:r>
    </w:p>
    <w:p w14:paraId="7197D18C">
      <w:pPr>
        <w:keepNext/>
        <w:keepLines/>
        <w:spacing w:before="260" w:after="260" w:line="416" w:lineRule="auto"/>
        <w:outlineLvl w:val="2"/>
        <w:rPr>
          <w:rFonts w:ascii="宋体" w:hAnsi="宋体"/>
          <w:b/>
          <w:bCs/>
          <w:color w:val="auto"/>
          <w:sz w:val="32"/>
          <w:szCs w:val="32"/>
          <w:highlight w:val="none"/>
        </w:rPr>
      </w:pPr>
      <w:bookmarkStart w:id="524" w:name="_Toc461179261"/>
      <w:bookmarkStart w:id="525" w:name="_Toc389065285"/>
      <w:bookmarkStart w:id="526" w:name="_Toc454211131"/>
      <w:bookmarkStart w:id="527" w:name="_Toc411345200"/>
      <w:bookmarkStart w:id="528" w:name="_Toc373227719"/>
      <w:bookmarkStart w:id="529" w:name="_Toc530144487"/>
      <w:bookmarkStart w:id="530" w:name="_Toc531186622"/>
      <w:bookmarkStart w:id="531" w:name="_Toc351203638"/>
      <w:bookmarkStart w:id="532" w:name="_Toc472931626"/>
      <w:bookmarkStart w:id="533" w:name="_Toc432343907"/>
      <w:bookmarkStart w:id="534" w:name="_Toc529547345"/>
      <w:bookmarkStart w:id="535" w:name="_Toc470247820"/>
      <w:bookmarkStart w:id="536" w:name="_Toc373478366"/>
      <w:bookmarkStart w:id="537" w:name="_Toc529526993"/>
      <w:r>
        <w:rPr>
          <w:rFonts w:ascii="宋体" w:hAnsi="宋体"/>
          <w:b/>
          <w:bCs/>
          <w:color w:val="auto"/>
          <w:sz w:val="32"/>
          <w:szCs w:val="32"/>
          <w:highlight w:val="none"/>
        </w:rPr>
        <w:t>6. 安全文明施工与环境保护</w:t>
      </w:r>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p>
    <w:p w14:paraId="6D42E947">
      <w:pPr>
        <w:keepNext/>
        <w:keepLines/>
        <w:spacing w:before="260" w:after="260" w:line="416" w:lineRule="auto"/>
        <w:outlineLvl w:val="2"/>
        <w:rPr>
          <w:rFonts w:ascii="宋体" w:hAnsi="宋体"/>
          <w:b/>
          <w:bCs/>
          <w:color w:val="auto"/>
          <w:sz w:val="32"/>
          <w:szCs w:val="32"/>
          <w:highlight w:val="none"/>
        </w:rPr>
      </w:pPr>
      <w:bookmarkStart w:id="538" w:name="_Toc373227720"/>
      <w:bookmarkStart w:id="539" w:name="_Toc529526994"/>
      <w:bookmarkStart w:id="540" w:name="_Toc432343908"/>
      <w:bookmarkStart w:id="541" w:name="_Toc454211132"/>
      <w:bookmarkStart w:id="542" w:name="_Toc373478367"/>
      <w:bookmarkStart w:id="543" w:name="_Toc470247821"/>
      <w:bookmarkStart w:id="544" w:name="_Toc411345201"/>
      <w:bookmarkStart w:id="545" w:name="_Toc529547346"/>
      <w:bookmarkStart w:id="546" w:name="_Toc472931627"/>
      <w:bookmarkStart w:id="547" w:name="_Toc531186623"/>
      <w:bookmarkStart w:id="548" w:name="_Toc461179262"/>
      <w:bookmarkStart w:id="549" w:name="_Toc389065286"/>
      <w:bookmarkStart w:id="550" w:name="_Toc530144488"/>
      <w:r>
        <w:rPr>
          <w:rFonts w:ascii="宋体" w:hAnsi="宋体"/>
          <w:b/>
          <w:bCs/>
          <w:color w:val="auto"/>
          <w:sz w:val="32"/>
          <w:szCs w:val="32"/>
          <w:highlight w:val="none"/>
        </w:rPr>
        <w:t>6.1安全文明施工</w:t>
      </w:r>
      <w:bookmarkEnd w:id="538"/>
      <w:bookmarkEnd w:id="539"/>
      <w:bookmarkEnd w:id="540"/>
      <w:bookmarkEnd w:id="541"/>
      <w:bookmarkEnd w:id="542"/>
      <w:bookmarkEnd w:id="543"/>
      <w:bookmarkEnd w:id="544"/>
      <w:bookmarkEnd w:id="545"/>
      <w:bookmarkEnd w:id="546"/>
      <w:bookmarkEnd w:id="547"/>
      <w:bookmarkEnd w:id="548"/>
      <w:bookmarkEnd w:id="549"/>
      <w:bookmarkEnd w:id="550"/>
    </w:p>
    <w:p w14:paraId="02D059C8">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6.1.1 项目安全生产的达标目标及相应事项的约定：</w:t>
      </w:r>
      <w:r>
        <w:rPr>
          <w:rFonts w:hint="eastAsia" w:ascii="宋体" w:hAnsi="宋体"/>
          <w:color w:val="auto"/>
          <w:szCs w:val="21"/>
          <w:highlight w:val="none"/>
          <w:u w:val="single"/>
        </w:rPr>
        <w:t>要求达到《建设施工安全检查标准》（JGJ59-2011）的标准和符合《广西壮族自治区建设工程安全防护、文明施工措施费及使用管理细则》（桂建质安【2015】16号文）的要求</w:t>
      </w:r>
      <w:r>
        <w:rPr>
          <w:rFonts w:ascii="宋体" w:hAnsi="宋体"/>
          <w:color w:val="auto"/>
          <w:szCs w:val="21"/>
          <w:highlight w:val="none"/>
        </w:rPr>
        <w:t>。</w:t>
      </w:r>
    </w:p>
    <w:p w14:paraId="320F7AD3">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关于</w:t>
      </w:r>
      <w:r>
        <w:rPr>
          <w:rFonts w:hint="eastAsia" w:ascii="宋体" w:hAnsi="宋体"/>
          <w:color w:val="auto"/>
          <w:szCs w:val="21"/>
          <w:highlight w:val="none"/>
        </w:rPr>
        <w:t>安全文明施工</w:t>
      </w:r>
      <w:r>
        <w:rPr>
          <w:rFonts w:ascii="宋体" w:hAnsi="宋体"/>
          <w:color w:val="auto"/>
          <w:szCs w:val="21"/>
          <w:highlight w:val="none"/>
        </w:rPr>
        <w:t>奖项的约定：</w:t>
      </w:r>
      <w:r>
        <w:rPr>
          <w:rFonts w:hint="eastAsia" w:ascii="宋体" w:hAnsi="宋体"/>
          <w:color w:val="auto"/>
          <w:szCs w:val="21"/>
          <w:highlight w:val="none"/>
          <w:u w:val="single"/>
        </w:rPr>
        <w:t>无</w:t>
      </w:r>
      <w:r>
        <w:rPr>
          <w:rFonts w:ascii="宋体" w:hAnsi="宋体"/>
          <w:color w:val="auto"/>
          <w:szCs w:val="21"/>
          <w:highlight w:val="none"/>
        </w:rPr>
        <w:t>。</w:t>
      </w:r>
    </w:p>
    <w:p w14:paraId="27568DB4">
      <w:pPr>
        <w:spacing w:line="360" w:lineRule="auto"/>
        <w:ind w:firstLine="420" w:firstLineChars="200"/>
        <w:jc w:val="left"/>
        <w:rPr>
          <w:rFonts w:ascii="宋体" w:hAnsi="宋体"/>
          <w:color w:val="auto"/>
          <w:szCs w:val="21"/>
          <w:highlight w:val="none"/>
          <w:u w:val="single"/>
        </w:rPr>
      </w:pPr>
      <w:r>
        <w:rPr>
          <w:rFonts w:ascii="宋体" w:hAnsi="宋体"/>
          <w:color w:val="auto"/>
          <w:szCs w:val="21"/>
          <w:highlight w:val="none"/>
        </w:rPr>
        <w:t>6.1.4 关于治安保卫的特别约定：</w:t>
      </w:r>
      <w:r>
        <w:rPr>
          <w:rFonts w:ascii="宋体" w:hAnsi="宋体"/>
          <w:color w:val="auto"/>
          <w:szCs w:val="21"/>
          <w:highlight w:val="none"/>
          <w:u w:val="single"/>
        </w:rPr>
        <w:t>承包人应承担施工安全保卫工作及非夜间施工照明的责任，承包人应采取一切合理的预防措施，防止人员伤亡、财产损失事故，费用由承包人承担。承包人生活设施及施工场应自费配备消防设备，防止火灾发生。</w:t>
      </w:r>
    </w:p>
    <w:p w14:paraId="2421B568">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关于编制施工场地治安管理计划的约定：</w:t>
      </w:r>
      <w:r>
        <w:rPr>
          <w:rFonts w:hint="eastAsia" w:ascii="宋体" w:hAnsi="宋体"/>
          <w:color w:val="auto"/>
          <w:szCs w:val="21"/>
          <w:highlight w:val="none"/>
          <w:u w:val="single"/>
        </w:rPr>
        <w:t>开工前</w:t>
      </w:r>
      <w:r>
        <w:rPr>
          <w:rFonts w:hint="eastAsia" w:ascii="宋体" w:hAnsi="宋体"/>
          <w:b/>
          <w:bCs/>
          <w:color w:val="auto"/>
          <w:szCs w:val="21"/>
          <w:highlight w:val="none"/>
          <w:u w:val="single"/>
        </w:rPr>
        <w:t>3</w:t>
      </w:r>
      <w:r>
        <w:rPr>
          <w:rFonts w:hint="eastAsia" w:ascii="宋体" w:hAnsi="宋体"/>
          <w:color w:val="auto"/>
          <w:szCs w:val="21"/>
          <w:highlight w:val="none"/>
          <w:u w:val="single"/>
        </w:rPr>
        <w:t>天提供</w:t>
      </w:r>
      <w:r>
        <w:rPr>
          <w:rFonts w:ascii="宋体" w:hAnsi="宋体"/>
          <w:color w:val="auto"/>
          <w:szCs w:val="21"/>
          <w:highlight w:val="none"/>
        </w:rPr>
        <w:t>。</w:t>
      </w:r>
    </w:p>
    <w:p w14:paraId="5C2116FC">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6.1.5 文明施工</w:t>
      </w:r>
    </w:p>
    <w:p w14:paraId="37CC586C">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合同当事人对文明施工的要求：</w:t>
      </w:r>
      <w:r>
        <w:rPr>
          <w:rFonts w:hint="eastAsia" w:ascii="Calibri" w:hAnsi="Calibri"/>
          <w:color w:val="auto"/>
          <w:szCs w:val="21"/>
          <w:highlight w:val="none"/>
          <w:u w:val="single"/>
        </w:rPr>
        <w:t>要求达到《建筑施工现场环境与卫生标准》（JGJ146-2004）的标准和符合《广西壮族自治区建筑工程安全文明施工措施费及使用管理细则》（桂建质安【2015】16号文）的要求</w:t>
      </w:r>
      <w:r>
        <w:rPr>
          <w:rFonts w:ascii="宋体" w:hAnsi="宋体"/>
          <w:color w:val="auto"/>
          <w:szCs w:val="21"/>
          <w:highlight w:val="none"/>
        </w:rPr>
        <w:t>。</w:t>
      </w:r>
    </w:p>
    <w:p w14:paraId="7E016E18">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6.1.6 关于安全文明施工费支付比例和支付期限的约定：</w:t>
      </w:r>
    </w:p>
    <w:p w14:paraId="12B9D547">
      <w:pPr>
        <w:autoSpaceDE w:val="0"/>
        <w:autoSpaceDN w:val="0"/>
        <w:adjustRightInd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w:t>
      </w:r>
      <w:r>
        <w:rPr>
          <w:rFonts w:ascii="宋体" w:hAnsi="宋体"/>
          <w:color w:val="auto"/>
          <w:kern w:val="0"/>
          <w:szCs w:val="21"/>
          <w:highlight w:val="none"/>
        </w:rPr>
        <w:t>本合同价款已包含安全文明施工费</w:t>
      </w:r>
      <w:r>
        <w:rPr>
          <w:rFonts w:ascii="宋体" w:hAnsi="宋体"/>
          <w:color w:val="auto"/>
          <w:kern w:val="0"/>
          <w:szCs w:val="21"/>
          <w:highlight w:val="none"/>
          <w:u w:val="single"/>
        </w:rPr>
        <w:t xml:space="preserve">        </w:t>
      </w:r>
      <w:r>
        <w:rPr>
          <w:rFonts w:hint="eastAsia" w:ascii="宋体" w:hAnsi="宋体"/>
          <w:color w:val="auto"/>
          <w:kern w:val="0"/>
          <w:szCs w:val="21"/>
          <w:highlight w:val="none"/>
        </w:rPr>
        <w:t>元。</w:t>
      </w:r>
    </w:p>
    <w:p w14:paraId="34E6C1B3">
      <w:pPr>
        <w:autoSpaceDE w:val="0"/>
        <w:autoSpaceDN w:val="0"/>
        <w:adjustRightInd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（2）</w:t>
      </w:r>
      <w:r>
        <w:rPr>
          <w:rFonts w:ascii="宋体" w:hAnsi="宋体"/>
          <w:color w:val="auto"/>
          <w:kern w:val="0"/>
          <w:szCs w:val="21"/>
          <w:highlight w:val="none"/>
        </w:rPr>
        <w:t>使用要求：专款专用。具体按《广西壮族自治区</w:t>
      </w:r>
      <w:r>
        <w:rPr>
          <w:rFonts w:hint="eastAsia" w:ascii="宋体" w:hAnsi="宋体"/>
          <w:color w:val="auto"/>
          <w:szCs w:val="21"/>
          <w:highlight w:val="none"/>
        </w:rPr>
        <w:t>建设</w:t>
      </w:r>
      <w:r>
        <w:rPr>
          <w:rFonts w:ascii="宋体" w:hAnsi="宋体"/>
          <w:color w:val="auto"/>
          <w:kern w:val="0"/>
          <w:szCs w:val="21"/>
          <w:highlight w:val="none"/>
        </w:rPr>
        <w:t>工程安全防护、文明施工措施费及管理细则》</w:t>
      </w:r>
      <w:r>
        <w:rPr>
          <w:rFonts w:hint="eastAsia" w:ascii="宋体" w:hAnsi="宋体"/>
          <w:color w:val="auto"/>
          <w:kern w:val="0"/>
          <w:szCs w:val="21"/>
          <w:highlight w:val="none"/>
        </w:rPr>
        <w:t>（</w:t>
      </w:r>
      <w:r>
        <w:rPr>
          <w:rFonts w:ascii="宋体" w:hAnsi="宋体"/>
          <w:color w:val="auto"/>
          <w:kern w:val="0"/>
          <w:szCs w:val="21"/>
          <w:highlight w:val="none"/>
        </w:rPr>
        <w:t>桂建质</w:t>
      </w:r>
      <w:r>
        <w:rPr>
          <w:rFonts w:hint="eastAsia" w:ascii="宋体" w:hAnsi="宋体"/>
          <w:color w:val="auto"/>
          <w:szCs w:val="21"/>
          <w:highlight w:val="none"/>
        </w:rPr>
        <w:t>【2015】16号</w:t>
      </w:r>
      <w:r>
        <w:rPr>
          <w:rFonts w:hint="eastAsia" w:ascii="宋体" w:hAnsi="宋体"/>
          <w:color w:val="auto"/>
          <w:szCs w:val="21"/>
          <w:highlight w:val="none"/>
          <w:u w:val="single"/>
        </w:rPr>
        <w:t>文</w:t>
      </w:r>
      <w:r>
        <w:rPr>
          <w:rFonts w:ascii="宋体" w:hAnsi="宋体"/>
          <w:color w:val="auto"/>
          <w:kern w:val="0"/>
          <w:szCs w:val="21"/>
          <w:highlight w:val="none"/>
        </w:rPr>
        <w:t>和</w:t>
      </w:r>
      <w:r>
        <w:rPr>
          <w:rFonts w:hint="eastAsia" w:ascii="宋体" w:hAnsi="宋体"/>
          <w:color w:val="auto"/>
          <w:kern w:val="0"/>
          <w:szCs w:val="21"/>
          <w:highlight w:val="none"/>
          <w:u w:val="single"/>
        </w:rPr>
        <w:t xml:space="preserve">  防城港   </w:t>
      </w:r>
      <w:r>
        <w:rPr>
          <w:rFonts w:ascii="宋体" w:hAnsi="宋体"/>
          <w:color w:val="auto"/>
          <w:kern w:val="0"/>
          <w:szCs w:val="21"/>
          <w:highlight w:val="none"/>
        </w:rPr>
        <w:t>市相关规定执行</w:t>
      </w:r>
      <w:r>
        <w:rPr>
          <w:rFonts w:hint="eastAsia" w:ascii="宋体" w:hAnsi="宋体"/>
          <w:color w:val="auto"/>
          <w:kern w:val="0"/>
          <w:szCs w:val="21"/>
          <w:highlight w:val="none"/>
        </w:rPr>
        <w:t>。</w:t>
      </w:r>
    </w:p>
    <w:p w14:paraId="25FA997A">
      <w:pPr>
        <w:autoSpaceDE w:val="0"/>
        <w:autoSpaceDN w:val="0"/>
        <w:adjustRightInd w:val="0"/>
        <w:spacing w:line="360" w:lineRule="auto"/>
        <w:ind w:firstLine="420" w:firstLineChars="200"/>
        <w:jc w:val="left"/>
        <w:rPr>
          <w:rFonts w:hint="eastAsia" w:ascii="宋体" w:hAnsi="宋体" w:cs="Times New Roman"/>
          <w:color w:val="auto"/>
          <w:kern w:val="0"/>
          <w:szCs w:val="21"/>
          <w:highlight w:val="none"/>
        </w:rPr>
      </w:pPr>
      <w:r>
        <w:rPr>
          <w:rFonts w:hint="eastAsia" w:ascii="宋体" w:hAnsi="宋体" w:cs="Times New Roman"/>
          <w:color w:val="auto"/>
          <w:kern w:val="0"/>
          <w:szCs w:val="21"/>
          <w:highlight w:val="none"/>
        </w:rPr>
        <w:t>（3）支付约定：在本合同签订后7个工作日内，预付安全文明施工费总额的30%，其余部分与进度款同期支付。</w:t>
      </w:r>
    </w:p>
    <w:p w14:paraId="1697BE97">
      <w:pPr>
        <w:keepNext/>
        <w:keepLines/>
        <w:spacing w:before="260" w:after="260" w:line="416" w:lineRule="auto"/>
        <w:outlineLvl w:val="2"/>
        <w:rPr>
          <w:rFonts w:ascii="宋体" w:hAnsi="宋体"/>
          <w:b/>
          <w:bCs/>
          <w:color w:val="auto"/>
          <w:sz w:val="32"/>
          <w:szCs w:val="32"/>
          <w:highlight w:val="none"/>
        </w:rPr>
      </w:pPr>
      <w:bookmarkStart w:id="551" w:name="_Toc529547347"/>
      <w:bookmarkStart w:id="552" w:name="_Toc373478368"/>
      <w:bookmarkStart w:id="553" w:name="_Toc373227721"/>
      <w:bookmarkStart w:id="554" w:name="_Toc530144489"/>
      <w:bookmarkStart w:id="555" w:name="_Toc461179263"/>
      <w:bookmarkStart w:id="556" w:name="_Toc454211133"/>
      <w:bookmarkStart w:id="557" w:name="_Toc531186624"/>
      <w:bookmarkStart w:id="558" w:name="_Toc389065287"/>
      <w:bookmarkStart w:id="559" w:name="_Toc472931628"/>
      <w:bookmarkStart w:id="560" w:name="_Toc470247822"/>
      <w:bookmarkStart w:id="561" w:name="_Toc432343909"/>
      <w:bookmarkStart w:id="562" w:name="_Toc411345202"/>
      <w:bookmarkStart w:id="563" w:name="_Toc529526995"/>
      <w:r>
        <w:rPr>
          <w:rFonts w:ascii="宋体" w:hAnsi="宋体"/>
          <w:b/>
          <w:bCs/>
          <w:color w:val="auto"/>
          <w:sz w:val="32"/>
          <w:szCs w:val="32"/>
          <w:highlight w:val="none"/>
        </w:rPr>
        <w:t>6.3环境保护</w:t>
      </w:r>
      <w:bookmarkEnd w:id="551"/>
      <w:bookmarkEnd w:id="552"/>
      <w:bookmarkEnd w:id="553"/>
      <w:bookmarkEnd w:id="554"/>
      <w:bookmarkEnd w:id="555"/>
      <w:bookmarkEnd w:id="556"/>
      <w:bookmarkEnd w:id="557"/>
      <w:bookmarkEnd w:id="558"/>
      <w:bookmarkEnd w:id="559"/>
      <w:bookmarkEnd w:id="560"/>
      <w:bookmarkEnd w:id="561"/>
      <w:bookmarkEnd w:id="562"/>
      <w:bookmarkEnd w:id="563"/>
    </w:p>
    <w:p w14:paraId="059903A5">
      <w:pPr>
        <w:spacing w:line="360" w:lineRule="auto"/>
        <w:ind w:firstLine="420" w:firstLineChars="200"/>
        <w:jc w:val="left"/>
        <w:rPr>
          <w:rFonts w:ascii="宋体" w:hAnsi="宋体"/>
          <w:color w:val="auto"/>
          <w:szCs w:val="21"/>
          <w:highlight w:val="none"/>
          <w:u w:val="single"/>
        </w:rPr>
      </w:pPr>
      <w:r>
        <w:rPr>
          <w:rFonts w:ascii="宋体" w:hAnsi="宋体"/>
          <w:color w:val="auto"/>
          <w:szCs w:val="21"/>
          <w:highlight w:val="none"/>
          <w:u w:val="single"/>
        </w:rPr>
        <w:t>因施工需要，经发包人批准，由承包人办理有关施工场地交通、环卫和施工噪音管理等手续，费用由承包人负责。</w:t>
      </w:r>
    </w:p>
    <w:p w14:paraId="0335F76E">
      <w:pPr>
        <w:spacing w:line="360" w:lineRule="auto"/>
        <w:ind w:firstLine="420" w:firstLineChars="200"/>
        <w:jc w:val="left"/>
        <w:rPr>
          <w:rFonts w:ascii="宋体" w:hAnsi="宋体"/>
          <w:color w:val="auto"/>
          <w:szCs w:val="21"/>
          <w:highlight w:val="none"/>
          <w:u w:val="single"/>
        </w:rPr>
      </w:pPr>
      <w:r>
        <w:rPr>
          <w:rFonts w:ascii="宋体" w:hAnsi="宋体"/>
          <w:color w:val="auto"/>
          <w:szCs w:val="21"/>
          <w:highlight w:val="none"/>
          <w:u w:val="single"/>
        </w:rPr>
        <w:t>经过城市道路的施工车辆，必须按交警、城管、运输等部门相关规定执行。由于施工车辆造成的道路、环境等污染，其责任和费用均由承包人承担。</w:t>
      </w:r>
    </w:p>
    <w:bookmarkEnd w:id="517"/>
    <w:bookmarkEnd w:id="518"/>
    <w:bookmarkEnd w:id="519"/>
    <w:bookmarkEnd w:id="520"/>
    <w:bookmarkEnd w:id="521"/>
    <w:bookmarkEnd w:id="522"/>
    <w:bookmarkEnd w:id="523"/>
    <w:p w14:paraId="110F266F">
      <w:pPr>
        <w:keepNext/>
        <w:keepLines/>
        <w:spacing w:before="260" w:after="260" w:line="416" w:lineRule="auto"/>
        <w:outlineLvl w:val="2"/>
        <w:rPr>
          <w:rFonts w:ascii="宋体" w:hAnsi="宋体"/>
          <w:b/>
          <w:bCs/>
          <w:color w:val="auto"/>
          <w:sz w:val="32"/>
          <w:szCs w:val="32"/>
          <w:highlight w:val="none"/>
        </w:rPr>
      </w:pPr>
      <w:bookmarkStart w:id="564" w:name="_Toc472931629"/>
      <w:bookmarkStart w:id="565" w:name="_Toc454211134"/>
      <w:bookmarkStart w:id="566" w:name="_Toc461179264"/>
      <w:bookmarkStart w:id="567" w:name="_Toc529526996"/>
      <w:bookmarkStart w:id="568" w:name="_Toc351203639"/>
      <w:bookmarkStart w:id="569" w:name="_Toc470247823"/>
      <w:bookmarkStart w:id="570" w:name="_Toc389065288"/>
      <w:bookmarkStart w:id="571" w:name="_Toc531186625"/>
      <w:bookmarkStart w:id="572" w:name="_Toc432343910"/>
      <w:bookmarkStart w:id="573" w:name="_Toc529547348"/>
      <w:bookmarkStart w:id="574" w:name="_Toc411345203"/>
      <w:bookmarkStart w:id="575" w:name="_Toc373227722"/>
      <w:bookmarkStart w:id="576" w:name="_Toc373478369"/>
      <w:bookmarkStart w:id="577" w:name="_Toc530144490"/>
      <w:r>
        <w:rPr>
          <w:rFonts w:ascii="宋体" w:hAnsi="宋体"/>
          <w:b/>
          <w:bCs/>
          <w:color w:val="auto"/>
          <w:sz w:val="32"/>
          <w:szCs w:val="32"/>
          <w:highlight w:val="none"/>
        </w:rPr>
        <w:t>7. 工期和进度</w:t>
      </w:r>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p>
    <w:p w14:paraId="7CC99664">
      <w:pPr>
        <w:keepNext/>
        <w:keepLines/>
        <w:spacing w:before="260" w:after="260" w:line="416" w:lineRule="auto"/>
        <w:outlineLvl w:val="2"/>
        <w:rPr>
          <w:rFonts w:ascii="宋体" w:hAnsi="宋体"/>
          <w:b/>
          <w:bCs/>
          <w:color w:val="auto"/>
          <w:sz w:val="32"/>
          <w:szCs w:val="32"/>
          <w:highlight w:val="none"/>
        </w:rPr>
      </w:pPr>
      <w:bookmarkStart w:id="578" w:name="_Toc470247824"/>
      <w:bookmarkStart w:id="579" w:name="_Toc454211135"/>
      <w:bookmarkStart w:id="580" w:name="_Toc389065289"/>
      <w:bookmarkStart w:id="581" w:name="_Toc529547349"/>
      <w:bookmarkStart w:id="582" w:name="_Toc472931630"/>
      <w:bookmarkStart w:id="583" w:name="_Toc373227723"/>
      <w:bookmarkStart w:id="584" w:name="_Toc411345204"/>
      <w:bookmarkStart w:id="585" w:name="_Toc461179265"/>
      <w:bookmarkStart w:id="586" w:name="_Toc432343911"/>
      <w:bookmarkStart w:id="587" w:name="_Toc373478370"/>
      <w:bookmarkStart w:id="588" w:name="_Toc529526997"/>
      <w:bookmarkStart w:id="589" w:name="_Toc531186626"/>
      <w:bookmarkStart w:id="590" w:name="_Toc530144491"/>
      <w:r>
        <w:rPr>
          <w:rFonts w:ascii="宋体" w:hAnsi="宋体"/>
          <w:b/>
          <w:bCs/>
          <w:color w:val="auto"/>
          <w:sz w:val="32"/>
          <w:szCs w:val="32"/>
          <w:highlight w:val="none"/>
        </w:rPr>
        <w:t>7.1 施工组织设计</w:t>
      </w:r>
      <w:bookmarkEnd w:id="578"/>
      <w:bookmarkEnd w:id="579"/>
      <w:bookmarkEnd w:id="580"/>
      <w:bookmarkEnd w:id="581"/>
      <w:bookmarkEnd w:id="582"/>
      <w:bookmarkEnd w:id="583"/>
      <w:bookmarkEnd w:id="584"/>
      <w:bookmarkEnd w:id="585"/>
      <w:bookmarkEnd w:id="586"/>
      <w:bookmarkEnd w:id="587"/>
      <w:bookmarkEnd w:id="588"/>
      <w:bookmarkEnd w:id="589"/>
      <w:bookmarkEnd w:id="590"/>
    </w:p>
    <w:p w14:paraId="6A0D747C">
      <w:pPr>
        <w:autoSpaceDE w:val="0"/>
        <w:autoSpaceDN w:val="0"/>
        <w:adjustRightInd w:val="0"/>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7.1.1 合</w:t>
      </w:r>
      <w:r>
        <w:rPr>
          <w:rFonts w:ascii="宋体" w:hAnsi="宋体"/>
          <w:color w:val="auto"/>
          <w:kern w:val="0"/>
          <w:szCs w:val="21"/>
          <w:highlight w:val="none"/>
        </w:rPr>
        <w:t>同当事人约定的施工组织设计应包括的其他内容：</w:t>
      </w:r>
      <w:r>
        <w:rPr>
          <w:rFonts w:hint="eastAsia" w:ascii="宋体" w:hAnsi="宋体"/>
          <w:color w:val="auto"/>
          <w:szCs w:val="22"/>
          <w:highlight w:val="none"/>
          <w:u w:val="single"/>
        </w:rPr>
        <w:t>按招标文件约定，招标文件无约定的按通用合同条款或双方另行约定</w:t>
      </w:r>
      <w:r>
        <w:rPr>
          <w:rFonts w:ascii="宋体" w:hAnsi="宋体"/>
          <w:color w:val="auto"/>
          <w:szCs w:val="21"/>
          <w:highlight w:val="none"/>
          <w:u w:val="single"/>
        </w:rPr>
        <w:t>。</w:t>
      </w:r>
      <w:r>
        <w:rPr>
          <w:rFonts w:hint="eastAsia" w:ascii="宋体" w:hAnsi="宋体"/>
          <w:color w:val="auto"/>
          <w:szCs w:val="21"/>
          <w:highlight w:val="none"/>
          <w:u w:val="single"/>
        </w:rPr>
        <w:t>如实际施工时发现承包人提供的施工组织设计方案存在缺陷，发包人可要求其对方案进行完善、修改，承包人必须无条件执行，直到发包人、监理人批准通过，报价人不能以施工组织设计方案调整为由要求调整合同单价子目单价或总价子目合价，也不能以此为由提出任何变更或索赔。发包人、监理人认为有必要，承包人除完善施工组织设计以外，还需编制临时工程或永久性工程的专项方案。但发包人及监理人的任何同意并不减轻或免除承包人的任何责任。</w:t>
      </w:r>
    </w:p>
    <w:p w14:paraId="6D5A7CE8">
      <w:pPr>
        <w:autoSpaceDE w:val="0"/>
        <w:autoSpaceDN w:val="0"/>
        <w:adjustRightInd w:val="0"/>
        <w:spacing w:line="360" w:lineRule="auto"/>
        <w:ind w:firstLine="420" w:firstLineChars="200"/>
        <w:jc w:val="left"/>
        <w:rPr>
          <w:rFonts w:ascii="宋体" w:hAnsi="宋体"/>
          <w:color w:val="auto"/>
          <w:kern w:val="0"/>
          <w:szCs w:val="21"/>
          <w:highlight w:val="none"/>
        </w:rPr>
      </w:pPr>
      <w:r>
        <w:rPr>
          <w:rFonts w:ascii="宋体" w:hAnsi="宋体"/>
          <w:color w:val="auto"/>
          <w:szCs w:val="21"/>
          <w:highlight w:val="none"/>
        </w:rPr>
        <w:t xml:space="preserve">7.1.2 </w:t>
      </w:r>
      <w:r>
        <w:rPr>
          <w:rFonts w:ascii="宋体" w:hAnsi="宋体"/>
          <w:color w:val="auto"/>
          <w:kern w:val="0"/>
          <w:szCs w:val="21"/>
          <w:highlight w:val="none"/>
        </w:rPr>
        <w:t>施工组织设计的提交和修改</w:t>
      </w:r>
    </w:p>
    <w:p w14:paraId="2C4C91EF">
      <w:pPr>
        <w:autoSpaceDE w:val="0"/>
        <w:autoSpaceDN w:val="0"/>
        <w:adjustRightInd w:val="0"/>
        <w:spacing w:line="360" w:lineRule="auto"/>
        <w:ind w:firstLine="420" w:firstLineChars="200"/>
        <w:jc w:val="left"/>
        <w:rPr>
          <w:rFonts w:ascii="宋体" w:hAnsi="宋体"/>
          <w:color w:val="auto"/>
          <w:szCs w:val="21"/>
          <w:highlight w:val="none"/>
          <w:u w:val="single"/>
        </w:rPr>
      </w:pPr>
      <w:r>
        <w:rPr>
          <w:rFonts w:ascii="宋体" w:hAnsi="宋体"/>
          <w:color w:val="auto"/>
          <w:kern w:val="0"/>
          <w:szCs w:val="21"/>
          <w:highlight w:val="none"/>
        </w:rPr>
        <w:t>承包人提交详细施工组织设计的期限的约定：</w:t>
      </w:r>
      <w:r>
        <w:rPr>
          <w:rFonts w:hint="eastAsia" w:ascii="宋体" w:hAnsi="宋体"/>
          <w:color w:val="auto"/>
          <w:szCs w:val="21"/>
          <w:highlight w:val="none"/>
          <w:u w:val="single"/>
        </w:rPr>
        <w:t>按通用合同条款条执行</w:t>
      </w:r>
      <w:r>
        <w:rPr>
          <w:rFonts w:ascii="宋体" w:hAnsi="宋体"/>
          <w:color w:val="auto"/>
          <w:szCs w:val="21"/>
          <w:highlight w:val="none"/>
        </w:rPr>
        <w:t>。</w:t>
      </w:r>
    </w:p>
    <w:p w14:paraId="0E9D36E0">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发包人和监理人在收到详细的施工组织设计后确认或提出修改意见的期限：</w:t>
      </w:r>
      <w:r>
        <w:rPr>
          <w:rFonts w:hint="eastAsia" w:ascii="宋体" w:hAnsi="宋体"/>
          <w:color w:val="auto"/>
          <w:szCs w:val="21"/>
          <w:highlight w:val="none"/>
          <w:u w:val="single"/>
        </w:rPr>
        <w:t>按通用合同条款条执行</w:t>
      </w:r>
      <w:r>
        <w:rPr>
          <w:rFonts w:ascii="宋体" w:hAnsi="宋体"/>
          <w:color w:val="auto"/>
          <w:szCs w:val="21"/>
          <w:highlight w:val="none"/>
        </w:rPr>
        <w:t>。</w:t>
      </w:r>
    </w:p>
    <w:p w14:paraId="287B4B08">
      <w:pPr>
        <w:keepNext/>
        <w:keepLines/>
        <w:spacing w:before="260" w:after="260" w:line="416" w:lineRule="auto"/>
        <w:outlineLvl w:val="2"/>
        <w:rPr>
          <w:rFonts w:ascii="宋体" w:hAnsi="宋体"/>
          <w:b/>
          <w:bCs/>
          <w:color w:val="auto"/>
          <w:sz w:val="32"/>
          <w:szCs w:val="32"/>
          <w:highlight w:val="none"/>
        </w:rPr>
      </w:pPr>
      <w:bookmarkStart w:id="591" w:name="_Toc529547350"/>
      <w:bookmarkStart w:id="592" w:name="_Toc389065290"/>
      <w:bookmarkStart w:id="593" w:name="_Toc470247825"/>
      <w:bookmarkStart w:id="594" w:name="_Toc530144492"/>
      <w:bookmarkStart w:id="595" w:name="_Toc373227724"/>
      <w:bookmarkStart w:id="596" w:name="_Toc432343912"/>
      <w:bookmarkStart w:id="597" w:name="_Toc531186627"/>
      <w:bookmarkStart w:id="598" w:name="_Toc461179266"/>
      <w:bookmarkStart w:id="599" w:name="_Toc472931631"/>
      <w:bookmarkStart w:id="600" w:name="_Toc373478371"/>
      <w:bookmarkStart w:id="601" w:name="_Toc454211136"/>
      <w:bookmarkStart w:id="602" w:name="_Toc529526998"/>
      <w:bookmarkStart w:id="603" w:name="_Toc411345205"/>
      <w:r>
        <w:rPr>
          <w:rFonts w:ascii="宋体" w:hAnsi="宋体"/>
          <w:b/>
          <w:bCs/>
          <w:color w:val="auto"/>
          <w:sz w:val="32"/>
          <w:szCs w:val="32"/>
          <w:highlight w:val="none"/>
        </w:rPr>
        <w:t>7</w:t>
      </w:r>
      <w:bookmarkStart w:id="604" w:name="_Toc297216173"/>
      <w:bookmarkStart w:id="605" w:name="_Toc312677479"/>
      <w:bookmarkStart w:id="606" w:name="_Toc312678005"/>
      <w:bookmarkStart w:id="607" w:name="_Toc297123514"/>
      <w:bookmarkStart w:id="608" w:name="_Toc303539123"/>
      <w:bookmarkStart w:id="609" w:name="_Toc300934966"/>
      <w:bookmarkStart w:id="610" w:name="_Toc304295541"/>
      <w:r>
        <w:rPr>
          <w:rFonts w:ascii="宋体" w:hAnsi="宋体"/>
          <w:b/>
          <w:bCs/>
          <w:color w:val="auto"/>
          <w:sz w:val="32"/>
          <w:szCs w:val="32"/>
          <w:highlight w:val="none"/>
        </w:rPr>
        <w:t>.2 施工进度计划</w:t>
      </w:r>
      <w:bookmarkEnd w:id="591"/>
      <w:bookmarkEnd w:id="592"/>
      <w:bookmarkEnd w:id="593"/>
      <w:bookmarkEnd w:id="594"/>
      <w:bookmarkEnd w:id="595"/>
      <w:bookmarkEnd w:id="596"/>
      <w:bookmarkEnd w:id="597"/>
      <w:bookmarkEnd w:id="598"/>
      <w:bookmarkEnd w:id="599"/>
      <w:bookmarkEnd w:id="600"/>
      <w:bookmarkEnd w:id="601"/>
      <w:bookmarkEnd w:id="602"/>
      <w:bookmarkEnd w:id="603"/>
    </w:p>
    <w:p w14:paraId="135219A2">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7.2.2 施工进度计划的修订</w:t>
      </w:r>
    </w:p>
    <w:p w14:paraId="0EEB480C">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发包人和监理人在收到修订的施工进度计划后确认或提出修改意见的期限：</w:t>
      </w:r>
      <w:r>
        <w:rPr>
          <w:rFonts w:hint="eastAsia" w:ascii="宋体" w:hAnsi="宋体"/>
          <w:color w:val="auto"/>
          <w:szCs w:val="21"/>
          <w:highlight w:val="none"/>
          <w:u w:val="single"/>
        </w:rPr>
        <w:t>按通用合同条款条执行</w:t>
      </w:r>
      <w:r>
        <w:rPr>
          <w:rFonts w:ascii="宋体" w:hAnsi="宋体"/>
          <w:color w:val="auto"/>
          <w:szCs w:val="21"/>
          <w:highlight w:val="none"/>
        </w:rPr>
        <w:t>。</w:t>
      </w:r>
    </w:p>
    <w:p w14:paraId="617B4A58">
      <w:pPr>
        <w:keepNext/>
        <w:keepLines/>
        <w:spacing w:before="260" w:after="260" w:line="416" w:lineRule="auto"/>
        <w:outlineLvl w:val="2"/>
        <w:rPr>
          <w:rFonts w:ascii="宋体" w:hAnsi="宋体"/>
          <w:b/>
          <w:bCs/>
          <w:color w:val="auto"/>
          <w:sz w:val="32"/>
          <w:szCs w:val="32"/>
          <w:highlight w:val="none"/>
        </w:rPr>
      </w:pPr>
      <w:bookmarkStart w:id="611" w:name="_Toc373227725"/>
      <w:bookmarkStart w:id="612" w:name="_Toc472931632"/>
      <w:bookmarkStart w:id="613" w:name="_Toc530144493"/>
      <w:bookmarkStart w:id="614" w:name="_Toc389065291"/>
      <w:bookmarkStart w:id="615" w:name="_Toc373478372"/>
      <w:bookmarkStart w:id="616" w:name="_Toc529547351"/>
      <w:bookmarkStart w:id="617" w:name="_Toc470247826"/>
      <w:bookmarkStart w:id="618" w:name="_Toc461179267"/>
      <w:bookmarkStart w:id="619" w:name="_Toc529526999"/>
      <w:bookmarkStart w:id="620" w:name="_Toc411345206"/>
      <w:bookmarkStart w:id="621" w:name="_Toc454211137"/>
      <w:bookmarkStart w:id="622" w:name="_Toc432343913"/>
      <w:bookmarkStart w:id="623" w:name="_Toc531186628"/>
      <w:r>
        <w:rPr>
          <w:rFonts w:ascii="宋体" w:hAnsi="宋体"/>
          <w:b/>
          <w:bCs/>
          <w:color w:val="auto"/>
          <w:sz w:val="32"/>
          <w:szCs w:val="32"/>
          <w:highlight w:val="none"/>
        </w:rPr>
        <w:t>7.3 开工</w:t>
      </w:r>
      <w:bookmarkEnd w:id="611"/>
      <w:bookmarkEnd w:id="612"/>
      <w:bookmarkEnd w:id="613"/>
      <w:bookmarkEnd w:id="614"/>
      <w:bookmarkEnd w:id="615"/>
      <w:bookmarkEnd w:id="616"/>
      <w:bookmarkEnd w:id="617"/>
      <w:bookmarkEnd w:id="618"/>
      <w:bookmarkEnd w:id="619"/>
      <w:bookmarkEnd w:id="620"/>
      <w:bookmarkEnd w:id="621"/>
      <w:bookmarkEnd w:id="622"/>
      <w:bookmarkEnd w:id="623"/>
    </w:p>
    <w:p w14:paraId="09B477B9">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7.3.1 开工准备</w:t>
      </w:r>
    </w:p>
    <w:p w14:paraId="583FDE97">
      <w:pPr>
        <w:spacing w:line="360" w:lineRule="auto"/>
        <w:ind w:firstLine="426"/>
        <w:jc w:val="left"/>
        <w:rPr>
          <w:rFonts w:ascii="宋体" w:hAnsi="宋体"/>
          <w:color w:val="auto"/>
          <w:szCs w:val="21"/>
          <w:highlight w:val="none"/>
          <w:u w:val="single"/>
        </w:rPr>
      </w:pPr>
      <w:r>
        <w:rPr>
          <w:rFonts w:ascii="宋体" w:hAnsi="宋体"/>
          <w:color w:val="auto"/>
          <w:szCs w:val="21"/>
          <w:highlight w:val="none"/>
        </w:rPr>
        <w:t>关于承包人提交</w:t>
      </w:r>
      <w:r>
        <w:rPr>
          <w:rFonts w:ascii="宋体" w:hAnsi="宋体"/>
          <w:color w:val="auto"/>
          <w:kern w:val="0"/>
          <w:szCs w:val="21"/>
          <w:highlight w:val="none"/>
        </w:rPr>
        <w:t>工程开工报审表的期限：</w:t>
      </w:r>
      <w:r>
        <w:rPr>
          <w:rFonts w:ascii="宋体" w:hAnsi="宋体"/>
          <w:bCs/>
          <w:color w:val="auto"/>
          <w:szCs w:val="21"/>
          <w:highlight w:val="none"/>
          <w:u w:val="single"/>
        </w:rPr>
        <w:t>开工</w:t>
      </w:r>
      <w:r>
        <w:rPr>
          <w:rFonts w:hint="eastAsia" w:ascii="宋体" w:hAnsi="宋体"/>
          <w:bCs/>
          <w:color w:val="auto"/>
          <w:szCs w:val="21"/>
          <w:highlight w:val="none"/>
          <w:u w:val="single"/>
        </w:rPr>
        <w:t>前7天</w:t>
      </w:r>
      <w:r>
        <w:rPr>
          <w:rFonts w:ascii="宋体" w:hAnsi="宋体"/>
          <w:color w:val="auto"/>
          <w:szCs w:val="21"/>
          <w:highlight w:val="none"/>
        </w:rPr>
        <w:t>。</w:t>
      </w:r>
    </w:p>
    <w:p w14:paraId="5913293F">
      <w:pPr>
        <w:spacing w:line="360" w:lineRule="auto"/>
        <w:ind w:firstLine="426"/>
        <w:jc w:val="left"/>
        <w:rPr>
          <w:rFonts w:ascii="宋体" w:hAnsi="宋体"/>
          <w:color w:val="auto"/>
          <w:szCs w:val="21"/>
          <w:highlight w:val="none"/>
          <w:u w:val="single"/>
        </w:rPr>
      </w:pPr>
      <w:r>
        <w:rPr>
          <w:rFonts w:ascii="宋体" w:hAnsi="宋体"/>
          <w:color w:val="auto"/>
          <w:szCs w:val="21"/>
          <w:highlight w:val="none"/>
        </w:rPr>
        <w:t>关于发包人应完成的其他开工准备工作及期限：</w:t>
      </w:r>
      <w:r>
        <w:rPr>
          <w:rFonts w:ascii="宋体" w:hAnsi="宋体"/>
          <w:bCs/>
          <w:color w:val="auto"/>
          <w:szCs w:val="21"/>
          <w:highlight w:val="none"/>
          <w:u w:val="single"/>
        </w:rPr>
        <w:t>开工</w:t>
      </w:r>
      <w:r>
        <w:rPr>
          <w:rFonts w:hint="eastAsia" w:ascii="宋体" w:hAnsi="宋体"/>
          <w:bCs/>
          <w:color w:val="auto"/>
          <w:szCs w:val="21"/>
          <w:highlight w:val="none"/>
          <w:u w:val="single"/>
        </w:rPr>
        <w:t>前7天</w:t>
      </w:r>
      <w:r>
        <w:rPr>
          <w:rFonts w:ascii="宋体" w:hAnsi="宋体"/>
          <w:color w:val="auto"/>
          <w:szCs w:val="21"/>
          <w:highlight w:val="none"/>
        </w:rPr>
        <w:t>。</w:t>
      </w:r>
    </w:p>
    <w:p w14:paraId="5AA37840">
      <w:pPr>
        <w:spacing w:line="360" w:lineRule="auto"/>
        <w:ind w:firstLine="420" w:firstLineChars="200"/>
        <w:jc w:val="left"/>
        <w:rPr>
          <w:rFonts w:ascii="宋体" w:hAnsi="宋体"/>
          <w:color w:val="auto"/>
          <w:szCs w:val="21"/>
          <w:highlight w:val="none"/>
          <w:u w:val="single"/>
        </w:rPr>
      </w:pPr>
      <w:r>
        <w:rPr>
          <w:rFonts w:ascii="宋体" w:hAnsi="宋体"/>
          <w:color w:val="auto"/>
          <w:szCs w:val="21"/>
          <w:highlight w:val="none"/>
        </w:rPr>
        <w:t>关于承包人应完成的其他开工准备工作及期限：</w:t>
      </w:r>
      <w:r>
        <w:rPr>
          <w:rFonts w:hint="eastAsia" w:ascii="宋体" w:hAnsi="宋体"/>
          <w:color w:val="auto"/>
          <w:szCs w:val="21"/>
          <w:highlight w:val="none"/>
          <w:u w:val="single"/>
        </w:rPr>
        <w:t>开工前3天</w:t>
      </w:r>
      <w:r>
        <w:rPr>
          <w:rFonts w:ascii="宋体" w:hAnsi="宋体"/>
          <w:color w:val="auto"/>
          <w:szCs w:val="21"/>
          <w:highlight w:val="none"/>
        </w:rPr>
        <w:t>。</w:t>
      </w:r>
    </w:p>
    <w:p w14:paraId="122D73A9">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7.3.2开工通知</w:t>
      </w:r>
    </w:p>
    <w:p w14:paraId="491F0477">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因发包人原因造成监理人未能在计划开工日期之日起</w:t>
      </w:r>
      <w:r>
        <w:rPr>
          <w:rFonts w:hint="eastAsia" w:ascii="宋体" w:hAnsi="宋体"/>
          <w:b/>
          <w:bCs/>
          <w:color w:val="auto"/>
          <w:szCs w:val="21"/>
          <w:highlight w:val="none"/>
          <w:u w:val="single"/>
        </w:rPr>
        <w:t>60</w:t>
      </w:r>
      <w:r>
        <w:rPr>
          <w:rFonts w:ascii="宋体" w:hAnsi="宋体"/>
          <w:color w:val="auto"/>
          <w:szCs w:val="21"/>
          <w:highlight w:val="none"/>
        </w:rPr>
        <w:t>天内发出开工通知的，承包人有权提出价格调整要求，或者解除合同。</w:t>
      </w:r>
    </w:p>
    <w:bookmarkEnd w:id="604"/>
    <w:bookmarkEnd w:id="605"/>
    <w:bookmarkEnd w:id="606"/>
    <w:bookmarkEnd w:id="607"/>
    <w:bookmarkEnd w:id="608"/>
    <w:bookmarkEnd w:id="609"/>
    <w:bookmarkEnd w:id="610"/>
    <w:p w14:paraId="75A078A4">
      <w:pPr>
        <w:keepNext/>
        <w:keepLines/>
        <w:spacing w:before="260" w:after="260" w:line="416" w:lineRule="auto"/>
        <w:outlineLvl w:val="2"/>
        <w:rPr>
          <w:rFonts w:ascii="宋体" w:hAnsi="宋体"/>
          <w:b/>
          <w:bCs/>
          <w:color w:val="auto"/>
          <w:sz w:val="32"/>
          <w:szCs w:val="21"/>
          <w:highlight w:val="none"/>
        </w:rPr>
      </w:pPr>
      <w:bookmarkStart w:id="624" w:name="_Toc454211138"/>
      <w:bookmarkStart w:id="625" w:name="_Toc461179268"/>
      <w:bookmarkStart w:id="626" w:name="_Toc529547352"/>
      <w:bookmarkStart w:id="627" w:name="_Toc411345207"/>
      <w:bookmarkStart w:id="628" w:name="_Toc470247827"/>
      <w:bookmarkStart w:id="629" w:name="_Toc531186629"/>
      <w:bookmarkStart w:id="630" w:name="_Toc472931633"/>
      <w:bookmarkStart w:id="631" w:name="_Toc373227726"/>
      <w:bookmarkStart w:id="632" w:name="_Toc432343914"/>
      <w:bookmarkStart w:id="633" w:name="_Toc529527000"/>
      <w:bookmarkStart w:id="634" w:name="_Toc373478373"/>
      <w:bookmarkStart w:id="635" w:name="_Toc530144494"/>
      <w:bookmarkStart w:id="636" w:name="_Toc389065292"/>
      <w:r>
        <w:rPr>
          <w:rFonts w:ascii="宋体" w:hAnsi="宋体"/>
          <w:b/>
          <w:bCs/>
          <w:color w:val="auto"/>
          <w:sz w:val="32"/>
          <w:szCs w:val="21"/>
          <w:highlight w:val="none"/>
        </w:rPr>
        <w:t>7.4 测量放线</w:t>
      </w:r>
      <w:bookmarkEnd w:id="624"/>
      <w:bookmarkEnd w:id="625"/>
      <w:bookmarkEnd w:id="626"/>
      <w:bookmarkEnd w:id="627"/>
      <w:bookmarkEnd w:id="628"/>
      <w:bookmarkEnd w:id="629"/>
      <w:bookmarkEnd w:id="630"/>
      <w:bookmarkEnd w:id="631"/>
      <w:bookmarkEnd w:id="632"/>
      <w:bookmarkEnd w:id="633"/>
      <w:bookmarkEnd w:id="634"/>
      <w:bookmarkEnd w:id="635"/>
      <w:bookmarkEnd w:id="636"/>
    </w:p>
    <w:p w14:paraId="3B93B532">
      <w:pPr>
        <w:spacing w:line="360" w:lineRule="auto"/>
        <w:ind w:firstLine="420" w:firstLineChars="200"/>
        <w:jc w:val="left"/>
        <w:rPr>
          <w:rFonts w:ascii="宋体" w:hAnsi="宋体"/>
          <w:color w:val="auto"/>
          <w:szCs w:val="21"/>
          <w:highlight w:val="none"/>
          <w:u w:val="single"/>
        </w:rPr>
      </w:pPr>
      <w:r>
        <w:rPr>
          <w:rFonts w:ascii="宋体" w:hAnsi="宋体"/>
          <w:color w:val="auto"/>
          <w:szCs w:val="21"/>
          <w:highlight w:val="none"/>
        </w:rPr>
        <w:t>7.4.1发包人通过监理人向承包人提供测量基准点、基准线和水准点及其书面资料的期限：</w:t>
      </w:r>
      <w:r>
        <w:rPr>
          <w:rFonts w:hint="eastAsia" w:ascii="宋体" w:hAnsi="宋体"/>
          <w:bCs/>
          <w:color w:val="auto"/>
          <w:szCs w:val="21"/>
          <w:highlight w:val="none"/>
          <w:u w:val="single"/>
        </w:rPr>
        <w:t>按通用合同条款执行</w:t>
      </w:r>
      <w:r>
        <w:rPr>
          <w:rFonts w:ascii="宋体" w:hAnsi="宋体"/>
          <w:color w:val="auto"/>
          <w:szCs w:val="21"/>
          <w:highlight w:val="none"/>
        </w:rPr>
        <w:t>。</w:t>
      </w:r>
    </w:p>
    <w:p w14:paraId="47150560">
      <w:pPr>
        <w:keepNext/>
        <w:keepLines/>
        <w:spacing w:before="260" w:after="260" w:line="416" w:lineRule="auto"/>
        <w:outlineLvl w:val="2"/>
        <w:rPr>
          <w:rFonts w:ascii="宋体" w:hAnsi="宋体"/>
          <w:b/>
          <w:bCs/>
          <w:color w:val="auto"/>
          <w:sz w:val="32"/>
          <w:szCs w:val="21"/>
          <w:highlight w:val="none"/>
        </w:rPr>
      </w:pPr>
      <w:bookmarkStart w:id="637" w:name="_Toc472931634"/>
      <w:bookmarkStart w:id="638" w:name="_Toc454211139"/>
      <w:bookmarkStart w:id="639" w:name="_Toc432343915"/>
      <w:bookmarkStart w:id="640" w:name="_Toc530144495"/>
      <w:bookmarkStart w:id="641" w:name="_Toc373478374"/>
      <w:bookmarkStart w:id="642" w:name="_Toc529527001"/>
      <w:bookmarkStart w:id="643" w:name="_Toc531186630"/>
      <w:bookmarkStart w:id="644" w:name="_Toc389065293"/>
      <w:bookmarkStart w:id="645" w:name="_Toc461179269"/>
      <w:bookmarkStart w:id="646" w:name="_Toc411345208"/>
      <w:bookmarkStart w:id="647" w:name="_Toc470247828"/>
      <w:bookmarkStart w:id="648" w:name="_Toc373227727"/>
      <w:bookmarkStart w:id="649" w:name="_Toc529547353"/>
      <w:r>
        <w:rPr>
          <w:rFonts w:ascii="宋体" w:hAnsi="宋体"/>
          <w:b/>
          <w:bCs/>
          <w:color w:val="auto"/>
          <w:sz w:val="32"/>
          <w:szCs w:val="21"/>
          <w:highlight w:val="none"/>
        </w:rPr>
        <w:t>7</w:t>
      </w:r>
      <w:bookmarkStart w:id="650" w:name="_Toc312678010"/>
      <w:bookmarkStart w:id="651" w:name="_Toc312677484"/>
      <w:bookmarkStart w:id="652" w:name="_Toc297123516"/>
      <w:bookmarkStart w:id="653" w:name="_Toc303539125"/>
      <w:bookmarkStart w:id="654" w:name="_Toc300934968"/>
      <w:bookmarkStart w:id="655" w:name="_Toc297216175"/>
      <w:bookmarkStart w:id="656" w:name="_Toc304295546"/>
      <w:r>
        <w:rPr>
          <w:rFonts w:ascii="宋体" w:hAnsi="宋体"/>
          <w:b/>
          <w:bCs/>
          <w:color w:val="auto"/>
          <w:sz w:val="32"/>
          <w:szCs w:val="21"/>
          <w:highlight w:val="none"/>
        </w:rPr>
        <w:t>.5 工期延误</w:t>
      </w:r>
      <w:bookmarkEnd w:id="637"/>
      <w:bookmarkEnd w:id="638"/>
      <w:bookmarkEnd w:id="639"/>
      <w:bookmarkEnd w:id="640"/>
      <w:bookmarkEnd w:id="641"/>
      <w:bookmarkEnd w:id="642"/>
      <w:bookmarkEnd w:id="643"/>
      <w:bookmarkEnd w:id="644"/>
      <w:bookmarkEnd w:id="645"/>
      <w:bookmarkEnd w:id="646"/>
      <w:bookmarkEnd w:id="647"/>
      <w:bookmarkEnd w:id="648"/>
      <w:bookmarkEnd w:id="649"/>
    </w:p>
    <w:bookmarkEnd w:id="650"/>
    <w:bookmarkEnd w:id="651"/>
    <w:bookmarkEnd w:id="652"/>
    <w:bookmarkEnd w:id="653"/>
    <w:bookmarkEnd w:id="654"/>
    <w:bookmarkEnd w:id="655"/>
    <w:bookmarkEnd w:id="656"/>
    <w:p w14:paraId="0F096287">
      <w:pPr>
        <w:keepNext/>
        <w:keepLines/>
        <w:spacing w:before="260" w:after="260" w:line="416" w:lineRule="auto"/>
        <w:outlineLvl w:val="2"/>
        <w:rPr>
          <w:b/>
          <w:bCs/>
          <w:color w:val="auto"/>
          <w:sz w:val="32"/>
          <w:szCs w:val="32"/>
          <w:highlight w:val="none"/>
        </w:rPr>
      </w:pPr>
      <w:bookmarkStart w:id="657" w:name="_Toc472931635"/>
      <w:bookmarkStart w:id="658" w:name="_Toc465114887"/>
      <w:bookmarkStart w:id="659" w:name="_Toc529527002"/>
      <w:bookmarkStart w:id="660" w:name="_Toc531186631"/>
      <w:bookmarkStart w:id="661" w:name="_Toc470247829"/>
      <w:bookmarkStart w:id="662" w:name="_Toc529547354"/>
      <w:bookmarkStart w:id="663" w:name="_Toc530144496"/>
      <w:r>
        <w:rPr>
          <w:b/>
          <w:bCs/>
          <w:color w:val="auto"/>
          <w:sz w:val="32"/>
          <w:szCs w:val="32"/>
          <w:highlight w:val="none"/>
        </w:rPr>
        <w:t xml:space="preserve">7.5 </w:t>
      </w:r>
      <w:r>
        <w:rPr>
          <w:rFonts w:hAnsi="宋体"/>
          <w:b/>
          <w:bCs/>
          <w:color w:val="auto"/>
          <w:sz w:val="32"/>
          <w:szCs w:val="32"/>
          <w:highlight w:val="none"/>
        </w:rPr>
        <w:t>工期延误</w:t>
      </w:r>
      <w:bookmarkEnd w:id="657"/>
      <w:bookmarkEnd w:id="658"/>
      <w:bookmarkEnd w:id="659"/>
      <w:bookmarkEnd w:id="660"/>
      <w:bookmarkEnd w:id="661"/>
      <w:bookmarkEnd w:id="662"/>
      <w:bookmarkEnd w:id="663"/>
    </w:p>
    <w:p w14:paraId="224782FC">
      <w:pPr>
        <w:spacing w:line="360" w:lineRule="auto"/>
        <w:ind w:firstLine="420" w:firstLineChars="200"/>
        <w:jc w:val="left"/>
        <w:rPr>
          <w:rFonts w:ascii="Calibri" w:hAnsi="Calibri"/>
          <w:color w:val="auto"/>
          <w:szCs w:val="21"/>
          <w:highlight w:val="none"/>
        </w:rPr>
      </w:pPr>
      <w:r>
        <w:rPr>
          <w:rFonts w:ascii="Calibri" w:hAnsi="Calibri"/>
          <w:color w:val="auto"/>
          <w:szCs w:val="21"/>
          <w:highlight w:val="none"/>
        </w:rPr>
        <w:t xml:space="preserve">7.5.1 </w:t>
      </w:r>
      <w:r>
        <w:rPr>
          <w:rFonts w:ascii="Calibri" w:hAnsi="宋体"/>
          <w:color w:val="auto"/>
          <w:szCs w:val="21"/>
          <w:highlight w:val="none"/>
        </w:rPr>
        <w:t>因发包人原因导致工期延误</w:t>
      </w:r>
    </w:p>
    <w:p w14:paraId="53EB8468">
      <w:pPr>
        <w:spacing w:line="360" w:lineRule="auto"/>
        <w:ind w:firstLine="420" w:firstLineChars="200"/>
        <w:jc w:val="left"/>
        <w:rPr>
          <w:rFonts w:ascii="Calibri" w:hAnsi="Calibri"/>
          <w:color w:val="auto"/>
          <w:szCs w:val="21"/>
          <w:highlight w:val="none"/>
          <w:u w:val="single"/>
        </w:rPr>
      </w:pPr>
      <w:r>
        <w:rPr>
          <w:rFonts w:ascii="Calibri" w:hAnsi="宋体"/>
          <w:color w:val="auto"/>
          <w:szCs w:val="21"/>
          <w:highlight w:val="none"/>
        </w:rPr>
        <w:t>因发包人原因导致工期延误的其他情形：</w:t>
      </w:r>
      <w:r>
        <w:rPr>
          <w:rFonts w:hint="eastAsia" w:ascii="宋体" w:hAnsi="宋体"/>
          <w:color w:val="auto"/>
          <w:szCs w:val="21"/>
          <w:highlight w:val="none"/>
          <w:u w:val="single"/>
        </w:rPr>
        <w:t>①重大图纸变更影响</w:t>
      </w:r>
      <w:r>
        <w:rPr>
          <w:rFonts w:hint="eastAsia" w:hAnsi="宋体"/>
          <w:color w:val="auto"/>
          <w:szCs w:val="21"/>
          <w:highlight w:val="none"/>
          <w:u w:val="single"/>
          <w:lang w:eastAsia="zh-CN"/>
        </w:rPr>
        <w:t>关键</w:t>
      </w:r>
      <w:r>
        <w:rPr>
          <w:rFonts w:hint="eastAsia" w:ascii="宋体" w:hAnsi="宋体"/>
          <w:color w:val="auto"/>
          <w:szCs w:val="21"/>
          <w:highlight w:val="none"/>
          <w:u w:val="single"/>
        </w:rPr>
        <w:t>线路工序施工；②施工期间如因</w:t>
      </w:r>
      <w:r>
        <w:rPr>
          <w:rFonts w:hint="eastAsia" w:hAnsi="宋体"/>
          <w:color w:val="auto"/>
          <w:szCs w:val="21"/>
          <w:highlight w:val="none"/>
          <w:u w:val="single"/>
          <w:lang w:eastAsia="zh-CN"/>
        </w:rPr>
        <w:t>发包人单方原因导致</w:t>
      </w:r>
      <w:r>
        <w:rPr>
          <w:rFonts w:hint="eastAsia" w:ascii="宋体" w:hAnsi="宋体"/>
          <w:color w:val="auto"/>
          <w:szCs w:val="21"/>
          <w:highlight w:val="none"/>
          <w:u w:val="single"/>
        </w:rPr>
        <w:t>停电、停水连续</w:t>
      </w:r>
      <w:r>
        <w:rPr>
          <w:rFonts w:ascii="宋体" w:hAnsi="宋体"/>
          <w:color w:val="auto"/>
          <w:szCs w:val="21"/>
          <w:highlight w:val="none"/>
          <w:u w:val="single"/>
        </w:rPr>
        <w:t>8</w:t>
      </w:r>
      <w:r>
        <w:rPr>
          <w:rFonts w:hint="eastAsia" w:ascii="宋体" w:hAnsi="宋体"/>
          <w:color w:val="auto"/>
          <w:szCs w:val="21"/>
          <w:highlight w:val="none"/>
          <w:u w:val="single"/>
        </w:rPr>
        <w:t>小时以上或一周内间歇性停水、停电累计</w:t>
      </w:r>
      <w:r>
        <w:rPr>
          <w:rFonts w:ascii="宋体" w:hAnsi="宋体"/>
          <w:color w:val="auto"/>
          <w:szCs w:val="21"/>
          <w:highlight w:val="none"/>
          <w:u w:val="single"/>
        </w:rPr>
        <w:t>8</w:t>
      </w:r>
      <w:r>
        <w:rPr>
          <w:rFonts w:hint="eastAsia" w:ascii="宋体" w:hAnsi="宋体"/>
          <w:color w:val="auto"/>
          <w:szCs w:val="21"/>
          <w:highlight w:val="none"/>
          <w:u w:val="single"/>
        </w:rPr>
        <w:t>小时（含</w:t>
      </w:r>
      <w:r>
        <w:rPr>
          <w:rFonts w:ascii="宋体" w:hAnsi="宋体"/>
          <w:color w:val="auto"/>
          <w:szCs w:val="21"/>
          <w:highlight w:val="none"/>
          <w:u w:val="single"/>
        </w:rPr>
        <w:t>8</w:t>
      </w:r>
      <w:r>
        <w:rPr>
          <w:rFonts w:hint="eastAsia" w:ascii="宋体" w:hAnsi="宋体"/>
          <w:color w:val="auto"/>
          <w:szCs w:val="21"/>
          <w:highlight w:val="none"/>
          <w:u w:val="single"/>
        </w:rPr>
        <w:t>小时）</w:t>
      </w:r>
      <w:r>
        <w:rPr>
          <w:rFonts w:hint="eastAsia" w:hAnsi="宋体"/>
          <w:color w:val="auto"/>
          <w:szCs w:val="21"/>
          <w:highlight w:val="none"/>
          <w:u w:val="single"/>
          <w:lang w:eastAsia="zh-CN"/>
        </w:rPr>
        <w:t>，且直接</w:t>
      </w:r>
      <w:r>
        <w:rPr>
          <w:rFonts w:hint="eastAsia" w:ascii="宋体" w:hAnsi="宋体"/>
          <w:color w:val="auto"/>
          <w:szCs w:val="21"/>
          <w:highlight w:val="none"/>
          <w:u w:val="single"/>
        </w:rPr>
        <w:t>影响</w:t>
      </w:r>
      <w:r>
        <w:rPr>
          <w:rFonts w:hint="eastAsia" w:hAnsi="宋体"/>
          <w:color w:val="auto"/>
          <w:szCs w:val="21"/>
          <w:highlight w:val="none"/>
          <w:u w:val="single"/>
          <w:lang w:eastAsia="zh-CN"/>
        </w:rPr>
        <w:t>工程关键线路工序</w:t>
      </w:r>
      <w:r>
        <w:rPr>
          <w:rFonts w:hint="eastAsia" w:ascii="宋体" w:hAnsi="宋体"/>
          <w:color w:val="auto"/>
          <w:szCs w:val="21"/>
          <w:highlight w:val="none"/>
          <w:u w:val="single"/>
        </w:rPr>
        <w:t>正常施工的。③政府指令性停工。④在施工过程中遇到地下障碍物、溶洞、岩石、文物或地下管线的</w:t>
      </w:r>
      <w:r>
        <w:rPr>
          <w:rFonts w:hint="eastAsia" w:hAnsi="宋体"/>
          <w:color w:val="auto"/>
          <w:szCs w:val="21"/>
          <w:highlight w:val="none"/>
          <w:u w:val="single"/>
          <w:lang w:eastAsia="zh-CN"/>
        </w:rPr>
        <w:t>，且直接影响工程关键线路工序施工</w:t>
      </w:r>
      <w:r>
        <w:rPr>
          <w:rFonts w:hint="eastAsia" w:ascii="宋体" w:hAnsi="宋体"/>
          <w:color w:val="auto"/>
          <w:szCs w:val="21"/>
          <w:highlight w:val="none"/>
          <w:u w:val="single"/>
        </w:rPr>
        <w:t>。⑤因发包人未能及时确认变更价格或甲供材料提供延误的。⑥非承包人的责任造成的工期延误其他情形。</w:t>
      </w:r>
    </w:p>
    <w:p w14:paraId="6C5D149A">
      <w:pPr>
        <w:spacing w:line="360" w:lineRule="auto"/>
        <w:ind w:firstLine="420" w:firstLineChars="200"/>
        <w:jc w:val="left"/>
        <w:rPr>
          <w:rFonts w:ascii="Calibri" w:hAnsi="Calibri"/>
          <w:color w:val="auto"/>
          <w:szCs w:val="21"/>
          <w:highlight w:val="none"/>
        </w:rPr>
      </w:pPr>
      <w:r>
        <w:rPr>
          <w:rFonts w:ascii="Calibri" w:hAnsi="Calibri"/>
          <w:color w:val="auto"/>
          <w:szCs w:val="21"/>
          <w:highlight w:val="none"/>
        </w:rPr>
        <w:t>7</w:t>
      </w:r>
      <w:bookmarkStart w:id="664" w:name="_Toc312677486"/>
      <w:bookmarkStart w:id="665" w:name="_Toc312678012"/>
      <w:bookmarkStart w:id="666" w:name="_Toc318581169"/>
      <w:bookmarkStart w:id="667" w:name="_Toc297216177"/>
      <w:bookmarkStart w:id="668" w:name="_Toc303539127"/>
      <w:bookmarkStart w:id="669" w:name="_Toc300934970"/>
      <w:bookmarkStart w:id="670" w:name="_Toc304295548"/>
      <w:bookmarkStart w:id="671" w:name="_Toc297123518"/>
      <w:r>
        <w:rPr>
          <w:rFonts w:ascii="Calibri" w:hAnsi="Calibri"/>
          <w:color w:val="auto"/>
          <w:szCs w:val="21"/>
          <w:highlight w:val="none"/>
        </w:rPr>
        <w:t xml:space="preserve">.5.2 </w:t>
      </w:r>
      <w:r>
        <w:rPr>
          <w:rFonts w:ascii="Calibri" w:hAnsi="宋体"/>
          <w:color w:val="auto"/>
          <w:szCs w:val="21"/>
          <w:highlight w:val="none"/>
        </w:rPr>
        <w:t>因承包人原因导致工期延误</w:t>
      </w:r>
    </w:p>
    <w:bookmarkEnd w:id="664"/>
    <w:bookmarkEnd w:id="665"/>
    <w:bookmarkEnd w:id="666"/>
    <w:p w14:paraId="300807ED">
      <w:pPr>
        <w:spacing w:line="360" w:lineRule="auto"/>
        <w:ind w:firstLine="420" w:firstLineChars="200"/>
        <w:jc w:val="left"/>
        <w:rPr>
          <w:rFonts w:ascii="Calibri" w:hAnsi="Calibri"/>
          <w:color w:val="auto"/>
          <w:szCs w:val="21"/>
          <w:highlight w:val="none"/>
        </w:rPr>
      </w:pPr>
      <w:r>
        <w:rPr>
          <w:rFonts w:ascii="Calibri" w:hAnsi="宋体"/>
          <w:color w:val="auto"/>
          <w:szCs w:val="21"/>
          <w:highlight w:val="none"/>
        </w:rPr>
        <w:t>双方约定经监理工程师确认，工期相应顺延的情况：</w:t>
      </w:r>
      <w:r>
        <w:rPr>
          <w:rFonts w:hint="eastAsia" w:ascii="Calibri" w:hAnsi="Calibri"/>
          <w:color w:val="auto"/>
          <w:szCs w:val="21"/>
          <w:highlight w:val="none"/>
          <w:u w:val="single"/>
        </w:rPr>
        <w:t>∕</w:t>
      </w:r>
      <w:r>
        <w:rPr>
          <w:rFonts w:ascii="Calibri" w:hAnsi="宋体"/>
          <w:color w:val="auto"/>
          <w:szCs w:val="21"/>
          <w:highlight w:val="none"/>
        </w:rPr>
        <w:t>。</w:t>
      </w:r>
    </w:p>
    <w:p w14:paraId="12EA30D2">
      <w:pPr>
        <w:spacing w:line="360" w:lineRule="auto"/>
        <w:ind w:firstLine="420" w:firstLineChars="200"/>
        <w:jc w:val="left"/>
        <w:rPr>
          <w:rFonts w:ascii="Calibri" w:hAnsi="Calibri"/>
          <w:color w:val="auto"/>
          <w:szCs w:val="21"/>
          <w:highlight w:val="none"/>
          <w:u w:val="single"/>
        </w:rPr>
      </w:pPr>
      <w:r>
        <w:rPr>
          <w:rFonts w:ascii="Calibri" w:hAnsi="宋体"/>
          <w:color w:val="auto"/>
          <w:szCs w:val="21"/>
          <w:highlight w:val="none"/>
        </w:rPr>
        <w:t>因</w:t>
      </w:r>
      <w:bookmarkStart w:id="672" w:name="_Toc312677487"/>
      <w:bookmarkStart w:id="673" w:name="_Toc312678013"/>
      <w:bookmarkStart w:id="674" w:name="_Toc318581170"/>
      <w:r>
        <w:rPr>
          <w:rFonts w:ascii="Calibri" w:hAnsi="宋体"/>
          <w:color w:val="auto"/>
          <w:szCs w:val="21"/>
          <w:highlight w:val="none"/>
        </w:rPr>
        <w:t>承包人原因造成工期延误，逾期竣工违约金的计算方法为：</w:t>
      </w:r>
      <w:r>
        <w:rPr>
          <w:rFonts w:ascii="Calibri" w:hAnsi="宋体"/>
          <w:color w:val="auto"/>
          <w:szCs w:val="21"/>
          <w:highlight w:val="none"/>
          <w:u w:val="single"/>
        </w:rPr>
        <w:t>非上述原因，承包人不能按合同约定的时间竣工，承包人应承担违约责任。应向发包人支付误期赔偿费（赔偿费</w:t>
      </w:r>
      <w:r>
        <w:rPr>
          <w:rFonts w:hint="eastAsia" w:ascii="宋体" w:hAnsi="宋体"/>
          <w:color w:val="auto"/>
          <w:szCs w:val="21"/>
          <w:highlight w:val="none"/>
          <w:u w:val="single"/>
        </w:rPr>
        <w:t>按逾期竣工的单栋工程罚款，每延误一天,按该栋工程结算造价</w:t>
      </w:r>
      <w:r>
        <w:rPr>
          <w:rFonts w:ascii="宋体" w:hAnsi="宋体"/>
          <w:color w:val="auto"/>
          <w:szCs w:val="21"/>
          <w:highlight w:val="none"/>
          <w:u w:val="single"/>
        </w:rPr>
        <w:t>扣除建安劳保费、发包人材料</w:t>
      </w:r>
      <w:r>
        <w:rPr>
          <w:rFonts w:hint="eastAsia" w:ascii="宋体" w:hAnsi="宋体"/>
          <w:color w:val="auto"/>
          <w:szCs w:val="21"/>
          <w:highlight w:val="none"/>
          <w:u w:val="single"/>
        </w:rPr>
        <w:t>设备</w:t>
      </w:r>
      <w:r>
        <w:rPr>
          <w:rFonts w:ascii="宋体" w:hAnsi="宋体"/>
          <w:color w:val="auto"/>
          <w:szCs w:val="21"/>
          <w:highlight w:val="none"/>
          <w:u w:val="single"/>
        </w:rPr>
        <w:t>价款、暂估专业工程、暂列金额后</w:t>
      </w:r>
      <w:r>
        <w:rPr>
          <w:rFonts w:hint="eastAsia" w:ascii="宋体" w:hAnsi="宋体"/>
          <w:color w:val="auto"/>
          <w:szCs w:val="21"/>
          <w:highlight w:val="none"/>
          <w:u w:val="single"/>
        </w:rPr>
        <w:t>的万分之四处罚,罚款直接从结算款中扣除。</w:t>
      </w:r>
      <w:r>
        <w:rPr>
          <w:rFonts w:ascii="Calibri" w:hAnsi="宋体"/>
          <w:color w:val="auto"/>
          <w:szCs w:val="21"/>
          <w:highlight w:val="none"/>
          <w:u w:val="single"/>
        </w:rPr>
        <w:t>），误期时间从规定竣工日期起直到相应工程竣工验收各方签章日期之间的天数（扣除发包人批准顺延的工期）。发包人可从应向承包人支付的任何金额中扣除此项赔款费或其他方式收回此款，此赔偿款的支付并不能解除承包人应完成工程的责任或合同规定的其他责任。</w:t>
      </w:r>
    </w:p>
    <w:bookmarkEnd w:id="667"/>
    <w:bookmarkEnd w:id="668"/>
    <w:bookmarkEnd w:id="669"/>
    <w:bookmarkEnd w:id="670"/>
    <w:bookmarkEnd w:id="671"/>
    <w:bookmarkEnd w:id="672"/>
    <w:bookmarkEnd w:id="673"/>
    <w:bookmarkEnd w:id="674"/>
    <w:p w14:paraId="52C9511F">
      <w:pPr>
        <w:spacing w:line="360" w:lineRule="auto"/>
        <w:ind w:firstLine="420" w:firstLineChars="200"/>
        <w:jc w:val="left"/>
        <w:rPr>
          <w:rFonts w:hint="eastAsia" w:ascii="Calibri" w:hAnsi="宋体" w:eastAsia="宋体"/>
          <w:color w:val="auto"/>
          <w:szCs w:val="21"/>
          <w:highlight w:val="none"/>
          <w:lang w:eastAsia="zh-CN"/>
        </w:rPr>
      </w:pPr>
      <w:r>
        <w:rPr>
          <w:rFonts w:ascii="Calibri" w:hAnsi="宋体"/>
          <w:color w:val="auto"/>
          <w:szCs w:val="21"/>
          <w:highlight w:val="none"/>
        </w:rPr>
        <w:t>因承包人原因造成工期延误，逾期竣工违约金的上限：</w:t>
      </w:r>
      <w:r>
        <w:rPr>
          <w:rFonts w:hint="eastAsia" w:hAnsi="宋体"/>
          <w:color w:val="auto"/>
          <w:szCs w:val="21"/>
          <w:highlight w:val="none"/>
          <w:u w:val="single"/>
          <w:lang w:val="en-US" w:eastAsia="zh-CN"/>
        </w:rPr>
        <w:t>无</w:t>
      </w:r>
    </w:p>
    <w:p w14:paraId="3D406003">
      <w:pPr>
        <w:keepNext/>
        <w:keepLines/>
        <w:spacing w:before="260" w:after="260" w:line="416" w:lineRule="auto"/>
        <w:outlineLvl w:val="2"/>
        <w:rPr>
          <w:rFonts w:ascii="宋体" w:hAnsi="宋体"/>
          <w:b/>
          <w:bCs/>
          <w:color w:val="auto"/>
          <w:sz w:val="32"/>
          <w:szCs w:val="21"/>
          <w:highlight w:val="none"/>
        </w:rPr>
      </w:pPr>
      <w:bookmarkStart w:id="675" w:name="_Toc454211140"/>
      <w:bookmarkStart w:id="676" w:name="_Toc373227728"/>
      <w:bookmarkStart w:id="677" w:name="_Toc389065294"/>
      <w:bookmarkStart w:id="678" w:name="_Toc373478375"/>
      <w:bookmarkStart w:id="679" w:name="_Toc530144497"/>
      <w:bookmarkStart w:id="680" w:name="_Toc470247830"/>
      <w:bookmarkStart w:id="681" w:name="_Toc432343916"/>
      <w:bookmarkStart w:id="682" w:name="_Toc531186632"/>
      <w:bookmarkStart w:id="683" w:name="_Toc461179270"/>
      <w:bookmarkStart w:id="684" w:name="_Toc529547355"/>
      <w:bookmarkStart w:id="685" w:name="_Toc529527003"/>
      <w:bookmarkStart w:id="686" w:name="_Toc472931636"/>
      <w:bookmarkStart w:id="687" w:name="_Toc411345209"/>
      <w:r>
        <w:rPr>
          <w:rFonts w:ascii="宋体" w:hAnsi="宋体"/>
          <w:b/>
          <w:bCs/>
          <w:color w:val="auto"/>
          <w:sz w:val="32"/>
          <w:szCs w:val="21"/>
          <w:highlight w:val="none"/>
        </w:rPr>
        <w:t>7</w:t>
      </w:r>
      <w:bookmarkStart w:id="688" w:name="_Toc304295549"/>
      <w:bookmarkStart w:id="689" w:name="_Toc300934971"/>
      <w:bookmarkStart w:id="690" w:name="_Toc312678015"/>
      <w:bookmarkStart w:id="691" w:name="_Toc297123519"/>
      <w:bookmarkStart w:id="692" w:name="_Toc297216178"/>
      <w:bookmarkStart w:id="693" w:name="_Toc303539128"/>
      <w:r>
        <w:rPr>
          <w:rFonts w:ascii="宋体" w:hAnsi="宋体"/>
          <w:b/>
          <w:bCs/>
          <w:color w:val="auto"/>
          <w:sz w:val="32"/>
          <w:szCs w:val="21"/>
          <w:highlight w:val="none"/>
        </w:rPr>
        <w:t>.6 不</w:t>
      </w:r>
      <w:bookmarkEnd w:id="688"/>
      <w:bookmarkEnd w:id="689"/>
      <w:bookmarkEnd w:id="690"/>
      <w:bookmarkEnd w:id="691"/>
      <w:bookmarkEnd w:id="692"/>
      <w:bookmarkEnd w:id="693"/>
      <w:r>
        <w:rPr>
          <w:rFonts w:ascii="宋体" w:hAnsi="宋体"/>
          <w:b/>
          <w:bCs/>
          <w:color w:val="auto"/>
          <w:sz w:val="32"/>
          <w:szCs w:val="21"/>
          <w:highlight w:val="none"/>
        </w:rPr>
        <w:t>利物质条件</w:t>
      </w:r>
      <w:bookmarkEnd w:id="675"/>
      <w:bookmarkEnd w:id="676"/>
      <w:bookmarkEnd w:id="677"/>
      <w:bookmarkEnd w:id="678"/>
      <w:bookmarkEnd w:id="679"/>
      <w:bookmarkEnd w:id="680"/>
      <w:bookmarkEnd w:id="681"/>
      <w:bookmarkEnd w:id="682"/>
      <w:bookmarkEnd w:id="683"/>
      <w:bookmarkEnd w:id="684"/>
      <w:bookmarkEnd w:id="685"/>
      <w:bookmarkEnd w:id="686"/>
      <w:bookmarkEnd w:id="687"/>
    </w:p>
    <w:p w14:paraId="03A62C6C">
      <w:pPr>
        <w:spacing w:line="360" w:lineRule="auto"/>
        <w:ind w:firstLine="420" w:firstLineChars="200"/>
        <w:jc w:val="left"/>
        <w:rPr>
          <w:rFonts w:ascii="宋体" w:hAnsi="宋体"/>
          <w:color w:val="auto"/>
          <w:szCs w:val="21"/>
          <w:highlight w:val="none"/>
          <w:u w:val="single"/>
        </w:rPr>
      </w:pPr>
      <w:bookmarkStart w:id="694" w:name="_Toc304295550"/>
      <w:bookmarkStart w:id="695" w:name="_Toc297123520"/>
      <w:bookmarkStart w:id="696" w:name="_Toc312678016"/>
      <w:bookmarkStart w:id="697" w:name="_Toc318581172"/>
      <w:bookmarkStart w:id="698" w:name="_Toc300934972"/>
      <w:bookmarkStart w:id="699" w:name="_Toc303539129"/>
      <w:bookmarkStart w:id="700" w:name="_Toc297216179"/>
      <w:r>
        <w:rPr>
          <w:rFonts w:ascii="宋体" w:hAnsi="宋体"/>
          <w:color w:val="auto"/>
          <w:szCs w:val="21"/>
          <w:highlight w:val="none"/>
        </w:rPr>
        <w:t>不利物质条件的其他情形和有关约定：</w:t>
      </w:r>
      <w:r>
        <w:rPr>
          <w:rFonts w:hint="eastAsia" w:ascii="宋体" w:hAnsi="宋体"/>
          <w:color w:val="auto"/>
          <w:szCs w:val="21"/>
          <w:highlight w:val="none"/>
          <w:u w:val="single"/>
        </w:rPr>
        <w:t>无</w:t>
      </w:r>
      <w:r>
        <w:rPr>
          <w:rFonts w:ascii="宋体" w:hAnsi="宋体"/>
          <w:color w:val="auto"/>
          <w:szCs w:val="21"/>
          <w:highlight w:val="none"/>
        </w:rPr>
        <w:t>。</w:t>
      </w:r>
    </w:p>
    <w:bookmarkEnd w:id="694"/>
    <w:bookmarkEnd w:id="695"/>
    <w:bookmarkEnd w:id="696"/>
    <w:bookmarkEnd w:id="697"/>
    <w:bookmarkEnd w:id="698"/>
    <w:bookmarkEnd w:id="699"/>
    <w:bookmarkEnd w:id="700"/>
    <w:p w14:paraId="52D276AD">
      <w:pPr>
        <w:keepNext/>
        <w:keepLines/>
        <w:spacing w:before="260" w:after="260" w:line="416" w:lineRule="auto"/>
        <w:outlineLvl w:val="2"/>
        <w:rPr>
          <w:rFonts w:ascii="宋体" w:hAnsi="宋体"/>
          <w:b/>
          <w:bCs/>
          <w:color w:val="auto"/>
          <w:sz w:val="32"/>
          <w:szCs w:val="32"/>
          <w:highlight w:val="none"/>
        </w:rPr>
      </w:pPr>
      <w:bookmarkStart w:id="701" w:name="_Toc472931637"/>
      <w:bookmarkStart w:id="702" w:name="_Toc373478376"/>
      <w:bookmarkStart w:id="703" w:name="_Toc529527004"/>
      <w:bookmarkStart w:id="704" w:name="_Toc373227729"/>
      <w:bookmarkStart w:id="705" w:name="_Toc411345210"/>
      <w:bookmarkStart w:id="706" w:name="_Toc432343917"/>
      <w:bookmarkStart w:id="707" w:name="_Toc389065295"/>
      <w:bookmarkStart w:id="708" w:name="_Toc454211141"/>
      <w:bookmarkStart w:id="709" w:name="_Toc530144498"/>
      <w:bookmarkStart w:id="710" w:name="_Toc470247831"/>
      <w:bookmarkStart w:id="711" w:name="_Toc529547356"/>
      <w:bookmarkStart w:id="712" w:name="_Toc461179271"/>
      <w:bookmarkStart w:id="713" w:name="_Toc531186633"/>
      <w:r>
        <w:rPr>
          <w:rFonts w:ascii="宋体" w:hAnsi="宋体"/>
          <w:b/>
          <w:bCs/>
          <w:color w:val="auto"/>
          <w:sz w:val="32"/>
          <w:szCs w:val="32"/>
          <w:highlight w:val="none"/>
        </w:rPr>
        <w:t>7</w:t>
      </w:r>
      <w:bookmarkStart w:id="714" w:name="_Toc304295551"/>
      <w:bookmarkStart w:id="715" w:name="_Toc300934973"/>
      <w:bookmarkStart w:id="716" w:name="_Toc297123521"/>
      <w:bookmarkStart w:id="717" w:name="_Toc303539130"/>
      <w:bookmarkStart w:id="718" w:name="_Toc297216180"/>
      <w:bookmarkStart w:id="719" w:name="_Toc312678017"/>
      <w:r>
        <w:rPr>
          <w:rFonts w:ascii="宋体" w:hAnsi="宋体"/>
          <w:b/>
          <w:bCs/>
          <w:color w:val="auto"/>
          <w:sz w:val="32"/>
          <w:szCs w:val="32"/>
          <w:highlight w:val="none"/>
        </w:rPr>
        <w:t>.7异常恶劣的气候条件</w:t>
      </w:r>
      <w:bookmarkEnd w:id="701"/>
      <w:bookmarkEnd w:id="702"/>
      <w:bookmarkEnd w:id="703"/>
      <w:bookmarkEnd w:id="704"/>
      <w:bookmarkEnd w:id="705"/>
      <w:bookmarkEnd w:id="706"/>
      <w:bookmarkEnd w:id="707"/>
      <w:bookmarkEnd w:id="708"/>
      <w:bookmarkEnd w:id="709"/>
      <w:bookmarkEnd w:id="710"/>
      <w:bookmarkEnd w:id="711"/>
      <w:bookmarkEnd w:id="712"/>
      <w:bookmarkEnd w:id="713"/>
    </w:p>
    <w:bookmarkEnd w:id="714"/>
    <w:bookmarkEnd w:id="715"/>
    <w:bookmarkEnd w:id="716"/>
    <w:bookmarkEnd w:id="717"/>
    <w:bookmarkEnd w:id="718"/>
    <w:bookmarkEnd w:id="719"/>
    <w:p w14:paraId="4DB9E8D6">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发包人和承包人同意以下情形视为异常恶劣的气候条件：</w:t>
      </w:r>
    </w:p>
    <w:p w14:paraId="6EE8B8C0">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u w:val="single"/>
        </w:rPr>
        <w:t>指本工程所在地30年以上一遇的罕见气候现象</w:t>
      </w:r>
      <w:r>
        <w:rPr>
          <w:rFonts w:ascii="宋体" w:hAnsi="宋体"/>
          <w:color w:val="auto"/>
          <w:szCs w:val="21"/>
          <w:highlight w:val="none"/>
        </w:rPr>
        <w:t>；</w:t>
      </w:r>
    </w:p>
    <w:p w14:paraId="0AF82F9F">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u w:val="single"/>
        </w:rPr>
        <w:t>/</w:t>
      </w:r>
      <w:r>
        <w:rPr>
          <w:rFonts w:ascii="宋体" w:hAnsi="宋体"/>
          <w:color w:val="auto"/>
          <w:szCs w:val="21"/>
          <w:highlight w:val="none"/>
        </w:rPr>
        <w:t>；</w:t>
      </w:r>
    </w:p>
    <w:p w14:paraId="771CBD2C">
      <w:pPr>
        <w:keepNext/>
        <w:keepLines/>
        <w:spacing w:before="260" w:after="260" w:line="416" w:lineRule="auto"/>
        <w:outlineLvl w:val="2"/>
        <w:rPr>
          <w:rFonts w:ascii="宋体" w:hAnsi="宋体"/>
          <w:b/>
          <w:bCs/>
          <w:color w:val="auto"/>
          <w:sz w:val="32"/>
          <w:szCs w:val="32"/>
          <w:highlight w:val="none"/>
        </w:rPr>
      </w:pPr>
      <w:bookmarkStart w:id="720" w:name="_Toc411345212"/>
      <w:bookmarkStart w:id="721" w:name="_Toc472931638"/>
      <w:bookmarkStart w:id="722" w:name="_Toc470247832"/>
      <w:bookmarkStart w:id="723" w:name="_Toc531186634"/>
      <w:bookmarkStart w:id="724" w:name="_Toc530144499"/>
      <w:bookmarkStart w:id="725" w:name="_Toc373227730"/>
      <w:bookmarkStart w:id="726" w:name="_Toc389065296"/>
      <w:bookmarkStart w:id="727" w:name="_Toc432343919"/>
      <w:bookmarkStart w:id="728" w:name="_Toc454211143"/>
      <w:bookmarkStart w:id="729" w:name="_Toc373478377"/>
      <w:bookmarkStart w:id="730" w:name="_Toc529527005"/>
      <w:bookmarkStart w:id="731" w:name="_Toc529547357"/>
      <w:bookmarkStart w:id="732" w:name="_Toc461179273"/>
      <w:r>
        <w:rPr>
          <w:rFonts w:ascii="宋体" w:hAnsi="宋体"/>
          <w:b/>
          <w:bCs/>
          <w:color w:val="auto"/>
          <w:sz w:val="32"/>
          <w:szCs w:val="32"/>
          <w:highlight w:val="none"/>
        </w:rPr>
        <w:t>7.9 提前竣工</w:t>
      </w:r>
      <w:bookmarkEnd w:id="720"/>
      <w:bookmarkEnd w:id="721"/>
      <w:bookmarkEnd w:id="722"/>
      <w:bookmarkEnd w:id="723"/>
      <w:bookmarkEnd w:id="724"/>
      <w:bookmarkEnd w:id="725"/>
      <w:bookmarkEnd w:id="726"/>
      <w:bookmarkEnd w:id="727"/>
      <w:bookmarkEnd w:id="728"/>
      <w:bookmarkEnd w:id="729"/>
      <w:bookmarkEnd w:id="730"/>
      <w:bookmarkEnd w:id="731"/>
      <w:bookmarkEnd w:id="732"/>
    </w:p>
    <w:p w14:paraId="00F416BE">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7.9.2提前竣工</w:t>
      </w:r>
      <w:r>
        <w:rPr>
          <w:rFonts w:hint="eastAsia" w:ascii="宋体" w:hAnsi="宋体"/>
          <w:color w:val="auto"/>
          <w:szCs w:val="21"/>
          <w:highlight w:val="none"/>
        </w:rPr>
        <w:t>（赶工）增加费</w:t>
      </w:r>
      <w:r>
        <w:rPr>
          <w:rFonts w:ascii="宋体" w:hAnsi="宋体"/>
          <w:color w:val="auto"/>
          <w:szCs w:val="21"/>
          <w:highlight w:val="none"/>
        </w:rPr>
        <w:t>的</w:t>
      </w:r>
      <w:r>
        <w:rPr>
          <w:rFonts w:hint="eastAsia" w:ascii="宋体" w:hAnsi="宋体"/>
          <w:color w:val="auto"/>
          <w:szCs w:val="21"/>
          <w:highlight w:val="none"/>
        </w:rPr>
        <w:t>计算方法</w:t>
      </w:r>
      <w:r>
        <w:rPr>
          <w:rFonts w:ascii="宋体" w:hAnsi="宋体"/>
          <w:color w:val="auto"/>
          <w:szCs w:val="21"/>
          <w:highlight w:val="none"/>
        </w:rPr>
        <w:t>：</w:t>
      </w:r>
      <w:r>
        <w:rPr>
          <w:rFonts w:hint="eastAsia" w:ascii="宋体" w:hAnsi="宋体"/>
          <w:color w:val="auto"/>
          <w:szCs w:val="21"/>
          <w:highlight w:val="none"/>
          <w:u w:val="single"/>
        </w:rPr>
        <w:t>无</w:t>
      </w:r>
      <w:r>
        <w:rPr>
          <w:rFonts w:ascii="宋体" w:hAnsi="宋体"/>
          <w:color w:val="auto"/>
          <w:szCs w:val="21"/>
          <w:highlight w:val="none"/>
        </w:rPr>
        <w:t>。</w:t>
      </w:r>
    </w:p>
    <w:p w14:paraId="6D1CE5EF">
      <w:pPr>
        <w:keepNext/>
        <w:keepLines/>
        <w:spacing w:before="260" w:after="260" w:line="416" w:lineRule="auto"/>
        <w:outlineLvl w:val="2"/>
        <w:rPr>
          <w:rFonts w:ascii="宋体" w:hAnsi="宋体"/>
          <w:b/>
          <w:bCs/>
          <w:color w:val="auto"/>
          <w:sz w:val="32"/>
          <w:szCs w:val="32"/>
          <w:highlight w:val="none"/>
        </w:rPr>
      </w:pPr>
      <w:bookmarkStart w:id="733" w:name="_Toc470247833"/>
      <w:bookmarkStart w:id="734" w:name="_Toc530144500"/>
      <w:bookmarkStart w:id="735" w:name="_Toc373227731"/>
      <w:bookmarkStart w:id="736" w:name="_Toc411345213"/>
      <w:bookmarkStart w:id="737" w:name="_Toc461179274"/>
      <w:bookmarkStart w:id="738" w:name="_Toc373478378"/>
      <w:bookmarkStart w:id="739" w:name="_Toc472931639"/>
      <w:bookmarkStart w:id="740" w:name="_Toc432343920"/>
      <w:bookmarkStart w:id="741" w:name="_Toc454211144"/>
      <w:bookmarkStart w:id="742" w:name="_Toc531186635"/>
      <w:bookmarkStart w:id="743" w:name="_Toc351203640"/>
      <w:bookmarkStart w:id="744" w:name="_Toc389065297"/>
      <w:bookmarkStart w:id="745" w:name="_Toc529547358"/>
      <w:bookmarkStart w:id="746" w:name="_Toc529527006"/>
      <w:r>
        <w:rPr>
          <w:rFonts w:ascii="宋体" w:hAnsi="宋体"/>
          <w:b/>
          <w:bCs/>
          <w:color w:val="auto"/>
          <w:sz w:val="32"/>
          <w:szCs w:val="32"/>
          <w:highlight w:val="none"/>
        </w:rPr>
        <w:t>8. 材料与设备</w:t>
      </w:r>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p>
    <w:bookmarkEnd w:id="494"/>
    <w:bookmarkEnd w:id="495"/>
    <w:bookmarkEnd w:id="496"/>
    <w:bookmarkEnd w:id="497"/>
    <w:bookmarkEnd w:id="498"/>
    <w:bookmarkEnd w:id="499"/>
    <w:bookmarkEnd w:id="500"/>
    <w:bookmarkEnd w:id="501"/>
    <w:bookmarkEnd w:id="502"/>
    <w:bookmarkEnd w:id="503"/>
    <w:p w14:paraId="37E5CDE2">
      <w:pPr>
        <w:keepNext/>
        <w:keepLines/>
        <w:spacing w:before="260" w:after="260" w:line="416" w:lineRule="auto"/>
        <w:outlineLvl w:val="2"/>
        <w:rPr>
          <w:b/>
          <w:bCs/>
          <w:color w:val="auto"/>
          <w:sz w:val="32"/>
          <w:szCs w:val="32"/>
          <w:highlight w:val="none"/>
        </w:rPr>
      </w:pPr>
      <w:bookmarkStart w:id="747" w:name="_Toc529527007"/>
      <w:bookmarkStart w:id="748" w:name="_Toc389065298"/>
      <w:bookmarkStart w:id="749" w:name="_Toc531186636"/>
      <w:bookmarkStart w:id="750" w:name="_Toc373478379"/>
      <w:bookmarkStart w:id="751" w:name="_Toc472931640"/>
      <w:bookmarkStart w:id="752" w:name="_Toc373227732"/>
      <w:bookmarkStart w:id="753" w:name="_Toc530144501"/>
      <w:bookmarkStart w:id="754" w:name="_Toc470247834"/>
      <w:bookmarkStart w:id="755" w:name="_Toc529547359"/>
      <w:bookmarkStart w:id="756" w:name="_Toc465114891"/>
      <w:bookmarkStart w:id="757" w:name="_Toc373478380"/>
      <w:bookmarkStart w:id="758" w:name="_Toc432343922"/>
      <w:bookmarkStart w:id="759" w:name="_Toc461179276"/>
      <w:bookmarkStart w:id="760" w:name="_Toc411345215"/>
      <w:bookmarkStart w:id="761" w:name="_Toc373227733"/>
      <w:bookmarkStart w:id="762" w:name="_Toc454211146"/>
      <w:bookmarkStart w:id="763" w:name="_Toc389065299"/>
      <w:r>
        <w:rPr>
          <w:b/>
          <w:bCs/>
          <w:color w:val="auto"/>
          <w:sz w:val="32"/>
          <w:szCs w:val="32"/>
          <w:highlight w:val="none"/>
        </w:rPr>
        <w:t>8.2承包人采购材料与工程设备</w:t>
      </w:r>
      <w:bookmarkEnd w:id="747"/>
      <w:bookmarkEnd w:id="748"/>
      <w:bookmarkEnd w:id="749"/>
      <w:bookmarkEnd w:id="750"/>
      <w:bookmarkEnd w:id="751"/>
      <w:bookmarkEnd w:id="752"/>
      <w:bookmarkEnd w:id="753"/>
      <w:bookmarkEnd w:id="754"/>
      <w:bookmarkEnd w:id="755"/>
      <w:bookmarkEnd w:id="756"/>
    </w:p>
    <w:p w14:paraId="60A3332E">
      <w:pPr>
        <w:autoSpaceDE w:val="0"/>
        <w:autoSpaceDN w:val="0"/>
        <w:adjustRightInd w:val="0"/>
        <w:spacing w:line="360" w:lineRule="auto"/>
        <w:ind w:firstLine="420" w:firstLineChars="200"/>
        <w:jc w:val="left"/>
        <w:rPr>
          <w:rFonts w:ascii="Calibri" w:hAnsi="Calibri"/>
          <w:color w:val="auto"/>
          <w:kern w:val="0"/>
          <w:szCs w:val="22"/>
          <w:highlight w:val="none"/>
        </w:rPr>
      </w:pPr>
      <w:r>
        <w:rPr>
          <w:rFonts w:ascii="Calibri" w:hAnsi="Calibri"/>
          <w:color w:val="auto"/>
          <w:kern w:val="0"/>
          <w:szCs w:val="22"/>
          <w:highlight w:val="none"/>
        </w:rPr>
        <w:t>除</w:t>
      </w:r>
      <w:r>
        <w:rPr>
          <w:rFonts w:hint="eastAsia" w:ascii="Calibri" w:hAnsi="Calibri"/>
          <w:color w:val="auto"/>
          <w:kern w:val="0"/>
          <w:szCs w:val="22"/>
          <w:highlight w:val="none"/>
        </w:rPr>
        <w:t>已标价工程量清单</w:t>
      </w:r>
      <w:r>
        <w:rPr>
          <w:rFonts w:ascii="Calibri" w:hAnsi="Calibri"/>
          <w:color w:val="auto"/>
          <w:kern w:val="0"/>
          <w:szCs w:val="22"/>
          <w:highlight w:val="none"/>
        </w:rPr>
        <w:t>《发包人</w:t>
      </w:r>
      <w:r>
        <w:rPr>
          <w:rFonts w:hint="eastAsia" w:ascii="Calibri" w:hAnsi="Calibri"/>
          <w:color w:val="auto"/>
          <w:kern w:val="0"/>
          <w:szCs w:val="22"/>
          <w:highlight w:val="none"/>
        </w:rPr>
        <w:t>提供主要</w:t>
      </w:r>
      <w:r>
        <w:rPr>
          <w:rFonts w:ascii="Calibri" w:hAnsi="Calibri"/>
          <w:color w:val="auto"/>
          <w:kern w:val="0"/>
          <w:szCs w:val="22"/>
          <w:highlight w:val="none"/>
        </w:rPr>
        <w:t>材料</w:t>
      </w:r>
      <w:r>
        <w:rPr>
          <w:rFonts w:hint="eastAsia" w:ascii="Calibri" w:hAnsi="Calibri"/>
          <w:color w:val="auto"/>
          <w:kern w:val="0"/>
          <w:szCs w:val="22"/>
          <w:highlight w:val="none"/>
        </w:rPr>
        <w:t>和工程</w:t>
      </w:r>
      <w:r>
        <w:rPr>
          <w:rFonts w:ascii="Calibri" w:hAnsi="Calibri"/>
          <w:color w:val="auto"/>
          <w:kern w:val="0"/>
          <w:szCs w:val="22"/>
          <w:highlight w:val="none"/>
        </w:rPr>
        <w:t>设备一览表》</w:t>
      </w:r>
      <w:r>
        <w:rPr>
          <w:rFonts w:hint="eastAsia" w:ascii="Calibri" w:hAnsi="Calibri"/>
          <w:color w:val="auto"/>
          <w:kern w:val="0"/>
          <w:szCs w:val="22"/>
          <w:highlight w:val="none"/>
        </w:rPr>
        <w:t>（表-21）</w:t>
      </w:r>
      <w:r>
        <w:rPr>
          <w:rFonts w:ascii="Calibri" w:hAnsi="Calibri"/>
          <w:color w:val="auto"/>
          <w:kern w:val="0"/>
          <w:szCs w:val="22"/>
          <w:highlight w:val="none"/>
        </w:rPr>
        <w:t>中明确的材料、工程设备外，由承包人负责材料和工程设备的采购、运输和保管。</w:t>
      </w:r>
      <w:r>
        <w:rPr>
          <w:rFonts w:hint="eastAsia" w:ascii="Calibri" w:hAnsi="Calibri"/>
          <w:color w:val="auto"/>
          <w:kern w:val="0"/>
          <w:szCs w:val="22"/>
          <w:highlight w:val="none"/>
        </w:rPr>
        <w:t>《</w:t>
      </w:r>
      <w:r>
        <w:rPr>
          <w:rFonts w:ascii="Calibri" w:hAnsi="Calibri"/>
          <w:color w:val="auto"/>
          <w:szCs w:val="22"/>
          <w:highlight w:val="none"/>
        </w:rPr>
        <w:t>承包人提供主要材料和工程设备一览表</w:t>
      </w:r>
      <w:r>
        <w:rPr>
          <w:rFonts w:hint="eastAsia" w:ascii="Calibri" w:hAnsi="Calibri"/>
          <w:color w:val="auto"/>
          <w:szCs w:val="22"/>
          <w:highlight w:val="none"/>
        </w:rPr>
        <w:t>》</w:t>
      </w:r>
      <w:r>
        <w:rPr>
          <w:rFonts w:hint="eastAsia" w:ascii="Calibri" w:hAnsi="Calibri"/>
          <w:color w:val="auto"/>
          <w:kern w:val="0"/>
          <w:szCs w:val="22"/>
          <w:highlight w:val="none"/>
        </w:rPr>
        <w:t>（表-22）见已标价工程量清单。</w:t>
      </w:r>
    </w:p>
    <w:p w14:paraId="2BC29D15">
      <w:pPr>
        <w:autoSpaceDE w:val="0"/>
        <w:autoSpaceDN w:val="0"/>
        <w:adjustRightInd w:val="0"/>
        <w:spacing w:line="360" w:lineRule="auto"/>
        <w:ind w:firstLine="420" w:firstLineChars="200"/>
        <w:jc w:val="left"/>
        <w:rPr>
          <w:rFonts w:ascii="Calibri" w:hAnsi="Calibri"/>
          <w:color w:val="auto"/>
          <w:szCs w:val="21"/>
          <w:highlight w:val="none"/>
        </w:rPr>
      </w:pPr>
      <w:r>
        <w:rPr>
          <w:rFonts w:hint="eastAsia" w:ascii="Calibri" w:hAnsi="Calibri"/>
          <w:color w:val="auto"/>
          <w:szCs w:val="21"/>
          <w:highlight w:val="none"/>
        </w:rPr>
        <w:t>对发包人在招标时有“参照或相当于**品牌、级别”约定的材料或设备，承包人采购时必须按类似于或优于所约定品牌、等级进行采购，施工期间该部分材料或设备如未超过招标约定的风险幅度的，结算时按投标单价支付，不得调整。</w:t>
      </w:r>
    </w:p>
    <w:p w14:paraId="361C0841">
      <w:pPr>
        <w:keepNext/>
        <w:keepLines/>
        <w:spacing w:before="260" w:after="260" w:line="416" w:lineRule="auto"/>
        <w:outlineLvl w:val="2"/>
        <w:rPr>
          <w:rFonts w:ascii="宋体" w:hAnsi="宋体"/>
          <w:b/>
          <w:bCs/>
          <w:color w:val="auto"/>
          <w:sz w:val="32"/>
          <w:szCs w:val="32"/>
          <w:highlight w:val="none"/>
        </w:rPr>
      </w:pPr>
      <w:bookmarkStart w:id="764" w:name="_Toc470247835"/>
      <w:bookmarkStart w:id="765" w:name="_Toc472931641"/>
      <w:bookmarkStart w:id="766" w:name="_Toc529527008"/>
      <w:bookmarkStart w:id="767" w:name="_Toc530144502"/>
      <w:bookmarkStart w:id="768" w:name="_Toc531186637"/>
      <w:bookmarkStart w:id="769" w:name="_Toc529547360"/>
      <w:r>
        <w:rPr>
          <w:rFonts w:ascii="宋体" w:hAnsi="宋体"/>
          <w:b/>
          <w:bCs/>
          <w:color w:val="auto"/>
          <w:sz w:val="32"/>
          <w:szCs w:val="32"/>
          <w:highlight w:val="none"/>
        </w:rPr>
        <w:t>8</w:t>
      </w:r>
      <w:bookmarkStart w:id="770" w:name="_Toc296346668"/>
      <w:bookmarkStart w:id="771" w:name="_Toc312678019"/>
      <w:bookmarkStart w:id="772" w:name="_Toc296891207"/>
      <w:bookmarkStart w:id="773" w:name="_Toc297216186"/>
      <w:bookmarkStart w:id="774" w:name="_Toc303539136"/>
      <w:bookmarkStart w:id="775" w:name="_Toc297048353"/>
      <w:bookmarkStart w:id="776" w:name="_Toc312677493"/>
      <w:bookmarkStart w:id="777" w:name="_Toc297120467"/>
      <w:bookmarkStart w:id="778" w:name="_Toc296503167"/>
      <w:bookmarkStart w:id="779" w:name="_Toc300934979"/>
      <w:bookmarkStart w:id="780" w:name="_Toc297123527"/>
      <w:bookmarkStart w:id="781" w:name="_Toc292559877"/>
      <w:bookmarkStart w:id="782" w:name="_Toc292559372"/>
      <w:bookmarkStart w:id="783" w:name="_Toc280868654"/>
      <w:bookmarkStart w:id="784" w:name="_Toc296890995"/>
      <w:bookmarkStart w:id="785" w:name="_Toc296347166"/>
      <w:bookmarkStart w:id="786" w:name="_Toc304295556"/>
      <w:bookmarkStart w:id="787" w:name="_Toc296944506"/>
      <w:bookmarkStart w:id="788" w:name="_Toc280868656"/>
      <w:bookmarkStart w:id="789" w:name="_Toc280868655"/>
      <w:bookmarkStart w:id="790" w:name="_Toc267251424"/>
      <w:r>
        <w:rPr>
          <w:rFonts w:ascii="宋体" w:hAnsi="宋体"/>
          <w:b/>
          <w:bCs/>
          <w:color w:val="auto"/>
          <w:sz w:val="32"/>
          <w:szCs w:val="32"/>
          <w:highlight w:val="none"/>
        </w:rPr>
        <w:t>.4材料与工程设备的保管与使用</w:t>
      </w:r>
      <w:bookmarkEnd w:id="757"/>
      <w:bookmarkEnd w:id="758"/>
      <w:bookmarkEnd w:id="759"/>
      <w:bookmarkEnd w:id="760"/>
      <w:bookmarkEnd w:id="761"/>
      <w:bookmarkEnd w:id="762"/>
      <w:bookmarkEnd w:id="763"/>
      <w:bookmarkEnd w:id="764"/>
      <w:bookmarkEnd w:id="765"/>
      <w:bookmarkEnd w:id="766"/>
      <w:bookmarkEnd w:id="767"/>
      <w:bookmarkEnd w:id="768"/>
      <w:bookmarkEnd w:id="769"/>
    </w:p>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p w14:paraId="19DA9343">
      <w:pPr>
        <w:spacing w:line="360" w:lineRule="auto"/>
        <w:ind w:firstLine="420" w:firstLineChars="200"/>
        <w:jc w:val="left"/>
        <w:rPr>
          <w:rFonts w:ascii="宋体" w:hAnsi="宋体"/>
          <w:color w:val="auto"/>
          <w:szCs w:val="21"/>
          <w:highlight w:val="none"/>
          <w:u w:val="single"/>
        </w:rPr>
      </w:pPr>
      <w:r>
        <w:rPr>
          <w:rFonts w:ascii="宋体" w:hAnsi="宋体"/>
          <w:color w:val="auto"/>
          <w:szCs w:val="21"/>
          <w:highlight w:val="none"/>
        </w:rPr>
        <w:t>8</w:t>
      </w:r>
      <w:bookmarkStart w:id="791" w:name="_Toc292559878"/>
      <w:bookmarkStart w:id="792" w:name="_Toc292559373"/>
      <w:bookmarkStart w:id="793" w:name="_Toc296347167"/>
      <w:bookmarkStart w:id="794" w:name="_Toc304295557"/>
      <w:bookmarkStart w:id="795" w:name="_Toc312678020"/>
      <w:bookmarkStart w:id="796" w:name="_Toc297048354"/>
      <w:bookmarkStart w:id="797" w:name="_Toc296346669"/>
      <w:bookmarkStart w:id="798" w:name="_Toc296891208"/>
      <w:bookmarkStart w:id="799" w:name="_Toc300934980"/>
      <w:bookmarkStart w:id="800" w:name="_Toc297120468"/>
      <w:bookmarkStart w:id="801" w:name="_Toc296944507"/>
      <w:bookmarkStart w:id="802" w:name="_Toc296503168"/>
      <w:bookmarkStart w:id="803" w:name="_Toc297216187"/>
      <w:bookmarkStart w:id="804" w:name="_Toc312677494"/>
      <w:bookmarkStart w:id="805" w:name="_Toc318581173"/>
      <w:bookmarkStart w:id="806" w:name="_Toc303539137"/>
      <w:bookmarkStart w:id="807" w:name="_Toc296890996"/>
      <w:bookmarkStart w:id="808" w:name="_Toc297123528"/>
      <w:r>
        <w:rPr>
          <w:rFonts w:ascii="宋体" w:hAnsi="宋体"/>
          <w:color w:val="auto"/>
          <w:szCs w:val="21"/>
          <w:highlight w:val="none"/>
        </w:rPr>
        <w:t>.4.1发包人供应的材料设备的保管费用的承担：</w:t>
      </w:r>
      <w:r>
        <w:rPr>
          <w:rFonts w:hint="eastAsia" w:ascii="宋体" w:hAnsi="宋体"/>
          <w:b/>
          <w:color w:val="auto"/>
          <w:szCs w:val="21"/>
          <w:highlight w:val="none"/>
          <w:u w:val="single"/>
        </w:rPr>
        <w:t>由承包人承担</w:t>
      </w:r>
      <w:r>
        <w:rPr>
          <w:rFonts w:ascii="宋体" w:hAnsi="宋体"/>
          <w:color w:val="auto"/>
          <w:szCs w:val="21"/>
          <w:highlight w:val="none"/>
        </w:rPr>
        <w:t>。</w:t>
      </w:r>
    </w:p>
    <w:bookmarkEnd w:id="791"/>
    <w:bookmarkEnd w:id="792"/>
    <w:p w14:paraId="21B75FFA">
      <w:pPr>
        <w:keepNext/>
        <w:keepLines/>
        <w:spacing w:before="260" w:after="260" w:line="416" w:lineRule="auto"/>
        <w:outlineLvl w:val="2"/>
        <w:rPr>
          <w:rFonts w:ascii="宋体" w:hAnsi="宋体"/>
          <w:b/>
          <w:bCs/>
          <w:color w:val="auto"/>
          <w:sz w:val="32"/>
          <w:szCs w:val="32"/>
          <w:highlight w:val="none"/>
        </w:rPr>
      </w:pPr>
      <w:bookmarkStart w:id="809" w:name="_Toc470247836"/>
      <w:bookmarkStart w:id="810" w:name="_Toc454211147"/>
      <w:bookmarkStart w:id="811" w:name="_Toc529547361"/>
      <w:bookmarkStart w:id="812" w:name="_Toc411345216"/>
      <w:bookmarkStart w:id="813" w:name="_Toc472931642"/>
      <w:bookmarkStart w:id="814" w:name="_Toc373478381"/>
      <w:bookmarkStart w:id="815" w:name="_Toc373227734"/>
      <w:bookmarkStart w:id="816" w:name="_Toc432343923"/>
      <w:bookmarkStart w:id="817" w:name="_Toc529527009"/>
      <w:bookmarkStart w:id="818" w:name="_Toc461179277"/>
      <w:bookmarkStart w:id="819" w:name="_Toc530144503"/>
      <w:bookmarkStart w:id="820" w:name="_Toc389065300"/>
      <w:bookmarkStart w:id="821" w:name="_Toc531186638"/>
      <w:r>
        <w:rPr>
          <w:rFonts w:ascii="宋体" w:hAnsi="宋体"/>
          <w:b/>
          <w:bCs/>
          <w:color w:val="auto"/>
          <w:sz w:val="32"/>
          <w:szCs w:val="32"/>
          <w:highlight w:val="none"/>
        </w:rPr>
        <w:t>8.6 样品</w:t>
      </w:r>
      <w:bookmarkEnd w:id="809"/>
      <w:bookmarkEnd w:id="810"/>
      <w:bookmarkEnd w:id="811"/>
      <w:bookmarkEnd w:id="812"/>
      <w:bookmarkEnd w:id="813"/>
      <w:bookmarkEnd w:id="814"/>
      <w:bookmarkEnd w:id="815"/>
      <w:bookmarkEnd w:id="816"/>
      <w:bookmarkEnd w:id="817"/>
      <w:bookmarkEnd w:id="818"/>
      <w:bookmarkEnd w:id="819"/>
      <w:bookmarkEnd w:id="820"/>
      <w:bookmarkEnd w:id="821"/>
    </w:p>
    <w:p w14:paraId="36BAEFA8">
      <w:pPr>
        <w:autoSpaceDE w:val="0"/>
        <w:autoSpaceDN w:val="0"/>
        <w:adjustRightInd w:val="0"/>
        <w:spacing w:line="36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8.6.1样品的报送与封存</w:t>
      </w:r>
    </w:p>
    <w:p w14:paraId="687FAA7C">
      <w:pPr>
        <w:autoSpaceDE w:val="0"/>
        <w:autoSpaceDN w:val="0"/>
        <w:adjustRightInd w:val="0"/>
        <w:spacing w:line="360" w:lineRule="auto"/>
        <w:ind w:firstLine="420" w:firstLineChars="200"/>
        <w:jc w:val="left"/>
        <w:rPr>
          <w:rFonts w:ascii="宋体" w:hAnsi="宋体"/>
          <w:color w:val="auto"/>
          <w:szCs w:val="21"/>
          <w:highlight w:val="none"/>
          <w:u w:val="single"/>
        </w:rPr>
      </w:pPr>
      <w:r>
        <w:rPr>
          <w:rFonts w:ascii="宋体" w:hAnsi="宋体"/>
          <w:color w:val="auto"/>
          <w:kern w:val="0"/>
          <w:szCs w:val="21"/>
          <w:highlight w:val="none"/>
        </w:rPr>
        <w:t>需要承包人报送样品的材料或工程设备，样品的种类、名称、规格、数量要求：</w:t>
      </w:r>
      <w:r>
        <w:rPr>
          <w:rFonts w:ascii="宋体" w:hAnsi="宋体"/>
          <w:b/>
          <w:color w:val="auto"/>
          <w:szCs w:val="21"/>
          <w:highlight w:val="none"/>
          <w:u w:val="single"/>
        </w:rPr>
        <w:t>主要材料涉及品种、款式、颜色等方面内容的，承包人应提交准备合格的材料样品送发包人选定。</w:t>
      </w:r>
    </w:p>
    <w:p w14:paraId="0B10F020">
      <w:pPr>
        <w:keepNext/>
        <w:keepLines/>
        <w:spacing w:before="260" w:after="260" w:line="416" w:lineRule="auto"/>
        <w:outlineLvl w:val="2"/>
        <w:rPr>
          <w:rFonts w:ascii="宋体" w:hAnsi="宋体"/>
          <w:b/>
          <w:bCs/>
          <w:color w:val="auto"/>
          <w:sz w:val="32"/>
          <w:szCs w:val="32"/>
          <w:highlight w:val="none"/>
        </w:rPr>
      </w:pPr>
      <w:bookmarkStart w:id="822" w:name="_Toc432343924"/>
      <w:bookmarkStart w:id="823" w:name="_Toc411345217"/>
      <w:bookmarkStart w:id="824" w:name="_Toc530144504"/>
      <w:bookmarkStart w:id="825" w:name="_Toc470247837"/>
      <w:bookmarkStart w:id="826" w:name="_Toc373478382"/>
      <w:bookmarkStart w:id="827" w:name="_Toc373227735"/>
      <w:bookmarkStart w:id="828" w:name="_Toc389065301"/>
      <w:bookmarkStart w:id="829" w:name="_Toc454211148"/>
      <w:bookmarkStart w:id="830" w:name="_Toc531186639"/>
      <w:bookmarkStart w:id="831" w:name="_Toc472931643"/>
      <w:bookmarkStart w:id="832" w:name="_Toc529527010"/>
      <w:bookmarkStart w:id="833" w:name="_Toc529547362"/>
      <w:bookmarkStart w:id="834" w:name="_Toc461179278"/>
      <w:r>
        <w:rPr>
          <w:rFonts w:ascii="宋体" w:hAnsi="宋体"/>
          <w:b/>
          <w:bCs/>
          <w:color w:val="auto"/>
          <w:sz w:val="32"/>
          <w:szCs w:val="32"/>
          <w:highlight w:val="none"/>
        </w:rPr>
        <w:t>8.8 施工设备和临时设施</w:t>
      </w:r>
      <w:bookmarkEnd w:id="822"/>
      <w:bookmarkEnd w:id="823"/>
      <w:bookmarkEnd w:id="824"/>
      <w:bookmarkEnd w:id="825"/>
      <w:bookmarkEnd w:id="826"/>
      <w:bookmarkEnd w:id="827"/>
      <w:bookmarkEnd w:id="828"/>
      <w:bookmarkEnd w:id="829"/>
      <w:bookmarkEnd w:id="830"/>
      <w:bookmarkEnd w:id="831"/>
      <w:bookmarkEnd w:id="832"/>
      <w:bookmarkEnd w:id="833"/>
      <w:bookmarkEnd w:id="834"/>
    </w:p>
    <w:p w14:paraId="4F013DC0">
      <w:pPr>
        <w:autoSpaceDE w:val="0"/>
        <w:autoSpaceDN w:val="0"/>
        <w:adjustRightInd w:val="0"/>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8.8.1 承包人提供的施工设备和临时设施</w:t>
      </w:r>
    </w:p>
    <w:p w14:paraId="5F9724FB">
      <w:pPr>
        <w:autoSpaceDE w:val="0"/>
        <w:autoSpaceDN w:val="0"/>
        <w:adjustRightInd w:val="0"/>
        <w:spacing w:line="360" w:lineRule="auto"/>
        <w:ind w:firstLine="420" w:firstLineChars="200"/>
        <w:jc w:val="left"/>
        <w:rPr>
          <w:rFonts w:ascii="宋体" w:hAnsi="宋体"/>
          <w:b/>
          <w:color w:val="auto"/>
          <w:szCs w:val="21"/>
          <w:highlight w:val="none"/>
        </w:rPr>
      </w:pPr>
      <w:r>
        <w:rPr>
          <w:rFonts w:ascii="宋体" w:hAnsi="宋体"/>
          <w:color w:val="auto"/>
          <w:szCs w:val="21"/>
          <w:highlight w:val="none"/>
        </w:rPr>
        <w:t>除专用合同条款另有约定的其他独立承包人和监理人指示的他人提供条件外，承包人运入施工场地的所有施工设备以及在施工场地建设的临时设施仅限于用于合同工程。</w:t>
      </w:r>
      <w:r>
        <w:rPr>
          <w:rFonts w:hint="eastAsia" w:ascii="宋体" w:hAnsi="宋体"/>
          <w:b/>
          <w:color w:val="auto"/>
          <w:szCs w:val="21"/>
          <w:highlight w:val="none"/>
        </w:rPr>
        <w:t>承包人用于本工程的主要机械设备清单见合同附件6。</w:t>
      </w:r>
    </w:p>
    <w:p w14:paraId="1114EB9A">
      <w:pPr>
        <w:autoSpaceDE w:val="0"/>
        <w:autoSpaceDN w:val="0"/>
        <w:adjustRightInd w:val="0"/>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关于修建临时设施费用承担的约定：</w:t>
      </w:r>
    </w:p>
    <w:p w14:paraId="6839C706">
      <w:pPr>
        <w:autoSpaceDE w:val="0"/>
        <w:autoSpaceDN w:val="0"/>
        <w:adjustRightInd w:val="0"/>
        <w:spacing w:line="360" w:lineRule="auto"/>
        <w:ind w:firstLine="420" w:firstLineChars="200"/>
        <w:jc w:val="left"/>
        <w:rPr>
          <w:rFonts w:ascii="宋体" w:hAnsi="宋体"/>
          <w:color w:val="auto"/>
          <w:szCs w:val="21"/>
          <w:highlight w:val="none"/>
          <w:u w:val="single"/>
        </w:rPr>
      </w:pPr>
      <w:r>
        <w:rPr>
          <w:rFonts w:ascii="宋体" w:hAnsi="宋体"/>
          <w:color w:val="auto"/>
          <w:szCs w:val="21"/>
          <w:highlight w:val="none"/>
          <w:u w:val="single"/>
        </w:rPr>
        <w:t>①承包人的临时用地（含项目部驻地等）租用费（含拆迁补偿）、临时用地的环保、恢复、临时用地的青苗补偿及地面附着物拆除等费用均由承包人负责，以上费用在投标报价中综合考虑</w:t>
      </w:r>
      <w:r>
        <w:rPr>
          <w:rFonts w:hint="eastAsia" w:ascii="宋体" w:hAnsi="宋体"/>
          <w:color w:val="auto"/>
          <w:szCs w:val="21"/>
          <w:highlight w:val="none"/>
          <w:u w:val="single"/>
        </w:rPr>
        <w:t>，</w:t>
      </w:r>
      <w:r>
        <w:rPr>
          <w:rFonts w:hint="eastAsia" w:ascii="宋体" w:hAnsi="宋体"/>
          <w:color w:val="auto"/>
          <w:kern w:val="0"/>
          <w:szCs w:val="21"/>
          <w:highlight w:val="none"/>
          <w:u w:val="single"/>
        </w:rPr>
        <w:t>费用总价包干，由于承包人预估费用低于实际费用，不足部分由承包人补齐。承包人不得以预估费用低于实际费用或实际情况发生变化为由向发包人提出费用补偿。</w:t>
      </w:r>
    </w:p>
    <w:p w14:paraId="7F546B26">
      <w:pPr>
        <w:autoSpaceDE w:val="0"/>
        <w:autoSpaceDN w:val="0"/>
        <w:adjustRightInd w:val="0"/>
        <w:spacing w:line="360" w:lineRule="auto"/>
        <w:ind w:firstLine="420" w:firstLineChars="200"/>
        <w:jc w:val="left"/>
        <w:rPr>
          <w:rFonts w:ascii="宋体" w:hAnsi="宋体"/>
          <w:color w:val="auto"/>
          <w:szCs w:val="21"/>
          <w:highlight w:val="none"/>
          <w:u w:val="single"/>
        </w:rPr>
      </w:pPr>
      <w:r>
        <w:rPr>
          <w:rFonts w:ascii="宋体" w:hAnsi="宋体"/>
          <w:color w:val="auto"/>
          <w:szCs w:val="21"/>
          <w:highlight w:val="none"/>
          <w:u w:val="single"/>
        </w:rPr>
        <w:t>②承包人负责合同实施期间其合同段内临时交通道路（含场内外连接公共交通道路）和交通设施的修建、维修、养护和交通管理工作，并承担一切费用。以上费用在投标报价中综合考虑</w:t>
      </w:r>
      <w:r>
        <w:rPr>
          <w:rFonts w:hint="eastAsia" w:ascii="宋体" w:hAnsi="宋体"/>
          <w:color w:val="auto"/>
          <w:szCs w:val="21"/>
          <w:highlight w:val="none"/>
          <w:u w:val="single"/>
        </w:rPr>
        <w:t>，</w:t>
      </w:r>
      <w:r>
        <w:rPr>
          <w:rFonts w:hint="eastAsia" w:ascii="宋体" w:hAnsi="宋体"/>
          <w:color w:val="auto"/>
          <w:kern w:val="0"/>
          <w:szCs w:val="21"/>
          <w:highlight w:val="none"/>
          <w:u w:val="single"/>
        </w:rPr>
        <w:t>费用总价包干，不足部分由承包人补齐。承包人不得以预估费用低于实际费用或实际情况发生变化为由向发包人提出费用补偿。</w:t>
      </w:r>
    </w:p>
    <w:p w14:paraId="4E0B7D74">
      <w:pPr>
        <w:autoSpaceDE w:val="0"/>
        <w:autoSpaceDN w:val="0"/>
        <w:adjustRightInd w:val="0"/>
        <w:spacing w:line="360" w:lineRule="auto"/>
        <w:ind w:firstLine="420" w:firstLineChars="200"/>
        <w:jc w:val="left"/>
        <w:rPr>
          <w:rFonts w:ascii="宋体" w:hAnsi="宋体"/>
          <w:color w:val="auto"/>
          <w:szCs w:val="21"/>
          <w:highlight w:val="none"/>
          <w:u w:val="single"/>
        </w:rPr>
      </w:pPr>
      <w:r>
        <w:rPr>
          <w:rFonts w:ascii="宋体" w:hAnsi="宋体"/>
          <w:color w:val="auto"/>
          <w:szCs w:val="21"/>
          <w:highlight w:val="none"/>
          <w:u w:val="single"/>
        </w:rPr>
        <w:t>③承包人修建的临时道路和交通设施，应免费提供给发包人、监理工程师和其他合同段的承包人使用，如共同使用的路基损坏严重，发包人或监理工程师将负责通知有关承包人共同出资修复，若使用频率相差悬殊，则按比例分摊。</w:t>
      </w:r>
    </w:p>
    <w:p w14:paraId="7C7475FD">
      <w:pPr>
        <w:autoSpaceDE w:val="0"/>
        <w:autoSpaceDN w:val="0"/>
        <w:adjustRightInd w:val="0"/>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8.8.2 发包人提供的施工设备和临时设施</w:t>
      </w:r>
    </w:p>
    <w:p w14:paraId="0D829888">
      <w:pPr>
        <w:autoSpaceDE w:val="0"/>
        <w:autoSpaceDN w:val="0"/>
        <w:adjustRightInd w:val="0"/>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发包人提供的施工设备和临时设施：</w:t>
      </w:r>
      <w:r>
        <w:rPr>
          <w:rFonts w:hint="eastAsia" w:ascii="宋体" w:hAnsi="宋体"/>
          <w:color w:val="auto"/>
          <w:szCs w:val="21"/>
          <w:highlight w:val="none"/>
          <w:u w:val="single"/>
        </w:rPr>
        <w:t>无</w:t>
      </w:r>
      <w:r>
        <w:rPr>
          <w:rFonts w:ascii="宋体" w:hAnsi="宋体"/>
          <w:color w:val="auto"/>
          <w:szCs w:val="21"/>
          <w:highlight w:val="none"/>
        </w:rPr>
        <w:t>。</w:t>
      </w:r>
    </w:p>
    <w:p w14:paraId="5872B8DA">
      <w:pPr>
        <w:autoSpaceDE w:val="0"/>
        <w:autoSpaceDN w:val="0"/>
        <w:adjustRightInd w:val="0"/>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发包人提供的施工设备和临时设施的运行、维护、拆除、清运费用的承担人：</w:t>
      </w:r>
      <w:r>
        <w:rPr>
          <w:rFonts w:hint="eastAsia" w:ascii="宋体" w:hAnsi="宋体"/>
          <w:color w:val="auto"/>
          <w:szCs w:val="21"/>
          <w:highlight w:val="none"/>
          <w:u w:val="single"/>
        </w:rPr>
        <w:t>无</w:t>
      </w:r>
      <w:r>
        <w:rPr>
          <w:rFonts w:ascii="宋体" w:hAnsi="宋体"/>
          <w:color w:val="auto"/>
          <w:szCs w:val="21"/>
          <w:highlight w:val="none"/>
        </w:rPr>
        <w:t>。</w:t>
      </w:r>
    </w:p>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p w14:paraId="3023A9E7">
      <w:pPr>
        <w:keepNext/>
        <w:keepLines/>
        <w:spacing w:before="260" w:after="260" w:line="416" w:lineRule="auto"/>
        <w:outlineLvl w:val="2"/>
        <w:rPr>
          <w:rFonts w:ascii="宋体" w:hAnsi="宋体"/>
          <w:b/>
          <w:bCs/>
          <w:color w:val="auto"/>
          <w:sz w:val="32"/>
          <w:szCs w:val="32"/>
          <w:highlight w:val="none"/>
        </w:rPr>
      </w:pPr>
      <w:bookmarkStart w:id="835" w:name="_Toc373227736"/>
      <w:bookmarkStart w:id="836" w:name="_Toc432343925"/>
      <w:bookmarkStart w:id="837" w:name="_Toc470247838"/>
      <w:bookmarkStart w:id="838" w:name="_Toc411345218"/>
      <w:bookmarkStart w:id="839" w:name="_Toc472931644"/>
      <w:bookmarkStart w:id="840" w:name="_Toc461179279"/>
      <w:bookmarkStart w:id="841" w:name="_Toc389065302"/>
      <w:bookmarkStart w:id="842" w:name="_Toc373478383"/>
      <w:bookmarkStart w:id="843" w:name="_Toc531186640"/>
      <w:bookmarkStart w:id="844" w:name="_Toc454211149"/>
      <w:bookmarkStart w:id="845" w:name="_Toc351203641"/>
      <w:bookmarkStart w:id="846" w:name="_Toc529547363"/>
      <w:bookmarkStart w:id="847" w:name="_Toc530144505"/>
      <w:bookmarkStart w:id="848" w:name="_Toc529527011"/>
      <w:r>
        <w:rPr>
          <w:rFonts w:ascii="宋体" w:hAnsi="宋体"/>
          <w:b/>
          <w:bCs/>
          <w:color w:val="auto"/>
          <w:sz w:val="32"/>
          <w:szCs w:val="32"/>
          <w:highlight w:val="none"/>
        </w:rPr>
        <w:t>9</w:t>
      </w:r>
      <w:bookmarkEnd w:id="788"/>
      <w:bookmarkEnd w:id="789"/>
      <w:bookmarkEnd w:id="790"/>
      <w:bookmarkStart w:id="849" w:name="_Toc312677495"/>
      <w:bookmarkStart w:id="850" w:name="_Toc300934982"/>
      <w:bookmarkStart w:id="851" w:name="_Toc312678021"/>
      <w:bookmarkStart w:id="852" w:name="_Toc304295559"/>
      <w:bookmarkStart w:id="853" w:name="_Toc297216192"/>
      <w:bookmarkStart w:id="854" w:name="_Toc297123533"/>
      <w:bookmarkStart w:id="855" w:name="_Toc303539139"/>
      <w:bookmarkStart w:id="856" w:name="_Toc296944512"/>
      <w:bookmarkStart w:id="857" w:name="_Toc297048359"/>
      <w:bookmarkStart w:id="858" w:name="_Toc267251428"/>
      <w:bookmarkStart w:id="859" w:name="_Toc292559378"/>
      <w:bookmarkStart w:id="860" w:name="_Toc297120473"/>
      <w:bookmarkStart w:id="861" w:name="_Toc296347172"/>
      <w:bookmarkStart w:id="862" w:name="_Toc296503173"/>
      <w:bookmarkStart w:id="863" w:name="_Toc296891213"/>
      <w:bookmarkStart w:id="864" w:name="_Toc296891001"/>
      <w:bookmarkStart w:id="865" w:name="_Toc267251427"/>
      <w:bookmarkStart w:id="866" w:name="_Toc292559883"/>
      <w:bookmarkStart w:id="867" w:name="_Toc296346674"/>
      <w:r>
        <w:rPr>
          <w:rFonts w:ascii="宋体" w:hAnsi="宋体"/>
          <w:b/>
          <w:bCs/>
          <w:color w:val="auto"/>
          <w:sz w:val="32"/>
          <w:szCs w:val="32"/>
          <w:highlight w:val="none"/>
        </w:rPr>
        <w:t>. 试验与检验</w:t>
      </w:r>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p>
    <w:bookmarkEnd w:id="849"/>
    <w:bookmarkEnd w:id="850"/>
    <w:bookmarkEnd w:id="851"/>
    <w:bookmarkEnd w:id="852"/>
    <w:bookmarkEnd w:id="853"/>
    <w:bookmarkEnd w:id="854"/>
    <w:bookmarkEnd w:id="855"/>
    <w:p w14:paraId="05667D29">
      <w:pPr>
        <w:keepNext/>
        <w:keepLines/>
        <w:spacing w:before="260" w:after="260" w:line="416" w:lineRule="auto"/>
        <w:outlineLvl w:val="2"/>
        <w:rPr>
          <w:rFonts w:ascii="宋体" w:hAnsi="宋体"/>
          <w:b/>
          <w:bCs/>
          <w:color w:val="auto"/>
          <w:sz w:val="32"/>
          <w:szCs w:val="32"/>
          <w:highlight w:val="none"/>
        </w:rPr>
      </w:pPr>
      <w:bookmarkStart w:id="868" w:name="_Toc411345219"/>
      <w:bookmarkStart w:id="869" w:name="_Toc470247839"/>
      <w:bookmarkStart w:id="870" w:name="_Toc530144506"/>
      <w:bookmarkStart w:id="871" w:name="_Toc472931645"/>
      <w:bookmarkStart w:id="872" w:name="_Toc432343926"/>
      <w:bookmarkStart w:id="873" w:name="_Toc461179280"/>
      <w:bookmarkStart w:id="874" w:name="_Toc373227737"/>
      <w:bookmarkStart w:id="875" w:name="_Toc529547364"/>
      <w:bookmarkStart w:id="876" w:name="_Toc454211150"/>
      <w:bookmarkStart w:id="877" w:name="_Toc389065303"/>
      <w:bookmarkStart w:id="878" w:name="_Toc531186641"/>
      <w:bookmarkStart w:id="879" w:name="_Toc529527012"/>
      <w:bookmarkStart w:id="880" w:name="_Toc373478384"/>
      <w:r>
        <w:rPr>
          <w:rFonts w:ascii="宋体" w:hAnsi="宋体"/>
          <w:b/>
          <w:bCs/>
          <w:color w:val="auto"/>
          <w:sz w:val="32"/>
          <w:szCs w:val="32"/>
          <w:highlight w:val="none"/>
        </w:rPr>
        <w:t>9</w:t>
      </w:r>
      <w:bookmarkStart w:id="881" w:name="_Toc300934983"/>
      <w:bookmarkStart w:id="882" w:name="_Toc312678022"/>
      <w:bookmarkStart w:id="883" w:name="_Toc312677496"/>
      <w:bookmarkStart w:id="884" w:name="_Toc297216193"/>
      <w:bookmarkStart w:id="885" w:name="_Toc297123534"/>
      <w:bookmarkStart w:id="886" w:name="_Toc304295560"/>
      <w:bookmarkStart w:id="887" w:name="_Toc303539140"/>
      <w:r>
        <w:rPr>
          <w:rFonts w:ascii="宋体" w:hAnsi="宋体"/>
          <w:b/>
          <w:bCs/>
          <w:color w:val="auto"/>
          <w:sz w:val="32"/>
          <w:szCs w:val="32"/>
          <w:highlight w:val="none"/>
        </w:rPr>
        <w:t>.1试验设备与试验人员</w:t>
      </w:r>
      <w:bookmarkEnd w:id="868"/>
      <w:bookmarkEnd w:id="869"/>
      <w:bookmarkEnd w:id="870"/>
      <w:bookmarkEnd w:id="871"/>
      <w:bookmarkEnd w:id="872"/>
      <w:bookmarkEnd w:id="873"/>
      <w:bookmarkEnd w:id="874"/>
      <w:bookmarkEnd w:id="875"/>
      <w:bookmarkEnd w:id="876"/>
      <w:bookmarkEnd w:id="877"/>
      <w:bookmarkEnd w:id="878"/>
      <w:bookmarkEnd w:id="879"/>
      <w:bookmarkEnd w:id="880"/>
    </w:p>
    <w:bookmarkEnd w:id="881"/>
    <w:bookmarkEnd w:id="882"/>
    <w:bookmarkEnd w:id="883"/>
    <w:bookmarkEnd w:id="884"/>
    <w:bookmarkEnd w:id="885"/>
    <w:bookmarkEnd w:id="886"/>
    <w:bookmarkEnd w:id="887"/>
    <w:p w14:paraId="450A3E19">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9</w:t>
      </w:r>
      <w:bookmarkStart w:id="888" w:name="_Toc300934984"/>
      <w:bookmarkStart w:id="889" w:name="_Toc303539141"/>
      <w:bookmarkStart w:id="890" w:name="_Toc312677497"/>
      <w:bookmarkStart w:id="891" w:name="_Toc297216194"/>
      <w:bookmarkStart w:id="892" w:name="_Toc312678023"/>
      <w:bookmarkStart w:id="893" w:name="_Toc297123535"/>
      <w:bookmarkStart w:id="894" w:name="_Toc304295561"/>
      <w:bookmarkStart w:id="895" w:name="_Toc318581174"/>
      <w:r>
        <w:rPr>
          <w:rFonts w:ascii="宋体" w:hAnsi="宋体"/>
          <w:color w:val="auto"/>
          <w:szCs w:val="21"/>
          <w:highlight w:val="none"/>
        </w:rPr>
        <w:t>.1.2 试验设备</w:t>
      </w:r>
    </w:p>
    <w:p w14:paraId="27CE4181">
      <w:pPr>
        <w:spacing w:line="360" w:lineRule="auto"/>
        <w:ind w:firstLine="420" w:firstLineChars="200"/>
        <w:jc w:val="left"/>
        <w:rPr>
          <w:rFonts w:ascii="宋体" w:hAnsi="宋体"/>
          <w:color w:val="auto"/>
          <w:szCs w:val="21"/>
          <w:highlight w:val="none"/>
          <w:u w:val="single"/>
        </w:rPr>
      </w:pPr>
      <w:r>
        <w:rPr>
          <w:rFonts w:ascii="宋体" w:hAnsi="宋体"/>
          <w:color w:val="auto"/>
          <w:szCs w:val="21"/>
          <w:highlight w:val="none"/>
        </w:rPr>
        <w:t>施工现场需要配置的试验场所：</w:t>
      </w:r>
      <w:bookmarkEnd w:id="888"/>
      <w:bookmarkEnd w:id="889"/>
      <w:bookmarkEnd w:id="890"/>
      <w:bookmarkEnd w:id="891"/>
      <w:bookmarkEnd w:id="892"/>
      <w:bookmarkEnd w:id="893"/>
      <w:bookmarkEnd w:id="894"/>
      <w:bookmarkStart w:id="896" w:name="_Toc304295562"/>
      <w:bookmarkStart w:id="897" w:name="_Toc312678024"/>
      <w:bookmarkStart w:id="898" w:name="_Toc312677498"/>
      <w:bookmarkStart w:id="899" w:name="_Toc300934985"/>
      <w:bookmarkStart w:id="900" w:name="_Toc303539142"/>
      <w:bookmarkStart w:id="901" w:name="_Toc297123536"/>
      <w:bookmarkStart w:id="902" w:name="_Toc297216195"/>
      <w:r>
        <w:rPr>
          <w:rFonts w:hint="eastAsia" w:ascii="宋体" w:hAnsi="宋体"/>
          <w:color w:val="auto"/>
          <w:szCs w:val="21"/>
          <w:highlight w:val="none"/>
          <w:u w:val="single"/>
        </w:rPr>
        <w:t>按有关规定执行</w:t>
      </w:r>
      <w:r>
        <w:rPr>
          <w:rFonts w:ascii="宋体" w:hAnsi="宋体"/>
          <w:color w:val="auto"/>
          <w:szCs w:val="21"/>
          <w:highlight w:val="none"/>
        </w:rPr>
        <w:t>。</w:t>
      </w:r>
    </w:p>
    <w:p w14:paraId="3AE93264">
      <w:pPr>
        <w:spacing w:line="360" w:lineRule="auto"/>
        <w:ind w:firstLine="420" w:firstLineChars="200"/>
        <w:jc w:val="left"/>
        <w:rPr>
          <w:rFonts w:ascii="宋体" w:hAnsi="宋体"/>
          <w:color w:val="auto"/>
          <w:szCs w:val="21"/>
          <w:highlight w:val="none"/>
          <w:u w:val="single"/>
        </w:rPr>
      </w:pPr>
      <w:r>
        <w:rPr>
          <w:rFonts w:ascii="宋体" w:hAnsi="宋体"/>
          <w:color w:val="auto"/>
          <w:szCs w:val="21"/>
          <w:highlight w:val="none"/>
        </w:rPr>
        <w:t>施工现场需要配备的试验设备：</w:t>
      </w:r>
      <w:r>
        <w:rPr>
          <w:rFonts w:hint="eastAsia" w:ascii="宋体" w:hAnsi="宋体"/>
          <w:color w:val="auto"/>
          <w:szCs w:val="21"/>
          <w:highlight w:val="none"/>
          <w:u w:val="single"/>
        </w:rPr>
        <w:t>按有关规定执行</w:t>
      </w:r>
      <w:r>
        <w:rPr>
          <w:rFonts w:ascii="宋体" w:hAnsi="宋体"/>
          <w:color w:val="auto"/>
          <w:szCs w:val="21"/>
          <w:highlight w:val="none"/>
        </w:rPr>
        <w:t>。</w:t>
      </w:r>
    </w:p>
    <w:p w14:paraId="3AED4565">
      <w:pPr>
        <w:spacing w:line="360" w:lineRule="auto"/>
        <w:ind w:firstLine="420" w:firstLineChars="200"/>
        <w:jc w:val="left"/>
        <w:rPr>
          <w:rFonts w:ascii="宋体" w:hAnsi="宋体"/>
          <w:color w:val="auto"/>
          <w:szCs w:val="21"/>
          <w:highlight w:val="none"/>
          <w:u w:val="single"/>
        </w:rPr>
      </w:pPr>
      <w:r>
        <w:rPr>
          <w:rFonts w:ascii="宋体" w:hAnsi="宋体"/>
          <w:color w:val="auto"/>
          <w:szCs w:val="21"/>
          <w:highlight w:val="none"/>
        </w:rPr>
        <w:t>施工现场需要具备的其他试验条件：</w:t>
      </w:r>
      <w:r>
        <w:rPr>
          <w:rFonts w:hint="eastAsia" w:ascii="宋体" w:hAnsi="宋体"/>
          <w:color w:val="auto"/>
          <w:szCs w:val="21"/>
          <w:highlight w:val="none"/>
          <w:u w:val="single"/>
        </w:rPr>
        <w:t xml:space="preserve"> 无</w:t>
      </w:r>
      <w:r>
        <w:rPr>
          <w:rFonts w:ascii="宋体" w:hAnsi="宋体"/>
          <w:color w:val="auto"/>
          <w:szCs w:val="21"/>
          <w:highlight w:val="none"/>
        </w:rPr>
        <w:t>。</w:t>
      </w:r>
    </w:p>
    <w:p w14:paraId="31F22758">
      <w:pPr>
        <w:keepNext/>
        <w:keepLines/>
        <w:spacing w:before="260" w:after="260" w:line="416" w:lineRule="auto"/>
        <w:outlineLvl w:val="2"/>
        <w:rPr>
          <w:rFonts w:ascii="宋体" w:hAnsi="宋体"/>
          <w:b/>
          <w:bCs/>
          <w:color w:val="auto"/>
          <w:sz w:val="32"/>
          <w:szCs w:val="32"/>
          <w:highlight w:val="none"/>
        </w:rPr>
      </w:pPr>
      <w:bookmarkStart w:id="903" w:name="_Toc389065304"/>
      <w:bookmarkStart w:id="904" w:name="_Toc529547365"/>
      <w:bookmarkStart w:id="905" w:name="_Toc472931646"/>
      <w:bookmarkStart w:id="906" w:name="_Toc432343927"/>
      <w:bookmarkStart w:id="907" w:name="_Toc470247840"/>
      <w:bookmarkStart w:id="908" w:name="_Toc373478385"/>
      <w:bookmarkStart w:id="909" w:name="_Toc461179281"/>
      <w:bookmarkStart w:id="910" w:name="_Toc454211151"/>
      <w:bookmarkStart w:id="911" w:name="_Toc531186642"/>
      <w:bookmarkStart w:id="912" w:name="_Toc411345220"/>
      <w:bookmarkStart w:id="913" w:name="_Toc373227738"/>
      <w:bookmarkStart w:id="914" w:name="_Toc529527013"/>
      <w:bookmarkStart w:id="915" w:name="_Toc530144507"/>
      <w:r>
        <w:rPr>
          <w:rFonts w:ascii="宋体" w:hAnsi="宋体"/>
          <w:b/>
          <w:bCs/>
          <w:color w:val="auto"/>
          <w:sz w:val="32"/>
          <w:szCs w:val="32"/>
          <w:highlight w:val="none"/>
        </w:rPr>
        <w:t>9.4 现场工艺试验</w:t>
      </w:r>
      <w:bookmarkEnd w:id="903"/>
      <w:bookmarkEnd w:id="904"/>
      <w:bookmarkEnd w:id="905"/>
      <w:bookmarkEnd w:id="906"/>
      <w:bookmarkEnd w:id="907"/>
      <w:bookmarkEnd w:id="908"/>
      <w:bookmarkEnd w:id="909"/>
      <w:bookmarkEnd w:id="910"/>
      <w:bookmarkEnd w:id="911"/>
      <w:bookmarkEnd w:id="912"/>
      <w:bookmarkEnd w:id="913"/>
      <w:bookmarkEnd w:id="914"/>
      <w:bookmarkEnd w:id="915"/>
    </w:p>
    <w:p w14:paraId="265CF237">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现场工艺试验的有关约定：</w:t>
      </w:r>
      <w:r>
        <w:rPr>
          <w:rFonts w:hint="eastAsia" w:ascii="宋体" w:hAnsi="宋体"/>
          <w:color w:val="auto"/>
          <w:szCs w:val="21"/>
          <w:highlight w:val="none"/>
          <w:u w:val="single"/>
        </w:rPr>
        <w:t>按有关规定执行</w:t>
      </w:r>
      <w:r>
        <w:rPr>
          <w:rFonts w:ascii="宋体" w:hAnsi="宋体"/>
          <w:color w:val="auto"/>
          <w:szCs w:val="21"/>
          <w:highlight w:val="none"/>
        </w:rPr>
        <w:t>。</w:t>
      </w:r>
    </w:p>
    <w:p w14:paraId="197DA66C">
      <w:pPr>
        <w:keepNext/>
        <w:keepLines/>
        <w:spacing w:before="260" w:after="260" w:line="416" w:lineRule="auto"/>
        <w:outlineLvl w:val="2"/>
        <w:rPr>
          <w:rFonts w:ascii="宋体" w:hAnsi="宋体"/>
          <w:b/>
          <w:bCs/>
          <w:color w:val="auto"/>
          <w:sz w:val="32"/>
          <w:szCs w:val="32"/>
          <w:highlight w:val="none"/>
        </w:rPr>
      </w:pPr>
      <w:bookmarkStart w:id="916" w:name="_Toc530144508"/>
      <w:bookmarkStart w:id="917" w:name="_Toc461179282"/>
      <w:bookmarkStart w:id="918" w:name="_Toc529547366"/>
      <w:bookmarkStart w:id="919" w:name="_Toc411345221"/>
      <w:bookmarkStart w:id="920" w:name="_Toc470247841"/>
      <w:bookmarkStart w:id="921" w:name="_Toc432343928"/>
      <w:bookmarkStart w:id="922" w:name="_Toc531186643"/>
      <w:bookmarkStart w:id="923" w:name="_Toc454211152"/>
      <w:bookmarkStart w:id="924" w:name="_Toc472931647"/>
      <w:bookmarkStart w:id="925" w:name="_Toc529527014"/>
      <w:r>
        <w:rPr>
          <w:rFonts w:ascii="宋体" w:hAnsi="宋体"/>
          <w:b/>
          <w:bCs/>
          <w:color w:val="auto"/>
          <w:sz w:val="32"/>
          <w:szCs w:val="32"/>
          <w:highlight w:val="none"/>
        </w:rPr>
        <w:t>9.5 检验费用</w:t>
      </w:r>
      <w:bookmarkEnd w:id="916"/>
      <w:bookmarkEnd w:id="917"/>
      <w:bookmarkEnd w:id="918"/>
      <w:bookmarkEnd w:id="919"/>
      <w:bookmarkEnd w:id="920"/>
      <w:bookmarkEnd w:id="921"/>
      <w:bookmarkEnd w:id="922"/>
      <w:bookmarkEnd w:id="923"/>
      <w:bookmarkEnd w:id="924"/>
      <w:bookmarkEnd w:id="925"/>
    </w:p>
    <w:p w14:paraId="53CAD5F8">
      <w:pPr>
        <w:spacing w:line="360" w:lineRule="auto"/>
        <w:ind w:firstLine="411" w:firstLineChars="196"/>
        <w:rPr>
          <w:rFonts w:ascii="宋体" w:hAnsi="宋体"/>
          <w:color w:val="auto"/>
          <w:szCs w:val="21"/>
          <w:highlight w:val="none"/>
        </w:rPr>
      </w:pPr>
      <w:r>
        <w:rPr>
          <w:rFonts w:ascii="宋体" w:hAnsi="宋体"/>
          <w:color w:val="auto"/>
          <w:szCs w:val="21"/>
          <w:highlight w:val="none"/>
        </w:rPr>
        <w:t>根据《建设工程质量检测管理办法》（建设部令第141号）以及</w:t>
      </w:r>
      <w:r>
        <w:rPr>
          <w:rFonts w:ascii="宋体" w:hAnsi="宋体"/>
          <w:bCs/>
          <w:color w:val="auto"/>
          <w:szCs w:val="21"/>
          <w:highlight w:val="none"/>
        </w:rPr>
        <w:t>《广西壮族自治区建设工程质量检测管理规定》</w:t>
      </w:r>
      <w:r>
        <w:rPr>
          <w:rFonts w:hint="eastAsia" w:ascii="宋体" w:hAnsi="宋体"/>
          <w:bCs/>
          <w:color w:val="auto"/>
          <w:szCs w:val="21"/>
          <w:highlight w:val="none"/>
        </w:rPr>
        <w:t>（</w:t>
      </w:r>
      <w:r>
        <w:rPr>
          <w:rFonts w:ascii="宋体" w:hAnsi="宋体"/>
          <w:bCs/>
          <w:color w:val="auto"/>
          <w:szCs w:val="21"/>
          <w:highlight w:val="none"/>
        </w:rPr>
        <w:t>桂建管</w:t>
      </w:r>
      <w:r>
        <w:rPr>
          <w:rFonts w:hint="eastAsia" w:ascii="宋体" w:hAnsi="宋体"/>
          <w:bCs/>
          <w:color w:val="auto"/>
          <w:szCs w:val="21"/>
          <w:highlight w:val="none"/>
        </w:rPr>
        <w:t>〔</w:t>
      </w:r>
      <w:r>
        <w:rPr>
          <w:rFonts w:ascii="宋体" w:hAnsi="宋体"/>
          <w:bCs/>
          <w:color w:val="auto"/>
          <w:szCs w:val="21"/>
          <w:highlight w:val="none"/>
        </w:rPr>
        <w:t>2013</w:t>
      </w:r>
      <w:r>
        <w:rPr>
          <w:rFonts w:hint="eastAsia" w:ascii="宋体" w:hAnsi="宋体"/>
          <w:bCs/>
          <w:color w:val="auto"/>
          <w:szCs w:val="21"/>
          <w:highlight w:val="none"/>
        </w:rPr>
        <w:t>〕</w:t>
      </w:r>
      <w:r>
        <w:rPr>
          <w:rFonts w:ascii="宋体" w:hAnsi="宋体"/>
          <w:bCs/>
          <w:color w:val="auto"/>
          <w:szCs w:val="21"/>
          <w:highlight w:val="none"/>
        </w:rPr>
        <w:t>11号</w:t>
      </w:r>
      <w:r>
        <w:rPr>
          <w:rFonts w:hint="eastAsia" w:ascii="宋体" w:hAnsi="宋体"/>
          <w:bCs/>
          <w:color w:val="auto"/>
          <w:szCs w:val="21"/>
          <w:highlight w:val="none"/>
        </w:rPr>
        <w:t>）</w:t>
      </w:r>
      <w:r>
        <w:rPr>
          <w:rFonts w:ascii="宋体" w:hAnsi="宋体"/>
          <w:color w:val="auto"/>
          <w:szCs w:val="21"/>
          <w:highlight w:val="none"/>
        </w:rPr>
        <w:t>规定，工程质量检测业务由招标人委托有相应资质的检测机构检测。费用从招标人的项目建设经费中支出并直接支付给检测机构，不计入合同价款内。</w:t>
      </w:r>
    </w:p>
    <w:bookmarkEnd w:id="895"/>
    <w:bookmarkEnd w:id="896"/>
    <w:bookmarkEnd w:id="897"/>
    <w:bookmarkEnd w:id="898"/>
    <w:bookmarkEnd w:id="899"/>
    <w:bookmarkEnd w:id="900"/>
    <w:bookmarkEnd w:id="901"/>
    <w:bookmarkEnd w:id="902"/>
    <w:p w14:paraId="3D839785">
      <w:pPr>
        <w:keepNext/>
        <w:keepLines/>
        <w:spacing w:before="260" w:after="260" w:line="416" w:lineRule="auto"/>
        <w:outlineLvl w:val="2"/>
        <w:rPr>
          <w:rFonts w:ascii="宋体" w:hAnsi="宋体"/>
          <w:b/>
          <w:bCs/>
          <w:color w:val="auto"/>
          <w:sz w:val="32"/>
          <w:szCs w:val="32"/>
          <w:highlight w:val="none"/>
        </w:rPr>
      </w:pPr>
      <w:bookmarkStart w:id="926" w:name="_Toc470247842"/>
      <w:bookmarkStart w:id="927" w:name="_Toc389065305"/>
      <w:bookmarkStart w:id="928" w:name="_Toc373227739"/>
      <w:bookmarkStart w:id="929" w:name="_Toc373478386"/>
      <w:bookmarkStart w:id="930" w:name="_Toc411345222"/>
      <w:bookmarkStart w:id="931" w:name="_Toc530144509"/>
      <w:bookmarkStart w:id="932" w:name="_Toc351203642"/>
      <w:bookmarkStart w:id="933" w:name="_Toc529527015"/>
      <w:bookmarkStart w:id="934" w:name="_Toc531186644"/>
      <w:bookmarkStart w:id="935" w:name="_Toc432343929"/>
      <w:bookmarkStart w:id="936" w:name="_Toc454211153"/>
      <w:bookmarkStart w:id="937" w:name="_Toc472931648"/>
      <w:bookmarkStart w:id="938" w:name="_Toc529547367"/>
      <w:bookmarkStart w:id="939" w:name="_Toc461179283"/>
      <w:r>
        <w:rPr>
          <w:rFonts w:ascii="宋体" w:hAnsi="宋体"/>
          <w:b/>
          <w:bCs/>
          <w:color w:val="auto"/>
          <w:sz w:val="32"/>
          <w:szCs w:val="32"/>
          <w:highlight w:val="none"/>
        </w:rPr>
        <w:t>1</w:t>
      </w:r>
      <w:bookmarkEnd w:id="856"/>
      <w:bookmarkEnd w:id="857"/>
      <w:bookmarkEnd w:id="858"/>
      <w:bookmarkEnd w:id="859"/>
      <w:bookmarkEnd w:id="860"/>
      <w:bookmarkEnd w:id="861"/>
      <w:bookmarkEnd w:id="862"/>
      <w:bookmarkEnd w:id="863"/>
      <w:bookmarkEnd w:id="864"/>
      <w:bookmarkEnd w:id="865"/>
      <w:bookmarkEnd w:id="866"/>
      <w:bookmarkEnd w:id="867"/>
      <w:bookmarkStart w:id="940" w:name="_Toc297216199"/>
      <w:bookmarkStart w:id="941" w:name="_Toc292559903"/>
      <w:bookmarkStart w:id="942" w:name="_Toc297123540"/>
      <w:bookmarkStart w:id="943" w:name="_Toc300934989"/>
      <w:bookmarkStart w:id="944" w:name="_Toc292559398"/>
      <w:bookmarkStart w:id="945" w:name="_Toc296347192"/>
      <w:bookmarkStart w:id="946" w:name="_Toc296891233"/>
      <w:bookmarkStart w:id="947" w:name="_Toc296503193"/>
      <w:bookmarkStart w:id="948" w:name="_Toc297120493"/>
      <w:bookmarkStart w:id="949" w:name="_Toc304295566"/>
      <w:bookmarkStart w:id="950" w:name="_Toc296891021"/>
      <w:bookmarkStart w:id="951" w:name="_Toc296944532"/>
      <w:bookmarkStart w:id="952" w:name="_Toc303539146"/>
      <w:bookmarkStart w:id="953" w:name="_Toc296346694"/>
      <w:bookmarkStart w:id="954" w:name="_Toc297048379"/>
      <w:bookmarkStart w:id="955" w:name="_Toc312677499"/>
      <w:bookmarkStart w:id="956" w:name="_Toc312678025"/>
      <w:bookmarkStart w:id="957" w:name="_Toc267251433"/>
      <w:bookmarkStart w:id="958" w:name="_Toc267251435"/>
      <w:bookmarkStart w:id="959" w:name="_Toc267251437"/>
      <w:bookmarkStart w:id="960" w:name="_Toc267251440"/>
      <w:bookmarkStart w:id="961" w:name="_Toc267251441"/>
      <w:bookmarkStart w:id="962" w:name="_Toc267251439"/>
      <w:bookmarkStart w:id="963" w:name="_Toc267251442"/>
      <w:r>
        <w:rPr>
          <w:rFonts w:ascii="宋体" w:hAnsi="宋体"/>
          <w:b/>
          <w:bCs/>
          <w:color w:val="auto"/>
          <w:sz w:val="32"/>
          <w:szCs w:val="32"/>
          <w:highlight w:val="none"/>
        </w:rPr>
        <w:t>0. 变更</w:t>
      </w:r>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p>
    <w:bookmarkEnd w:id="955"/>
    <w:bookmarkEnd w:id="956"/>
    <w:p w14:paraId="750E79D1">
      <w:pPr>
        <w:keepNext/>
        <w:keepLines/>
        <w:spacing w:before="260" w:after="260" w:line="416" w:lineRule="auto"/>
        <w:outlineLvl w:val="2"/>
        <w:rPr>
          <w:rFonts w:ascii="宋体" w:hAnsi="宋体"/>
          <w:b/>
          <w:bCs/>
          <w:color w:val="auto"/>
          <w:sz w:val="32"/>
          <w:szCs w:val="32"/>
          <w:highlight w:val="none"/>
        </w:rPr>
      </w:pPr>
      <w:bookmarkStart w:id="964" w:name="_Toc389065306"/>
      <w:bookmarkStart w:id="965" w:name="_Toc529547368"/>
      <w:bookmarkStart w:id="966" w:name="_Toc373478387"/>
      <w:bookmarkStart w:id="967" w:name="_Toc373227740"/>
      <w:bookmarkStart w:id="968" w:name="_Toc432343930"/>
      <w:bookmarkStart w:id="969" w:name="_Toc472931649"/>
      <w:bookmarkStart w:id="970" w:name="_Toc531186645"/>
      <w:bookmarkStart w:id="971" w:name="_Toc529527016"/>
      <w:bookmarkStart w:id="972" w:name="_Toc470247843"/>
      <w:bookmarkStart w:id="973" w:name="_Toc411345223"/>
      <w:bookmarkStart w:id="974" w:name="_Toc461179284"/>
      <w:bookmarkStart w:id="975" w:name="_Toc454211154"/>
      <w:bookmarkStart w:id="976" w:name="_Toc530144510"/>
      <w:r>
        <w:rPr>
          <w:rFonts w:ascii="宋体" w:hAnsi="宋体"/>
          <w:b/>
          <w:bCs/>
          <w:color w:val="auto"/>
          <w:sz w:val="32"/>
          <w:szCs w:val="32"/>
          <w:highlight w:val="none"/>
        </w:rPr>
        <w:t>1</w:t>
      </w:r>
      <w:bookmarkStart w:id="977" w:name="_Toc297216200"/>
      <w:bookmarkStart w:id="978" w:name="_Toc297048380"/>
      <w:bookmarkStart w:id="979" w:name="_Toc296944533"/>
      <w:bookmarkStart w:id="980" w:name="_Toc292559904"/>
      <w:bookmarkStart w:id="981" w:name="_Toc296891022"/>
      <w:bookmarkStart w:id="982" w:name="_Toc297120494"/>
      <w:bookmarkStart w:id="983" w:name="_Toc296346695"/>
      <w:bookmarkStart w:id="984" w:name="_Toc303539147"/>
      <w:bookmarkStart w:id="985" w:name="_Toc296891234"/>
      <w:bookmarkStart w:id="986" w:name="_Toc300934990"/>
      <w:bookmarkStart w:id="987" w:name="_Toc304295567"/>
      <w:bookmarkStart w:id="988" w:name="_Toc312677500"/>
      <w:bookmarkStart w:id="989" w:name="_Toc296347193"/>
      <w:bookmarkStart w:id="990" w:name="_Toc296503194"/>
      <w:bookmarkStart w:id="991" w:name="_Toc312678026"/>
      <w:bookmarkStart w:id="992" w:name="_Toc292559399"/>
      <w:bookmarkStart w:id="993" w:name="_Toc297123541"/>
      <w:r>
        <w:rPr>
          <w:rFonts w:ascii="宋体" w:hAnsi="宋体"/>
          <w:b/>
          <w:bCs/>
          <w:color w:val="auto"/>
          <w:sz w:val="32"/>
          <w:szCs w:val="32"/>
          <w:highlight w:val="none"/>
        </w:rPr>
        <w:t>0.1变更的范围</w:t>
      </w:r>
      <w:bookmarkEnd w:id="964"/>
      <w:bookmarkEnd w:id="965"/>
      <w:bookmarkEnd w:id="966"/>
      <w:bookmarkEnd w:id="967"/>
      <w:bookmarkEnd w:id="968"/>
      <w:bookmarkEnd w:id="969"/>
      <w:bookmarkEnd w:id="970"/>
      <w:bookmarkEnd w:id="971"/>
      <w:bookmarkEnd w:id="972"/>
      <w:bookmarkEnd w:id="973"/>
      <w:bookmarkEnd w:id="974"/>
      <w:bookmarkEnd w:id="975"/>
      <w:bookmarkEnd w:id="976"/>
    </w:p>
    <w:p w14:paraId="5188505E">
      <w:pPr>
        <w:spacing w:line="360" w:lineRule="auto"/>
        <w:ind w:firstLine="426"/>
        <w:jc w:val="left"/>
        <w:rPr>
          <w:rFonts w:ascii="宋体" w:hAnsi="宋体"/>
          <w:color w:val="auto"/>
          <w:szCs w:val="21"/>
          <w:highlight w:val="none"/>
        </w:rPr>
      </w:pPr>
      <w:r>
        <w:rPr>
          <w:rFonts w:ascii="宋体" w:hAnsi="宋体"/>
          <w:color w:val="auto"/>
          <w:szCs w:val="21"/>
          <w:highlight w:val="none"/>
        </w:rPr>
        <w:t>关于变更的范围的约定：</w:t>
      </w:r>
      <w:r>
        <w:rPr>
          <w:rFonts w:hint="eastAsia" w:ascii="宋体" w:hAnsi="宋体"/>
          <w:color w:val="auto"/>
          <w:szCs w:val="21"/>
          <w:highlight w:val="none"/>
          <w:u w:val="single"/>
        </w:rPr>
        <w:t>按通用合同条款</w:t>
      </w:r>
      <w:r>
        <w:rPr>
          <w:rFonts w:hint="eastAsia" w:ascii="宋体" w:hAnsi="宋体"/>
          <w:b/>
          <w:bCs/>
          <w:color w:val="auto"/>
          <w:szCs w:val="21"/>
          <w:highlight w:val="none"/>
          <w:u w:val="single"/>
        </w:rPr>
        <w:t>10.1</w:t>
      </w:r>
      <w:r>
        <w:rPr>
          <w:rFonts w:hint="eastAsia" w:ascii="宋体" w:hAnsi="宋体"/>
          <w:color w:val="auto"/>
          <w:szCs w:val="21"/>
          <w:highlight w:val="none"/>
          <w:u w:val="single"/>
        </w:rPr>
        <w:t>条执行</w:t>
      </w:r>
      <w:r>
        <w:rPr>
          <w:rFonts w:ascii="宋体" w:hAnsi="宋体"/>
          <w:color w:val="auto"/>
          <w:szCs w:val="21"/>
          <w:highlight w:val="none"/>
        </w:rPr>
        <w:t>。</w:t>
      </w:r>
    </w:p>
    <w:p w14:paraId="2F577CDA">
      <w:pPr>
        <w:keepNext/>
        <w:keepLines/>
        <w:spacing w:before="260" w:after="260" w:line="416" w:lineRule="auto"/>
        <w:outlineLvl w:val="2"/>
        <w:rPr>
          <w:rFonts w:ascii="宋体" w:hAnsi="宋体"/>
          <w:b/>
          <w:bCs/>
          <w:color w:val="auto"/>
          <w:sz w:val="32"/>
          <w:szCs w:val="32"/>
          <w:highlight w:val="none"/>
        </w:rPr>
      </w:pPr>
      <w:bookmarkStart w:id="994" w:name="_Toc389065307"/>
      <w:bookmarkStart w:id="995" w:name="_Toc530144511"/>
      <w:bookmarkStart w:id="996" w:name="_Toc470247844"/>
      <w:bookmarkStart w:id="997" w:name="_Toc531186646"/>
      <w:bookmarkStart w:id="998" w:name="_Toc529527017"/>
      <w:bookmarkStart w:id="999" w:name="_Toc432343932"/>
      <w:bookmarkStart w:id="1000" w:name="_Toc472931650"/>
      <w:bookmarkStart w:id="1001" w:name="_Toc529547369"/>
      <w:bookmarkStart w:id="1002" w:name="_Toc373478388"/>
      <w:bookmarkStart w:id="1003" w:name="_Toc373227741"/>
      <w:bookmarkStart w:id="1004" w:name="_Toc411345225"/>
      <w:bookmarkStart w:id="1005" w:name="_Toc454211156"/>
      <w:bookmarkStart w:id="1006" w:name="_Toc461179286"/>
      <w:r>
        <w:rPr>
          <w:rFonts w:ascii="宋体" w:hAnsi="宋体"/>
          <w:b/>
          <w:bCs/>
          <w:color w:val="auto"/>
          <w:sz w:val="32"/>
          <w:szCs w:val="32"/>
          <w:highlight w:val="none"/>
        </w:rPr>
        <w:t>10.3 变更程序</w:t>
      </w:r>
      <w:bookmarkEnd w:id="994"/>
      <w:bookmarkEnd w:id="995"/>
      <w:bookmarkEnd w:id="996"/>
      <w:bookmarkEnd w:id="997"/>
      <w:bookmarkEnd w:id="998"/>
      <w:bookmarkEnd w:id="999"/>
      <w:bookmarkEnd w:id="1000"/>
      <w:bookmarkEnd w:id="1001"/>
      <w:bookmarkEnd w:id="1002"/>
      <w:bookmarkEnd w:id="1003"/>
      <w:bookmarkEnd w:id="1004"/>
      <w:bookmarkEnd w:id="1005"/>
      <w:bookmarkEnd w:id="1006"/>
    </w:p>
    <w:p w14:paraId="338E7E29">
      <w:pPr>
        <w:spacing w:line="360" w:lineRule="auto"/>
        <w:ind w:firstLine="441" w:firstLineChars="210"/>
        <w:rPr>
          <w:rFonts w:ascii="宋体" w:hAnsi="宋体"/>
          <w:bCs/>
          <w:color w:val="auto"/>
          <w:szCs w:val="21"/>
          <w:highlight w:val="none"/>
        </w:rPr>
      </w:pPr>
      <w:r>
        <w:rPr>
          <w:rFonts w:ascii="宋体" w:hAnsi="宋体"/>
          <w:bCs/>
          <w:color w:val="auto"/>
          <w:szCs w:val="21"/>
          <w:highlight w:val="none"/>
        </w:rPr>
        <w:t>10.3.1国有投资项目：</w:t>
      </w:r>
    </w:p>
    <w:p w14:paraId="30BD5352">
      <w:pPr>
        <w:spacing w:line="360" w:lineRule="auto"/>
        <w:ind w:firstLine="441" w:firstLineChars="210"/>
        <w:rPr>
          <w:rFonts w:ascii="宋体" w:hAnsi="宋体"/>
          <w:bCs/>
          <w:color w:val="auto"/>
          <w:szCs w:val="21"/>
          <w:highlight w:val="none"/>
        </w:rPr>
      </w:pPr>
      <w:r>
        <w:rPr>
          <w:rFonts w:ascii="宋体" w:hAnsi="宋体"/>
          <w:bCs/>
          <w:color w:val="auto"/>
          <w:szCs w:val="21"/>
          <w:highlight w:val="none"/>
        </w:rPr>
        <w:t>⑴设计变更和工程签证，按各市政府或相关部门的规定办理。属不可抗力（自然灾害、突发事件等）造成变更的，按特事特办原则予以办理。</w:t>
      </w:r>
    </w:p>
    <w:p w14:paraId="636F55AD">
      <w:pPr>
        <w:spacing w:line="360" w:lineRule="auto"/>
        <w:ind w:firstLine="441" w:firstLineChars="210"/>
        <w:rPr>
          <w:rFonts w:ascii="宋体" w:hAnsi="宋体"/>
          <w:bCs/>
          <w:color w:val="auto"/>
          <w:szCs w:val="21"/>
          <w:highlight w:val="none"/>
        </w:rPr>
      </w:pPr>
      <w:r>
        <w:rPr>
          <w:rFonts w:ascii="宋体" w:hAnsi="宋体"/>
          <w:bCs/>
          <w:color w:val="auto"/>
          <w:szCs w:val="21"/>
          <w:highlight w:val="none"/>
        </w:rPr>
        <w:t>⑵建设单位在实施项目过程中，若发生单价变动，由建设单位、监理单位、施工单位及其他相关单位共同商定并签字确认。</w:t>
      </w:r>
    </w:p>
    <w:p w14:paraId="4608CC27">
      <w:pPr>
        <w:spacing w:line="360" w:lineRule="auto"/>
        <w:ind w:firstLine="441" w:firstLineChars="210"/>
        <w:rPr>
          <w:rFonts w:hint="eastAsia" w:ascii="宋体" w:hAnsi="宋体"/>
          <w:bCs/>
          <w:color w:val="auto"/>
          <w:szCs w:val="21"/>
          <w:highlight w:val="none"/>
        </w:rPr>
      </w:pPr>
      <w:r>
        <w:rPr>
          <w:rFonts w:ascii="宋体" w:hAnsi="宋体"/>
          <w:bCs/>
          <w:color w:val="auto"/>
          <w:szCs w:val="21"/>
          <w:highlight w:val="none"/>
        </w:rPr>
        <w:t>⑶ 当合同规定的合同价款调整情况发生后，</w:t>
      </w:r>
      <w:r>
        <w:rPr>
          <w:rFonts w:hint="eastAsia" w:ascii="宋体" w:hAnsi="宋体"/>
          <w:bCs/>
          <w:color w:val="auto"/>
          <w:szCs w:val="21"/>
          <w:highlight w:val="none"/>
        </w:rPr>
        <w:t>承包人未在事件发生后14天内通知发包人，或者未在发出通知后14天内提出调整报告，视为承包人放弃对应价款调整权利，发包人不再就该事项进行任何价款调整。</w:t>
      </w:r>
    </w:p>
    <w:p w14:paraId="6263C5A1">
      <w:pPr>
        <w:spacing w:line="360" w:lineRule="auto"/>
        <w:ind w:firstLine="441" w:firstLineChars="210"/>
        <w:rPr>
          <w:rFonts w:ascii="宋体" w:hAnsi="宋体" w:eastAsia="宋体" w:cs="Times New Roman"/>
          <w:bCs/>
          <w:color w:val="auto"/>
          <w:szCs w:val="21"/>
          <w:highlight w:val="none"/>
        </w:rPr>
      </w:pPr>
      <w:r>
        <w:rPr>
          <w:rFonts w:hint="eastAsia" w:ascii="宋体" w:hAnsi="宋体" w:eastAsia="宋体" w:cs="Times New Roman"/>
          <w:bCs/>
          <w:color w:val="auto"/>
          <w:szCs w:val="21"/>
          <w:highlight w:val="none"/>
        </w:rPr>
        <w:t>（4）所有设计变更，双方均应办理变更前签证，需要变更的工程（或新增工程），由设计单位、监理单位对变更理由和变更内容提出审核意见后报发包人，由发包人审批后方可实施。变更造价累计超出工程施工合同价中建安工程费用总和的10%或工程变更总造价大于100万人民币的，由设计单位、监理单位及发包人提出审核意见，经发包人集体研究，主要负责人签字后，报相关审批部门批准后须报市人民政府备案方可实施。项目变更后总投资超过概算批复的，必须报投资审批部门同意调整概算方可实施。</w:t>
      </w:r>
    </w:p>
    <w:p w14:paraId="0D8A0284">
      <w:pPr>
        <w:spacing w:line="360" w:lineRule="auto"/>
        <w:ind w:firstLine="441" w:firstLineChars="210"/>
        <w:rPr>
          <w:rFonts w:ascii="宋体" w:hAnsi="宋体" w:eastAsia="宋体" w:cs="Times New Roman"/>
          <w:bCs/>
          <w:color w:val="auto"/>
          <w:szCs w:val="21"/>
          <w:highlight w:val="none"/>
        </w:rPr>
      </w:pPr>
      <w:r>
        <w:rPr>
          <w:rFonts w:ascii="宋体" w:hAnsi="宋体" w:eastAsia="宋体" w:cs="Times New Roman"/>
          <w:bCs/>
          <w:color w:val="auto"/>
          <w:szCs w:val="21"/>
          <w:highlight w:val="none"/>
        </w:rPr>
        <w:t xml:space="preserve">10.3.2非国有投资项目： </w:t>
      </w:r>
      <w:r>
        <w:rPr>
          <w:rFonts w:hint="eastAsia" w:ascii="宋体" w:hAnsi="宋体" w:eastAsia="宋体" w:cs="Times New Roman"/>
          <w:bCs/>
          <w:color w:val="auto"/>
          <w:szCs w:val="21"/>
          <w:highlight w:val="none"/>
        </w:rPr>
        <w:t>/</w:t>
      </w:r>
      <w:r>
        <w:rPr>
          <w:rFonts w:ascii="宋体" w:hAnsi="宋体" w:eastAsia="宋体" w:cs="Times New Roman"/>
          <w:bCs/>
          <w:color w:val="auto"/>
          <w:szCs w:val="21"/>
          <w:highlight w:val="none"/>
        </w:rPr>
        <w:t>。</w:t>
      </w:r>
    </w:p>
    <w:p w14:paraId="4B8EC6CD">
      <w:pPr>
        <w:keepNext/>
        <w:keepLines/>
        <w:spacing w:before="260" w:after="260" w:line="416" w:lineRule="auto"/>
        <w:outlineLvl w:val="2"/>
        <w:rPr>
          <w:rFonts w:ascii="宋体" w:hAnsi="宋体"/>
          <w:b/>
          <w:bCs/>
          <w:color w:val="auto"/>
          <w:sz w:val="32"/>
          <w:szCs w:val="32"/>
          <w:highlight w:val="none"/>
        </w:rPr>
      </w:pPr>
      <w:bookmarkStart w:id="1007" w:name="_Toc373227742"/>
      <w:bookmarkStart w:id="1008" w:name="_Toc529547370"/>
      <w:bookmarkStart w:id="1009" w:name="_Toc529527018"/>
      <w:bookmarkStart w:id="1010" w:name="_Toc461179287"/>
      <w:bookmarkStart w:id="1011" w:name="_Toc470247845"/>
      <w:bookmarkStart w:id="1012" w:name="_Toc531186647"/>
      <w:bookmarkStart w:id="1013" w:name="_Toc472931651"/>
      <w:bookmarkStart w:id="1014" w:name="_Toc530144512"/>
      <w:bookmarkStart w:id="1015" w:name="_Toc373478389"/>
      <w:bookmarkStart w:id="1016" w:name="_Toc432343933"/>
      <w:bookmarkStart w:id="1017" w:name="_Toc454211157"/>
      <w:bookmarkStart w:id="1018" w:name="_Toc389065308"/>
      <w:bookmarkStart w:id="1019" w:name="_Toc411345226"/>
      <w:r>
        <w:rPr>
          <w:rFonts w:ascii="宋体" w:hAnsi="宋体"/>
          <w:b/>
          <w:bCs/>
          <w:color w:val="auto"/>
          <w:sz w:val="32"/>
          <w:szCs w:val="32"/>
          <w:highlight w:val="none"/>
        </w:rPr>
        <w:t>10.4 变更估价</w:t>
      </w:r>
      <w:bookmarkEnd w:id="1007"/>
      <w:bookmarkEnd w:id="1008"/>
      <w:bookmarkEnd w:id="1009"/>
      <w:bookmarkEnd w:id="1010"/>
      <w:bookmarkEnd w:id="1011"/>
      <w:bookmarkEnd w:id="1012"/>
      <w:bookmarkEnd w:id="1013"/>
      <w:bookmarkEnd w:id="1014"/>
      <w:bookmarkEnd w:id="1015"/>
      <w:bookmarkEnd w:id="1016"/>
      <w:bookmarkEnd w:id="1017"/>
      <w:bookmarkEnd w:id="1018"/>
      <w:bookmarkEnd w:id="1019"/>
    </w:p>
    <w:p w14:paraId="71AAC802">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10.4.1 变更估价原则</w:t>
      </w:r>
    </w:p>
    <w:p w14:paraId="3D1CB772">
      <w:pPr>
        <w:spacing w:line="360" w:lineRule="auto"/>
        <w:ind w:firstLine="420" w:firstLineChars="200"/>
        <w:jc w:val="left"/>
        <w:rPr>
          <w:rFonts w:ascii="Calibri" w:hAnsi="Calibri"/>
          <w:color w:val="auto"/>
          <w:szCs w:val="21"/>
          <w:highlight w:val="none"/>
        </w:rPr>
      </w:pPr>
      <w:bookmarkStart w:id="1020" w:name="_Toc432343934"/>
      <w:bookmarkStart w:id="1021" w:name="_Toc389065309"/>
      <w:bookmarkStart w:id="1022" w:name="_Toc373227743"/>
      <w:bookmarkStart w:id="1023" w:name="_Toc411345227"/>
      <w:bookmarkStart w:id="1024" w:name="_Toc373478390"/>
      <w:bookmarkStart w:id="1025" w:name="_Toc461179288"/>
      <w:bookmarkStart w:id="1026" w:name="_Toc454211158"/>
      <w:r>
        <w:rPr>
          <w:rFonts w:ascii="Calibri" w:hAnsi="Calibri"/>
          <w:color w:val="auto"/>
          <w:szCs w:val="21"/>
          <w:highlight w:val="none"/>
        </w:rPr>
        <w:t xml:space="preserve">10.4.1 </w:t>
      </w:r>
      <w:r>
        <w:rPr>
          <w:rFonts w:ascii="Calibri" w:hAnsi="宋体"/>
          <w:color w:val="auto"/>
          <w:szCs w:val="21"/>
          <w:highlight w:val="none"/>
        </w:rPr>
        <w:t>变更估价原则</w:t>
      </w:r>
    </w:p>
    <w:p w14:paraId="1D6FAB20">
      <w:pPr>
        <w:spacing w:line="360" w:lineRule="auto"/>
        <w:ind w:firstLine="420" w:firstLineChars="200"/>
        <w:jc w:val="left"/>
        <w:rPr>
          <w:rFonts w:ascii="Calibri" w:hAnsi="宋体"/>
          <w:color w:val="auto"/>
          <w:szCs w:val="21"/>
          <w:highlight w:val="none"/>
        </w:rPr>
      </w:pPr>
      <w:r>
        <w:rPr>
          <w:rFonts w:ascii="Calibri" w:hAnsi="宋体"/>
          <w:color w:val="auto"/>
          <w:szCs w:val="21"/>
          <w:highlight w:val="none"/>
        </w:rPr>
        <w:t>关于变更估价的约定</w:t>
      </w:r>
      <w:r>
        <w:rPr>
          <w:rFonts w:ascii="Calibri" w:hAnsi="Calibri"/>
          <w:color w:val="auto"/>
          <w:szCs w:val="21"/>
          <w:highlight w:val="none"/>
        </w:rPr>
        <w:t xml:space="preserve">: </w:t>
      </w:r>
      <w:bookmarkStart w:id="1027" w:name="_Toc251051742"/>
      <w:r>
        <w:rPr>
          <w:rFonts w:hint="eastAsia" w:ascii="Calibri" w:hAnsi="宋体"/>
          <w:bCs/>
          <w:color w:val="auto"/>
          <w:szCs w:val="21"/>
          <w:highlight w:val="none"/>
          <w:u w:val="single"/>
        </w:rPr>
        <w:t>工程</w:t>
      </w:r>
      <w:r>
        <w:rPr>
          <w:rFonts w:ascii="Calibri" w:hAnsi="宋体"/>
          <w:bCs/>
          <w:color w:val="auto"/>
          <w:szCs w:val="21"/>
          <w:highlight w:val="none"/>
          <w:u w:val="single"/>
        </w:rPr>
        <w:t>变更合同价款按下列方法进行：（</w:t>
      </w:r>
      <w:r>
        <w:rPr>
          <w:rFonts w:ascii="Calibri" w:hAnsi="Calibri"/>
          <w:bCs/>
          <w:color w:val="auto"/>
          <w:szCs w:val="21"/>
          <w:highlight w:val="none"/>
          <w:u w:val="single"/>
        </w:rPr>
        <w:t>1</w:t>
      </w:r>
      <w:r>
        <w:rPr>
          <w:rFonts w:ascii="Calibri" w:hAnsi="宋体"/>
          <w:bCs/>
          <w:color w:val="auto"/>
          <w:szCs w:val="21"/>
          <w:highlight w:val="none"/>
          <w:u w:val="single"/>
        </w:rPr>
        <w:t>）合同中已有相同清单项目的，按合同该清单项目价格进行计算；（</w:t>
      </w:r>
      <w:r>
        <w:rPr>
          <w:rFonts w:ascii="Calibri" w:hAnsi="Calibri"/>
          <w:bCs/>
          <w:color w:val="auto"/>
          <w:szCs w:val="21"/>
          <w:highlight w:val="none"/>
          <w:u w:val="single"/>
        </w:rPr>
        <w:t>2</w:t>
      </w:r>
      <w:r>
        <w:rPr>
          <w:rFonts w:ascii="Calibri" w:hAnsi="宋体"/>
          <w:bCs/>
          <w:color w:val="auto"/>
          <w:szCs w:val="21"/>
          <w:highlight w:val="none"/>
          <w:u w:val="single"/>
        </w:rPr>
        <w:t>）合同中只有类似清单项目的，参照该类似清单项目价格进行计算；（</w:t>
      </w:r>
      <w:r>
        <w:rPr>
          <w:rFonts w:ascii="Calibri" w:hAnsi="Calibri"/>
          <w:bCs/>
          <w:color w:val="auto"/>
          <w:szCs w:val="21"/>
          <w:highlight w:val="none"/>
          <w:u w:val="single"/>
        </w:rPr>
        <w:t>3</w:t>
      </w:r>
      <w:r>
        <w:rPr>
          <w:rFonts w:ascii="Calibri" w:hAnsi="宋体"/>
          <w:bCs/>
          <w:color w:val="auto"/>
          <w:szCs w:val="21"/>
          <w:highlight w:val="none"/>
          <w:u w:val="single"/>
        </w:rPr>
        <w:t>）合同中没有适用或类似清单项目的价格计算方法：有定额的套定额，并</w:t>
      </w:r>
      <w:r>
        <w:rPr>
          <w:rFonts w:hint="eastAsia" w:ascii="Calibri" w:hAnsi="宋体"/>
          <w:bCs/>
          <w:color w:val="auto"/>
          <w:szCs w:val="21"/>
          <w:highlight w:val="none"/>
          <w:u w:val="single"/>
        </w:rPr>
        <w:t>（</w:t>
      </w:r>
      <w:r>
        <w:rPr>
          <w:rFonts w:hint="eastAsia" w:ascii="Calibri" w:hAnsi="Calibri"/>
          <w:b/>
          <w:color w:val="auto"/>
          <w:szCs w:val="22"/>
          <w:highlight w:val="none"/>
          <w:lang w:eastAsia="zh-CN"/>
        </w:rPr>
        <w:t>☑</w:t>
      </w:r>
      <w:r>
        <w:rPr>
          <w:rFonts w:ascii="Calibri" w:hAnsi="宋体"/>
          <w:bCs/>
          <w:color w:val="auto"/>
          <w:szCs w:val="21"/>
          <w:highlight w:val="none"/>
          <w:u w:val="single"/>
        </w:rPr>
        <w:t>乘以下浮系数</w:t>
      </w:r>
      <w:r>
        <w:rPr>
          <w:rFonts w:hint="eastAsia" w:ascii="Calibri" w:hAnsi="宋体"/>
          <w:bCs/>
          <w:color w:val="auto"/>
          <w:szCs w:val="21"/>
          <w:highlight w:val="none"/>
          <w:u w:val="single"/>
          <w:lang w:eastAsia="zh-CN"/>
        </w:rPr>
        <w:t>（</w:t>
      </w:r>
      <w:r>
        <w:rPr>
          <w:rFonts w:hint="eastAsia" w:ascii="宋体" w:hAnsi="宋体" w:cs="宋体"/>
          <w:color w:val="auto"/>
          <w:highlight w:val="none"/>
          <w:u w:val="single"/>
          <w:lang w:eastAsia="zh-CN"/>
        </w:rPr>
        <w:t>中标价/工程招标控制价</w:t>
      </w:r>
      <w:r>
        <w:rPr>
          <w:rFonts w:hint="eastAsia" w:ascii="Calibri" w:hAnsi="宋体"/>
          <w:bCs/>
          <w:color w:val="auto"/>
          <w:szCs w:val="21"/>
          <w:highlight w:val="none"/>
          <w:u w:val="single"/>
          <w:lang w:eastAsia="zh-CN"/>
        </w:rPr>
        <w:t>）</w:t>
      </w:r>
      <w:r>
        <w:rPr>
          <w:rFonts w:hint="eastAsia" w:ascii="Calibri" w:hAnsi="宋体"/>
          <w:bCs/>
          <w:color w:val="auto"/>
          <w:szCs w:val="21"/>
          <w:highlight w:val="none"/>
          <w:u w:val="single"/>
        </w:rPr>
        <w:t>）</w:t>
      </w:r>
      <w:r>
        <w:rPr>
          <w:rFonts w:ascii="Calibri" w:hAnsi="宋体"/>
          <w:bCs/>
          <w:color w:val="auto"/>
          <w:szCs w:val="21"/>
          <w:highlight w:val="none"/>
          <w:u w:val="single"/>
        </w:rPr>
        <w:t>计算，其中材料价格按施工期间的《</w:t>
      </w:r>
      <w:r>
        <w:rPr>
          <w:rFonts w:hint="eastAsia" w:ascii="Calibri" w:hAnsi="Calibri"/>
          <w:bCs/>
          <w:color w:val="auto"/>
          <w:szCs w:val="21"/>
          <w:highlight w:val="none"/>
          <w:u w:val="single"/>
        </w:rPr>
        <w:t>防城港</w:t>
      </w:r>
      <w:r>
        <w:rPr>
          <w:rFonts w:ascii="Calibri" w:hAnsi="宋体"/>
          <w:bCs/>
          <w:color w:val="auto"/>
          <w:szCs w:val="21"/>
          <w:highlight w:val="none"/>
          <w:u w:val="single"/>
        </w:rPr>
        <w:t>市建设工程造价信息》相应价格信息进行计算；《</w:t>
      </w:r>
      <w:r>
        <w:rPr>
          <w:rFonts w:hint="eastAsia" w:ascii="Calibri" w:hAnsi="Calibri"/>
          <w:bCs/>
          <w:color w:val="auto"/>
          <w:szCs w:val="21"/>
          <w:highlight w:val="none"/>
          <w:u w:val="single"/>
        </w:rPr>
        <w:t>防城港</w:t>
      </w:r>
      <w:r>
        <w:rPr>
          <w:rFonts w:ascii="Calibri" w:hAnsi="宋体"/>
          <w:bCs/>
          <w:color w:val="auto"/>
          <w:szCs w:val="21"/>
          <w:highlight w:val="none"/>
          <w:u w:val="single"/>
        </w:rPr>
        <w:t>市建设工程造价信息》没有相应价格信息的按市场价计算；无定额可套的，根据市场价格协商确定综合价格；对于国有资产投资的项目，新增项目的单价</w:t>
      </w:r>
      <w:r>
        <w:rPr>
          <w:rFonts w:hint="eastAsia" w:ascii="Calibri" w:hAnsi="宋体"/>
          <w:bCs/>
          <w:color w:val="auto"/>
          <w:szCs w:val="21"/>
          <w:highlight w:val="none"/>
          <w:u w:val="single"/>
          <w:lang w:val="en-US" w:eastAsia="zh-CN"/>
        </w:rPr>
        <w:t>以财政或第三方机构审核为准</w:t>
      </w:r>
      <w:bookmarkEnd w:id="1027"/>
      <w:r>
        <w:rPr>
          <w:rFonts w:ascii="Calibri" w:hAnsi="宋体"/>
          <w:color w:val="auto"/>
          <w:szCs w:val="21"/>
          <w:highlight w:val="none"/>
        </w:rPr>
        <w:t>。</w:t>
      </w:r>
    </w:p>
    <w:p w14:paraId="5E25D025">
      <w:pPr>
        <w:spacing w:line="360" w:lineRule="auto"/>
        <w:ind w:firstLine="420" w:firstLineChars="200"/>
        <w:jc w:val="left"/>
        <w:rPr>
          <w:rFonts w:ascii="Calibri" w:hAnsi="Calibri"/>
          <w:color w:val="auto"/>
          <w:szCs w:val="21"/>
          <w:highlight w:val="none"/>
          <w:u w:val="single"/>
        </w:rPr>
      </w:pPr>
      <w:r>
        <w:rPr>
          <w:rFonts w:hint="eastAsia" w:ascii="Calibri" w:hAnsi="Calibri"/>
          <w:color w:val="auto"/>
          <w:szCs w:val="21"/>
          <w:highlight w:val="none"/>
          <w:u w:val="single"/>
        </w:rPr>
        <w:t>工程变更导致实际完成的变更工程量与已标价清单或预算书中列明的该项目工程量有偏差时，其综合单价的确定按专用条款“1.13工程量清单错误的修正”执行。</w:t>
      </w:r>
    </w:p>
    <w:p w14:paraId="398A3A6A">
      <w:pPr>
        <w:spacing w:line="360" w:lineRule="auto"/>
        <w:ind w:firstLine="420" w:firstLineChars="200"/>
        <w:jc w:val="left"/>
        <w:rPr>
          <w:rFonts w:ascii="Calibri" w:hAnsi="宋体"/>
          <w:color w:val="auto"/>
          <w:szCs w:val="21"/>
          <w:highlight w:val="none"/>
        </w:rPr>
      </w:pPr>
    </w:p>
    <w:p w14:paraId="0FB335A8">
      <w:pPr>
        <w:keepNext/>
        <w:keepLines/>
        <w:spacing w:before="260" w:after="260" w:line="416" w:lineRule="auto"/>
        <w:outlineLvl w:val="2"/>
        <w:rPr>
          <w:rFonts w:ascii="宋体" w:hAnsi="宋体"/>
          <w:b/>
          <w:bCs/>
          <w:color w:val="auto"/>
          <w:sz w:val="32"/>
          <w:szCs w:val="32"/>
          <w:highlight w:val="none"/>
        </w:rPr>
      </w:pPr>
      <w:bookmarkStart w:id="1028" w:name="_Toc531186648"/>
      <w:bookmarkStart w:id="1029" w:name="_Toc530144513"/>
      <w:bookmarkStart w:id="1030" w:name="_Toc529527019"/>
      <w:bookmarkStart w:id="1031" w:name="_Toc529547371"/>
      <w:bookmarkStart w:id="1032" w:name="_Toc472931652"/>
      <w:bookmarkStart w:id="1033" w:name="_Toc470247846"/>
      <w:r>
        <w:rPr>
          <w:rFonts w:ascii="宋体" w:hAnsi="宋体"/>
          <w:b/>
          <w:bCs/>
          <w:color w:val="auto"/>
          <w:sz w:val="32"/>
          <w:szCs w:val="32"/>
          <w:highlight w:val="none"/>
        </w:rPr>
        <w:t>1</w:t>
      </w:r>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Start w:id="1034" w:name="_Toc303539150"/>
      <w:bookmarkStart w:id="1035" w:name="_Toc296891025"/>
      <w:bookmarkStart w:id="1036" w:name="_Toc296503197"/>
      <w:bookmarkStart w:id="1037" w:name="_Toc297120497"/>
      <w:bookmarkStart w:id="1038" w:name="_Toc296891237"/>
      <w:bookmarkStart w:id="1039" w:name="_Toc296944536"/>
      <w:bookmarkStart w:id="1040" w:name="_Toc292559907"/>
      <w:bookmarkStart w:id="1041" w:name="_Toc292559402"/>
      <w:bookmarkStart w:id="1042" w:name="_Toc296346698"/>
      <w:bookmarkStart w:id="1043" w:name="_Toc296347196"/>
      <w:bookmarkStart w:id="1044" w:name="_Toc297216203"/>
      <w:bookmarkStart w:id="1045" w:name="_Toc300934993"/>
      <w:bookmarkStart w:id="1046" w:name="_Toc297048383"/>
      <w:bookmarkStart w:id="1047" w:name="_Toc297123544"/>
      <w:bookmarkStart w:id="1048" w:name="_Toc304295570"/>
      <w:bookmarkStart w:id="1049" w:name="_Toc312677503"/>
      <w:bookmarkStart w:id="1050" w:name="_Toc312678029"/>
      <w:r>
        <w:rPr>
          <w:rFonts w:ascii="宋体" w:hAnsi="宋体"/>
          <w:b/>
          <w:bCs/>
          <w:color w:val="auto"/>
          <w:sz w:val="32"/>
          <w:szCs w:val="32"/>
          <w:highlight w:val="none"/>
        </w:rPr>
        <w:t>0.5承</w:t>
      </w:r>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Start w:id="1051" w:name="_Toc296891031"/>
      <w:bookmarkStart w:id="1052" w:name="_Toc300934994"/>
      <w:bookmarkStart w:id="1053" w:name="_Toc303539151"/>
      <w:bookmarkStart w:id="1054" w:name="_Toc297120503"/>
      <w:bookmarkStart w:id="1055" w:name="_Toc296347202"/>
      <w:bookmarkStart w:id="1056" w:name="_Toc292559408"/>
      <w:bookmarkStart w:id="1057" w:name="_Toc296503203"/>
      <w:bookmarkStart w:id="1058" w:name="_Toc296891243"/>
      <w:bookmarkStart w:id="1059" w:name="_Toc296346704"/>
      <w:bookmarkStart w:id="1060" w:name="_Toc296944542"/>
      <w:bookmarkStart w:id="1061" w:name="_Toc297048389"/>
      <w:bookmarkStart w:id="1062" w:name="_Toc297123545"/>
      <w:bookmarkStart w:id="1063" w:name="_Toc297216204"/>
      <w:bookmarkStart w:id="1064" w:name="_Toc292559913"/>
      <w:r>
        <w:rPr>
          <w:rFonts w:ascii="宋体" w:hAnsi="宋体"/>
          <w:b/>
          <w:bCs/>
          <w:color w:val="auto"/>
          <w:sz w:val="32"/>
          <w:szCs w:val="32"/>
          <w:highlight w:val="none"/>
        </w:rPr>
        <w:t>包人的合理化建议</w:t>
      </w:r>
      <w:bookmarkEnd w:id="1020"/>
      <w:bookmarkEnd w:id="1021"/>
      <w:bookmarkEnd w:id="1022"/>
      <w:bookmarkEnd w:id="1023"/>
      <w:bookmarkEnd w:id="1024"/>
      <w:bookmarkEnd w:id="1025"/>
      <w:bookmarkEnd w:id="1026"/>
      <w:bookmarkEnd w:id="1028"/>
      <w:bookmarkEnd w:id="1029"/>
      <w:bookmarkEnd w:id="1030"/>
      <w:bookmarkEnd w:id="1031"/>
      <w:bookmarkEnd w:id="1032"/>
      <w:bookmarkEnd w:id="1033"/>
    </w:p>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p w14:paraId="417BC740">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监理人审查承包人合理化建议的期限：</w:t>
      </w:r>
      <w:r>
        <w:rPr>
          <w:rFonts w:hint="eastAsia" w:ascii="宋体" w:hAnsi="宋体"/>
          <w:b/>
          <w:bCs/>
          <w:color w:val="auto"/>
          <w:szCs w:val="21"/>
          <w:highlight w:val="none"/>
          <w:u w:val="single"/>
        </w:rPr>
        <w:t>7</w:t>
      </w:r>
      <w:r>
        <w:rPr>
          <w:rFonts w:hint="eastAsia" w:ascii="宋体" w:hAnsi="宋体"/>
          <w:color w:val="auto"/>
          <w:szCs w:val="21"/>
          <w:highlight w:val="none"/>
          <w:u w:val="single"/>
        </w:rPr>
        <w:t>天内</w:t>
      </w:r>
      <w:r>
        <w:rPr>
          <w:rFonts w:ascii="宋体" w:hAnsi="宋体"/>
          <w:color w:val="auto"/>
          <w:szCs w:val="21"/>
          <w:highlight w:val="none"/>
        </w:rPr>
        <w:t>。</w:t>
      </w:r>
    </w:p>
    <w:p w14:paraId="35C2B773">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发包人审批承包人合理化建议的期限：</w:t>
      </w:r>
      <w:r>
        <w:rPr>
          <w:rFonts w:hint="eastAsia" w:ascii="宋体" w:hAnsi="宋体"/>
          <w:b/>
          <w:bCs/>
          <w:color w:val="auto"/>
          <w:szCs w:val="21"/>
          <w:highlight w:val="none"/>
          <w:u w:val="single"/>
        </w:rPr>
        <w:t>7</w:t>
      </w:r>
      <w:r>
        <w:rPr>
          <w:rFonts w:hint="eastAsia" w:ascii="宋体" w:hAnsi="宋体"/>
          <w:color w:val="auto"/>
          <w:szCs w:val="21"/>
          <w:highlight w:val="none"/>
          <w:u w:val="single"/>
        </w:rPr>
        <w:t>天内</w:t>
      </w:r>
      <w:r>
        <w:rPr>
          <w:rFonts w:ascii="宋体" w:hAnsi="宋体"/>
          <w:color w:val="auto"/>
          <w:szCs w:val="21"/>
          <w:highlight w:val="none"/>
        </w:rPr>
        <w:t>。</w:t>
      </w:r>
    </w:p>
    <w:p w14:paraId="3E4DA2F4">
      <w:pPr>
        <w:spacing w:line="360" w:lineRule="auto"/>
        <w:ind w:firstLine="420" w:firstLineChars="200"/>
        <w:jc w:val="left"/>
        <w:rPr>
          <w:rFonts w:ascii="宋体" w:hAnsi="宋体"/>
          <w:color w:val="auto"/>
          <w:szCs w:val="21"/>
          <w:highlight w:val="none"/>
          <w:u w:val="single"/>
        </w:rPr>
      </w:pPr>
      <w:r>
        <w:rPr>
          <w:rFonts w:ascii="宋体" w:hAnsi="宋体"/>
          <w:color w:val="auto"/>
          <w:szCs w:val="21"/>
          <w:highlight w:val="none"/>
        </w:rPr>
        <w:t>承</w:t>
      </w:r>
      <w:bookmarkStart w:id="1065" w:name="_Toc296503204"/>
      <w:bookmarkStart w:id="1066" w:name="_Toc296891032"/>
      <w:bookmarkStart w:id="1067" w:name="_Toc296347203"/>
      <w:bookmarkStart w:id="1068" w:name="_Toc292559409"/>
      <w:bookmarkStart w:id="1069" w:name="_Toc292559914"/>
      <w:bookmarkStart w:id="1070" w:name="_Toc297120504"/>
      <w:bookmarkStart w:id="1071" w:name="_Toc297123546"/>
      <w:bookmarkStart w:id="1072" w:name="_Toc300934995"/>
      <w:bookmarkStart w:id="1073" w:name="_Toc304295571"/>
      <w:bookmarkStart w:id="1074" w:name="_Toc296891244"/>
      <w:bookmarkStart w:id="1075" w:name="_Toc303539152"/>
      <w:bookmarkStart w:id="1076" w:name="_Toc297216205"/>
      <w:bookmarkStart w:id="1077" w:name="_Toc318581175"/>
      <w:bookmarkStart w:id="1078" w:name="_Toc296944543"/>
      <w:bookmarkStart w:id="1079" w:name="_Toc312677504"/>
      <w:bookmarkStart w:id="1080" w:name="_Toc297048390"/>
      <w:bookmarkStart w:id="1081" w:name="_Toc296346705"/>
      <w:bookmarkStart w:id="1082" w:name="_Toc312678030"/>
      <w:r>
        <w:rPr>
          <w:rFonts w:ascii="宋体" w:hAnsi="宋体"/>
          <w:color w:val="auto"/>
          <w:szCs w:val="21"/>
          <w:highlight w:val="none"/>
        </w:rPr>
        <w:t>包人提出的合理化建议降低了合同价格或者提高了工程经济效益的奖励的方法和金额为：</w:t>
      </w:r>
      <w:r>
        <w:rPr>
          <w:rFonts w:hint="eastAsia" w:ascii="宋体" w:hAnsi="宋体"/>
          <w:color w:val="auto"/>
          <w:szCs w:val="21"/>
          <w:highlight w:val="none"/>
          <w:u w:val="single"/>
        </w:rPr>
        <w:t>无</w:t>
      </w:r>
      <w:r>
        <w:rPr>
          <w:rFonts w:ascii="宋体" w:hAnsi="宋体"/>
          <w:color w:val="auto"/>
          <w:szCs w:val="21"/>
          <w:highlight w:val="none"/>
        </w:rPr>
        <w:t>。</w:t>
      </w:r>
    </w:p>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p w14:paraId="1CCDB26D">
      <w:pPr>
        <w:keepNext/>
        <w:keepLines/>
        <w:spacing w:before="260" w:after="260" w:line="416" w:lineRule="auto"/>
        <w:outlineLvl w:val="2"/>
        <w:rPr>
          <w:rFonts w:ascii="宋体" w:hAnsi="宋体"/>
          <w:b/>
          <w:bCs/>
          <w:color w:val="auto"/>
          <w:sz w:val="32"/>
          <w:szCs w:val="32"/>
          <w:highlight w:val="none"/>
        </w:rPr>
      </w:pPr>
      <w:bookmarkStart w:id="1083" w:name="_Toc529547372"/>
      <w:bookmarkStart w:id="1084" w:name="_Toc373478391"/>
      <w:bookmarkStart w:id="1085" w:name="_Toc531186649"/>
      <w:bookmarkStart w:id="1086" w:name="_Toc432343935"/>
      <w:bookmarkStart w:id="1087" w:name="_Toc530144514"/>
      <w:bookmarkStart w:id="1088" w:name="_Toc373227744"/>
      <w:bookmarkStart w:id="1089" w:name="_Toc470247847"/>
      <w:bookmarkStart w:id="1090" w:name="_Toc461179289"/>
      <w:bookmarkStart w:id="1091" w:name="_Toc454211159"/>
      <w:bookmarkStart w:id="1092" w:name="_Toc529527020"/>
      <w:bookmarkStart w:id="1093" w:name="_Toc389065310"/>
      <w:bookmarkStart w:id="1094" w:name="_Toc411345228"/>
      <w:bookmarkStart w:id="1095" w:name="_Toc472931653"/>
      <w:r>
        <w:rPr>
          <w:rFonts w:ascii="宋体" w:hAnsi="宋体"/>
          <w:b/>
          <w:bCs/>
          <w:color w:val="auto"/>
          <w:sz w:val="32"/>
          <w:szCs w:val="32"/>
          <w:highlight w:val="none"/>
        </w:rPr>
        <w:t>1</w:t>
      </w:r>
      <w:bookmarkStart w:id="1096" w:name="_Toc297120499"/>
      <w:bookmarkStart w:id="1097" w:name="_Toc300934997"/>
      <w:bookmarkStart w:id="1098" w:name="_Toc297216207"/>
      <w:bookmarkStart w:id="1099" w:name="_Toc297123548"/>
      <w:bookmarkStart w:id="1100" w:name="_Toc296944538"/>
      <w:bookmarkStart w:id="1101" w:name="_Toc292559404"/>
      <w:bookmarkStart w:id="1102" w:name="_Toc297048385"/>
      <w:bookmarkStart w:id="1103" w:name="_Toc304295574"/>
      <w:bookmarkStart w:id="1104" w:name="_Toc303539154"/>
      <w:bookmarkStart w:id="1105" w:name="_Toc312677507"/>
      <w:bookmarkStart w:id="1106" w:name="_Toc296346700"/>
      <w:bookmarkStart w:id="1107" w:name="_Toc292559909"/>
      <w:bookmarkStart w:id="1108" w:name="_Toc296503199"/>
      <w:bookmarkStart w:id="1109" w:name="_Toc296891027"/>
      <w:bookmarkStart w:id="1110" w:name="_Toc312678033"/>
      <w:bookmarkStart w:id="1111" w:name="_Toc296347198"/>
      <w:bookmarkStart w:id="1112" w:name="_Toc296891239"/>
      <w:r>
        <w:rPr>
          <w:rFonts w:ascii="宋体" w:hAnsi="宋体"/>
          <w:b/>
          <w:bCs/>
          <w:color w:val="auto"/>
          <w:sz w:val="32"/>
          <w:szCs w:val="32"/>
          <w:highlight w:val="none"/>
        </w:rPr>
        <w:t>0.7 暂估价</w:t>
      </w:r>
      <w:bookmarkEnd w:id="1083"/>
      <w:bookmarkEnd w:id="1084"/>
      <w:bookmarkEnd w:id="1085"/>
      <w:bookmarkEnd w:id="1086"/>
      <w:bookmarkEnd w:id="1087"/>
      <w:bookmarkEnd w:id="1088"/>
      <w:bookmarkEnd w:id="1089"/>
      <w:bookmarkEnd w:id="1090"/>
      <w:bookmarkEnd w:id="1091"/>
      <w:bookmarkEnd w:id="1092"/>
      <w:bookmarkEnd w:id="1093"/>
      <w:bookmarkEnd w:id="1094"/>
      <w:bookmarkEnd w:id="1095"/>
    </w:p>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p w14:paraId="3D5548EA">
      <w:pPr>
        <w:spacing w:line="360" w:lineRule="auto"/>
        <w:ind w:firstLine="420" w:firstLineChars="200"/>
        <w:jc w:val="left"/>
        <w:rPr>
          <w:rFonts w:ascii="宋体" w:hAnsi="宋体"/>
          <w:color w:val="auto"/>
          <w:szCs w:val="21"/>
          <w:highlight w:val="none"/>
        </w:rPr>
      </w:pPr>
      <w:r>
        <w:rPr>
          <w:rFonts w:ascii="宋体" w:hAnsi="宋体"/>
          <w:color w:val="auto"/>
          <w:kern w:val="0"/>
          <w:szCs w:val="21"/>
          <w:highlight w:val="none"/>
        </w:rPr>
        <w:t>暂</w:t>
      </w:r>
      <w:bookmarkStart w:id="1113" w:name="_Toc312678034"/>
      <w:bookmarkStart w:id="1114" w:name="_Toc318581176"/>
      <w:bookmarkStart w:id="1115" w:name="_Toc312677508"/>
      <w:r>
        <w:rPr>
          <w:rFonts w:ascii="宋体" w:hAnsi="宋体"/>
          <w:color w:val="auto"/>
          <w:kern w:val="0"/>
          <w:szCs w:val="21"/>
          <w:highlight w:val="none"/>
        </w:rPr>
        <w:t>估价材料和工程设备的明细详见</w:t>
      </w:r>
      <w:r>
        <w:rPr>
          <w:rFonts w:hint="eastAsia" w:ascii="宋体" w:hAnsi="宋体"/>
          <w:color w:val="auto"/>
          <w:kern w:val="0"/>
          <w:szCs w:val="21"/>
          <w:highlight w:val="none"/>
        </w:rPr>
        <w:t>已标价工程量清单《</w:t>
      </w:r>
      <w:r>
        <w:rPr>
          <w:rFonts w:ascii="宋体" w:hAnsi="宋体"/>
          <w:color w:val="auto"/>
          <w:szCs w:val="21"/>
          <w:highlight w:val="none"/>
        </w:rPr>
        <w:t>材料（工程设备）暂估价格及调整表</w:t>
      </w:r>
      <w:r>
        <w:rPr>
          <w:rFonts w:hint="eastAsia" w:ascii="宋体" w:hAnsi="宋体"/>
          <w:color w:val="auto"/>
          <w:szCs w:val="21"/>
          <w:highlight w:val="none"/>
        </w:rPr>
        <w:t>》</w:t>
      </w:r>
      <w:r>
        <w:rPr>
          <w:rFonts w:hint="eastAsia" w:ascii="宋体" w:hAnsi="宋体"/>
          <w:color w:val="auto"/>
          <w:kern w:val="0"/>
          <w:szCs w:val="21"/>
          <w:highlight w:val="none"/>
        </w:rPr>
        <w:t>（表12-2）和《</w:t>
      </w:r>
      <w:r>
        <w:rPr>
          <w:rFonts w:ascii="宋体" w:hAnsi="宋体"/>
          <w:color w:val="auto"/>
          <w:szCs w:val="21"/>
          <w:highlight w:val="none"/>
        </w:rPr>
        <w:t>专业工程暂估价表</w:t>
      </w:r>
      <w:r>
        <w:rPr>
          <w:rFonts w:hint="eastAsia" w:ascii="宋体" w:hAnsi="宋体"/>
          <w:color w:val="auto"/>
          <w:szCs w:val="21"/>
          <w:highlight w:val="none"/>
        </w:rPr>
        <w:t>》（</w:t>
      </w:r>
      <w:r>
        <w:rPr>
          <w:rFonts w:hint="eastAsia" w:ascii="宋体" w:hAnsi="宋体"/>
          <w:color w:val="auto"/>
          <w:kern w:val="0"/>
          <w:szCs w:val="21"/>
          <w:highlight w:val="none"/>
        </w:rPr>
        <w:t>表12-3）</w:t>
      </w:r>
      <w:r>
        <w:rPr>
          <w:rFonts w:ascii="宋体" w:hAnsi="宋体"/>
          <w:color w:val="auto"/>
          <w:kern w:val="0"/>
          <w:szCs w:val="21"/>
          <w:highlight w:val="none"/>
        </w:rPr>
        <w:t>。</w:t>
      </w:r>
    </w:p>
    <w:bookmarkEnd w:id="1113"/>
    <w:bookmarkEnd w:id="1114"/>
    <w:bookmarkEnd w:id="1115"/>
    <w:p w14:paraId="4E6FDE42">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1</w:t>
      </w:r>
      <w:bookmarkStart w:id="1116" w:name="_Toc318581177"/>
      <w:bookmarkStart w:id="1117" w:name="_Toc312678035"/>
      <w:bookmarkStart w:id="1118" w:name="_Toc312677509"/>
      <w:r>
        <w:rPr>
          <w:rFonts w:ascii="宋体" w:hAnsi="宋体"/>
          <w:color w:val="auto"/>
          <w:szCs w:val="21"/>
          <w:highlight w:val="none"/>
        </w:rPr>
        <w:t>0.7.1 依法必须招标的暂估价项目</w:t>
      </w:r>
    </w:p>
    <w:bookmarkEnd w:id="1116"/>
    <w:bookmarkEnd w:id="1117"/>
    <w:bookmarkEnd w:id="1118"/>
    <w:p w14:paraId="78F15DD7">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对于依法必须招标的暂估价项目的确认和批准采取第</w:t>
      </w:r>
      <w:r>
        <w:rPr>
          <w:rFonts w:hint="eastAsia" w:ascii="宋体" w:hAnsi="宋体"/>
          <w:b/>
          <w:bCs/>
          <w:color w:val="auto"/>
          <w:szCs w:val="21"/>
          <w:highlight w:val="none"/>
          <w:u w:val="single"/>
        </w:rPr>
        <w:t>1</w:t>
      </w:r>
      <w:r>
        <w:rPr>
          <w:rFonts w:ascii="宋体" w:hAnsi="宋体"/>
          <w:color w:val="auto"/>
          <w:szCs w:val="21"/>
          <w:highlight w:val="none"/>
        </w:rPr>
        <w:t>种方式确定。</w:t>
      </w:r>
    </w:p>
    <w:p w14:paraId="7C47CD89">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10.7.2 不属于依法必须招标的暂估价项目</w:t>
      </w:r>
    </w:p>
    <w:p w14:paraId="2BEBE2EB">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对于不属于依法必须招标的暂估价项目的确认和批准采取第</w:t>
      </w:r>
      <w:r>
        <w:rPr>
          <w:rFonts w:hint="eastAsia" w:ascii="宋体" w:hAnsi="宋体"/>
          <w:b/>
          <w:bCs/>
          <w:color w:val="auto"/>
          <w:szCs w:val="21"/>
          <w:highlight w:val="none"/>
          <w:u w:val="single"/>
        </w:rPr>
        <w:t>2</w:t>
      </w:r>
      <w:r>
        <w:rPr>
          <w:rFonts w:ascii="宋体" w:hAnsi="宋体"/>
          <w:color w:val="auto"/>
          <w:szCs w:val="21"/>
          <w:highlight w:val="none"/>
        </w:rPr>
        <w:t xml:space="preserve"> 种方式确定。</w:t>
      </w:r>
    </w:p>
    <w:p w14:paraId="09F06E4A">
      <w:pPr>
        <w:spacing w:line="360" w:lineRule="auto"/>
        <w:ind w:firstLine="420" w:firstLineChars="200"/>
        <w:jc w:val="left"/>
        <w:rPr>
          <w:rFonts w:ascii="宋体" w:hAnsi="宋体"/>
          <w:color w:val="auto"/>
          <w:kern w:val="0"/>
          <w:szCs w:val="21"/>
          <w:highlight w:val="none"/>
        </w:rPr>
      </w:pPr>
      <w:r>
        <w:rPr>
          <w:rFonts w:ascii="宋体" w:hAnsi="宋体"/>
          <w:color w:val="auto"/>
          <w:szCs w:val="21"/>
          <w:highlight w:val="none"/>
        </w:rPr>
        <w:t>第3种方式：</w:t>
      </w:r>
      <w:r>
        <w:rPr>
          <w:rFonts w:ascii="宋体" w:hAnsi="宋体"/>
          <w:color w:val="auto"/>
          <w:kern w:val="0"/>
          <w:szCs w:val="21"/>
          <w:highlight w:val="none"/>
        </w:rPr>
        <w:t>承包人直接实施的暂估价项目</w:t>
      </w:r>
    </w:p>
    <w:p w14:paraId="0F25C405">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承包人直接实施的暂估价项目的约定：</w:t>
      </w:r>
      <w:r>
        <w:rPr>
          <w:rFonts w:hint="eastAsia" w:ascii="宋体" w:hAnsi="宋体"/>
          <w:color w:val="auto"/>
          <w:szCs w:val="21"/>
          <w:highlight w:val="none"/>
          <w:u w:val="single"/>
        </w:rPr>
        <w:t>无</w:t>
      </w:r>
      <w:r>
        <w:rPr>
          <w:rFonts w:ascii="宋体" w:hAnsi="宋体"/>
          <w:color w:val="auto"/>
          <w:szCs w:val="21"/>
          <w:highlight w:val="none"/>
        </w:rPr>
        <w:t>。</w:t>
      </w:r>
    </w:p>
    <w:p w14:paraId="74BD9C37">
      <w:pPr>
        <w:keepNext/>
        <w:keepLines/>
        <w:spacing w:before="260" w:after="260" w:line="416" w:lineRule="auto"/>
        <w:outlineLvl w:val="2"/>
        <w:rPr>
          <w:rFonts w:ascii="宋体" w:hAnsi="宋体"/>
          <w:b/>
          <w:bCs/>
          <w:color w:val="auto"/>
          <w:sz w:val="32"/>
          <w:szCs w:val="32"/>
          <w:highlight w:val="none"/>
        </w:rPr>
      </w:pPr>
      <w:bookmarkStart w:id="1119" w:name="_Toc530144515"/>
      <w:bookmarkStart w:id="1120" w:name="_Toc529527021"/>
      <w:bookmarkStart w:id="1121" w:name="_Toc472931654"/>
      <w:bookmarkStart w:id="1122" w:name="_Toc373227745"/>
      <w:bookmarkStart w:id="1123" w:name="_Toc531186650"/>
      <w:bookmarkStart w:id="1124" w:name="_Toc454211160"/>
      <w:bookmarkStart w:id="1125" w:name="_Toc411345229"/>
      <w:bookmarkStart w:id="1126" w:name="_Toc461179290"/>
      <w:bookmarkStart w:id="1127" w:name="_Toc373478392"/>
      <w:bookmarkStart w:id="1128" w:name="_Toc432343936"/>
      <w:bookmarkStart w:id="1129" w:name="_Toc529547373"/>
      <w:bookmarkStart w:id="1130" w:name="_Toc389065311"/>
      <w:bookmarkStart w:id="1131" w:name="_Toc470247848"/>
      <w:r>
        <w:rPr>
          <w:rFonts w:ascii="宋体" w:hAnsi="宋体"/>
          <w:b/>
          <w:bCs/>
          <w:color w:val="auto"/>
          <w:sz w:val="32"/>
          <w:szCs w:val="32"/>
          <w:highlight w:val="none"/>
        </w:rPr>
        <w:t>10.8 暂列金额</w:t>
      </w:r>
      <w:bookmarkEnd w:id="1119"/>
      <w:bookmarkEnd w:id="1120"/>
      <w:bookmarkEnd w:id="1121"/>
      <w:bookmarkEnd w:id="1122"/>
      <w:bookmarkEnd w:id="1123"/>
      <w:bookmarkEnd w:id="1124"/>
      <w:bookmarkEnd w:id="1125"/>
      <w:bookmarkEnd w:id="1126"/>
      <w:bookmarkEnd w:id="1127"/>
      <w:bookmarkEnd w:id="1128"/>
      <w:bookmarkEnd w:id="1129"/>
      <w:bookmarkEnd w:id="1130"/>
      <w:bookmarkEnd w:id="1131"/>
    </w:p>
    <w:p w14:paraId="372F54BE">
      <w:pPr>
        <w:autoSpaceDE w:val="0"/>
        <w:autoSpaceDN w:val="0"/>
        <w:adjustRightInd w:val="0"/>
        <w:spacing w:line="360" w:lineRule="auto"/>
        <w:ind w:firstLine="420" w:firstLineChars="200"/>
        <w:jc w:val="left"/>
        <w:rPr>
          <w:rFonts w:ascii="宋体" w:hAnsi="宋体"/>
          <w:color w:val="auto"/>
          <w:szCs w:val="21"/>
          <w:highlight w:val="none"/>
          <w:u w:val="single"/>
        </w:rPr>
      </w:pPr>
      <w:r>
        <w:rPr>
          <w:rFonts w:ascii="宋体" w:hAnsi="宋体"/>
          <w:color w:val="auto"/>
          <w:kern w:val="0"/>
          <w:szCs w:val="21"/>
          <w:highlight w:val="none"/>
        </w:rPr>
        <w:t>合同当事人关于暂列金额使用的约定：</w:t>
      </w:r>
      <w:r>
        <w:rPr>
          <w:rFonts w:hint="eastAsia" w:ascii="宋体" w:hAnsi="宋体"/>
          <w:bCs/>
          <w:color w:val="auto"/>
          <w:szCs w:val="28"/>
          <w:highlight w:val="none"/>
          <w:u w:val="single"/>
        </w:rPr>
        <w:t>暂列金额是发包人为可能发生的工程变更，或用于提供不可预见的货物、材料和工程设备等因素发生的工程价款调增，以及经确认的索赔、现场签证，或用于提供相关服务或意外事件等而预留的金额，并非支付给承包人的实际费用。暂列金额只能按照发包人的指示使用。结算时，暂列金额应按实际发生的情况进行结算，剩余部分仍归发包人所有，不支付给承包人。</w:t>
      </w:r>
    </w:p>
    <w:p w14:paraId="5585A363">
      <w:pPr>
        <w:keepNext/>
        <w:keepLines/>
        <w:spacing w:before="260" w:after="260" w:line="416" w:lineRule="auto"/>
        <w:outlineLvl w:val="2"/>
        <w:rPr>
          <w:rFonts w:ascii="宋体" w:hAnsi="宋体"/>
          <w:b/>
          <w:bCs/>
          <w:color w:val="auto"/>
          <w:sz w:val="32"/>
          <w:szCs w:val="32"/>
          <w:highlight w:val="none"/>
        </w:rPr>
      </w:pPr>
      <w:bookmarkStart w:id="1132" w:name="_Toc461179291"/>
      <w:bookmarkStart w:id="1133" w:name="_Toc529547374"/>
      <w:bookmarkStart w:id="1134" w:name="_Toc432343937"/>
      <w:bookmarkStart w:id="1135" w:name="_Toc454211161"/>
      <w:bookmarkStart w:id="1136" w:name="_Toc389065312"/>
      <w:bookmarkStart w:id="1137" w:name="_Toc472931655"/>
      <w:bookmarkStart w:id="1138" w:name="_Toc351203643"/>
      <w:bookmarkStart w:id="1139" w:name="_Toc531186651"/>
      <w:bookmarkStart w:id="1140" w:name="_Toc411345230"/>
      <w:bookmarkStart w:id="1141" w:name="_Toc470247849"/>
      <w:bookmarkStart w:id="1142" w:name="_Toc530144516"/>
      <w:bookmarkStart w:id="1143" w:name="_Toc529527022"/>
      <w:bookmarkStart w:id="1144" w:name="_Toc373478393"/>
      <w:bookmarkStart w:id="1145" w:name="_Toc373227746"/>
      <w:r>
        <w:rPr>
          <w:rFonts w:ascii="宋体" w:hAnsi="宋体"/>
          <w:b/>
          <w:bCs/>
          <w:color w:val="auto"/>
          <w:sz w:val="32"/>
          <w:szCs w:val="32"/>
          <w:highlight w:val="none"/>
        </w:rPr>
        <w:t>11. 价格调整</w:t>
      </w:r>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p>
    <w:p w14:paraId="7BB7B0FB">
      <w:pPr>
        <w:keepNext/>
        <w:keepLines/>
        <w:spacing w:before="260" w:after="260" w:line="416" w:lineRule="auto"/>
        <w:outlineLvl w:val="2"/>
        <w:rPr>
          <w:rFonts w:ascii="宋体" w:hAnsi="宋体"/>
          <w:b/>
          <w:bCs/>
          <w:color w:val="auto"/>
          <w:sz w:val="32"/>
          <w:szCs w:val="32"/>
          <w:highlight w:val="none"/>
        </w:rPr>
      </w:pPr>
      <w:bookmarkStart w:id="1146" w:name="_Toc373227747"/>
      <w:bookmarkStart w:id="1147" w:name="_Toc529527023"/>
      <w:bookmarkStart w:id="1148" w:name="_Toc529547375"/>
      <w:bookmarkStart w:id="1149" w:name="_Toc373478394"/>
      <w:bookmarkStart w:id="1150" w:name="_Toc470247850"/>
      <w:bookmarkStart w:id="1151" w:name="_Toc461179292"/>
      <w:bookmarkStart w:id="1152" w:name="_Toc531186652"/>
      <w:bookmarkStart w:id="1153" w:name="_Toc454211162"/>
      <w:bookmarkStart w:id="1154" w:name="_Toc472931656"/>
      <w:bookmarkStart w:id="1155" w:name="_Toc432343938"/>
      <w:bookmarkStart w:id="1156" w:name="_Toc411345231"/>
      <w:bookmarkStart w:id="1157" w:name="_Toc389065313"/>
      <w:bookmarkStart w:id="1158" w:name="_Toc530144517"/>
      <w:bookmarkStart w:id="1159" w:name="_Toc296891241"/>
      <w:bookmarkStart w:id="1160" w:name="_Toc292559911"/>
      <w:bookmarkStart w:id="1161" w:name="_Toc296891029"/>
      <w:bookmarkStart w:id="1162" w:name="_Toc296346702"/>
      <w:bookmarkStart w:id="1163" w:name="_Toc297048387"/>
      <w:bookmarkStart w:id="1164" w:name="_Toc292559406"/>
      <w:bookmarkStart w:id="1165" w:name="_Toc312678039"/>
      <w:bookmarkStart w:id="1166" w:name="_Toc297120501"/>
      <w:bookmarkStart w:id="1167" w:name="_Toc303539157"/>
      <w:bookmarkStart w:id="1168" w:name="_Toc300935000"/>
      <w:bookmarkStart w:id="1169" w:name="_Toc297123550"/>
      <w:bookmarkStart w:id="1170" w:name="_Toc297216209"/>
      <w:bookmarkStart w:id="1171" w:name="_Toc296944540"/>
      <w:bookmarkStart w:id="1172" w:name="_Toc296347200"/>
      <w:bookmarkStart w:id="1173" w:name="_Toc296503201"/>
      <w:bookmarkStart w:id="1174" w:name="_Toc304295577"/>
      <w:r>
        <w:rPr>
          <w:rFonts w:ascii="宋体" w:hAnsi="宋体"/>
          <w:b/>
          <w:bCs/>
          <w:color w:val="auto"/>
          <w:sz w:val="32"/>
          <w:szCs w:val="32"/>
          <w:highlight w:val="none"/>
        </w:rPr>
        <w:t>11.1 市场价格波动引起的调整</w:t>
      </w:r>
      <w:bookmarkEnd w:id="1146"/>
      <w:bookmarkEnd w:id="1147"/>
      <w:bookmarkEnd w:id="1148"/>
      <w:bookmarkEnd w:id="1149"/>
      <w:bookmarkEnd w:id="1150"/>
      <w:bookmarkEnd w:id="1151"/>
      <w:bookmarkEnd w:id="1152"/>
      <w:bookmarkEnd w:id="1153"/>
      <w:bookmarkEnd w:id="1154"/>
      <w:bookmarkEnd w:id="1155"/>
      <w:bookmarkEnd w:id="1156"/>
      <w:bookmarkEnd w:id="1157"/>
      <w:bookmarkEnd w:id="1158"/>
    </w:p>
    <w:p w14:paraId="3AF85145">
      <w:pPr>
        <w:spacing w:line="360" w:lineRule="auto"/>
        <w:ind w:firstLine="396" w:firstLineChars="200"/>
        <w:rPr>
          <w:rFonts w:ascii="宋体" w:hAnsi="宋体"/>
          <w:color w:val="auto"/>
          <w:szCs w:val="22"/>
          <w:highlight w:val="none"/>
        </w:rPr>
      </w:pPr>
      <w:r>
        <w:rPr>
          <w:rFonts w:hint="eastAsia" w:ascii="宋体" w:hAnsi="宋体" w:cs="宋体"/>
          <w:color w:val="auto"/>
          <w:spacing w:val="-6"/>
          <w:kern w:val="0"/>
          <w:szCs w:val="22"/>
          <w:highlight w:val="none"/>
        </w:rPr>
        <w:t>采用可调价格形式的工程项目价格调整的条件是：主要材料价格上涨或下调超过</w:t>
      </w:r>
      <w:r>
        <w:rPr>
          <w:rFonts w:hint="eastAsia" w:ascii="宋体" w:hAnsi="宋体"/>
          <w:color w:val="auto"/>
          <w:spacing w:val="-6"/>
          <w:kern w:val="0"/>
          <w:szCs w:val="22"/>
          <w:highlight w:val="none"/>
        </w:rPr>
        <w:t>5%</w:t>
      </w:r>
      <w:r>
        <w:rPr>
          <w:rFonts w:hint="eastAsia" w:ascii="宋体" w:hAnsi="宋体" w:cs="宋体"/>
          <w:color w:val="auto"/>
          <w:spacing w:val="-6"/>
          <w:kern w:val="0"/>
          <w:szCs w:val="22"/>
          <w:highlight w:val="none"/>
        </w:rPr>
        <w:t>时（价格以当期防城港市建设工程造价信息为准），可对超出</w:t>
      </w:r>
      <w:r>
        <w:rPr>
          <w:rFonts w:ascii="宋体" w:hAnsi="宋体"/>
          <w:color w:val="auto"/>
          <w:spacing w:val="-6"/>
          <w:kern w:val="0"/>
          <w:szCs w:val="22"/>
          <w:highlight w:val="none"/>
        </w:rPr>
        <w:t>5%</w:t>
      </w:r>
      <w:r>
        <w:rPr>
          <w:rFonts w:hint="eastAsia" w:ascii="宋体" w:hAnsi="宋体" w:cs="宋体"/>
          <w:color w:val="auto"/>
          <w:spacing w:val="-6"/>
          <w:kern w:val="0"/>
          <w:szCs w:val="22"/>
          <w:highlight w:val="none"/>
        </w:rPr>
        <w:t>的部分进行协商调价，</w:t>
      </w:r>
      <w:r>
        <w:rPr>
          <w:rFonts w:hint="eastAsia" w:ascii="宋体" w:hAnsi="宋体"/>
          <w:color w:val="auto"/>
          <w:spacing w:val="-6"/>
          <w:kern w:val="0"/>
          <w:szCs w:val="22"/>
          <w:highlight w:val="none"/>
        </w:rPr>
        <w:t>5%</w:t>
      </w:r>
      <w:r>
        <w:rPr>
          <w:rFonts w:hint="eastAsia" w:ascii="宋体" w:hAnsi="宋体" w:cs="宋体"/>
          <w:color w:val="auto"/>
          <w:spacing w:val="-6"/>
          <w:kern w:val="0"/>
          <w:szCs w:val="22"/>
          <w:highlight w:val="none"/>
        </w:rPr>
        <w:t>（含</w:t>
      </w:r>
      <w:r>
        <w:rPr>
          <w:rFonts w:hint="eastAsia" w:ascii="宋体" w:hAnsi="宋体"/>
          <w:color w:val="auto"/>
          <w:spacing w:val="-6"/>
          <w:kern w:val="0"/>
          <w:szCs w:val="22"/>
          <w:highlight w:val="none"/>
        </w:rPr>
        <w:t>5%</w:t>
      </w:r>
      <w:r>
        <w:rPr>
          <w:rFonts w:hint="eastAsia" w:ascii="宋体" w:hAnsi="宋体" w:cs="宋体"/>
          <w:color w:val="auto"/>
          <w:spacing w:val="-6"/>
          <w:kern w:val="0"/>
          <w:szCs w:val="22"/>
          <w:highlight w:val="none"/>
        </w:rPr>
        <w:t>）以内部分不做调整。</w:t>
      </w:r>
    </w:p>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p w14:paraId="3A42FE40">
      <w:pPr>
        <w:spacing w:line="360" w:lineRule="auto"/>
        <w:ind w:firstLine="420" w:firstLineChars="200"/>
        <w:rPr>
          <w:rFonts w:ascii="宋体" w:hAnsi="宋体"/>
          <w:color w:val="auto"/>
          <w:szCs w:val="21"/>
          <w:highlight w:val="none"/>
          <w:u w:val="single"/>
        </w:rPr>
      </w:pPr>
      <w:r>
        <w:rPr>
          <w:rFonts w:ascii="宋体" w:hAnsi="宋体"/>
          <w:color w:val="auto"/>
          <w:kern w:val="0"/>
          <w:szCs w:val="21"/>
          <w:highlight w:val="none"/>
        </w:rPr>
        <w:t>市场价格波动是否调整合同价格的约定：</w:t>
      </w:r>
      <w:r>
        <w:rPr>
          <w:rFonts w:hint="eastAsia" w:ascii="宋体" w:hAnsi="宋体"/>
          <w:color w:val="auto"/>
          <w:szCs w:val="21"/>
          <w:highlight w:val="none"/>
          <w:u w:val="single"/>
        </w:rPr>
        <w:t>可调</w:t>
      </w:r>
      <w:r>
        <w:rPr>
          <w:rFonts w:ascii="宋体" w:hAnsi="宋体"/>
          <w:color w:val="auto"/>
          <w:szCs w:val="21"/>
          <w:highlight w:val="none"/>
          <w:u w:val="single"/>
        </w:rPr>
        <w:t>。</w:t>
      </w:r>
    </w:p>
    <w:p w14:paraId="670467BD">
      <w:pPr>
        <w:spacing w:line="360" w:lineRule="auto"/>
        <w:ind w:firstLine="420" w:firstLineChars="200"/>
        <w:rPr>
          <w:rFonts w:ascii="宋体" w:hAnsi="宋体"/>
          <w:color w:val="auto"/>
          <w:szCs w:val="21"/>
          <w:highlight w:val="none"/>
        </w:rPr>
      </w:pPr>
      <w:r>
        <w:rPr>
          <w:rFonts w:ascii="宋体" w:hAnsi="宋体"/>
          <w:color w:val="auto"/>
          <w:szCs w:val="21"/>
          <w:highlight w:val="none"/>
        </w:rPr>
        <w:t>因市场价格波动调整合同价格，采用以下第</w:t>
      </w:r>
      <w:r>
        <w:rPr>
          <w:rFonts w:hint="eastAsia" w:ascii="宋体" w:hAnsi="宋体"/>
          <w:b/>
          <w:bCs/>
          <w:color w:val="auto"/>
          <w:szCs w:val="21"/>
          <w:highlight w:val="none"/>
          <w:u w:val="single"/>
        </w:rPr>
        <w:t>3</w:t>
      </w:r>
      <w:r>
        <w:rPr>
          <w:rFonts w:ascii="宋体" w:hAnsi="宋体"/>
          <w:color w:val="auto"/>
          <w:szCs w:val="21"/>
          <w:highlight w:val="none"/>
        </w:rPr>
        <w:t>种方式对合同价格进行调整：</w:t>
      </w:r>
    </w:p>
    <w:p w14:paraId="6DB33403">
      <w:pPr>
        <w:spacing w:line="360" w:lineRule="auto"/>
        <w:ind w:firstLine="420" w:firstLineChars="200"/>
        <w:rPr>
          <w:rFonts w:ascii="宋体" w:hAnsi="宋体"/>
          <w:color w:val="auto"/>
          <w:szCs w:val="21"/>
          <w:highlight w:val="none"/>
        </w:rPr>
      </w:pPr>
      <w:r>
        <w:rPr>
          <w:rFonts w:ascii="宋体" w:hAnsi="宋体"/>
          <w:color w:val="auto"/>
          <w:szCs w:val="21"/>
          <w:highlight w:val="none"/>
        </w:rPr>
        <w:t>第1种方式：采用价格指数进行价格调整。</w:t>
      </w:r>
    </w:p>
    <w:p w14:paraId="7928597D">
      <w:pPr>
        <w:spacing w:line="360" w:lineRule="auto"/>
        <w:ind w:firstLine="420" w:firstLineChars="200"/>
        <w:jc w:val="left"/>
        <w:rPr>
          <w:rFonts w:ascii="宋体" w:hAnsi="宋体"/>
          <w:color w:val="auto"/>
          <w:szCs w:val="21"/>
          <w:highlight w:val="none"/>
          <w:u w:val="single"/>
        </w:rPr>
      </w:pPr>
      <w:r>
        <w:rPr>
          <w:rFonts w:ascii="宋体" w:hAnsi="宋体"/>
          <w:color w:val="auto"/>
          <w:szCs w:val="21"/>
          <w:highlight w:val="none"/>
        </w:rPr>
        <w:t xml:space="preserve">关于各可调因子、定值和变值权重，以及基本价格指数及其来源的约定：；  </w:t>
      </w:r>
    </w:p>
    <w:p w14:paraId="3836535C">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第2种方式：采用造价信息进行价格调整。</w:t>
      </w:r>
    </w:p>
    <w:p w14:paraId="2AE12942">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（1）允许调整的主要材料（设备）、基期价格、风险系数、投标报价：详见《承包人提供主要材料和设备一览表》。</w:t>
      </w:r>
    </w:p>
    <w:p w14:paraId="55E7D733">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（2）主要材料确认价：</w:t>
      </w:r>
    </w:p>
    <w:p w14:paraId="539C0C24">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按施工期间《</w:t>
      </w:r>
      <w:r>
        <w:rPr>
          <w:rFonts w:hint="eastAsia" w:ascii="宋体" w:hAnsi="宋体"/>
          <w:color w:val="auto"/>
          <w:szCs w:val="21"/>
          <w:highlight w:val="none"/>
          <w:u w:val="single"/>
        </w:rPr>
        <w:t>防城港</w:t>
      </w:r>
      <w:r>
        <w:rPr>
          <w:rFonts w:ascii="宋体" w:hAnsi="宋体"/>
          <w:color w:val="auto"/>
          <w:szCs w:val="21"/>
          <w:highlight w:val="none"/>
        </w:rPr>
        <w:t>市建设工程造价信息》加权平均计算，信息价没有的按通用条款规定确定。</w:t>
      </w:r>
    </w:p>
    <w:p w14:paraId="78DFB880">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（3）价差计算方法：</w:t>
      </w:r>
    </w:p>
    <w:p w14:paraId="46E5DAA8">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①《承包人提供主要材料和设备一览表》中载明的材料投标报价低于基准价格的：合同履行期间材料单价涨幅以基准价格为基础超过约定的风险范围时，或材料单价跌幅以投标报价为基础超过约定的风险范围时，其超过部分据实调整。</w:t>
      </w:r>
    </w:p>
    <w:p w14:paraId="38B59E70">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②承包人在《承包人提供主要材料和设备一览表》中载明的材料投标报价高于基准价格的：专用合同条款合同履行期间材料单价跌幅以基准价格为基础超过约定的风险范围时，材料单价涨幅以投标报价为基础超过约定的风险范围时，其超过部分据实调整。</w:t>
      </w:r>
    </w:p>
    <w:p w14:paraId="163F8DD0">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③承包人在《承包人提供主要材料和设备一览表》中载明的材料单价等于基准单价的：合同履行期间材料单价涨跌幅以基准单价为基础超过约定的风险范围时，其超过部分据实调整。</w:t>
      </w:r>
    </w:p>
    <w:p w14:paraId="32BA1165">
      <w:pPr>
        <w:spacing w:line="360" w:lineRule="auto"/>
        <w:ind w:firstLine="420" w:firstLineChars="200"/>
        <w:rPr>
          <w:rFonts w:ascii="宋体" w:hAnsi="宋体"/>
          <w:color w:val="auto"/>
          <w:szCs w:val="22"/>
          <w:highlight w:val="none"/>
          <w:u w:val="single"/>
        </w:rPr>
      </w:pPr>
      <w:r>
        <w:rPr>
          <w:rFonts w:ascii="宋体" w:hAnsi="宋体"/>
          <w:color w:val="auto"/>
          <w:szCs w:val="21"/>
          <w:highlight w:val="none"/>
        </w:rPr>
        <w:t>第</w:t>
      </w:r>
      <w:r>
        <w:rPr>
          <w:rFonts w:hint="eastAsia" w:ascii="宋体" w:hAnsi="宋体"/>
          <w:color w:val="auto"/>
          <w:szCs w:val="21"/>
          <w:highlight w:val="none"/>
        </w:rPr>
        <w:t>3</w:t>
      </w:r>
      <w:r>
        <w:rPr>
          <w:rFonts w:ascii="宋体" w:hAnsi="宋体"/>
          <w:color w:val="auto"/>
          <w:szCs w:val="21"/>
          <w:highlight w:val="none"/>
        </w:rPr>
        <w:t>种方</w:t>
      </w:r>
      <w:r>
        <w:rPr>
          <w:rFonts w:hint="eastAsia" w:ascii="宋体" w:hAnsi="宋体"/>
          <w:color w:val="auto"/>
          <w:szCs w:val="21"/>
          <w:highlight w:val="none"/>
        </w:rPr>
        <w:t>式</w:t>
      </w:r>
      <w:r>
        <w:rPr>
          <w:rFonts w:ascii="宋体" w:hAnsi="宋体"/>
          <w:color w:val="auto"/>
          <w:szCs w:val="21"/>
          <w:highlight w:val="none"/>
        </w:rPr>
        <w:t>：</w:t>
      </w:r>
      <w:r>
        <w:rPr>
          <w:rFonts w:hint="eastAsia" w:ascii="宋体" w:hAnsi="宋体"/>
          <w:color w:val="auto"/>
          <w:szCs w:val="22"/>
          <w:highlight w:val="none"/>
          <w:u w:val="single"/>
        </w:rPr>
        <w:t> 在合同工期范围内，乙方须承担主要材料±5%以内（含±5%）的材料价格风险， 超出±5%的部分按实际施工时间当期的《防城港市建设工程造价信息》调价，当期信息价没有的，双方协商，市场询价</w:t>
      </w:r>
      <w:r>
        <w:rPr>
          <w:rFonts w:hint="eastAsia" w:hAnsi="宋体"/>
          <w:color w:val="auto"/>
          <w:szCs w:val="22"/>
          <w:highlight w:val="none"/>
          <w:u w:val="single"/>
          <w:lang w:eastAsia="zh-CN"/>
        </w:rPr>
        <w:t>，</w:t>
      </w:r>
      <w:r>
        <w:rPr>
          <w:rFonts w:hint="eastAsia" w:ascii="Calibri" w:hAnsi="宋体"/>
          <w:bCs/>
          <w:color w:val="auto"/>
          <w:szCs w:val="21"/>
          <w:highlight w:val="none"/>
          <w:u w:val="single"/>
          <w:lang w:val="en-US" w:eastAsia="zh-CN"/>
        </w:rPr>
        <w:t>最终价格以财政或第三方机构审核为准</w:t>
      </w:r>
      <w:r>
        <w:rPr>
          <w:rFonts w:hint="eastAsia" w:ascii="宋体" w:hAnsi="宋体"/>
          <w:color w:val="auto"/>
          <w:szCs w:val="22"/>
          <w:highlight w:val="none"/>
          <w:u w:val="single"/>
        </w:rPr>
        <w:t>。</w:t>
      </w:r>
    </w:p>
    <w:p w14:paraId="3E1AD27B">
      <w:pPr>
        <w:spacing w:line="360" w:lineRule="auto"/>
        <w:jc w:val="left"/>
        <w:rPr>
          <w:rFonts w:ascii="宋体" w:hAnsi="宋体"/>
          <w:b/>
          <w:color w:val="auto"/>
          <w:szCs w:val="21"/>
          <w:highlight w:val="none"/>
        </w:rPr>
      </w:pPr>
      <w:r>
        <w:rPr>
          <w:rFonts w:hint="eastAsia" w:ascii="宋体" w:hAnsi="宋体"/>
          <w:b/>
          <w:color w:val="auto"/>
          <w:szCs w:val="21"/>
          <w:highlight w:val="none"/>
        </w:rPr>
        <w:t>11.2不平衡报价调整方式</w:t>
      </w:r>
    </w:p>
    <w:p w14:paraId="104BA8D4">
      <w:pPr>
        <w:spacing w:line="360" w:lineRule="auto"/>
        <w:ind w:firstLine="413" w:firstLineChars="196"/>
        <w:jc w:val="left"/>
        <w:rPr>
          <w:rFonts w:ascii="宋体" w:hAnsi="宋体"/>
          <w:b/>
          <w:color w:val="auto"/>
          <w:szCs w:val="21"/>
          <w:highlight w:val="none"/>
        </w:rPr>
      </w:pPr>
      <w:r>
        <w:rPr>
          <w:rFonts w:hint="eastAsia" w:ascii="宋体" w:hAnsi="宋体"/>
          <w:b/>
          <w:color w:val="auto"/>
          <w:szCs w:val="21"/>
          <w:highlight w:val="none"/>
        </w:rPr>
        <w:t>按防住建发[2016]31号文《防城港市政府投资项目房屋建筑和市政基础设施工程严重不平衡报价修正暂行办法》的规定进行修正。</w:t>
      </w:r>
    </w:p>
    <w:bookmarkEnd w:id="957"/>
    <w:bookmarkEnd w:id="958"/>
    <w:bookmarkEnd w:id="959"/>
    <w:bookmarkEnd w:id="960"/>
    <w:bookmarkEnd w:id="961"/>
    <w:bookmarkEnd w:id="962"/>
    <w:p w14:paraId="184B51EB">
      <w:pPr>
        <w:keepNext/>
        <w:keepLines/>
        <w:spacing w:before="260" w:after="260" w:line="416" w:lineRule="auto"/>
        <w:outlineLvl w:val="2"/>
        <w:rPr>
          <w:rFonts w:ascii="宋体" w:hAnsi="宋体"/>
          <w:b/>
          <w:bCs/>
          <w:color w:val="auto"/>
          <w:sz w:val="32"/>
          <w:szCs w:val="32"/>
          <w:highlight w:val="none"/>
        </w:rPr>
      </w:pPr>
      <w:bookmarkStart w:id="1175" w:name="_Toc296891033"/>
      <w:bookmarkStart w:id="1176" w:name="_Toc297048391"/>
      <w:bookmarkStart w:id="1177" w:name="_Toc296944544"/>
      <w:bookmarkStart w:id="1178" w:name="_Toc296891245"/>
      <w:bookmarkStart w:id="1179" w:name="_Toc292559410"/>
      <w:bookmarkStart w:id="1180" w:name="_Toc292559915"/>
      <w:bookmarkStart w:id="1181" w:name="_Toc296346706"/>
      <w:bookmarkStart w:id="1182" w:name="_Toc297120505"/>
      <w:bookmarkStart w:id="1183" w:name="_Toc296347204"/>
      <w:bookmarkStart w:id="1184" w:name="_Toc296503205"/>
      <w:bookmarkStart w:id="1185" w:name="_Toc454211163"/>
      <w:bookmarkStart w:id="1186" w:name="_Toc530144518"/>
      <w:bookmarkStart w:id="1187" w:name="_Toc411345232"/>
      <w:bookmarkStart w:id="1188" w:name="_Toc373227748"/>
      <w:bookmarkStart w:id="1189" w:name="_Toc531186653"/>
      <w:bookmarkStart w:id="1190" w:name="_Toc432343939"/>
      <w:bookmarkStart w:id="1191" w:name="_Toc472931657"/>
      <w:bookmarkStart w:id="1192" w:name="_Toc461179293"/>
      <w:bookmarkStart w:id="1193" w:name="_Toc470247851"/>
      <w:bookmarkStart w:id="1194" w:name="_Toc373478395"/>
      <w:bookmarkStart w:id="1195" w:name="_Toc351203644"/>
      <w:bookmarkStart w:id="1196" w:name="_Toc529547376"/>
      <w:bookmarkStart w:id="1197" w:name="_Toc529527024"/>
      <w:bookmarkStart w:id="1198" w:name="_Toc303539159"/>
      <w:bookmarkStart w:id="1199" w:name="_Toc312678040"/>
      <w:bookmarkStart w:id="1200" w:name="_Toc300935002"/>
      <w:bookmarkStart w:id="1201" w:name="_Toc297123552"/>
      <w:bookmarkStart w:id="1202" w:name="_Toc297216211"/>
      <w:bookmarkStart w:id="1203" w:name="_Toc304295579"/>
      <w:r>
        <w:rPr>
          <w:rFonts w:ascii="宋体" w:hAnsi="宋体"/>
          <w:b/>
          <w:bCs/>
          <w:color w:val="auto"/>
          <w:sz w:val="32"/>
          <w:szCs w:val="32"/>
          <w:highlight w:val="none"/>
        </w:rPr>
        <w:t xml:space="preserve">12. </w:t>
      </w:r>
      <w:bookmarkEnd w:id="1175"/>
      <w:bookmarkEnd w:id="1176"/>
      <w:bookmarkEnd w:id="1177"/>
      <w:bookmarkEnd w:id="1178"/>
      <w:bookmarkEnd w:id="1179"/>
      <w:bookmarkEnd w:id="1180"/>
      <w:bookmarkEnd w:id="1181"/>
      <w:bookmarkEnd w:id="1182"/>
      <w:bookmarkEnd w:id="1183"/>
      <w:bookmarkEnd w:id="1184"/>
      <w:r>
        <w:rPr>
          <w:rFonts w:ascii="宋体" w:hAnsi="宋体"/>
          <w:b/>
          <w:bCs/>
          <w:color w:val="auto"/>
          <w:sz w:val="32"/>
          <w:szCs w:val="32"/>
          <w:highlight w:val="none"/>
        </w:rPr>
        <w:t>合同价格、计量与支付</w:t>
      </w:r>
      <w:bookmarkEnd w:id="1185"/>
      <w:bookmarkEnd w:id="1186"/>
      <w:bookmarkEnd w:id="1187"/>
      <w:bookmarkEnd w:id="1188"/>
      <w:bookmarkEnd w:id="1189"/>
      <w:bookmarkEnd w:id="1190"/>
      <w:bookmarkEnd w:id="1191"/>
      <w:bookmarkEnd w:id="1192"/>
      <w:bookmarkEnd w:id="1193"/>
      <w:bookmarkEnd w:id="1194"/>
      <w:bookmarkEnd w:id="1195"/>
      <w:bookmarkEnd w:id="1196"/>
      <w:bookmarkEnd w:id="1197"/>
    </w:p>
    <w:bookmarkEnd w:id="1198"/>
    <w:bookmarkEnd w:id="1199"/>
    <w:bookmarkEnd w:id="1200"/>
    <w:bookmarkEnd w:id="1201"/>
    <w:bookmarkEnd w:id="1202"/>
    <w:bookmarkEnd w:id="1203"/>
    <w:p w14:paraId="01AA7604">
      <w:pPr>
        <w:keepNext/>
        <w:keepLines/>
        <w:spacing w:before="260" w:after="260" w:line="416" w:lineRule="auto"/>
        <w:outlineLvl w:val="2"/>
        <w:rPr>
          <w:b/>
          <w:bCs/>
          <w:color w:val="auto"/>
          <w:sz w:val="32"/>
          <w:szCs w:val="32"/>
          <w:highlight w:val="none"/>
        </w:rPr>
      </w:pPr>
      <w:bookmarkStart w:id="1204" w:name="_Toc292559916"/>
      <w:bookmarkStart w:id="1205" w:name="_Toc292559411"/>
      <w:bookmarkStart w:id="1206" w:name="_Toc267251461"/>
      <w:bookmarkStart w:id="1207" w:name="_Toc296347205"/>
      <w:bookmarkStart w:id="1208" w:name="_Toc296503206"/>
      <w:bookmarkStart w:id="1209" w:name="_Toc297048392"/>
      <w:bookmarkStart w:id="1210" w:name="_Toc296891246"/>
      <w:bookmarkStart w:id="1211" w:name="_Toc296944545"/>
      <w:bookmarkStart w:id="1212" w:name="_Toc297120506"/>
      <w:bookmarkStart w:id="1213" w:name="_Toc296346707"/>
      <w:bookmarkStart w:id="1214" w:name="_Toc296891034"/>
      <w:bookmarkStart w:id="1215" w:name="_Toc531186654"/>
      <w:bookmarkStart w:id="1216" w:name="_Toc472931658"/>
      <w:bookmarkStart w:id="1217" w:name="_Toc529527025"/>
      <w:bookmarkStart w:id="1218" w:name="_Toc529547377"/>
      <w:bookmarkStart w:id="1219" w:name="_Toc470247852"/>
      <w:bookmarkStart w:id="1220" w:name="_Toc389065314"/>
      <w:bookmarkStart w:id="1221" w:name="_Toc530144519"/>
      <w:bookmarkStart w:id="1222" w:name="_Toc465114909"/>
      <w:bookmarkStart w:id="1223" w:name="_Toc373227749"/>
      <w:bookmarkStart w:id="1224" w:name="_Toc373478396"/>
      <w:bookmarkStart w:id="1225" w:name="_Toc304295580"/>
      <w:bookmarkStart w:id="1226" w:name="_Toc297123553"/>
      <w:bookmarkStart w:id="1227" w:name="_Toc312678041"/>
      <w:bookmarkStart w:id="1228" w:name="_Toc303539160"/>
      <w:bookmarkStart w:id="1229" w:name="_Toc300935003"/>
      <w:bookmarkStart w:id="1230" w:name="_Toc297216212"/>
      <w:bookmarkStart w:id="1231" w:name="_Toc373227750"/>
      <w:bookmarkStart w:id="1232" w:name="_Toc389065315"/>
      <w:bookmarkStart w:id="1233" w:name="_Toc373478397"/>
      <w:bookmarkStart w:id="1234" w:name="_Toc303539161"/>
      <w:bookmarkStart w:id="1235" w:name="_Toc300935004"/>
      <w:bookmarkStart w:id="1236" w:name="_Toc297123554"/>
      <w:bookmarkStart w:id="1237" w:name="_Toc312678042"/>
      <w:bookmarkStart w:id="1238" w:name="_Toc304295581"/>
      <w:bookmarkStart w:id="1239" w:name="_Toc297216213"/>
      <w:bookmarkStart w:id="1240" w:name="_Toc292559917"/>
      <w:bookmarkStart w:id="1241" w:name="_Toc296891247"/>
      <w:bookmarkStart w:id="1242" w:name="_Toc292559412"/>
      <w:bookmarkStart w:id="1243" w:name="_Toc297120507"/>
      <w:bookmarkStart w:id="1244" w:name="_Toc297048393"/>
      <w:bookmarkStart w:id="1245" w:name="_Toc296891035"/>
      <w:bookmarkStart w:id="1246" w:name="_Toc296944546"/>
      <w:bookmarkStart w:id="1247" w:name="_Toc296347206"/>
      <w:bookmarkStart w:id="1248" w:name="_Toc296503207"/>
      <w:bookmarkStart w:id="1249" w:name="_Toc296346708"/>
      <w:r>
        <w:rPr>
          <w:b/>
          <w:bCs/>
          <w:color w:val="auto"/>
          <w:sz w:val="32"/>
          <w:szCs w:val="32"/>
          <w:highlight w:val="none"/>
        </w:rPr>
        <w:t xml:space="preserve">12.1 </w:t>
      </w:r>
      <w:r>
        <w:rPr>
          <w:rFonts w:hAnsi="宋体"/>
          <w:b/>
          <w:bCs/>
          <w:color w:val="auto"/>
          <w:sz w:val="32"/>
          <w:szCs w:val="32"/>
          <w:highlight w:val="none"/>
        </w:rPr>
        <w:t>合</w:t>
      </w:r>
      <w:bookmarkEnd w:id="1204"/>
      <w:bookmarkEnd w:id="1205"/>
      <w:bookmarkEnd w:id="1206"/>
      <w:r>
        <w:rPr>
          <w:rFonts w:hAnsi="宋体"/>
          <w:b/>
          <w:bCs/>
          <w:color w:val="auto"/>
          <w:sz w:val="32"/>
          <w:szCs w:val="32"/>
          <w:highlight w:val="none"/>
        </w:rPr>
        <w:t>同价</w:t>
      </w:r>
      <w:bookmarkEnd w:id="1207"/>
      <w:bookmarkEnd w:id="1208"/>
      <w:bookmarkEnd w:id="1209"/>
      <w:bookmarkEnd w:id="1210"/>
      <w:bookmarkEnd w:id="1211"/>
      <w:bookmarkEnd w:id="1212"/>
      <w:bookmarkEnd w:id="1213"/>
      <w:bookmarkEnd w:id="1214"/>
      <w:r>
        <w:rPr>
          <w:rFonts w:hAnsi="宋体"/>
          <w:b/>
          <w:bCs/>
          <w:color w:val="auto"/>
          <w:sz w:val="32"/>
          <w:szCs w:val="32"/>
          <w:highlight w:val="none"/>
        </w:rPr>
        <w:t>格形式</w:t>
      </w:r>
      <w:bookmarkEnd w:id="1215"/>
      <w:bookmarkEnd w:id="1216"/>
      <w:bookmarkEnd w:id="1217"/>
      <w:bookmarkEnd w:id="1218"/>
      <w:bookmarkEnd w:id="1219"/>
      <w:bookmarkEnd w:id="1220"/>
      <w:bookmarkEnd w:id="1221"/>
      <w:bookmarkEnd w:id="1222"/>
      <w:bookmarkEnd w:id="1223"/>
      <w:bookmarkEnd w:id="1224"/>
    </w:p>
    <w:bookmarkEnd w:id="1225"/>
    <w:bookmarkEnd w:id="1226"/>
    <w:bookmarkEnd w:id="1227"/>
    <w:bookmarkEnd w:id="1228"/>
    <w:bookmarkEnd w:id="1229"/>
    <w:bookmarkEnd w:id="1230"/>
    <w:p w14:paraId="434722ED">
      <w:pPr>
        <w:spacing w:line="360" w:lineRule="auto"/>
        <w:ind w:firstLine="420" w:firstLineChars="200"/>
        <w:jc w:val="left"/>
        <w:rPr>
          <w:rFonts w:ascii="Calibri" w:hAnsi="宋体"/>
          <w:color w:val="auto"/>
          <w:szCs w:val="21"/>
          <w:highlight w:val="none"/>
        </w:rPr>
      </w:pPr>
      <w:r>
        <w:rPr>
          <w:rFonts w:hint="eastAsia" w:ascii="Calibri" w:hAnsi="宋体"/>
          <w:color w:val="auto"/>
          <w:szCs w:val="21"/>
          <w:highlight w:val="none"/>
        </w:rPr>
        <w:t>本工程采用</w:t>
      </w:r>
      <w:r>
        <w:rPr>
          <w:rFonts w:hint="eastAsia" w:ascii="Calibri" w:hAnsi="宋体"/>
          <w:color w:val="auto"/>
          <w:szCs w:val="21"/>
          <w:highlight w:val="none"/>
          <w:u w:val="single"/>
        </w:rPr>
        <w:t>（1）</w:t>
      </w:r>
      <w:r>
        <w:rPr>
          <w:rFonts w:ascii="Calibri" w:hAnsi="宋体"/>
          <w:color w:val="auto"/>
          <w:szCs w:val="21"/>
          <w:highlight w:val="none"/>
        </w:rPr>
        <w:t>单价</w:t>
      </w:r>
      <w:r>
        <w:rPr>
          <w:rFonts w:hint="eastAsia" w:ascii="Calibri" w:hAnsi="宋体"/>
          <w:color w:val="auto"/>
          <w:szCs w:val="21"/>
          <w:highlight w:val="none"/>
        </w:rPr>
        <w:t>合同价格形式。</w:t>
      </w:r>
    </w:p>
    <w:p w14:paraId="1FFAB852">
      <w:pPr>
        <w:spacing w:line="360" w:lineRule="auto"/>
        <w:ind w:firstLine="420" w:firstLineChars="200"/>
        <w:jc w:val="left"/>
        <w:rPr>
          <w:rFonts w:ascii="Calibri" w:hAnsi="宋体"/>
          <w:color w:val="auto"/>
          <w:szCs w:val="21"/>
          <w:highlight w:val="none"/>
        </w:rPr>
      </w:pPr>
      <w:r>
        <w:rPr>
          <w:rFonts w:hint="eastAsia" w:ascii="Calibri" w:hAnsi="宋体"/>
          <w:color w:val="auto"/>
          <w:szCs w:val="21"/>
          <w:highlight w:val="none"/>
        </w:rPr>
        <w:t>（</w:t>
      </w:r>
      <w:r>
        <w:rPr>
          <w:rFonts w:ascii="Calibri" w:hAnsi="宋体"/>
          <w:color w:val="auto"/>
          <w:szCs w:val="21"/>
          <w:highlight w:val="none"/>
        </w:rPr>
        <w:t>1</w:t>
      </w:r>
      <w:r>
        <w:rPr>
          <w:rFonts w:hint="eastAsia" w:ascii="Calibri" w:hAnsi="宋体"/>
          <w:color w:val="auto"/>
          <w:szCs w:val="21"/>
          <w:highlight w:val="none"/>
        </w:rPr>
        <w:t>）</w:t>
      </w:r>
      <w:r>
        <w:rPr>
          <w:rFonts w:ascii="Calibri" w:hAnsi="宋体"/>
          <w:color w:val="auto"/>
          <w:szCs w:val="21"/>
          <w:highlight w:val="none"/>
        </w:rPr>
        <w:t>单价合同。</w:t>
      </w:r>
    </w:p>
    <w:p w14:paraId="0DF16644">
      <w:pPr>
        <w:spacing w:line="360" w:lineRule="auto"/>
        <w:ind w:firstLine="420" w:firstLineChars="200"/>
        <w:jc w:val="left"/>
        <w:rPr>
          <w:rFonts w:ascii="Calibri" w:hAnsi="宋体"/>
          <w:color w:val="auto"/>
          <w:szCs w:val="21"/>
          <w:highlight w:val="none"/>
        </w:rPr>
      </w:pPr>
      <w:r>
        <w:rPr>
          <w:rFonts w:hint="eastAsia" w:ascii="Calibri" w:hAnsi="宋体"/>
          <w:color w:val="auto"/>
          <w:szCs w:val="21"/>
          <w:highlight w:val="none"/>
        </w:rPr>
        <w:t>单价合同</w:t>
      </w:r>
      <w:r>
        <w:rPr>
          <w:rFonts w:ascii="Calibri" w:hAnsi="宋体"/>
          <w:color w:val="auto"/>
          <w:szCs w:val="21"/>
          <w:highlight w:val="none"/>
        </w:rPr>
        <w:t>采用综合单价方式确定</w:t>
      </w:r>
      <w:r>
        <w:rPr>
          <w:rFonts w:hint="eastAsia" w:ascii="Calibri" w:hAnsi="宋体"/>
          <w:color w:val="auto"/>
          <w:szCs w:val="21"/>
          <w:highlight w:val="none"/>
        </w:rPr>
        <w:t>，工程量按实际结算</w:t>
      </w:r>
      <w:r>
        <w:rPr>
          <w:rFonts w:ascii="Calibri" w:hAnsi="宋体"/>
          <w:color w:val="auto"/>
          <w:szCs w:val="21"/>
          <w:highlight w:val="none"/>
        </w:rPr>
        <w:t>。</w:t>
      </w:r>
    </w:p>
    <w:p w14:paraId="659B536A">
      <w:pPr>
        <w:spacing w:line="360" w:lineRule="auto"/>
        <w:ind w:firstLine="420" w:firstLineChars="200"/>
        <w:jc w:val="left"/>
        <w:rPr>
          <w:rFonts w:ascii="Calibri" w:hAnsi="宋体"/>
          <w:color w:val="auto"/>
          <w:szCs w:val="21"/>
          <w:highlight w:val="none"/>
        </w:rPr>
      </w:pPr>
      <w:r>
        <w:rPr>
          <w:rFonts w:ascii="Calibri" w:hAnsi="宋体"/>
          <w:color w:val="auto"/>
          <w:szCs w:val="21"/>
          <w:highlight w:val="none"/>
        </w:rPr>
        <w:t>综合单价包含的风险范围：</w:t>
      </w:r>
      <w:r>
        <w:rPr>
          <w:rFonts w:ascii="Calibri" w:hAnsi="宋体"/>
          <w:color w:val="auto"/>
          <w:szCs w:val="21"/>
          <w:highlight w:val="none"/>
          <w:u w:val="single"/>
        </w:rPr>
        <w:t>除工程变更、</w:t>
      </w:r>
      <w:r>
        <w:rPr>
          <w:rFonts w:hint="eastAsia" w:ascii="Calibri" w:hAnsi="宋体"/>
          <w:color w:val="auto"/>
          <w:szCs w:val="21"/>
          <w:highlight w:val="none"/>
          <w:u w:val="single"/>
        </w:rPr>
        <w:t>项目特征不符、</w:t>
      </w:r>
      <w:r>
        <w:rPr>
          <w:rFonts w:ascii="Calibri" w:hAnsi="宋体"/>
          <w:color w:val="auto"/>
          <w:szCs w:val="21"/>
          <w:highlight w:val="none"/>
          <w:u w:val="single"/>
        </w:rPr>
        <w:t>政策性调整、《承包人提供主要材料和设备一览表》约定的材料、设备价格变动风险以外因素。</w:t>
      </w:r>
    </w:p>
    <w:p w14:paraId="3F5FC4E6">
      <w:pPr>
        <w:spacing w:line="360" w:lineRule="auto"/>
        <w:ind w:firstLine="441" w:firstLineChars="210"/>
        <w:rPr>
          <w:rFonts w:hAnsi="宋体"/>
          <w:color w:val="auto"/>
          <w:szCs w:val="21"/>
          <w:highlight w:val="none"/>
        </w:rPr>
      </w:pPr>
      <w:r>
        <w:rPr>
          <w:rFonts w:hAnsi="宋体"/>
          <w:color w:val="auto"/>
          <w:szCs w:val="21"/>
          <w:highlight w:val="none"/>
        </w:rPr>
        <w:t>风险范围以外合同价格的调整方法：</w:t>
      </w:r>
    </w:p>
    <w:p w14:paraId="168B99B6">
      <w:pPr>
        <w:spacing w:line="360" w:lineRule="auto"/>
        <w:ind w:firstLine="441" w:firstLineChars="210"/>
        <w:rPr>
          <w:rFonts w:hAnsi="宋体"/>
          <w:color w:val="auto"/>
          <w:szCs w:val="21"/>
          <w:highlight w:val="none"/>
        </w:rPr>
      </w:pPr>
      <w:r>
        <w:rPr>
          <w:rFonts w:hAnsi="宋体"/>
          <w:color w:val="auto"/>
          <w:szCs w:val="21"/>
          <w:highlight w:val="none"/>
        </w:rPr>
        <w:t>①工程变更：按10.4.1变更估价原则的约定调整。</w:t>
      </w:r>
    </w:p>
    <w:p w14:paraId="020EB2B4">
      <w:pPr>
        <w:spacing w:line="360" w:lineRule="auto"/>
        <w:ind w:firstLine="441" w:firstLineChars="210"/>
        <w:rPr>
          <w:rFonts w:hAnsi="宋体"/>
          <w:color w:val="auto"/>
          <w:szCs w:val="21"/>
          <w:highlight w:val="none"/>
        </w:rPr>
      </w:pPr>
      <w:r>
        <w:rPr>
          <w:rFonts w:hAnsi="宋体"/>
          <w:color w:val="auto"/>
          <w:szCs w:val="21"/>
          <w:highlight w:val="none"/>
        </w:rPr>
        <w:t>②政策性调整：按自治区建设行政主管部门颁布的文件执行。</w:t>
      </w:r>
    </w:p>
    <w:p w14:paraId="34C44A3D">
      <w:pPr>
        <w:spacing w:line="360" w:lineRule="auto"/>
        <w:ind w:firstLine="441" w:firstLineChars="210"/>
        <w:rPr>
          <w:rFonts w:hAnsi="宋体"/>
          <w:color w:val="auto"/>
          <w:szCs w:val="21"/>
          <w:highlight w:val="none"/>
        </w:rPr>
      </w:pPr>
      <w:r>
        <w:rPr>
          <w:rFonts w:hAnsi="宋体"/>
          <w:color w:val="auto"/>
          <w:szCs w:val="21"/>
          <w:highlight w:val="none"/>
        </w:rPr>
        <w:t>③材料价格风险：按11.1的约定调整。</w:t>
      </w:r>
    </w:p>
    <w:p w14:paraId="420F8656">
      <w:pPr>
        <w:spacing w:line="360" w:lineRule="auto"/>
        <w:ind w:firstLine="420" w:firstLineChars="200"/>
        <w:jc w:val="left"/>
        <w:rPr>
          <w:rFonts w:ascii="Calibri" w:hAnsi="宋体"/>
          <w:color w:val="auto"/>
          <w:szCs w:val="21"/>
          <w:highlight w:val="none"/>
        </w:rPr>
      </w:pPr>
      <w:r>
        <w:rPr>
          <w:rFonts w:ascii="Calibri" w:hAnsi="宋体"/>
          <w:color w:val="auto"/>
          <w:szCs w:val="21"/>
          <w:highlight w:val="none"/>
        </w:rPr>
        <w:t>④其它：</w:t>
      </w:r>
      <w:r>
        <w:rPr>
          <w:rFonts w:hint="eastAsia" w:ascii="宋体" w:hAnsi="宋体"/>
          <w:color w:val="auto"/>
          <w:szCs w:val="21"/>
          <w:highlight w:val="none"/>
          <w:u w:val="single"/>
        </w:rPr>
        <w:t>/</w:t>
      </w:r>
      <w:r>
        <w:rPr>
          <w:rFonts w:ascii="Calibri" w:hAnsi="宋体"/>
          <w:color w:val="auto"/>
          <w:szCs w:val="21"/>
          <w:highlight w:val="none"/>
        </w:rPr>
        <w:t>。</w:t>
      </w:r>
    </w:p>
    <w:p w14:paraId="765C8387">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2</w:t>
      </w:r>
      <w:r>
        <w:rPr>
          <w:rFonts w:hint="eastAsia" w:ascii="宋体" w:hAnsi="宋体"/>
          <w:color w:val="auto"/>
          <w:szCs w:val="21"/>
          <w:highlight w:val="none"/>
        </w:rPr>
        <w:t>）</w:t>
      </w:r>
      <w:r>
        <w:rPr>
          <w:rFonts w:ascii="宋体" w:hAnsi="宋体"/>
          <w:color w:val="auto"/>
          <w:szCs w:val="21"/>
          <w:highlight w:val="none"/>
        </w:rPr>
        <w:t>总价合同。</w:t>
      </w:r>
    </w:p>
    <w:p w14:paraId="473A5EC4">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总价包含的风险范围：</w:t>
      </w:r>
      <w:r>
        <w:rPr>
          <w:rFonts w:hint="eastAsia" w:ascii="宋体" w:hAnsi="宋体"/>
          <w:color w:val="auto"/>
          <w:szCs w:val="21"/>
          <w:highlight w:val="none"/>
          <w:u w:val="single"/>
        </w:rPr>
        <w:t>/</w:t>
      </w:r>
      <w:r>
        <w:rPr>
          <w:rFonts w:ascii="宋体" w:hAnsi="宋体"/>
          <w:color w:val="auto"/>
          <w:szCs w:val="21"/>
          <w:highlight w:val="none"/>
        </w:rPr>
        <w:t>。</w:t>
      </w:r>
    </w:p>
    <w:p w14:paraId="4A953848">
      <w:pPr>
        <w:spacing w:line="360" w:lineRule="auto"/>
        <w:ind w:firstLine="420" w:firstLineChars="200"/>
        <w:jc w:val="left"/>
        <w:rPr>
          <w:rFonts w:ascii="宋体" w:hAnsi="宋体"/>
          <w:color w:val="auto"/>
          <w:szCs w:val="22"/>
          <w:highlight w:val="none"/>
        </w:rPr>
      </w:pPr>
      <w:r>
        <w:rPr>
          <w:rFonts w:ascii="宋体" w:hAnsi="宋体"/>
          <w:color w:val="auto"/>
          <w:szCs w:val="22"/>
          <w:highlight w:val="none"/>
        </w:rPr>
        <w:t>风险范围以外合同价格的调整方法：</w:t>
      </w:r>
      <w:r>
        <w:rPr>
          <w:rFonts w:hint="eastAsia" w:ascii="宋体" w:hAnsi="宋体"/>
          <w:color w:val="auto"/>
          <w:szCs w:val="22"/>
          <w:highlight w:val="none"/>
          <w:u w:val="single"/>
        </w:rPr>
        <w:t>/</w:t>
      </w:r>
      <w:r>
        <w:rPr>
          <w:rFonts w:ascii="宋体" w:hAnsi="宋体"/>
          <w:color w:val="auto"/>
          <w:szCs w:val="22"/>
          <w:highlight w:val="none"/>
        </w:rPr>
        <w:t>。</w:t>
      </w:r>
    </w:p>
    <w:p w14:paraId="035E4D90">
      <w:pPr>
        <w:spacing w:line="360" w:lineRule="auto"/>
        <w:ind w:firstLine="420" w:firstLineChars="200"/>
        <w:jc w:val="left"/>
        <w:rPr>
          <w:rFonts w:ascii="宋体" w:hAnsi="宋体"/>
          <w:color w:val="auto"/>
          <w:szCs w:val="22"/>
          <w:highlight w:val="none"/>
        </w:rPr>
      </w:pPr>
      <w:r>
        <w:rPr>
          <w:rFonts w:hint="eastAsia" w:ascii="宋体" w:hAnsi="宋体"/>
          <w:color w:val="auto"/>
          <w:szCs w:val="22"/>
          <w:highlight w:val="none"/>
        </w:rPr>
        <w:t>（</w:t>
      </w:r>
      <w:r>
        <w:rPr>
          <w:rFonts w:ascii="宋体" w:hAnsi="宋体"/>
          <w:color w:val="auto"/>
          <w:szCs w:val="22"/>
          <w:highlight w:val="none"/>
        </w:rPr>
        <w:t>3</w:t>
      </w:r>
      <w:r>
        <w:rPr>
          <w:rFonts w:hint="eastAsia" w:ascii="宋体" w:hAnsi="宋体"/>
          <w:color w:val="auto"/>
          <w:szCs w:val="22"/>
          <w:highlight w:val="none"/>
        </w:rPr>
        <w:t>）</w:t>
      </w:r>
      <w:r>
        <w:rPr>
          <w:rFonts w:ascii="宋体" w:hAnsi="宋体"/>
          <w:color w:val="auto"/>
          <w:szCs w:val="22"/>
          <w:highlight w:val="none"/>
        </w:rPr>
        <w:t>其他价格方式：</w:t>
      </w:r>
      <w:r>
        <w:rPr>
          <w:rFonts w:hint="eastAsia" w:ascii="宋体" w:hAnsi="宋体"/>
          <w:color w:val="auto"/>
          <w:szCs w:val="22"/>
          <w:highlight w:val="none"/>
          <w:u w:val="single"/>
        </w:rPr>
        <w:t>/</w:t>
      </w:r>
      <w:r>
        <w:rPr>
          <w:rFonts w:ascii="宋体" w:hAnsi="宋体"/>
          <w:color w:val="auto"/>
          <w:szCs w:val="22"/>
          <w:highlight w:val="none"/>
        </w:rPr>
        <w:t>。</w:t>
      </w:r>
    </w:p>
    <w:p w14:paraId="6017376B">
      <w:pPr>
        <w:keepNext/>
        <w:keepLines/>
        <w:spacing w:before="260" w:after="260" w:line="416" w:lineRule="auto"/>
        <w:outlineLvl w:val="2"/>
        <w:rPr>
          <w:rFonts w:ascii="宋体" w:hAnsi="宋体"/>
          <w:b/>
          <w:bCs/>
          <w:color w:val="auto"/>
          <w:sz w:val="32"/>
          <w:szCs w:val="32"/>
          <w:highlight w:val="none"/>
        </w:rPr>
      </w:pPr>
      <w:bookmarkStart w:id="1250" w:name="_Toc529547378"/>
      <w:bookmarkStart w:id="1251" w:name="_Toc461179295"/>
      <w:bookmarkStart w:id="1252" w:name="_Toc432343941"/>
      <w:bookmarkStart w:id="1253" w:name="_Toc470247853"/>
      <w:bookmarkStart w:id="1254" w:name="_Toc529527026"/>
      <w:bookmarkStart w:id="1255" w:name="_Toc472931659"/>
      <w:bookmarkStart w:id="1256" w:name="_Toc454211165"/>
      <w:bookmarkStart w:id="1257" w:name="_Toc531186655"/>
      <w:bookmarkStart w:id="1258" w:name="_Toc530144520"/>
      <w:bookmarkStart w:id="1259" w:name="_Toc411345234"/>
      <w:r>
        <w:rPr>
          <w:rFonts w:ascii="宋体" w:hAnsi="宋体"/>
          <w:b/>
          <w:bCs/>
          <w:color w:val="auto"/>
          <w:sz w:val="32"/>
          <w:szCs w:val="32"/>
          <w:highlight w:val="none"/>
        </w:rPr>
        <w:t>12.2 预付款</w:t>
      </w:r>
      <w:bookmarkEnd w:id="1231"/>
      <w:bookmarkEnd w:id="1232"/>
      <w:bookmarkEnd w:id="1233"/>
      <w:bookmarkEnd w:id="1250"/>
      <w:bookmarkEnd w:id="1251"/>
      <w:bookmarkEnd w:id="1252"/>
      <w:bookmarkEnd w:id="1253"/>
      <w:bookmarkEnd w:id="1254"/>
      <w:bookmarkEnd w:id="1255"/>
      <w:bookmarkEnd w:id="1256"/>
      <w:bookmarkEnd w:id="1257"/>
      <w:bookmarkEnd w:id="1258"/>
      <w:bookmarkEnd w:id="1259"/>
    </w:p>
    <w:bookmarkEnd w:id="1234"/>
    <w:bookmarkEnd w:id="1235"/>
    <w:bookmarkEnd w:id="1236"/>
    <w:bookmarkEnd w:id="1237"/>
    <w:bookmarkEnd w:id="1238"/>
    <w:bookmarkEnd w:id="1239"/>
    <w:p w14:paraId="1D131A7E">
      <w:pPr>
        <w:spacing w:line="260" w:lineRule="exact"/>
        <w:ind w:firstLine="420" w:firstLineChars="200"/>
        <w:jc w:val="left"/>
        <w:rPr>
          <w:rFonts w:ascii="宋体" w:hAnsi="宋体"/>
          <w:color w:val="auto"/>
          <w:szCs w:val="21"/>
          <w:highlight w:val="none"/>
          <w:u w:val="single"/>
        </w:rPr>
      </w:pPr>
      <w:r>
        <w:rPr>
          <w:rFonts w:ascii="宋体" w:hAnsi="宋体"/>
          <w:color w:val="auto"/>
          <w:szCs w:val="21"/>
          <w:highlight w:val="none"/>
        </w:rPr>
        <w:t>12.2.1 预付款的支付</w:t>
      </w:r>
      <w:r>
        <w:rPr>
          <w:rFonts w:hint="eastAsia" w:ascii="Calibri" w:hAnsi="Calibri"/>
          <w:color w:val="auto"/>
          <w:szCs w:val="21"/>
          <w:highlight w:val="none"/>
          <w:u w:val="single"/>
        </w:rPr>
        <w:t>：</w:t>
      </w:r>
      <w:r>
        <w:rPr>
          <w:rFonts w:hint="eastAsia" w:ascii="宋体" w:hAnsi="宋体"/>
          <w:color w:val="auto"/>
          <w:szCs w:val="21"/>
          <w:highlight w:val="none"/>
          <w:u w:val="single"/>
          <w:lang w:val="en-US" w:eastAsia="zh-CN"/>
        </w:rPr>
        <w:t>3</w:t>
      </w:r>
      <w:r>
        <w:rPr>
          <w:rFonts w:hint="eastAsia" w:ascii="宋体" w:hAnsi="宋体"/>
          <w:color w:val="auto"/>
          <w:szCs w:val="21"/>
          <w:highlight w:val="none"/>
          <w:u w:val="single"/>
        </w:rPr>
        <w:t>0%</w:t>
      </w:r>
      <w:r>
        <w:rPr>
          <w:rFonts w:hint="eastAsia" w:ascii="宋体" w:hAnsi="宋体"/>
          <w:color w:val="auto"/>
          <w:szCs w:val="21"/>
          <w:highlight w:val="none"/>
          <w:u w:val="single"/>
          <w:lang w:val="en-US" w:eastAsia="zh-CN"/>
        </w:rPr>
        <w:t>的</w:t>
      </w:r>
      <w:r>
        <w:rPr>
          <w:rFonts w:hint="eastAsia" w:ascii="宋体" w:hAnsi="宋体"/>
          <w:color w:val="auto"/>
          <w:szCs w:val="21"/>
          <w:highlight w:val="none"/>
          <w:u w:val="single"/>
        </w:rPr>
        <w:t>合同价款。</w:t>
      </w:r>
    </w:p>
    <w:p w14:paraId="1C9B03B0">
      <w:pPr>
        <w:spacing w:line="360" w:lineRule="auto"/>
        <w:ind w:left="420" w:leftChars="200" w:firstLine="0" w:firstLineChars="0"/>
        <w:jc w:val="left"/>
        <w:rPr>
          <w:rFonts w:ascii="宋体" w:hAnsi="宋体"/>
          <w:color w:val="auto"/>
          <w:szCs w:val="21"/>
          <w:highlight w:val="none"/>
        </w:rPr>
      </w:pPr>
      <w:r>
        <w:rPr>
          <w:rFonts w:ascii="宋体" w:hAnsi="宋体"/>
          <w:color w:val="auto"/>
          <w:szCs w:val="21"/>
          <w:highlight w:val="none"/>
        </w:rPr>
        <w:t>预付款支付期限：</w:t>
      </w:r>
      <w:r>
        <w:rPr>
          <w:rFonts w:hint="eastAsia" w:ascii="宋体" w:hAnsi="宋体"/>
          <w:color w:val="auto"/>
          <w:szCs w:val="21"/>
          <w:highlight w:val="none"/>
          <w:u w:val="single"/>
        </w:rPr>
        <w:t>合同签订后10个工作日内，发包人向承包人支付合同总价的30%作为工程预付款。</w:t>
      </w:r>
      <w:r>
        <w:rPr>
          <w:rFonts w:ascii="宋体" w:hAnsi="宋体"/>
          <w:color w:val="auto"/>
          <w:szCs w:val="21"/>
          <w:highlight w:val="none"/>
        </w:rPr>
        <w:t>预付款扣回的方式：</w:t>
      </w:r>
      <w:r>
        <w:rPr>
          <w:rFonts w:hint="eastAsia" w:hAnsi="宋体"/>
          <w:color w:val="auto"/>
          <w:szCs w:val="21"/>
          <w:highlight w:val="none"/>
          <w:u w:val="single"/>
          <w:lang w:eastAsia="zh-CN"/>
        </w:rPr>
        <w:t>无</w:t>
      </w:r>
      <w:r>
        <w:rPr>
          <w:rFonts w:hint="eastAsia" w:ascii="宋体" w:hAnsi="宋体"/>
          <w:color w:val="auto"/>
          <w:szCs w:val="21"/>
          <w:highlight w:val="none"/>
        </w:rPr>
        <w:t>；</w:t>
      </w:r>
    </w:p>
    <w:p w14:paraId="55BB5A40">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12.2.2 预付款担保</w:t>
      </w:r>
    </w:p>
    <w:p w14:paraId="05170A6D">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承包人提交预付款担保的期限：</w:t>
      </w:r>
      <w:r>
        <w:rPr>
          <w:rFonts w:hint="eastAsia" w:ascii="宋体" w:hAnsi="宋体"/>
          <w:color w:val="auto"/>
          <w:szCs w:val="22"/>
          <w:highlight w:val="none"/>
          <w:u w:val="single"/>
        </w:rPr>
        <w:t>/</w:t>
      </w:r>
      <w:r>
        <w:rPr>
          <w:rFonts w:ascii="宋体" w:hAnsi="宋体"/>
          <w:color w:val="auto"/>
          <w:szCs w:val="21"/>
          <w:highlight w:val="none"/>
        </w:rPr>
        <w:t>。</w:t>
      </w:r>
    </w:p>
    <w:p w14:paraId="111E8750">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预付款担保的形式为：</w:t>
      </w:r>
      <w:r>
        <w:rPr>
          <w:rFonts w:hint="eastAsia" w:ascii="宋体" w:hAnsi="宋体"/>
          <w:color w:val="auto"/>
          <w:szCs w:val="22"/>
          <w:highlight w:val="none"/>
          <w:u w:val="single"/>
        </w:rPr>
        <w:t>/</w:t>
      </w:r>
      <w:r>
        <w:rPr>
          <w:rFonts w:ascii="宋体" w:hAnsi="宋体"/>
          <w:color w:val="auto"/>
          <w:szCs w:val="21"/>
          <w:highlight w:val="none"/>
        </w:rPr>
        <w:t>。</w:t>
      </w:r>
    </w:p>
    <w:p w14:paraId="60E9D5C2">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预付款担保格式见合同附件7。</w:t>
      </w:r>
    </w:p>
    <w:bookmarkEnd w:id="1240"/>
    <w:bookmarkEnd w:id="1241"/>
    <w:bookmarkEnd w:id="1242"/>
    <w:bookmarkEnd w:id="1243"/>
    <w:bookmarkEnd w:id="1244"/>
    <w:bookmarkEnd w:id="1245"/>
    <w:bookmarkEnd w:id="1246"/>
    <w:bookmarkEnd w:id="1247"/>
    <w:bookmarkEnd w:id="1248"/>
    <w:bookmarkEnd w:id="1249"/>
    <w:p w14:paraId="70E405D6">
      <w:pPr>
        <w:keepNext/>
        <w:keepLines/>
        <w:spacing w:before="260" w:after="260" w:line="416" w:lineRule="auto"/>
        <w:outlineLvl w:val="2"/>
        <w:rPr>
          <w:rFonts w:ascii="宋体" w:hAnsi="宋体"/>
          <w:b/>
          <w:bCs/>
          <w:color w:val="auto"/>
          <w:sz w:val="32"/>
          <w:szCs w:val="32"/>
          <w:highlight w:val="none"/>
        </w:rPr>
      </w:pPr>
      <w:bookmarkStart w:id="1260" w:name="_Toc432343942"/>
      <w:bookmarkStart w:id="1261" w:name="_Toc472931660"/>
      <w:bookmarkStart w:id="1262" w:name="_Toc389065316"/>
      <w:bookmarkStart w:id="1263" w:name="_Toc461179296"/>
      <w:bookmarkStart w:id="1264" w:name="_Toc373227751"/>
      <w:bookmarkStart w:id="1265" w:name="_Toc529547379"/>
      <w:bookmarkStart w:id="1266" w:name="_Toc530144521"/>
      <w:bookmarkStart w:id="1267" w:name="_Toc373478398"/>
      <w:bookmarkStart w:id="1268" w:name="_Toc454211166"/>
      <w:bookmarkStart w:id="1269" w:name="_Toc529527027"/>
      <w:bookmarkStart w:id="1270" w:name="_Toc531186656"/>
      <w:bookmarkStart w:id="1271" w:name="_Toc470247854"/>
      <w:bookmarkStart w:id="1272" w:name="_Toc411345235"/>
      <w:r>
        <w:rPr>
          <w:rFonts w:ascii="宋体" w:hAnsi="宋体"/>
          <w:b/>
          <w:bCs/>
          <w:color w:val="auto"/>
          <w:sz w:val="32"/>
          <w:szCs w:val="32"/>
          <w:highlight w:val="none"/>
        </w:rPr>
        <w:t>12.3 计量</w:t>
      </w:r>
      <w:bookmarkEnd w:id="1260"/>
      <w:bookmarkEnd w:id="1261"/>
      <w:bookmarkEnd w:id="1262"/>
      <w:bookmarkEnd w:id="1263"/>
      <w:bookmarkEnd w:id="1264"/>
      <w:bookmarkEnd w:id="1265"/>
      <w:bookmarkEnd w:id="1266"/>
      <w:bookmarkEnd w:id="1267"/>
      <w:bookmarkEnd w:id="1268"/>
      <w:bookmarkEnd w:id="1269"/>
      <w:bookmarkEnd w:id="1270"/>
      <w:bookmarkEnd w:id="1271"/>
      <w:bookmarkEnd w:id="1272"/>
    </w:p>
    <w:p w14:paraId="76EB8A78">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12.3.1 计量原则</w:t>
      </w:r>
    </w:p>
    <w:p w14:paraId="2F0398C1">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工程量计算规则：</w:t>
      </w:r>
      <w:r>
        <w:rPr>
          <w:rFonts w:ascii="宋体" w:hAnsi="宋体"/>
          <w:color w:val="auto"/>
          <w:szCs w:val="21"/>
          <w:highlight w:val="none"/>
          <w:u w:val="single"/>
        </w:rPr>
        <w:t>工程的计量均以</w:t>
      </w:r>
      <w:r>
        <w:rPr>
          <w:rFonts w:hint="eastAsia" w:ascii="宋体" w:hAnsi="宋体"/>
          <w:color w:val="auto"/>
          <w:szCs w:val="21"/>
          <w:highlight w:val="none"/>
          <w:u w:val="single"/>
        </w:rPr>
        <w:t>《建设工程工程量清单计价规范》（GB 50500-2013）、《市政工程工程量计算规范》（GB 50857-2013）、《通用安装工程工程量计算规范》(GB 50856-2013)、广西壮族自治区住房和城乡建设厅颁布的《&lt;建设工程工程量清单计价规范&gt;GB 50500-2013广西壮族自治区实施细则、《&lt;建设工程工程量清单计算规范&gt;GB 50854～50862-2013广西壮族自治区实施细则》修订本</w:t>
      </w:r>
      <w:r>
        <w:rPr>
          <w:rFonts w:ascii="宋体" w:hAnsi="宋体"/>
          <w:color w:val="auto"/>
          <w:szCs w:val="21"/>
          <w:highlight w:val="none"/>
          <w:u w:val="single"/>
        </w:rPr>
        <w:t>、本工程补充项目清单为准。</w:t>
      </w:r>
    </w:p>
    <w:p w14:paraId="6F256507">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12.3.2 计量周期</w:t>
      </w:r>
    </w:p>
    <w:p w14:paraId="615281D9">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关于计量周期的约定：</w:t>
      </w:r>
      <w:r>
        <w:rPr>
          <w:rFonts w:ascii="宋体" w:hAnsi="宋体"/>
          <w:color w:val="auto"/>
          <w:szCs w:val="21"/>
          <w:highlight w:val="none"/>
          <w:u w:val="single"/>
        </w:rPr>
        <w:t>每月25日前</w:t>
      </w:r>
      <w:r>
        <w:rPr>
          <w:rFonts w:ascii="宋体" w:hAnsi="宋体"/>
          <w:color w:val="auto"/>
          <w:szCs w:val="21"/>
          <w:highlight w:val="none"/>
        </w:rPr>
        <w:t>。</w:t>
      </w:r>
    </w:p>
    <w:p w14:paraId="0B65BEEC">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12.3.3 单价合同的计量</w:t>
      </w:r>
    </w:p>
    <w:p w14:paraId="3211E998">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关于单价合同计量的约定：</w:t>
      </w:r>
    </w:p>
    <w:p w14:paraId="121C4358">
      <w:pPr>
        <w:spacing w:line="360" w:lineRule="auto"/>
        <w:ind w:firstLine="441" w:firstLineChars="210"/>
        <w:rPr>
          <w:rFonts w:ascii="宋体" w:hAnsi="宋体"/>
          <w:color w:val="auto"/>
          <w:szCs w:val="21"/>
          <w:highlight w:val="none"/>
        </w:rPr>
      </w:pPr>
      <w:r>
        <w:rPr>
          <w:rFonts w:ascii="宋体" w:hAnsi="宋体"/>
          <w:color w:val="auto"/>
          <w:szCs w:val="21"/>
          <w:highlight w:val="none"/>
        </w:rPr>
        <w:t>(1) 工程量清单所列的工程量，不能作为承包人按合同履行其责任依据，实际施工中发生的工程量增加或减少并不影响承包人履行合同的责任，工程结算以完成的实际工程量为准。</w:t>
      </w:r>
    </w:p>
    <w:p w14:paraId="33A2CF12">
      <w:pPr>
        <w:spacing w:line="360" w:lineRule="auto"/>
        <w:ind w:firstLine="441" w:firstLineChars="210"/>
        <w:rPr>
          <w:rFonts w:ascii="宋体" w:hAnsi="宋体"/>
          <w:color w:val="auto"/>
          <w:szCs w:val="21"/>
          <w:highlight w:val="none"/>
        </w:rPr>
      </w:pPr>
      <w:r>
        <w:rPr>
          <w:rFonts w:ascii="宋体" w:hAnsi="宋体"/>
          <w:color w:val="auto"/>
          <w:szCs w:val="21"/>
          <w:highlight w:val="none"/>
        </w:rPr>
        <w:t>(2) 除另有规定外，工程师应按照合同通过计量来核实确定已完成的工程量和价款，承包人应得到该价款扣除保留金后的金额。</w:t>
      </w:r>
    </w:p>
    <w:p w14:paraId="45EB5924">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12.3.4 总价合同的计量</w:t>
      </w:r>
    </w:p>
    <w:p w14:paraId="23F29C2B">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关于总价合同计量的约定：</w:t>
      </w:r>
      <w:r>
        <w:rPr>
          <w:rFonts w:hint="eastAsia" w:ascii="宋体" w:hAnsi="宋体"/>
          <w:color w:val="auto"/>
          <w:szCs w:val="21"/>
          <w:highlight w:val="none"/>
        </w:rPr>
        <w:t>除工程变更外，原图纸范围内的工程量不得按实计量。进度款按支付分解表支付，按通用条款</w:t>
      </w:r>
      <w:r>
        <w:rPr>
          <w:rFonts w:ascii="宋体" w:hAnsi="宋体"/>
          <w:color w:val="auto"/>
          <w:szCs w:val="21"/>
          <w:highlight w:val="none"/>
        </w:rPr>
        <w:t>第</w:t>
      </w:r>
      <w:r>
        <w:rPr>
          <w:rFonts w:ascii="宋体" w:hAnsi="宋体"/>
          <w:color w:val="auto"/>
          <w:kern w:val="0"/>
          <w:szCs w:val="21"/>
          <w:highlight w:val="none"/>
        </w:rPr>
        <w:t>12.3.4</w:t>
      </w:r>
      <w:r>
        <w:rPr>
          <w:rFonts w:ascii="宋体" w:hAnsi="宋体"/>
          <w:color w:val="auto"/>
          <w:szCs w:val="21"/>
          <w:highlight w:val="none"/>
        </w:rPr>
        <w:t>项</w:t>
      </w:r>
      <w:r>
        <w:rPr>
          <w:rFonts w:ascii="宋体" w:hAnsi="宋体"/>
          <w:color w:val="auto"/>
          <w:kern w:val="0"/>
          <w:szCs w:val="21"/>
          <w:highlight w:val="none"/>
        </w:rPr>
        <w:t>〔总价合同的计量〕</w:t>
      </w:r>
      <w:r>
        <w:rPr>
          <w:rFonts w:ascii="宋体" w:hAnsi="宋体"/>
          <w:color w:val="auto"/>
          <w:szCs w:val="21"/>
          <w:highlight w:val="none"/>
        </w:rPr>
        <w:t>约定</w:t>
      </w:r>
      <w:r>
        <w:rPr>
          <w:rFonts w:hint="eastAsia" w:ascii="宋体" w:hAnsi="宋体"/>
          <w:color w:val="auto"/>
          <w:szCs w:val="21"/>
          <w:highlight w:val="none"/>
        </w:rPr>
        <w:t>进行计量，但</w:t>
      </w:r>
      <w:r>
        <w:rPr>
          <w:rFonts w:ascii="宋体" w:hAnsi="宋体"/>
          <w:color w:val="auto"/>
          <w:kern w:val="0"/>
          <w:szCs w:val="21"/>
          <w:highlight w:val="none"/>
        </w:rPr>
        <w:t>合同价款按照支付分解表进行支付。</w:t>
      </w:r>
    </w:p>
    <w:p w14:paraId="30A668FA">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12.3.6 其他价格形式合同的计量</w:t>
      </w:r>
    </w:p>
    <w:p w14:paraId="5A2D8C70">
      <w:pPr>
        <w:spacing w:line="360" w:lineRule="auto"/>
        <w:ind w:firstLine="420" w:firstLineChars="200"/>
        <w:jc w:val="left"/>
        <w:rPr>
          <w:rFonts w:ascii="宋体" w:hAnsi="宋体"/>
          <w:color w:val="auto"/>
          <w:szCs w:val="21"/>
          <w:highlight w:val="none"/>
          <w:u w:val="single"/>
        </w:rPr>
      </w:pPr>
      <w:r>
        <w:rPr>
          <w:rFonts w:ascii="宋体" w:hAnsi="宋体"/>
          <w:color w:val="auto"/>
          <w:szCs w:val="21"/>
          <w:highlight w:val="none"/>
        </w:rPr>
        <w:t>其他价格形式的计量方式和程序：</w:t>
      </w:r>
      <w:r>
        <w:rPr>
          <w:rFonts w:hint="eastAsia" w:ascii="宋体" w:hAnsi="宋体"/>
          <w:color w:val="auto"/>
          <w:szCs w:val="21"/>
          <w:highlight w:val="none"/>
          <w:u w:val="single"/>
        </w:rPr>
        <w:t>无</w:t>
      </w:r>
      <w:r>
        <w:rPr>
          <w:rFonts w:ascii="宋体" w:hAnsi="宋体"/>
          <w:color w:val="auto"/>
          <w:szCs w:val="21"/>
          <w:highlight w:val="none"/>
        </w:rPr>
        <w:t>。</w:t>
      </w:r>
    </w:p>
    <w:p w14:paraId="3C4DF220">
      <w:pPr>
        <w:keepNext/>
        <w:keepLines/>
        <w:spacing w:before="260" w:after="260" w:line="416" w:lineRule="auto"/>
        <w:outlineLvl w:val="2"/>
        <w:rPr>
          <w:rFonts w:ascii="宋体" w:hAnsi="宋体"/>
          <w:b/>
          <w:bCs/>
          <w:color w:val="auto"/>
          <w:sz w:val="32"/>
          <w:szCs w:val="32"/>
          <w:highlight w:val="none"/>
        </w:rPr>
      </w:pPr>
      <w:bookmarkStart w:id="1273" w:name="_Toc529527028"/>
      <w:bookmarkStart w:id="1274" w:name="_Toc373478399"/>
      <w:bookmarkStart w:id="1275" w:name="_Toc461179297"/>
      <w:bookmarkStart w:id="1276" w:name="_Toc411345236"/>
      <w:bookmarkStart w:id="1277" w:name="_Toc529547380"/>
      <w:bookmarkStart w:id="1278" w:name="_Toc472931661"/>
      <w:bookmarkStart w:id="1279" w:name="_Toc531186657"/>
      <w:bookmarkStart w:id="1280" w:name="_Toc454211167"/>
      <w:bookmarkStart w:id="1281" w:name="_Toc530144522"/>
      <w:bookmarkStart w:id="1282" w:name="_Toc389065317"/>
      <w:bookmarkStart w:id="1283" w:name="_Toc432343943"/>
      <w:bookmarkStart w:id="1284" w:name="_Toc373227752"/>
      <w:bookmarkStart w:id="1285" w:name="_Toc470247855"/>
      <w:r>
        <w:rPr>
          <w:rFonts w:ascii="宋体" w:hAnsi="宋体"/>
          <w:b/>
          <w:bCs/>
          <w:color w:val="auto"/>
          <w:sz w:val="32"/>
          <w:szCs w:val="32"/>
          <w:highlight w:val="none"/>
        </w:rPr>
        <w:t>12.4 工程进度款支付</w:t>
      </w:r>
      <w:bookmarkEnd w:id="1273"/>
      <w:bookmarkEnd w:id="1274"/>
      <w:bookmarkEnd w:id="1275"/>
      <w:bookmarkEnd w:id="1276"/>
      <w:bookmarkEnd w:id="1277"/>
      <w:bookmarkEnd w:id="1278"/>
      <w:bookmarkEnd w:id="1279"/>
      <w:bookmarkEnd w:id="1280"/>
      <w:bookmarkEnd w:id="1281"/>
      <w:bookmarkEnd w:id="1282"/>
      <w:bookmarkEnd w:id="1283"/>
      <w:bookmarkEnd w:id="1284"/>
      <w:bookmarkEnd w:id="1285"/>
    </w:p>
    <w:p w14:paraId="70A22962">
      <w:pPr>
        <w:spacing w:line="360" w:lineRule="auto"/>
        <w:ind w:firstLine="420" w:firstLineChars="200"/>
        <w:jc w:val="left"/>
        <w:rPr>
          <w:rFonts w:ascii="宋体" w:hAnsi="宋体"/>
          <w:color w:val="auto"/>
          <w:szCs w:val="21"/>
          <w:highlight w:val="none"/>
        </w:rPr>
      </w:pPr>
      <w:bookmarkStart w:id="1286" w:name="_Toc297120511"/>
      <w:bookmarkStart w:id="1287" w:name="_Toc296503211"/>
      <w:bookmarkStart w:id="1288" w:name="_Toc296944550"/>
      <w:bookmarkStart w:id="1289" w:name="_Toc297048397"/>
      <w:bookmarkStart w:id="1290" w:name="_Toc296891039"/>
      <w:bookmarkStart w:id="1291" w:name="_Toc297123556"/>
      <w:bookmarkStart w:id="1292" w:name="_Toc292559416"/>
      <w:bookmarkStart w:id="1293" w:name="_Toc297216215"/>
      <w:bookmarkStart w:id="1294" w:name="_Toc303539163"/>
      <w:bookmarkStart w:id="1295" w:name="_Toc296347210"/>
      <w:bookmarkStart w:id="1296" w:name="_Toc300935006"/>
      <w:bookmarkStart w:id="1297" w:name="_Toc292559921"/>
      <w:bookmarkStart w:id="1298" w:name="_Toc296346712"/>
      <w:bookmarkStart w:id="1299" w:name="_Toc296891251"/>
      <w:r>
        <w:rPr>
          <w:rFonts w:ascii="宋体" w:hAnsi="宋体"/>
          <w:color w:val="auto"/>
          <w:szCs w:val="21"/>
          <w:highlight w:val="none"/>
        </w:rPr>
        <w:t>12.4.1 付款周期</w:t>
      </w:r>
    </w:p>
    <w:p w14:paraId="427E745B">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关于付款周期的约定：</w:t>
      </w:r>
    </w:p>
    <w:p w14:paraId="0BE1AF8F">
      <w:pPr>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（1）本工程预付款比列</w:t>
      </w:r>
    </w:p>
    <w:p w14:paraId="494CBA39">
      <w:pPr>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预付款支付比例：</w:t>
      </w:r>
      <w:r>
        <w:rPr>
          <w:rFonts w:hint="eastAsia" w:ascii="宋体" w:hAnsi="宋体"/>
          <w:color w:val="auto"/>
          <w:szCs w:val="21"/>
          <w:highlight w:val="none"/>
          <w:u w:val="single"/>
          <w:lang w:val="en-US" w:eastAsia="zh-CN"/>
        </w:rPr>
        <w:t>3</w:t>
      </w:r>
      <w:r>
        <w:rPr>
          <w:rFonts w:hint="eastAsia" w:ascii="宋体" w:hAnsi="宋体"/>
          <w:color w:val="auto"/>
          <w:szCs w:val="21"/>
          <w:highlight w:val="none"/>
          <w:u w:val="single"/>
        </w:rPr>
        <w:t>0%</w:t>
      </w:r>
      <w:r>
        <w:rPr>
          <w:rFonts w:hint="eastAsia" w:ascii="宋体" w:hAnsi="宋体"/>
          <w:color w:val="auto"/>
          <w:szCs w:val="21"/>
          <w:highlight w:val="none"/>
          <w:u w:val="single"/>
          <w:lang w:val="en-US" w:eastAsia="zh-CN"/>
        </w:rPr>
        <w:t>的</w:t>
      </w:r>
      <w:r>
        <w:rPr>
          <w:rFonts w:hint="eastAsia" w:ascii="宋体" w:hAnsi="宋体"/>
          <w:color w:val="auto"/>
          <w:szCs w:val="21"/>
          <w:highlight w:val="none"/>
          <w:u w:val="single"/>
        </w:rPr>
        <w:t>合同价款</w:t>
      </w:r>
      <w:r>
        <w:rPr>
          <w:rFonts w:hint="eastAsia" w:ascii="宋体" w:hAnsi="宋体"/>
          <w:color w:val="auto"/>
          <w:szCs w:val="21"/>
          <w:highlight w:val="none"/>
        </w:rPr>
        <w:t>。</w:t>
      </w:r>
    </w:p>
    <w:p w14:paraId="1D75084E">
      <w:pPr>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（2）工程进度付款的支付比例</w:t>
      </w:r>
    </w:p>
    <w:p w14:paraId="02B648C0">
      <w:pPr>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合同签订后10个工作日内，发包人向承包人支付合同总价的30%作为工程预付款；工程完工并通过竣工验收、质量达标合格后，付款累计付至合同总价的80%（含前期已支付款项）；竣工结算资料报送财政部门审定完成后，付款累计付至财政审定结算价款的97%（含前期已支付全部款项）。发包人留存审定结算总价款3%作为工程质量保修金，待约定的工程质量保修期(承包人按要求完成保修责任，并经发包人验收合格)满后无息一次性付清剩余全部款项。</w:t>
      </w:r>
    </w:p>
    <w:p w14:paraId="0AC923E3">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12.4.2 进度付款申请单的编制</w:t>
      </w:r>
    </w:p>
    <w:p w14:paraId="0F9F524B">
      <w:pPr>
        <w:spacing w:line="360" w:lineRule="auto"/>
        <w:ind w:firstLine="420" w:firstLineChars="200"/>
        <w:jc w:val="left"/>
        <w:rPr>
          <w:rFonts w:ascii="宋体" w:hAnsi="宋体"/>
          <w:color w:val="auto"/>
          <w:szCs w:val="21"/>
          <w:highlight w:val="none"/>
          <w:u w:val="single"/>
        </w:rPr>
      </w:pPr>
      <w:r>
        <w:rPr>
          <w:rFonts w:ascii="宋体" w:hAnsi="宋体"/>
          <w:color w:val="auto"/>
          <w:szCs w:val="21"/>
          <w:highlight w:val="none"/>
        </w:rPr>
        <w:t>关于进度付款申请单编制的约定：</w:t>
      </w:r>
      <w:r>
        <w:rPr>
          <w:rFonts w:hint="eastAsia" w:ascii="宋体" w:hAnsi="宋体"/>
          <w:bCs/>
          <w:color w:val="auto"/>
          <w:szCs w:val="28"/>
          <w:highlight w:val="none"/>
          <w:u w:val="single"/>
        </w:rPr>
        <w:t>按通用条款执行</w:t>
      </w:r>
      <w:r>
        <w:rPr>
          <w:rFonts w:ascii="宋体" w:hAnsi="宋体"/>
          <w:color w:val="auto"/>
          <w:szCs w:val="21"/>
          <w:highlight w:val="none"/>
        </w:rPr>
        <w:t>。</w:t>
      </w:r>
    </w:p>
    <w:p w14:paraId="3780F09D">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1</w:t>
      </w:r>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r>
        <w:rPr>
          <w:rFonts w:ascii="宋体" w:hAnsi="宋体"/>
          <w:color w:val="auto"/>
          <w:szCs w:val="21"/>
          <w:highlight w:val="none"/>
        </w:rPr>
        <w:t>2.4.3 进度付款申请单的提交</w:t>
      </w:r>
    </w:p>
    <w:p w14:paraId="0AA53BA6">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（1）单价合同进度付款申请单提交的约定：</w:t>
      </w:r>
      <w:r>
        <w:rPr>
          <w:rFonts w:hint="eastAsia" w:ascii="宋体" w:hAnsi="宋体"/>
          <w:bCs/>
          <w:color w:val="auto"/>
          <w:szCs w:val="28"/>
          <w:highlight w:val="none"/>
          <w:u w:val="single"/>
        </w:rPr>
        <w:t>按通用条款执行</w:t>
      </w:r>
      <w:r>
        <w:rPr>
          <w:rFonts w:hint="eastAsia" w:ascii="宋体" w:hAnsi="宋体"/>
          <w:bCs/>
          <w:color w:val="auto"/>
          <w:szCs w:val="21"/>
          <w:highlight w:val="none"/>
          <w:u w:val="single"/>
        </w:rPr>
        <w:t>。</w:t>
      </w:r>
    </w:p>
    <w:p w14:paraId="568434FC">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（2）总价合同进度付款申请单提交的约定：</w:t>
      </w:r>
      <w:r>
        <w:rPr>
          <w:rFonts w:hint="eastAsia" w:ascii="宋体" w:hAnsi="宋体"/>
          <w:color w:val="auto"/>
          <w:szCs w:val="21"/>
          <w:highlight w:val="none"/>
          <w:u w:val="single"/>
        </w:rPr>
        <w:t>无</w:t>
      </w:r>
      <w:r>
        <w:rPr>
          <w:rFonts w:ascii="宋体" w:hAnsi="宋体"/>
          <w:color w:val="auto"/>
          <w:szCs w:val="21"/>
          <w:highlight w:val="none"/>
        </w:rPr>
        <w:t>。</w:t>
      </w:r>
    </w:p>
    <w:p w14:paraId="456CF8FE">
      <w:pPr>
        <w:spacing w:line="360" w:lineRule="auto"/>
        <w:ind w:firstLine="420" w:firstLineChars="200"/>
        <w:jc w:val="left"/>
        <w:rPr>
          <w:rFonts w:ascii="宋体" w:hAnsi="宋体"/>
          <w:color w:val="auto"/>
          <w:szCs w:val="21"/>
          <w:highlight w:val="none"/>
          <w:u w:val="single"/>
        </w:rPr>
      </w:pPr>
      <w:r>
        <w:rPr>
          <w:rFonts w:ascii="宋体" w:hAnsi="宋体"/>
          <w:color w:val="auto"/>
          <w:szCs w:val="21"/>
          <w:highlight w:val="none"/>
        </w:rPr>
        <w:t>（3）其他价格形式合同进度付款申请单提交的约定：</w:t>
      </w:r>
      <w:r>
        <w:rPr>
          <w:rFonts w:hint="eastAsia" w:ascii="宋体" w:hAnsi="宋体"/>
          <w:color w:val="auto"/>
          <w:szCs w:val="21"/>
          <w:highlight w:val="none"/>
          <w:u w:val="single"/>
        </w:rPr>
        <w:t xml:space="preserve">无 </w:t>
      </w:r>
      <w:r>
        <w:rPr>
          <w:rFonts w:ascii="宋体" w:hAnsi="宋体"/>
          <w:color w:val="auto"/>
          <w:szCs w:val="21"/>
          <w:highlight w:val="none"/>
        </w:rPr>
        <w:t>。</w:t>
      </w:r>
    </w:p>
    <w:p w14:paraId="7B6FE39B">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12.4.4 进度款审核和支付</w:t>
      </w:r>
    </w:p>
    <w:p w14:paraId="55DF847A">
      <w:pPr>
        <w:spacing w:line="360" w:lineRule="auto"/>
        <w:ind w:firstLine="420" w:firstLineChars="200"/>
        <w:jc w:val="left"/>
        <w:rPr>
          <w:rFonts w:ascii="宋体" w:hAnsi="宋体"/>
          <w:color w:val="auto"/>
          <w:szCs w:val="21"/>
          <w:highlight w:val="none"/>
          <w:u w:val="single"/>
        </w:rPr>
      </w:pPr>
      <w:r>
        <w:rPr>
          <w:rFonts w:ascii="宋体" w:hAnsi="宋体"/>
          <w:color w:val="auto"/>
          <w:szCs w:val="21"/>
          <w:highlight w:val="none"/>
        </w:rPr>
        <w:t>（1）监理人审查并报送发包人的期限：</w:t>
      </w:r>
      <w:r>
        <w:rPr>
          <w:rFonts w:hint="eastAsia" w:ascii="宋体" w:hAnsi="宋体"/>
          <w:bCs/>
          <w:color w:val="auto"/>
          <w:szCs w:val="28"/>
          <w:highlight w:val="none"/>
          <w:u w:val="single"/>
        </w:rPr>
        <w:t>按通用条款执行</w:t>
      </w:r>
      <w:r>
        <w:rPr>
          <w:rFonts w:ascii="宋体" w:hAnsi="宋体"/>
          <w:color w:val="auto"/>
          <w:szCs w:val="21"/>
          <w:highlight w:val="none"/>
        </w:rPr>
        <w:t>。</w:t>
      </w:r>
    </w:p>
    <w:p w14:paraId="08993B4E">
      <w:pPr>
        <w:spacing w:line="360" w:lineRule="auto"/>
        <w:ind w:firstLine="420" w:firstLineChars="200"/>
        <w:jc w:val="left"/>
        <w:rPr>
          <w:rFonts w:ascii="宋体" w:hAnsi="宋体"/>
          <w:color w:val="auto"/>
          <w:szCs w:val="21"/>
          <w:highlight w:val="none"/>
          <w:u w:val="single"/>
        </w:rPr>
      </w:pPr>
      <w:r>
        <w:rPr>
          <w:rFonts w:ascii="宋体" w:hAnsi="宋体"/>
          <w:color w:val="auto"/>
          <w:szCs w:val="21"/>
          <w:highlight w:val="none"/>
        </w:rPr>
        <w:t>发包人完成审批并签发进度款支付证书的期限：</w:t>
      </w:r>
      <w:r>
        <w:rPr>
          <w:rFonts w:hint="eastAsia" w:ascii="宋体" w:hAnsi="宋体"/>
          <w:bCs/>
          <w:color w:val="auto"/>
          <w:szCs w:val="28"/>
          <w:highlight w:val="none"/>
          <w:u w:val="single"/>
        </w:rPr>
        <w:t>按通用条款执行</w:t>
      </w:r>
      <w:r>
        <w:rPr>
          <w:rFonts w:ascii="宋体" w:hAnsi="宋体"/>
          <w:color w:val="auto"/>
          <w:szCs w:val="21"/>
          <w:highlight w:val="none"/>
        </w:rPr>
        <w:t>。</w:t>
      </w:r>
    </w:p>
    <w:p w14:paraId="6D50BBC6">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（2）发包人支付进度款的期限：</w:t>
      </w:r>
      <w:r>
        <w:rPr>
          <w:rFonts w:hint="eastAsia" w:ascii="宋体" w:hAnsi="宋体"/>
          <w:bCs/>
          <w:color w:val="auto"/>
          <w:szCs w:val="28"/>
          <w:highlight w:val="none"/>
          <w:u w:val="single"/>
        </w:rPr>
        <w:t>按通用条款执行</w:t>
      </w:r>
      <w:r>
        <w:rPr>
          <w:rFonts w:ascii="宋体" w:hAnsi="宋体"/>
          <w:color w:val="auto"/>
          <w:szCs w:val="21"/>
          <w:highlight w:val="none"/>
        </w:rPr>
        <w:t>。</w:t>
      </w:r>
    </w:p>
    <w:p w14:paraId="7C1C7C70">
      <w:pPr>
        <w:spacing w:line="360" w:lineRule="auto"/>
        <w:ind w:firstLine="525" w:firstLineChars="250"/>
        <w:jc w:val="left"/>
        <w:rPr>
          <w:rFonts w:ascii="宋体" w:hAnsi="宋体"/>
          <w:color w:val="auto"/>
          <w:szCs w:val="21"/>
          <w:highlight w:val="none"/>
        </w:rPr>
      </w:pPr>
      <w:r>
        <w:rPr>
          <w:rFonts w:ascii="宋体" w:hAnsi="宋体"/>
          <w:color w:val="auto"/>
          <w:szCs w:val="21"/>
          <w:highlight w:val="none"/>
        </w:rPr>
        <w:t>发包人逾期支付进度款的违约金的计算方式：</w:t>
      </w:r>
      <w:r>
        <w:rPr>
          <w:rFonts w:hint="eastAsia" w:ascii="宋体" w:hAnsi="宋体"/>
          <w:bCs/>
          <w:color w:val="auto"/>
          <w:szCs w:val="28"/>
          <w:highlight w:val="none"/>
          <w:u w:val="single"/>
        </w:rPr>
        <w:t>无</w:t>
      </w:r>
      <w:r>
        <w:rPr>
          <w:rFonts w:ascii="宋体" w:hAnsi="宋体"/>
          <w:color w:val="auto"/>
          <w:szCs w:val="21"/>
          <w:highlight w:val="none"/>
        </w:rPr>
        <w:t>。</w:t>
      </w:r>
    </w:p>
    <w:p w14:paraId="27E4BC02">
      <w:pPr>
        <w:spacing w:line="360" w:lineRule="auto"/>
        <w:ind w:firstLine="525" w:firstLineChars="250"/>
        <w:jc w:val="left"/>
        <w:rPr>
          <w:rFonts w:ascii="宋体" w:hAnsi="宋体"/>
          <w:color w:val="auto"/>
          <w:szCs w:val="21"/>
          <w:highlight w:val="none"/>
        </w:rPr>
      </w:pPr>
      <w:r>
        <w:rPr>
          <w:rFonts w:ascii="宋体" w:hAnsi="宋体"/>
          <w:color w:val="auto"/>
          <w:szCs w:val="21"/>
          <w:highlight w:val="none"/>
        </w:rPr>
        <w:t>进度款支付方式：</w:t>
      </w:r>
      <w:r>
        <w:rPr>
          <w:rFonts w:ascii="宋体" w:hAnsi="宋体"/>
          <w:color w:val="auto"/>
          <w:szCs w:val="21"/>
          <w:highlight w:val="none"/>
          <w:u w:val="single"/>
        </w:rPr>
        <w:t>银行转账</w:t>
      </w:r>
      <w:r>
        <w:rPr>
          <w:rFonts w:ascii="宋体" w:hAnsi="宋体"/>
          <w:color w:val="auto"/>
          <w:szCs w:val="21"/>
          <w:highlight w:val="none"/>
        </w:rPr>
        <w:t>。</w:t>
      </w:r>
    </w:p>
    <w:p w14:paraId="76D257EC">
      <w:pPr>
        <w:spacing w:line="360" w:lineRule="auto"/>
        <w:ind w:firstLine="525" w:firstLineChars="250"/>
        <w:jc w:val="left"/>
        <w:rPr>
          <w:rFonts w:ascii="宋体" w:hAnsi="宋体"/>
          <w:color w:val="auto"/>
          <w:szCs w:val="21"/>
          <w:highlight w:val="none"/>
        </w:rPr>
      </w:pPr>
      <w:r>
        <w:rPr>
          <w:rFonts w:ascii="宋体" w:hAnsi="宋体"/>
          <w:color w:val="auto"/>
          <w:szCs w:val="21"/>
          <w:highlight w:val="none"/>
        </w:rPr>
        <w:t>12.4.6 支付分解表的编制</w:t>
      </w:r>
    </w:p>
    <w:p w14:paraId="58E7C808">
      <w:pPr>
        <w:spacing w:line="360" w:lineRule="auto"/>
        <w:ind w:firstLine="525" w:firstLineChars="250"/>
        <w:jc w:val="left"/>
        <w:rPr>
          <w:rFonts w:ascii="宋体" w:hAnsi="宋体"/>
          <w:color w:val="auto"/>
          <w:szCs w:val="21"/>
          <w:highlight w:val="none"/>
          <w:u w:val="single"/>
        </w:rPr>
      </w:pPr>
      <w:r>
        <w:rPr>
          <w:rFonts w:ascii="宋体" w:hAnsi="宋体"/>
          <w:color w:val="auto"/>
          <w:szCs w:val="21"/>
          <w:highlight w:val="none"/>
        </w:rPr>
        <w:t>2</w:t>
      </w:r>
      <w:r>
        <w:rPr>
          <w:rFonts w:hint="eastAsia" w:ascii="宋体" w:hAnsi="宋体"/>
          <w:color w:val="auto"/>
          <w:szCs w:val="21"/>
          <w:highlight w:val="none"/>
        </w:rPr>
        <w:t xml:space="preserve">. </w:t>
      </w:r>
      <w:r>
        <w:rPr>
          <w:rFonts w:ascii="宋体" w:hAnsi="宋体"/>
          <w:color w:val="auto"/>
          <w:szCs w:val="21"/>
          <w:highlight w:val="none"/>
        </w:rPr>
        <w:t>总价合同支付分解表的编制与审批：</w:t>
      </w:r>
      <w:r>
        <w:rPr>
          <w:rFonts w:hint="eastAsia" w:ascii="宋体" w:hAnsi="宋体"/>
          <w:color w:val="auto"/>
          <w:szCs w:val="21"/>
          <w:highlight w:val="none"/>
          <w:u w:val="single"/>
        </w:rPr>
        <w:t>无</w:t>
      </w:r>
      <w:r>
        <w:rPr>
          <w:rFonts w:ascii="宋体" w:hAnsi="宋体"/>
          <w:color w:val="auto"/>
          <w:szCs w:val="21"/>
          <w:highlight w:val="none"/>
        </w:rPr>
        <w:t>。</w:t>
      </w:r>
    </w:p>
    <w:p w14:paraId="348B9A5F">
      <w:pPr>
        <w:spacing w:line="360" w:lineRule="auto"/>
        <w:ind w:firstLine="525" w:firstLineChars="250"/>
        <w:jc w:val="left"/>
        <w:rPr>
          <w:rFonts w:ascii="宋体" w:hAnsi="宋体"/>
          <w:color w:val="auto"/>
          <w:szCs w:val="21"/>
          <w:highlight w:val="none"/>
        </w:rPr>
      </w:pPr>
      <w:r>
        <w:rPr>
          <w:rFonts w:ascii="宋体" w:hAnsi="宋体"/>
          <w:color w:val="auto"/>
          <w:szCs w:val="21"/>
          <w:highlight w:val="none"/>
        </w:rPr>
        <w:t>3</w:t>
      </w:r>
      <w:r>
        <w:rPr>
          <w:rFonts w:hint="eastAsia" w:ascii="宋体" w:hAnsi="宋体"/>
          <w:color w:val="auto"/>
          <w:szCs w:val="21"/>
          <w:highlight w:val="none"/>
        </w:rPr>
        <w:t xml:space="preserve">. </w:t>
      </w:r>
      <w:r>
        <w:rPr>
          <w:rFonts w:ascii="宋体" w:hAnsi="宋体"/>
          <w:color w:val="auto"/>
          <w:szCs w:val="21"/>
          <w:highlight w:val="none"/>
        </w:rPr>
        <w:t>单价合同的总价项目支付分解表的编制与审批：</w:t>
      </w:r>
      <w:r>
        <w:rPr>
          <w:rFonts w:hint="eastAsia" w:ascii="宋体" w:hAnsi="宋体"/>
          <w:color w:val="auto"/>
          <w:szCs w:val="21"/>
          <w:highlight w:val="none"/>
        </w:rPr>
        <w:t>总价项目不采用支付分解表的方式计算，而按《建设工程工程量清单计价规范（GB50500-2013）广西壮族自治区实施细则》的规定执行</w:t>
      </w:r>
      <w:r>
        <w:rPr>
          <w:rFonts w:ascii="宋体" w:hAnsi="宋体"/>
          <w:color w:val="auto"/>
          <w:szCs w:val="21"/>
          <w:highlight w:val="none"/>
        </w:rPr>
        <w:t>。</w:t>
      </w:r>
    </w:p>
    <w:bookmarkEnd w:id="963"/>
    <w:p w14:paraId="614F63D5">
      <w:pPr>
        <w:keepNext/>
        <w:keepLines/>
        <w:spacing w:before="260" w:after="260" w:line="416" w:lineRule="auto"/>
        <w:outlineLvl w:val="2"/>
        <w:rPr>
          <w:rFonts w:ascii="宋体" w:hAnsi="宋体"/>
          <w:b/>
          <w:bCs/>
          <w:color w:val="auto"/>
          <w:sz w:val="32"/>
          <w:szCs w:val="32"/>
          <w:highlight w:val="none"/>
        </w:rPr>
      </w:pPr>
      <w:bookmarkStart w:id="1300" w:name="_Toc529527029"/>
      <w:bookmarkStart w:id="1301" w:name="_Toc470247856"/>
      <w:bookmarkStart w:id="1302" w:name="_Toc389065318"/>
      <w:bookmarkStart w:id="1303" w:name="_Toc432343945"/>
      <w:bookmarkStart w:id="1304" w:name="_Toc531186658"/>
      <w:bookmarkStart w:id="1305" w:name="_Toc530144523"/>
      <w:bookmarkStart w:id="1306" w:name="_Toc351203645"/>
      <w:bookmarkStart w:id="1307" w:name="_Toc529547381"/>
      <w:bookmarkStart w:id="1308" w:name="_Toc454211169"/>
      <w:bookmarkStart w:id="1309" w:name="_Toc373227753"/>
      <w:bookmarkStart w:id="1310" w:name="_Toc373478400"/>
      <w:bookmarkStart w:id="1311" w:name="_Toc411345237"/>
      <w:bookmarkStart w:id="1312" w:name="_Toc461179299"/>
      <w:bookmarkStart w:id="1313" w:name="_Toc472931662"/>
      <w:bookmarkStart w:id="1314" w:name="_Toc296346720"/>
      <w:bookmarkStart w:id="1315" w:name="_Toc297216223"/>
      <w:bookmarkStart w:id="1316" w:name="_Toc312678053"/>
      <w:bookmarkStart w:id="1317" w:name="_Toc296891047"/>
      <w:bookmarkStart w:id="1318" w:name="_Toc300935015"/>
      <w:bookmarkStart w:id="1319" w:name="_Toc292559929"/>
      <w:bookmarkStart w:id="1320" w:name="_Toc296944558"/>
      <w:bookmarkStart w:id="1321" w:name="_Toc304295593"/>
      <w:bookmarkStart w:id="1322" w:name="_Toc303539172"/>
      <w:bookmarkStart w:id="1323" w:name="_Toc297120519"/>
      <w:bookmarkStart w:id="1324" w:name="_Toc297048405"/>
      <w:bookmarkStart w:id="1325" w:name="_Toc296503219"/>
      <w:bookmarkStart w:id="1326" w:name="_Toc296347218"/>
      <w:bookmarkStart w:id="1327" w:name="_Toc296891259"/>
      <w:bookmarkStart w:id="1328" w:name="_Toc292559424"/>
      <w:bookmarkStart w:id="1329" w:name="_Toc297123564"/>
      <w:r>
        <w:rPr>
          <w:rFonts w:ascii="宋体" w:hAnsi="宋体"/>
          <w:b/>
          <w:bCs/>
          <w:color w:val="auto"/>
          <w:sz w:val="32"/>
          <w:szCs w:val="32"/>
          <w:highlight w:val="none"/>
        </w:rPr>
        <w:t>13. 验收和工程试车</w:t>
      </w:r>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p>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p w14:paraId="3341D859">
      <w:pPr>
        <w:keepNext/>
        <w:keepLines/>
        <w:spacing w:before="260" w:after="260" w:line="416" w:lineRule="auto"/>
        <w:outlineLvl w:val="2"/>
        <w:rPr>
          <w:rFonts w:ascii="宋体" w:hAnsi="宋体"/>
          <w:b/>
          <w:bCs/>
          <w:color w:val="auto"/>
          <w:sz w:val="32"/>
          <w:szCs w:val="32"/>
          <w:highlight w:val="none"/>
        </w:rPr>
      </w:pPr>
      <w:bookmarkStart w:id="1330" w:name="_Toc461179300"/>
      <w:bookmarkStart w:id="1331" w:name="_Toc529547382"/>
      <w:bookmarkStart w:id="1332" w:name="_Toc432343946"/>
      <w:bookmarkStart w:id="1333" w:name="_Toc530144524"/>
      <w:bookmarkStart w:id="1334" w:name="_Toc472931663"/>
      <w:bookmarkStart w:id="1335" w:name="_Toc373478401"/>
      <w:bookmarkStart w:id="1336" w:name="_Toc470247857"/>
      <w:bookmarkStart w:id="1337" w:name="_Toc373227754"/>
      <w:bookmarkStart w:id="1338" w:name="_Toc454211170"/>
      <w:bookmarkStart w:id="1339" w:name="_Toc529527030"/>
      <w:bookmarkStart w:id="1340" w:name="_Toc389065319"/>
      <w:bookmarkStart w:id="1341" w:name="_Toc531186659"/>
      <w:bookmarkStart w:id="1342" w:name="_Toc411345238"/>
      <w:r>
        <w:rPr>
          <w:rFonts w:ascii="宋体" w:hAnsi="宋体"/>
          <w:b/>
          <w:bCs/>
          <w:color w:val="auto"/>
          <w:sz w:val="32"/>
          <w:szCs w:val="32"/>
          <w:highlight w:val="none"/>
        </w:rPr>
        <w:t>13.1 分部分项工程验收</w:t>
      </w:r>
      <w:bookmarkEnd w:id="1330"/>
      <w:bookmarkEnd w:id="1331"/>
      <w:bookmarkEnd w:id="1332"/>
      <w:bookmarkEnd w:id="1333"/>
      <w:bookmarkEnd w:id="1334"/>
      <w:bookmarkEnd w:id="1335"/>
      <w:bookmarkEnd w:id="1336"/>
      <w:bookmarkEnd w:id="1337"/>
      <w:bookmarkEnd w:id="1338"/>
      <w:bookmarkEnd w:id="1339"/>
      <w:bookmarkEnd w:id="1340"/>
      <w:bookmarkEnd w:id="1341"/>
      <w:bookmarkEnd w:id="1342"/>
    </w:p>
    <w:p w14:paraId="7A1A6C92">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13.1.2监理人不能按时进行验收时，应提前</w:t>
      </w:r>
      <w:r>
        <w:rPr>
          <w:rFonts w:hint="eastAsia" w:ascii="宋体" w:hAnsi="宋体"/>
          <w:b/>
          <w:bCs/>
          <w:color w:val="auto"/>
          <w:szCs w:val="21"/>
          <w:highlight w:val="none"/>
          <w:u w:val="single"/>
        </w:rPr>
        <w:t>24</w:t>
      </w:r>
      <w:r>
        <w:rPr>
          <w:rFonts w:ascii="宋体" w:hAnsi="宋体"/>
          <w:color w:val="auto"/>
          <w:szCs w:val="21"/>
          <w:highlight w:val="none"/>
        </w:rPr>
        <w:t>小时提交书面延期要求。</w:t>
      </w:r>
    </w:p>
    <w:p w14:paraId="029E6636">
      <w:pPr>
        <w:spacing w:line="360" w:lineRule="auto"/>
        <w:ind w:firstLine="420" w:firstLineChars="200"/>
        <w:jc w:val="left"/>
        <w:rPr>
          <w:rFonts w:ascii="宋体" w:hAnsi="宋体"/>
          <w:b/>
          <w:color w:val="auto"/>
          <w:szCs w:val="21"/>
          <w:highlight w:val="none"/>
        </w:rPr>
      </w:pPr>
      <w:r>
        <w:rPr>
          <w:rFonts w:ascii="宋体" w:hAnsi="宋体"/>
          <w:color w:val="auto"/>
          <w:szCs w:val="21"/>
          <w:highlight w:val="none"/>
        </w:rPr>
        <w:t>关于延期最长不得超过：</w:t>
      </w:r>
      <w:r>
        <w:rPr>
          <w:rFonts w:hint="eastAsia" w:ascii="宋体" w:hAnsi="宋体"/>
          <w:b/>
          <w:bCs/>
          <w:color w:val="auto"/>
          <w:szCs w:val="21"/>
          <w:highlight w:val="none"/>
          <w:u w:val="single"/>
        </w:rPr>
        <w:t>48</w:t>
      </w:r>
      <w:r>
        <w:rPr>
          <w:rFonts w:ascii="宋体" w:hAnsi="宋体"/>
          <w:color w:val="auto"/>
          <w:szCs w:val="21"/>
          <w:highlight w:val="none"/>
        </w:rPr>
        <w:t>小时。</w:t>
      </w:r>
    </w:p>
    <w:p w14:paraId="6EC4FBDB">
      <w:pPr>
        <w:keepNext/>
        <w:keepLines/>
        <w:spacing w:before="260" w:after="260" w:line="416" w:lineRule="auto"/>
        <w:outlineLvl w:val="2"/>
        <w:rPr>
          <w:rFonts w:ascii="宋体" w:hAnsi="宋体"/>
          <w:b/>
          <w:bCs/>
          <w:color w:val="auto"/>
          <w:sz w:val="32"/>
          <w:szCs w:val="32"/>
          <w:highlight w:val="none"/>
        </w:rPr>
      </w:pPr>
      <w:bookmarkStart w:id="1343" w:name="_Toc470247858"/>
      <w:bookmarkStart w:id="1344" w:name="_Toc454211171"/>
      <w:bookmarkStart w:id="1345" w:name="_Toc432343947"/>
      <w:bookmarkStart w:id="1346" w:name="_Toc411345239"/>
      <w:bookmarkStart w:id="1347" w:name="_Toc373478402"/>
      <w:bookmarkStart w:id="1348" w:name="_Toc530144525"/>
      <w:bookmarkStart w:id="1349" w:name="_Toc529527031"/>
      <w:bookmarkStart w:id="1350" w:name="_Toc531186660"/>
      <w:bookmarkStart w:id="1351" w:name="_Toc461179301"/>
      <w:bookmarkStart w:id="1352" w:name="_Toc389065320"/>
      <w:bookmarkStart w:id="1353" w:name="_Toc529547383"/>
      <w:bookmarkStart w:id="1354" w:name="_Toc472931664"/>
      <w:bookmarkStart w:id="1355" w:name="_Toc373227755"/>
      <w:bookmarkStart w:id="1356" w:name="_Toc297123565"/>
      <w:bookmarkStart w:id="1357" w:name="_Toc303539173"/>
      <w:bookmarkStart w:id="1358" w:name="_Toc296347222"/>
      <w:bookmarkStart w:id="1359" w:name="_Toc304295596"/>
      <w:bookmarkStart w:id="1360" w:name="_Toc292559933"/>
      <w:bookmarkStart w:id="1361" w:name="_Toc297120523"/>
      <w:bookmarkStart w:id="1362" w:name="_Toc296891051"/>
      <w:bookmarkStart w:id="1363" w:name="_Toc300935016"/>
      <w:bookmarkStart w:id="1364" w:name="_Toc296944562"/>
      <w:bookmarkStart w:id="1365" w:name="_Toc312678056"/>
      <w:bookmarkStart w:id="1366" w:name="_Toc296891263"/>
      <w:bookmarkStart w:id="1367" w:name="_Toc296503223"/>
      <w:bookmarkStart w:id="1368" w:name="_Toc297048409"/>
      <w:bookmarkStart w:id="1369" w:name="_Toc292559428"/>
      <w:bookmarkStart w:id="1370" w:name="_Toc297216224"/>
      <w:bookmarkStart w:id="1371" w:name="_Toc296346724"/>
      <w:bookmarkStart w:id="1372" w:name="_Toc267251476"/>
      <w:bookmarkStart w:id="1373" w:name="_Toc267251474"/>
      <w:bookmarkStart w:id="1374" w:name="_Toc267251470"/>
      <w:bookmarkStart w:id="1375" w:name="_Toc267251471"/>
      <w:bookmarkStart w:id="1376" w:name="_Toc267251475"/>
      <w:bookmarkStart w:id="1377" w:name="_Toc267251472"/>
      <w:bookmarkStart w:id="1378" w:name="_Toc267251473"/>
      <w:r>
        <w:rPr>
          <w:rFonts w:ascii="宋体" w:hAnsi="宋体"/>
          <w:b/>
          <w:bCs/>
          <w:color w:val="auto"/>
          <w:sz w:val="32"/>
          <w:szCs w:val="32"/>
          <w:highlight w:val="none"/>
        </w:rPr>
        <w:t>13.2 竣工验收</w:t>
      </w:r>
      <w:bookmarkEnd w:id="1343"/>
      <w:bookmarkEnd w:id="1344"/>
      <w:bookmarkEnd w:id="1345"/>
      <w:bookmarkEnd w:id="1346"/>
      <w:bookmarkEnd w:id="1347"/>
      <w:bookmarkEnd w:id="1348"/>
      <w:bookmarkEnd w:id="1349"/>
      <w:bookmarkEnd w:id="1350"/>
      <w:bookmarkEnd w:id="1351"/>
      <w:bookmarkEnd w:id="1352"/>
      <w:bookmarkEnd w:id="1353"/>
      <w:bookmarkEnd w:id="1354"/>
      <w:bookmarkEnd w:id="1355"/>
    </w:p>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p w14:paraId="52A9E010">
      <w:pPr>
        <w:spacing w:line="360" w:lineRule="auto"/>
        <w:ind w:firstLine="420" w:firstLineChars="200"/>
        <w:jc w:val="left"/>
        <w:rPr>
          <w:rFonts w:ascii="宋体" w:hAnsi="宋体"/>
          <w:color w:val="auto"/>
          <w:szCs w:val="21"/>
          <w:highlight w:val="none"/>
        </w:rPr>
      </w:pPr>
      <w:bookmarkStart w:id="1379" w:name="_Toc280868704"/>
      <w:bookmarkStart w:id="1380" w:name="_Toc280868705"/>
      <w:bookmarkStart w:id="1381" w:name="_Toc280868706"/>
      <w:bookmarkStart w:id="1382" w:name="_Toc280868707"/>
      <w:bookmarkStart w:id="1383" w:name="_Toc280868708"/>
      <w:bookmarkStart w:id="1384" w:name="_Toc280868709"/>
      <w:r>
        <w:rPr>
          <w:rFonts w:ascii="宋体" w:hAnsi="宋体"/>
          <w:color w:val="auto"/>
          <w:szCs w:val="21"/>
          <w:highlight w:val="none"/>
        </w:rPr>
        <w:t>13.2.1竣工验收条件</w:t>
      </w:r>
    </w:p>
    <w:p w14:paraId="5D5B283B">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3</w:t>
      </w:r>
      <w:r>
        <w:rPr>
          <w:rFonts w:hint="eastAsia" w:ascii="宋体" w:hAnsi="宋体"/>
          <w:color w:val="auto"/>
          <w:szCs w:val="21"/>
          <w:highlight w:val="none"/>
        </w:rPr>
        <w:t>）</w:t>
      </w:r>
      <w:r>
        <w:rPr>
          <w:rFonts w:ascii="宋体" w:hAnsi="宋体"/>
          <w:color w:val="auto"/>
          <w:szCs w:val="21"/>
          <w:highlight w:val="none"/>
        </w:rPr>
        <w:t>承包人负责整理和提交的竣工验收资料应当符合工程所在地建设行政主管部门和(或)城市建设档案管理机构有关施工资料的要求，具体内容包括：</w:t>
      </w:r>
      <w:r>
        <w:rPr>
          <w:rFonts w:hint="eastAsia" w:ascii="宋体" w:hAnsi="宋体"/>
          <w:bCs/>
          <w:color w:val="auto"/>
          <w:szCs w:val="28"/>
          <w:highlight w:val="none"/>
          <w:u w:val="single"/>
        </w:rPr>
        <w:t>按通用合同条款执行</w:t>
      </w:r>
      <w:r>
        <w:rPr>
          <w:rFonts w:ascii="宋体" w:hAnsi="宋体"/>
          <w:color w:val="auto"/>
          <w:szCs w:val="21"/>
          <w:highlight w:val="none"/>
        </w:rPr>
        <w:t>。</w:t>
      </w:r>
    </w:p>
    <w:p w14:paraId="5037FC28">
      <w:pPr>
        <w:spacing w:line="360" w:lineRule="auto"/>
        <w:ind w:firstLine="420" w:firstLineChars="200"/>
        <w:rPr>
          <w:rFonts w:ascii="宋体" w:hAnsi="宋体"/>
          <w:color w:val="auto"/>
          <w:szCs w:val="21"/>
          <w:highlight w:val="none"/>
        </w:rPr>
      </w:pPr>
      <w:r>
        <w:rPr>
          <w:rFonts w:ascii="宋体" w:hAnsi="宋体"/>
          <w:color w:val="auto"/>
          <w:szCs w:val="21"/>
          <w:highlight w:val="none"/>
        </w:rPr>
        <w:t>竣工验收资料的份数：</w:t>
      </w:r>
      <w:r>
        <w:rPr>
          <w:rFonts w:hint="eastAsia" w:ascii="宋体" w:hAnsi="宋体"/>
          <w:b/>
          <w:bCs/>
          <w:color w:val="auto"/>
          <w:szCs w:val="21"/>
          <w:highlight w:val="none"/>
          <w:u w:val="single"/>
        </w:rPr>
        <w:t xml:space="preserve">6套及满足相关要求 </w:t>
      </w:r>
      <w:r>
        <w:rPr>
          <w:rFonts w:ascii="宋体" w:hAnsi="宋体"/>
          <w:color w:val="auto"/>
          <w:szCs w:val="21"/>
          <w:highlight w:val="none"/>
        </w:rPr>
        <w:t>。</w:t>
      </w:r>
    </w:p>
    <w:p w14:paraId="46A57724">
      <w:pPr>
        <w:spacing w:line="360" w:lineRule="auto"/>
        <w:ind w:firstLine="420" w:firstLineChars="200"/>
        <w:jc w:val="left"/>
        <w:rPr>
          <w:rFonts w:ascii="宋体" w:hAnsi="宋体"/>
          <w:color w:val="auto"/>
          <w:szCs w:val="21"/>
          <w:highlight w:val="none"/>
        </w:rPr>
      </w:pPr>
      <w:r>
        <w:rPr>
          <w:rFonts w:ascii="宋体" w:hAnsi="宋体"/>
          <w:bCs/>
          <w:color w:val="auto"/>
          <w:szCs w:val="21"/>
          <w:highlight w:val="none"/>
        </w:rPr>
        <w:t>承包人提供竣工图的约定：</w:t>
      </w:r>
      <w:r>
        <w:rPr>
          <w:rFonts w:ascii="宋体" w:hAnsi="宋体"/>
          <w:bCs/>
          <w:color w:val="auto"/>
          <w:szCs w:val="21"/>
          <w:highlight w:val="none"/>
          <w:u w:val="single"/>
        </w:rPr>
        <w:t>竣工验收正式通过后5天（工程造价在500万元以下含500万元）、10天（工程造价在500万元至1000万元之间含1000万元）、15天（工程造价在1000万元以上），提供竣工图的数量分别为2套、4套、6套。</w:t>
      </w:r>
    </w:p>
    <w:p w14:paraId="59CA4ACC">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13.2.2竣工验收程序</w:t>
      </w:r>
    </w:p>
    <w:bookmarkEnd w:id="1379"/>
    <w:p w14:paraId="6A48B929">
      <w:pPr>
        <w:spacing w:line="360" w:lineRule="auto"/>
        <w:ind w:firstLine="420" w:firstLineChars="200"/>
        <w:jc w:val="left"/>
        <w:rPr>
          <w:rFonts w:ascii="宋体" w:hAnsi="宋体"/>
          <w:color w:val="auto"/>
          <w:szCs w:val="21"/>
          <w:highlight w:val="none"/>
          <w:u w:val="single"/>
        </w:rPr>
      </w:pPr>
      <w:r>
        <w:rPr>
          <w:rFonts w:ascii="宋体" w:hAnsi="宋体"/>
          <w:color w:val="auto"/>
          <w:kern w:val="0"/>
          <w:szCs w:val="21"/>
          <w:highlight w:val="none"/>
        </w:rPr>
        <w:t>关于竣工验收程序的约定：</w:t>
      </w:r>
      <w:r>
        <w:rPr>
          <w:rFonts w:hint="eastAsia" w:ascii="宋体" w:hAnsi="宋体"/>
          <w:color w:val="auto"/>
          <w:szCs w:val="21"/>
          <w:highlight w:val="none"/>
          <w:u w:val="single"/>
        </w:rPr>
        <w:t>按通用合同条款执行</w:t>
      </w:r>
      <w:r>
        <w:rPr>
          <w:rFonts w:ascii="宋体" w:hAnsi="宋体"/>
          <w:color w:val="auto"/>
          <w:szCs w:val="21"/>
          <w:highlight w:val="none"/>
        </w:rPr>
        <w:t>。</w:t>
      </w:r>
    </w:p>
    <w:p w14:paraId="33E01E2E">
      <w:pPr>
        <w:spacing w:line="360" w:lineRule="auto"/>
        <w:ind w:firstLine="420" w:firstLineChars="200"/>
        <w:jc w:val="left"/>
        <w:rPr>
          <w:rFonts w:ascii="宋体" w:hAnsi="宋体"/>
          <w:color w:val="auto"/>
          <w:szCs w:val="21"/>
          <w:highlight w:val="none"/>
        </w:rPr>
      </w:pPr>
      <w:r>
        <w:rPr>
          <w:rFonts w:ascii="宋体" w:hAnsi="宋体"/>
          <w:color w:val="auto"/>
          <w:kern w:val="0"/>
          <w:szCs w:val="21"/>
          <w:highlight w:val="none"/>
        </w:rPr>
        <w:t>发包人不按照本项约定组织竣工验收、颁发工程接收证书的违约金的计算方法：</w:t>
      </w:r>
      <w:r>
        <w:rPr>
          <w:rFonts w:hint="eastAsia" w:ascii="宋体" w:hAnsi="宋体"/>
          <w:color w:val="auto"/>
          <w:szCs w:val="21"/>
          <w:highlight w:val="none"/>
          <w:u w:val="single"/>
        </w:rPr>
        <w:t>无</w:t>
      </w:r>
      <w:r>
        <w:rPr>
          <w:rFonts w:ascii="宋体" w:hAnsi="宋体"/>
          <w:color w:val="auto"/>
          <w:szCs w:val="21"/>
          <w:highlight w:val="none"/>
        </w:rPr>
        <w:t>。</w:t>
      </w:r>
    </w:p>
    <w:bookmarkEnd w:id="1380"/>
    <w:p w14:paraId="2EB62767">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13.2.5移交、接收全部与部分工程</w:t>
      </w:r>
    </w:p>
    <w:bookmarkEnd w:id="1381"/>
    <w:p w14:paraId="57E0C486">
      <w:pPr>
        <w:spacing w:line="36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承包人向发包人移交工程的期限：</w:t>
      </w:r>
      <w:r>
        <w:rPr>
          <w:rFonts w:hint="eastAsia" w:ascii="宋体" w:hAnsi="宋体"/>
          <w:color w:val="auto"/>
          <w:szCs w:val="21"/>
          <w:highlight w:val="none"/>
          <w:u w:val="single"/>
        </w:rPr>
        <w:t>按通用合同条款执行</w:t>
      </w:r>
      <w:r>
        <w:rPr>
          <w:rFonts w:ascii="宋体" w:hAnsi="宋体"/>
          <w:color w:val="auto"/>
          <w:szCs w:val="21"/>
          <w:highlight w:val="none"/>
        </w:rPr>
        <w:t>。</w:t>
      </w:r>
    </w:p>
    <w:p w14:paraId="51AF77DB">
      <w:pPr>
        <w:spacing w:line="360" w:lineRule="auto"/>
        <w:ind w:firstLine="420" w:firstLineChars="200"/>
        <w:jc w:val="left"/>
        <w:rPr>
          <w:rFonts w:ascii="宋体" w:hAnsi="宋体"/>
          <w:color w:val="auto"/>
          <w:szCs w:val="21"/>
          <w:highlight w:val="none"/>
          <w:u w:val="single"/>
        </w:rPr>
      </w:pPr>
      <w:r>
        <w:rPr>
          <w:rFonts w:ascii="宋体" w:hAnsi="宋体"/>
          <w:color w:val="auto"/>
          <w:kern w:val="0"/>
          <w:szCs w:val="21"/>
          <w:highlight w:val="none"/>
        </w:rPr>
        <w:t>发包人未按本合同约定接收全部或部分工程的，违约金的计算方法为：</w:t>
      </w:r>
      <w:r>
        <w:rPr>
          <w:rFonts w:hint="eastAsia" w:ascii="宋体" w:hAnsi="宋体"/>
          <w:color w:val="auto"/>
          <w:szCs w:val="21"/>
          <w:highlight w:val="none"/>
          <w:u w:val="single"/>
        </w:rPr>
        <w:t>无</w:t>
      </w:r>
      <w:r>
        <w:rPr>
          <w:rFonts w:ascii="宋体" w:hAnsi="宋体"/>
          <w:color w:val="auto"/>
          <w:szCs w:val="21"/>
          <w:highlight w:val="none"/>
        </w:rPr>
        <w:t>。</w:t>
      </w:r>
    </w:p>
    <w:bookmarkEnd w:id="1382"/>
    <w:p w14:paraId="38BE8ECE">
      <w:pPr>
        <w:spacing w:line="360" w:lineRule="auto"/>
        <w:ind w:firstLine="420" w:firstLineChars="200"/>
        <w:jc w:val="left"/>
        <w:rPr>
          <w:rFonts w:ascii="宋体" w:hAnsi="宋体"/>
          <w:color w:val="auto"/>
          <w:szCs w:val="21"/>
          <w:highlight w:val="none"/>
          <w:u w:val="single"/>
        </w:rPr>
      </w:pPr>
      <w:r>
        <w:rPr>
          <w:rFonts w:ascii="宋体" w:hAnsi="宋体"/>
          <w:color w:val="auto"/>
          <w:szCs w:val="21"/>
          <w:highlight w:val="none"/>
        </w:rPr>
        <w:t>承包人未按时移交工程的，违约金的计算方法为：</w:t>
      </w:r>
      <w:r>
        <w:rPr>
          <w:rFonts w:hint="eastAsia" w:ascii="宋体" w:hAnsi="宋体"/>
          <w:b/>
          <w:bCs/>
          <w:color w:val="auto"/>
          <w:szCs w:val="21"/>
          <w:highlight w:val="none"/>
          <w:u w:val="single"/>
        </w:rPr>
        <w:t>/</w:t>
      </w:r>
      <w:r>
        <w:rPr>
          <w:rFonts w:ascii="宋体" w:hAnsi="宋体"/>
          <w:color w:val="auto"/>
          <w:szCs w:val="21"/>
          <w:highlight w:val="none"/>
        </w:rPr>
        <w:t>。</w:t>
      </w:r>
    </w:p>
    <w:p w14:paraId="6674D16A">
      <w:pPr>
        <w:keepNext/>
        <w:keepLines/>
        <w:spacing w:before="260" w:after="260" w:line="416" w:lineRule="auto"/>
        <w:outlineLvl w:val="2"/>
        <w:rPr>
          <w:rFonts w:ascii="宋体" w:hAnsi="宋体"/>
          <w:b/>
          <w:bCs/>
          <w:color w:val="auto"/>
          <w:sz w:val="32"/>
          <w:szCs w:val="32"/>
          <w:highlight w:val="none"/>
        </w:rPr>
      </w:pPr>
      <w:bookmarkStart w:id="1385" w:name="_Toc432343948"/>
      <w:bookmarkStart w:id="1386" w:name="_Toc461179302"/>
      <w:bookmarkStart w:id="1387" w:name="_Toc389065321"/>
      <w:bookmarkStart w:id="1388" w:name="_Toc529527032"/>
      <w:bookmarkStart w:id="1389" w:name="_Toc472931665"/>
      <w:bookmarkStart w:id="1390" w:name="_Toc530144526"/>
      <w:bookmarkStart w:id="1391" w:name="_Toc411345240"/>
      <w:bookmarkStart w:id="1392" w:name="_Toc531186661"/>
      <w:bookmarkStart w:id="1393" w:name="_Toc529547384"/>
      <w:bookmarkStart w:id="1394" w:name="_Toc454211172"/>
      <w:bookmarkStart w:id="1395" w:name="_Toc373227756"/>
      <w:bookmarkStart w:id="1396" w:name="_Toc470247859"/>
      <w:bookmarkStart w:id="1397" w:name="_Toc373478403"/>
      <w:r>
        <w:rPr>
          <w:rFonts w:ascii="宋体" w:hAnsi="宋体"/>
          <w:b/>
          <w:bCs/>
          <w:color w:val="auto"/>
          <w:sz w:val="32"/>
          <w:szCs w:val="32"/>
          <w:highlight w:val="none"/>
        </w:rPr>
        <w:t>13.3 工程试车</w:t>
      </w:r>
      <w:bookmarkEnd w:id="1385"/>
      <w:bookmarkEnd w:id="1386"/>
      <w:bookmarkEnd w:id="1387"/>
      <w:bookmarkEnd w:id="1388"/>
      <w:bookmarkEnd w:id="1389"/>
      <w:bookmarkEnd w:id="1390"/>
      <w:bookmarkEnd w:id="1391"/>
      <w:bookmarkEnd w:id="1392"/>
      <w:bookmarkEnd w:id="1393"/>
      <w:bookmarkEnd w:id="1394"/>
      <w:bookmarkEnd w:id="1395"/>
      <w:bookmarkEnd w:id="1396"/>
      <w:bookmarkEnd w:id="1397"/>
    </w:p>
    <w:bookmarkEnd w:id="1383"/>
    <w:p w14:paraId="18168F76">
      <w:pPr>
        <w:spacing w:line="36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13.3.1 试车程序</w:t>
      </w:r>
    </w:p>
    <w:p w14:paraId="2B894EE5">
      <w:pPr>
        <w:spacing w:line="360" w:lineRule="auto"/>
        <w:ind w:firstLine="420" w:firstLineChars="200"/>
        <w:jc w:val="left"/>
        <w:rPr>
          <w:rFonts w:ascii="宋体" w:hAnsi="宋体"/>
          <w:color w:val="auto"/>
          <w:szCs w:val="21"/>
          <w:highlight w:val="none"/>
          <w:u w:val="single"/>
        </w:rPr>
      </w:pPr>
      <w:r>
        <w:rPr>
          <w:rFonts w:ascii="宋体" w:hAnsi="宋体"/>
          <w:color w:val="auto"/>
          <w:kern w:val="0"/>
          <w:szCs w:val="21"/>
          <w:highlight w:val="none"/>
        </w:rPr>
        <w:t>工程试车内容：</w:t>
      </w:r>
      <w:r>
        <w:rPr>
          <w:rFonts w:hint="eastAsia" w:ascii="宋体" w:hAnsi="宋体"/>
          <w:color w:val="auto"/>
          <w:szCs w:val="21"/>
          <w:highlight w:val="none"/>
          <w:u w:val="single"/>
        </w:rPr>
        <w:t>无</w:t>
      </w:r>
      <w:r>
        <w:rPr>
          <w:rFonts w:ascii="宋体" w:hAnsi="宋体"/>
          <w:color w:val="auto"/>
          <w:szCs w:val="21"/>
          <w:highlight w:val="none"/>
        </w:rPr>
        <w:t>。</w:t>
      </w:r>
    </w:p>
    <w:p w14:paraId="7F52F1A2">
      <w:pPr>
        <w:spacing w:line="36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（1）单机无负荷试车费用由</w:t>
      </w:r>
      <w:r>
        <w:rPr>
          <w:rFonts w:hint="eastAsia" w:ascii="宋体" w:hAnsi="宋体"/>
          <w:color w:val="auto"/>
          <w:szCs w:val="21"/>
          <w:highlight w:val="none"/>
          <w:u w:val="single"/>
        </w:rPr>
        <w:t>无</w:t>
      </w:r>
      <w:r>
        <w:rPr>
          <w:rFonts w:ascii="宋体" w:hAnsi="宋体"/>
          <w:color w:val="auto"/>
          <w:kern w:val="0"/>
          <w:szCs w:val="21"/>
          <w:highlight w:val="none"/>
        </w:rPr>
        <w:t>承担；</w:t>
      </w:r>
    </w:p>
    <w:p w14:paraId="48DAD36B">
      <w:pPr>
        <w:spacing w:line="36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（2）无负荷联动试车费用由</w:t>
      </w:r>
      <w:r>
        <w:rPr>
          <w:rFonts w:hint="eastAsia" w:ascii="宋体" w:hAnsi="宋体"/>
          <w:color w:val="auto"/>
          <w:szCs w:val="21"/>
          <w:highlight w:val="none"/>
          <w:u w:val="single"/>
        </w:rPr>
        <w:t>无</w:t>
      </w:r>
      <w:r>
        <w:rPr>
          <w:rFonts w:ascii="宋体" w:hAnsi="宋体"/>
          <w:color w:val="auto"/>
          <w:kern w:val="0"/>
          <w:szCs w:val="21"/>
          <w:highlight w:val="none"/>
        </w:rPr>
        <w:t>承担。</w:t>
      </w:r>
    </w:p>
    <w:p w14:paraId="4928C6BB">
      <w:pPr>
        <w:spacing w:line="36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13.3.3 投料试车</w:t>
      </w:r>
    </w:p>
    <w:p w14:paraId="4DB82D21">
      <w:pPr>
        <w:spacing w:line="360" w:lineRule="auto"/>
        <w:ind w:firstLine="420" w:firstLineChars="200"/>
        <w:jc w:val="left"/>
        <w:rPr>
          <w:rFonts w:ascii="宋体" w:hAnsi="宋体"/>
          <w:color w:val="auto"/>
          <w:szCs w:val="21"/>
          <w:highlight w:val="none"/>
          <w:u w:val="single"/>
        </w:rPr>
      </w:pPr>
      <w:r>
        <w:rPr>
          <w:rFonts w:ascii="宋体" w:hAnsi="宋体"/>
          <w:color w:val="auto"/>
          <w:kern w:val="0"/>
          <w:szCs w:val="21"/>
          <w:highlight w:val="none"/>
        </w:rPr>
        <w:t>关于投料试车相关事项的约定：</w:t>
      </w:r>
      <w:r>
        <w:rPr>
          <w:rFonts w:hint="eastAsia" w:ascii="宋体" w:hAnsi="宋体"/>
          <w:color w:val="auto"/>
          <w:szCs w:val="21"/>
          <w:highlight w:val="none"/>
          <w:u w:val="single"/>
        </w:rPr>
        <w:t>无</w:t>
      </w:r>
      <w:r>
        <w:rPr>
          <w:rFonts w:ascii="宋体" w:hAnsi="宋体"/>
          <w:color w:val="auto"/>
          <w:szCs w:val="21"/>
          <w:highlight w:val="none"/>
        </w:rPr>
        <w:t>。</w:t>
      </w:r>
    </w:p>
    <w:p w14:paraId="4E8EFE8F">
      <w:pPr>
        <w:keepNext/>
        <w:keepLines/>
        <w:spacing w:before="260" w:after="260" w:line="416" w:lineRule="auto"/>
        <w:outlineLvl w:val="2"/>
        <w:rPr>
          <w:rFonts w:ascii="宋体" w:hAnsi="宋体"/>
          <w:b/>
          <w:bCs/>
          <w:color w:val="auto"/>
          <w:sz w:val="32"/>
          <w:szCs w:val="32"/>
          <w:highlight w:val="none"/>
        </w:rPr>
      </w:pPr>
      <w:bookmarkStart w:id="1398" w:name="_Toc472931666"/>
      <w:bookmarkStart w:id="1399" w:name="_Toc454211173"/>
      <w:bookmarkStart w:id="1400" w:name="_Toc373478404"/>
      <w:bookmarkStart w:id="1401" w:name="_Toc531186662"/>
      <w:bookmarkStart w:id="1402" w:name="_Toc529547385"/>
      <w:bookmarkStart w:id="1403" w:name="_Toc461179303"/>
      <w:bookmarkStart w:id="1404" w:name="_Toc389065322"/>
      <w:bookmarkStart w:id="1405" w:name="_Toc432343949"/>
      <w:bookmarkStart w:id="1406" w:name="_Toc470247860"/>
      <w:bookmarkStart w:id="1407" w:name="_Toc529527033"/>
      <w:bookmarkStart w:id="1408" w:name="_Toc373227757"/>
      <w:bookmarkStart w:id="1409" w:name="_Toc411345241"/>
      <w:bookmarkStart w:id="1410" w:name="_Toc530144527"/>
      <w:r>
        <w:rPr>
          <w:rFonts w:ascii="宋体" w:hAnsi="宋体"/>
          <w:b/>
          <w:bCs/>
          <w:color w:val="auto"/>
          <w:sz w:val="32"/>
          <w:szCs w:val="32"/>
          <w:highlight w:val="none"/>
        </w:rPr>
        <w:t>13.6 竣工退场</w:t>
      </w:r>
      <w:bookmarkEnd w:id="1398"/>
      <w:bookmarkEnd w:id="1399"/>
      <w:bookmarkEnd w:id="1400"/>
      <w:bookmarkEnd w:id="1401"/>
      <w:bookmarkEnd w:id="1402"/>
      <w:bookmarkEnd w:id="1403"/>
      <w:bookmarkEnd w:id="1404"/>
      <w:bookmarkEnd w:id="1405"/>
      <w:bookmarkEnd w:id="1406"/>
      <w:bookmarkEnd w:id="1407"/>
      <w:bookmarkEnd w:id="1408"/>
      <w:bookmarkEnd w:id="1409"/>
      <w:bookmarkEnd w:id="1410"/>
    </w:p>
    <w:p w14:paraId="7854C46E">
      <w:pPr>
        <w:spacing w:line="36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13.6.1 竣工退场</w:t>
      </w:r>
    </w:p>
    <w:p w14:paraId="41186B84">
      <w:pPr>
        <w:spacing w:line="36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承包人完成竣工退场的期限：</w:t>
      </w:r>
      <w:r>
        <w:rPr>
          <w:rFonts w:hint="eastAsia" w:ascii="宋体" w:hAnsi="宋体"/>
          <w:color w:val="auto"/>
          <w:szCs w:val="21"/>
          <w:highlight w:val="none"/>
          <w:u w:val="single"/>
        </w:rPr>
        <w:t>按通用合同条款执行</w:t>
      </w:r>
      <w:r>
        <w:rPr>
          <w:rFonts w:ascii="宋体" w:hAnsi="宋体"/>
          <w:color w:val="auto"/>
          <w:kern w:val="0"/>
          <w:szCs w:val="21"/>
          <w:highlight w:val="none"/>
        </w:rPr>
        <w:t>。</w:t>
      </w:r>
    </w:p>
    <w:p w14:paraId="339E7D65">
      <w:pPr>
        <w:keepNext/>
        <w:keepLines/>
        <w:spacing w:before="260" w:after="260" w:line="416" w:lineRule="auto"/>
        <w:outlineLvl w:val="2"/>
        <w:rPr>
          <w:rFonts w:ascii="宋体" w:hAnsi="宋体"/>
          <w:b/>
          <w:bCs/>
          <w:color w:val="auto"/>
          <w:sz w:val="32"/>
          <w:szCs w:val="32"/>
          <w:highlight w:val="none"/>
        </w:rPr>
      </w:pPr>
      <w:bookmarkStart w:id="1411" w:name="_Toc351203646"/>
      <w:bookmarkStart w:id="1412" w:name="_Toc411345242"/>
      <w:bookmarkStart w:id="1413" w:name="_Toc531186663"/>
      <w:bookmarkStart w:id="1414" w:name="_Toc454211174"/>
      <w:bookmarkStart w:id="1415" w:name="_Toc373478405"/>
      <w:bookmarkStart w:id="1416" w:name="_Toc530144528"/>
      <w:bookmarkStart w:id="1417" w:name="_Toc389065323"/>
      <w:bookmarkStart w:id="1418" w:name="_Toc373227758"/>
      <w:bookmarkStart w:id="1419" w:name="_Toc472931667"/>
      <w:bookmarkStart w:id="1420" w:name="_Toc470247861"/>
      <w:bookmarkStart w:id="1421" w:name="_Toc529547386"/>
      <w:bookmarkStart w:id="1422" w:name="_Toc432343950"/>
      <w:bookmarkStart w:id="1423" w:name="_Toc461179304"/>
      <w:bookmarkStart w:id="1424" w:name="_Toc529527034"/>
      <w:r>
        <w:rPr>
          <w:rFonts w:ascii="宋体" w:hAnsi="宋体"/>
          <w:b/>
          <w:bCs/>
          <w:color w:val="auto"/>
          <w:sz w:val="32"/>
          <w:szCs w:val="32"/>
          <w:highlight w:val="none"/>
        </w:rPr>
        <w:t>14. 竣工结算</w:t>
      </w:r>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p>
    <w:p w14:paraId="05FDEE86">
      <w:pPr>
        <w:keepNext/>
        <w:keepLines/>
        <w:spacing w:before="260" w:after="260" w:line="416" w:lineRule="auto"/>
        <w:outlineLvl w:val="2"/>
        <w:rPr>
          <w:rFonts w:ascii="宋体" w:hAnsi="宋体"/>
          <w:b/>
          <w:bCs/>
          <w:color w:val="auto"/>
          <w:sz w:val="32"/>
          <w:szCs w:val="32"/>
          <w:highlight w:val="none"/>
        </w:rPr>
      </w:pPr>
      <w:bookmarkStart w:id="1425" w:name="_Toc529547387"/>
      <w:bookmarkStart w:id="1426" w:name="_Toc531186664"/>
      <w:bookmarkStart w:id="1427" w:name="_Toc529527035"/>
      <w:bookmarkStart w:id="1428" w:name="_Toc373227759"/>
      <w:bookmarkStart w:id="1429" w:name="_Toc454211175"/>
      <w:bookmarkStart w:id="1430" w:name="_Toc411345243"/>
      <w:bookmarkStart w:id="1431" w:name="_Toc389065324"/>
      <w:bookmarkStart w:id="1432" w:name="_Toc470247862"/>
      <w:bookmarkStart w:id="1433" w:name="_Toc461179305"/>
      <w:bookmarkStart w:id="1434" w:name="_Toc432343951"/>
      <w:bookmarkStart w:id="1435" w:name="_Toc373478406"/>
      <w:bookmarkStart w:id="1436" w:name="_Toc472931668"/>
      <w:bookmarkStart w:id="1437" w:name="_Toc530144529"/>
      <w:r>
        <w:rPr>
          <w:rFonts w:ascii="宋体" w:hAnsi="宋体"/>
          <w:b/>
          <w:bCs/>
          <w:color w:val="auto"/>
          <w:sz w:val="32"/>
          <w:szCs w:val="32"/>
          <w:highlight w:val="none"/>
        </w:rPr>
        <w:t>14.1 竣工付款申请</w:t>
      </w:r>
      <w:bookmarkEnd w:id="1425"/>
      <w:bookmarkEnd w:id="1426"/>
      <w:bookmarkEnd w:id="1427"/>
      <w:bookmarkEnd w:id="1428"/>
      <w:bookmarkEnd w:id="1429"/>
      <w:bookmarkEnd w:id="1430"/>
      <w:bookmarkEnd w:id="1431"/>
      <w:bookmarkEnd w:id="1432"/>
      <w:bookmarkEnd w:id="1433"/>
      <w:bookmarkEnd w:id="1434"/>
      <w:bookmarkEnd w:id="1435"/>
      <w:bookmarkEnd w:id="1436"/>
      <w:bookmarkEnd w:id="1437"/>
    </w:p>
    <w:p w14:paraId="4D87E54D">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承包人提交竣工付款申请单的期限：</w:t>
      </w:r>
      <w:r>
        <w:rPr>
          <w:rFonts w:hint="eastAsia" w:ascii="宋体" w:hAnsi="宋体"/>
          <w:color w:val="auto"/>
          <w:szCs w:val="21"/>
          <w:highlight w:val="none"/>
          <w:u w:val="single"/>
        </w:rPr>
        <w:t>按通用合同条款执行</w:t>
      </w:r>
      <w:r>
        <w:rPr>
          <w:rFonts w:ascii="宋体" w:hAnsi="宋体"/>
          <w:color w:val="auto"/>
          <w:szCs w:val="21"/>
          <w:highlight w:val="none"/>
        </w:rPr>
        <w:t>。</w:t>
      </w:r>
    </w:p>
    <w:p w14:paraId="4817B62F">
      <w:pPr>
        <w:spacing w:line="360" w:lineRule="auto"/>
        <w:ind w:firstLine="420" w:firstLineChars="200"/>
        <w:jc w:val="left"/>
        <w:rPr>
          <w:rFonts w:ascii="宋体" w:hAnsi="宋体"/>
          <w:color w:val="auto"/>
          <w:szCs w:val="21"/>
          <w:highlight w:val="none"/>
          <w:u w:val="single"/>
        </w:rPr>
      </w:pPr>
      <w:r>
        <w:rPr>
          <w:rFonts w:ascii="宋体" w:hAnsi="宋体"/>
          <w:color w:val="auto"/>
          <w:szCs w:val="21"/>
          <w:highlight w:val="none"/>
        </w:rPr>
        <w:t>竣工付款申请单应包括的内容：</w:t>
      </w:r>
      <w:r>
        <w:rPr>
          <w:rFonts w:hint="eastAsia" w:ascii="宋体" w:hAnsi="宋体"/>
          <w:color w:val="auto"/>
          <w:szCs w:val="21"/>
          <w:highlight w:val="none"/>
          <w:u w:val="single"/>
        </w:rPr>
        <w:t>按通用合同条款执行</w:t>
      </w:r>
      <w:r>
        <w:rPr>
          <w:rFonts w:ascii="宋体" w:hAnsi="宋体"/>
          <w:color w:val="auto"/>
          <w:szCs w:val="21"/>
          <w:highlight w:val="none"/>
        </w:rPr>
        <w:t>。</w:t>
      </w:r>
    </w:p>
    <w:p w14:paraId="4B9004FF">
      <w:pPr>
        <w:keepNext/>
        <w:keepLines/>
        <w:spacing w:before="260" w:after="260" w:line="416" w:lineRule="auto"/>
        <w:outlineLvl w:val="2"/>
        <w:rPr>
          <w:rFonts w:ascii="宋体" w:hAnsi="宋体"/>
          <w:b/>
          <w:bCs/>
          <w:color w:val="auto"/>
          <w:sz w:val="32"/>
          <w:szCs w:val="32"/>
          <w:highlight w:val="none"/>
        </w:rPr>
      </w:pPr>
      <w:bookmarkStart w:id="1438" w:name="_Toc461179306"/>
      <w:bookmarkStart w:id="1439" w:name="_Toc411345244"/>
      <w:bookmarkStart w:id="1440" w:name="_Toc373227760"/>
      <w:bookmarkStart w:id="1441" w:name="_Toc454211176"/>
      <w:bookmarkStart w:id="1442" w:name="_Toc373478407"/>
      <w:bookmarkStart w:id="1443" w:name="_Toc389065325"/>
      <w:bookmarkStart w:id="1444" w:name="_Toc472931669"/>
      <w:bookmarkStart w:id="1445" w:name="_Toc470247863"/>
      <w:bookmarkStart w:id="1446" w:name="_Toc529527036"/>
      <w:bookmarkStart w:id="1447" w:name="_Toc531186665"/>
      <w:bookmarkStart w:id="1448" w:name="_Toc529547388"/>
      <w:bookmarkStart w:id="1449" w:name="_Toc530144530"/>
      <w:bookmarkStart w:id="1450" w:name="_Toc432343952"/>
      <w:r>
        <w:rPr>
          <w:rFonts w:ascii="宋体" w:hAnsi="宋体"/>
          <w:b/>
          <w:bCs/>
          <w:color w:val="auto"/>
          <w:sz w:val="32"/>
          <w:szCs w:val="32"/>
          <w:highlight w:val="none"/>
        </w:rPr>
        <w:t>14.2 竣工结算审核</w:t>
      </w:r>
      <w:bookmarkEnd w:id="1438"/>
      <w:bookmarkEnd w:id="1439"/>
      <w:bookmarkEnd w:id="1440"/>
      <w:bookmarkEnd w:id="1441"/>
      <w:bookmarkEnd w:id="1442"/>
      <w:bookmarkEnd w:id="1443"/>
      <w:bookmarkEnd w:id="1444"/>
      <w:bookmarkEnd w:id="1445"/>
      <w:bookmarkEnd w:id="1446"/>
      <w:bookmarkEnd w:id="1447"/>
      <w:bookmarkEnd w:id="1448"/>
      <w:bookmarkEnd w:id="1449"/>
      <w:bookmarkEnd w:id="1450"/>
    </w:p>
    <w:p w14:paraId="623D3156">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发包人审批竣工付款申请单的期限：</w:t>
      </w:r>
    </w:p>
    <w:tbl>
      <w:tblPr>
        <w:tblStyle w:val="5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2420"/>
        <w:gridCol w:w="5333"/>
      </w:tblGrid>
      <w:tr w14:paraId="66FC3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55E83F9E">
            <w:pPr>
              <w:spacing w:line="360" w:lineRule="auto"/>
              <w:jc w:val="center"/>
              <w:rPr>
                <w:rFonts w:ascii="宋体" w:hAnsi="宋体"/>
                <w:bCs/>
                <w:color w:val="auto"/>
                <w:szCs w:val="21"/>
                <w:highlight w:val="none"/>
              </w:rPr>
            </w:pPr>
          </w:p>
        </w:tc>
        <w:tc>
          <w:tcPr>
            <w:tcW w:w="2420" w:type="dxa"/>
            <w:vAlign w:val="center"/>
          </w:tcPr>
          <w:p w14:paraId="08E9840C">
            <w:pPr>
              <w:spacing w:line="360" w:lineRule="auto"/>
              <w:jc w:val="center"/>
              <w:rPr>
                <w:rFonts w:ascii="宋体" w:hAnsi="宋体"/>
                <w:bCs/>
                <w:color w:val="auto"/>
                <w:szCs w:val="21"/>
                <w:highlight w:val="none"/>
              </w:rPr>
            </w:pPr>
            <w:r>
              <w:rPr>
                <w:rFonts w:ascii="宋体" w:hAnsi="宋体"/>
                <w:bCs/>
                <w:color w:val="auto"/>
                <w:szCs w:val="21"/>
                <w:highlight w:val="none"/>
              </w:rPr>
              <w:t>工程竣工结算报告金额</w:t>
            </w:r>
          </w:p>
        </w:tc>
        <w:tc>
          <w:tcPr>
            <w:tcW w:w="5333" w:type="dxa"/>
            <w:vAlign w:val="center"/>
          </w:tcPr>
          <w:p w14:paraId="2332339E">
            <w:pPr>
              <w:spacing w:line="360" w:lineRule="auto"/>
              <w:jc w:val="center"/>
              <w:rPr>
                <w:rFonts w:ascii="宋体" w:hAnsi="宋体"/>
                <w:bCs/>
                <w:color w:val="auto"/>
                <w:szCs w:val="21"/>
                <w:highlight w:val="none"/>
              </w:rPr>
            </w:pPr>
            <w:r>
              <w:rPr>
                <w:rFonts w:ascii="宋体" w:hAnsi="宋体"/>
                <w:bCs/>
                <w:color w:val="auto"/>
                <w:szCs w:val="21"/>
                <w:highlight w:val="none"/>
              </w:rPr>
              <w:t>发包人审查时间</w:t>
            </w:r>
          </w:p>
        </w:tc>
      </w:tr>
      <w:tr w14:paraId="502A0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361D24F8">
            <w:pPr>
              <w:spacing w:line="360" w:lineRule="auto"/>
              <w:jc w:val="center"/>
              <w:rPr>
                <w:rFonts w:ascii="宋体" w:hAnsi="宋体"/>
                <w:bCs/>
                <w:color w:val="auto"/>
                <w:szCs w:val="21"/>
                <w:highlight w:val="none"/>
              </w:rPr>
            </w:pPr>
            <w:r>
              <w:rPr>
                <w:rFonts w:ascii="宋体" w:hAnsi="宋体"/>
                <w:bCs/>
                <w:color w:val="auto"/>
                <w:szCs w:val="21"/>
                <w:highlight w:val="none"/>
              </w:rPr>
              <w:t>1</w:t>
            </w:r>
          </w:p>
        </w:tc>
        <w:tc>
          <w:tcPr>
            <w:tcW w:w="2420" w:type="dxa"/>
            <w:vAlign w:val="center"/>
          </w:tcPr>
          <w:p w14:paraId="5B794861">
            <w:pPr>
              <w:spacing w:line="360" w:lineRule="auto"/>
              <w:jc w:val="center"/>
              <w:rPr>
                <w:rFonts w:ascii="宋体" w:hAnsi="宋体"/>
                <w:bCs/>
                <w:color w:val="auto"/>
                <w:szCs w:val="21"/>
                <w:highlight w:val="none"/>
              </w:rPr>
            </w:pPr>
            <w:r>
              <w:rPr>
                <w:rFonts w:ascii="宋体" w:hAnsi="宋体"/>
                <w:bCs/>
                <w:color w:val="auto"/>
                <w:szCs w:val="21"/>
                <w:highlight w:val="none"/>
              </w:rPr>
              <w:t>500万元以下</w:t>
            </w:r>
          </w:p>
        </w:tc>
        <w:tc>
          <w:tcPr>
            <w:tcW w:w="5333" w:type="dxa"/>
            <w:vAlign w:val="center"/>
          </w:tcPr>
          <w:p w14:paraId="54DB6772">
            <w:pPr>
              <w:spacing w:line="360" w:lineRule="auto"/>
              <w:rPr>
                <w:rFonts w:ascii="宋体" w:hAnsi="宋体"/>
                <w:bCs/>
                <w:color w:val="auto"/>
                <w:szCs w:val="21"/>
                <w:highlight w:val="none"/>
              </w:rPr>
            </w:pPr>
            <w:r>
              <w:rPr>
                <w:rFonts w:ascii="宋体" w:hAnsi="宋体"/>
                <w:bCs/>
                <w:color w:val="auto"/>
                <w:szCs w:val="21"/>
                <w:highlight w:val="none"/>
              </w:rPr>
              <w:t>从接到竣工结算报告和完整的竣工结算资料之日起20天</w:t>
            </w:r>
          </w:p>
        </w:tc>
      </w:tr>
      <w:tr w14:paraId="17BFE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5DA1DD2A">
            <w:pPr>
              <w:spacing w:line="360" w:lineRule="auto"/>
              <w:jc w:val="center"/>
              <w:rPr>
                <w:rFonts w:ascii="宋体" w:hAnsi="宋体"/>
                <w:bCs/>
                <w:color w:val="auto"/>
                <w:szCs w:val="21"/>
                <w:highlight w:val="none"/>
              </w:rPr>
            </w:pPr>
            <w:r>
              <w:rPr>
                <w:rFonts w:ascii="宋体" w:hAnsi="宋体"/>
                <w:bCs/>
                <w:color w:val="auto"/>
                <w:szCs w:val="21"/>
                <w:highlight w:val="none"/>
              </w:rPr>
              <w:t>2</w:t>
            </w:r>
          </w:p>
        </w:tc>
        <w:tc>
          <w:tcPr>
            <w:tcW w:w="2420" w:type="dxa"/>
            <w:vAlign w:val="center"/>
          </w:tcPr>
          <w:p w14:paraId="5AA34D52">
            <w:pPr>
              <w:spacing w:line="360" w:lineRule="auto"/>
              <w:jc w:val="center"/>
              <w:rPr>
                <w:rFonts w:ascii="宋体" w:hAnsi="宋体"/>
                <w:bCs/>
                <w:color w:val="auto"/>
                <w:szCs w:val="21"/>
                <w:highlight w:val="none"/>
              </w:rPr>
            </w:pPr>
            <w:r>
              <w:rPr>
                <w:rFonts w:ascii="宋体" w:hAnsi="宋体"/>
                <w:bCs/>
                <w:color w:val="auto"/>
                <w:szCs w:val="21"/>
                <w:highlight w:val="none"/>
              </w:rPr>
              <w:t>500万元-2000万元</w:t>
            </w:r>
          </w:p>
        </w:tc>
        <w:tc>
          <w:tcPr>
            <w:tcW w:w="5333" w:type="dxa"/>
            <w:vAlign w:val="center"/>
          </w:tcPr>
          <w:p w14:paraId="44A30B9E">
            <w:pPr>
              <w:spacing w:line="360" w:lineRule="auto"/>
              <w:rPr>
                <w:rFonts w:ascii="宋体" w:hAnsi="宋体"/>
                <w:bCs/>
                <w:color w:val="auto"/>
                <w:szCs w:val="21"/>
                <w:highlight w:val="none"/>
              </w:rPr>
            </w:pPr>
            <w:r>
              <w:rPr>
                <w:rFonts w:ascii="宋体" w:hAnsi="宋体"/>
                <w:bCs/>
                <w:color w:val="auto"/>
                <w:szCs w:val="21"/>
                <w:highlight w:val="none"/>
              </w:rPr>
              <w:t>从接到竣工结算报告和完整的竣工结算资料之日起30天</w:t>
            </w:r>
          </w:p>
        </w:tc>
      </w:tr>
      <w:tr w14:paraId="0C8C5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67465EC1">
            <w:pPr>
              <w:spacing w:line="360" w:lineRule="auto"/>
              <w:jc w:val="center"/>
              <w:rPr>
                <w:rFonts w:ascii="宋体" w:hAnsi="宋体"/>
                <w:bCs/>
                <w:color w:val="auto"/>
                <w:szCs w:val="21"/>
                <w:highlight w:val="none"/>
              </w:rPr>
            </w:pPr>
            <w:r>
              <w:rPr>
                <w:rFonts w:ascii="宋体" w:hAnsi="宋体"/>
                <w:bCs/>
                <w:color w:val="auto"/>
                <w:szCs w:val="21"/>
                <w:highlight w:val="none"/>
              </w:rPr>
              <w:t>3</w:t>
            </w:r>
          </w:p>
        </w:tc>
        <w:tc>
          <w:tcPr>
            <w:tcW w:w="2420" w:type="dxa"/>
            <w:vAlign w:val="center"/>
          </w:tcPr>
          <w:p w14:paraId="3AC0EA50">
            <w:pPr>
              <w:spacing w:line="360" w:lineRule="auto"/>
              <w:jc w:val="center"/>
              <w:rPr>
                <w:rFonts w:ascii="宋体" w:hAnsi="宋体"/>
                <w:bCs/>
                <w:color w:val="auto"/>
                <w:szCs w:val="21"/>
                <w:highlight w:val="none"/>
              </w:rPr>
            </w:pPr>
            <w:r>
              <w:rPr>
                <w:rFonts w:ascii="宋体" w:hAnsi="宋体"/>
                <w:bCs/>
                <w:color w:val="auto"/>
                <w:szCs w:val="21"/>
                <w:highlight w:val="none"/>
              </w:rPr>
              <w:t>2000万元-5000万元</w:t>
            </w:r>
          </w:p>
        </w:tc>
        <w:tc>
          <w:tcPr>
            <w:tcW w:w="5333" w:type="dxa"/>
            <w:vAlign w:val="center"/>
          </w:tcPr>
          <w:p w14:paraId="59F5B31A">
            <w:pPr>
              <w:spacing w:line="360" w:lineRule="auto"/>
              <w:rPr>
                <w:rFonts w:ascii="宋体" w:hAnsi="宋体"/>
                <w:bCs/>
                <w:color w:val="auto"/>
                <w:szCs w:val="21"/>
                <w:highlight w:val="none"/>
              </w:rPr>
            </w:pPr>
            <w:r>
              <w:rPr>
                <w:rFonts w:ascii="宋体" w:hAnsi="宋体"/>
                <w:bCs/>
                <w:color w:val="auto"/>
                <w:szCs w:val="21"/>
                <w:highlight w:val="none"/>
              </w:rPr>
              <w:t>从接到竣工结算报告和完整的竣工结算资料之日起45天</w:t>
            </w:r>
          </w:p>
        </w:tc>
      </w:tr>
      <w:tr w14:paraId="50C16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21DAFA89">
            <w:pPr>
              <w:spacing w:line="360" w:lineRule="auto"/>
              <w:jc w:val="center"/>
              <w:rPr>
                <w:rFonts w:ascii="宋体" w:hAnsi="宋体"/>
                <w:bCs/>
                <w:color w:val="auto"/>
                <w:szCs w:val="21"/>
                <w:highlight w:val="none"/>
              </w:rPr>
            </w:pPr>
            <w:r>
              <w:rPr>
                <w:rFonts w:ascii="宋体" w:hAnsi="宋体"/>
                <w:bCs/>
                <w:color w:val="auto"/>
                <w:szCs w:val="21"/>
                <w:highlight w:val="none"/>
              </w:rPr>
              <w:t>4</w:t>
            </w:r>
          </w:p>
        </w:tc>
        <w:tc>
          <w:tcPr>
            <w:tcW w:w="2420" w:type="dxa"/>
            <w:vAlign w:val="center"/>
          </w:tcPr>
          <w:p w14:paraId="123C9341">
            <w:pPr>
              <w:spacing w:line="360" w:lineRule="auto"/>
              <w:jc w:val="center"/>
              <w:rPr>
                <w:rFonts w:ascii="宋体" w:hAnsi="宋体"/>
                <w:bCs/>
                <w:color w:val="auto"/>
                <w:szCs w:val="21"/>
                <w:highlight w:val="none"/>
              </w:rPr>
            </w:pPr>
            <w:r>
              <w:rPr>
                <w:rFonts w:ascii="宋体" w:hAnsi="宋体"/>
                <w:bCs/>
                <w:color w:val="auto"/>
                <w:szCs w:val="21"/>
                <w:highlight w:val="none"/>
              </w:rPr>
              <w:t>5000万元以上</w:t>
            </w:r>
          </w:p>
        </w:tc>
        <w:tc>
          <w:tcPr>
            <w:tcW w:w="5333" w:type="dxa"/>
            <w:vAlign w:val="center"/>
          </w:tcPr>
          <w:p w14:paraId="2B887832">
            <w:pPr>
              <w:spacing w:line="360" w:lineRule="auto"/>
              <w:rPr>
                <w:rFonts w:ascii="宋体" w:hAnsi="宋体"/>
                <w:bCs/>
                <w:color w:val="auto"/>
                <w:szCs w:val="21"/>
                <w:highlight w:val="none"/>
              </w:rPr>
            </w:pPr>
            <w:r>
              <w:rPr>
                <w:rFonts w:ascii="宋体" w:hAnsi="宋体"/>
                <w:bCs/>
                <w:color w:val="auto"/>
                <w:szCs w:val="21"/>
                <w:highlight w:val="none"/>
              </w:rPr>
              <w:t>从接到竣工结算报告和完整的竣工结算资料之日起60天</w:t>
            </w:r>
          </w:p>
        </w:tc>
      </w:tr>
    </w:tbl>
    <w:p w14:paraId="03D3413A">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因承包人提供的结算资料不完整而需要补充或承包人不按时对账耽误时间时，审查时间应相应顺延。</w:t>
      </w:r>
    </w:p>
    <w:p w14:paraId="55F3CE6F">
      <w:pPr>
        <w:pStyle w:val="256"/>
        <w:spacing w:line="400" w:lineRule="exact"/>
        <w:ind w:firstLine="420" w:firstLineChars="200"/>
        <w:jc w:val="left"/>
        <w:rPr>
          <w:rStyle w:val="59"/>
          <w:rFonts w:hint="eastAsia" w:ascii="宋体" w:hAnsi="宋体" w:eastAsia="宋体" w:cs="宋体"/>
          <w:color w:val="auto"/>
          <w:sz w:val="24"/>
          <w:szCs w:val="24"/>
          <w:highlight w:val="none"/>
          <w:u w:val="single"/>
        </w:rPr>
      </w:pPr>
      <w:r>
        <w:rPr>
          <w:rFonts w:ascii="宋体" w:hAnsi="宋体"/>
          <w:color w:val="auto"/>
          <w:szCs w:val="21"/>
          <w:highlight w:val="none"/>
        </w:rPr>
        <w:t>竣工结算审核约定：</w:t>
      </w:r>
      <w:r>
        <w:rPr>
          <w:rStyle w:val="59"/>
          <w:rFonts w:hint="eastAsia" w:ascii="宋体" w:hAnsi="宋体" w:eastAsia="宋体" w:cs="宋体"/>
          <w:color w:val="auto"/>
          <w:sz w:val="24"/>
          <w:szCs w:val="24"/>
          <w:highlight w:val="none"/>
          <w:u w:val="single"/>
        </w:rPr>
        <w:t>1、工程最终竣工结算达到《防城港市财政局关于印发防城港市本级政府投资建设项目财政投资评审业务改革方案的通知》（防财发〔2019〕31号）规定的评审范围，需报财政部门审定，承包人所编制的工程竣工资料经发包人审核后，送到财政部门之日起，承包人所遗漏的与工程造价有关的签证不再作为结算审核依据，按自动放弃处理。竣工结算以财政评审意见为准。</w:t>
      </w:r>
    </w:p>
    <w:p w14:paraId="0D949F25">
      <w:pPr>
        <w:pStyle w:val="256"/>
        <w:spacing w:line="400" w:lineRule="exact"/>
        <w:ind w:firstLine="480" w:firstLineChars="200"/>
        <w:jc w:val="left"/>
        <w:rPr>
          <w:rStyle w:val="59"/>
          <w:rFonts w:hint="eastAsia" w:ascii="宋体" w:hAnsi="宋体" w:eastAsia="宋体" w:cs="宋体"/>
          <w:color w:val="auto"/>
          <w:sz w:val="24"/>
          <w:szCs w:val="24"/>
          <w:highlight w:val="none"/>
          <w:u w:val="single"/>
        </w:rPr>
      </w:pPr>
      <w:r>
        <w:rPr>
          <w:rStyle w:val="59"/>
          <w:rFonts w:hint="eastAsia" w:ascii="宋体" w:hAnsi="宋体" w:eastAsia="宋体" w:cs="宋体"/>
          <w:color w:val="auto"/>
          <w:sz w:val="24"/>
          <w:szCs w:val="24"/>
          <w:highlight w:val="none"/>
          <w:u w:val="single"/>
        </w:rPr>
        <w:t>2、如承包人报送的工程结算总价过高，造成财政部门</w:t>
      </w:r>
      <w:r>
        <w:rPr>
          <w:rStyle w:val="59"/>
          <w:rFonts w:hint="eastAsia" w:ascii="宋体" w:hAnsi="宋体" w:cs="宋体"/>
          <w:color w:val="auto"/>
          <w:sz w:val="24"/>
          <w:szCs w:val="24"/>
          <w:highlight w:val="none"/>
          <w:u w:val="single"/>
          <w:lang w:eastAsia="zh-CN"/>
        </w:rPr>
        <w:t>、</w:t>
      </w:r>
      <w:r>
        <w:rPr>
          <w:rStyle w:val="59"/>
          <w:rFonts w:hint="eastAsia" w:ascii="宋体" w:hAnsi="宋体" w:eastAsia="宋体" w:cs="宋体"/>
          <w:color w:val="auto"/>
          <w:sz w:val="24"/>
          <w:szCs w:val="24"/>
          <w:highlight w:val="none"/>
          <w:u w:val="single"/>
        </w:rPr>
        <w:t>审计部门</w:t>
      </w:r>
      <w:r>
        <w:rPr>
          <w:rStyle w:val="59"/>
          <w:rFonts w:hint="eastAsia" w:ascii="宋体" w:hAnsi="宋体" w:cs="宋体"/>
          <w:color w:val="auto"/>
          <w:sz w:val="24"/>
          <w:szCs w:val="24"/>
          <w:highlight w:val="none"/>
          <w:u w:val="single"/>
          <w:lang w:val="en-US" w:eastAsia="zh-CN"/>
        </w:rPr>
        <w:t>或第三方造价咨询机构</w:t>
      </w:r>
      <w:r>
        <w:rPr>
          <w:rStyle w:val="59"/>
          <w:rFonts w:hint="eastAsia" w:ascii="宋体" w:hAnsi="宋体" w:eastAsia="宋体" w:cs="宋体"/>
          <w:color w:val="auto"/>
          <w:sz w:val="24"/>
          <w:szCs w:val="24"/>
          <w:highlight w:val="none"/>
          <w:u w:val="single"/>
        </w:rPr>
        <w:t>对该项目结算审减率超过8%以上的，则超出8%以上部分的审核费由承包人承担，审核费上缴至防城港市财政局账户。</w:t>
      </w:r>
    </w:p>
    <w:p w14:paraId="2B591021">
      <w:pPr>
        <w:pStyle w:val="256"/>
        <w:spacing w:line="400" w:lineRule="exact"/>
        <w:ind w:firstLine="480" w:firstLineChars="200"/>
        <w:jc w:val="left"/>
        <w:rPr>
          <w:rStyle w:val="59"/>
          <w:rFonts w:hint="eastAsia" w:ascii="宋体" w:hAnsi="宋体" w:eastAsia="宋体" w:cs="宋体"/>
          <w:color w:val="auto"/>
          <w:sz w:val="24"/>
          <w:szCs w:val="24"/>
          <w:highlight w:val="none"/>
          <w:u w:val="single"/>
        </w:rPr>
      </w:pPr>
      <w:r>
        <w:rPr>
          <w:rStyle w:val="59"/>
          <w:rFonts w:hint="eastAsia" w:ascii="宋体" w:hAnsi="宋体" w:eastAsia="宋体" w:cs="宋体"/>
          <w:color w:val="auto"/>
          <w:sz w:val="24"/>
          <w:szCs w:val="24"/>
          <w:highlight w:val="none"/>
          <w:u w:val="single"/>
        </w:rPr>
        <w:t>3、工程竣工验收报告经发包人认可后10个做工作日内，承包人向发包人递交竣工验收合格资料及完整的结算资料和报告，双方按照本工程合同约定的价格形式及价款调整办法进行工程竣工结算。</w:t>
      </w:r>
    </w:p>
    <w:p w14:paraId="755D9557">
      <w:pPr>
        <w:pStyle w:val="256"/>
        <w:spacing w:line="400" w:lineRule="exact"/>
        <w:ind w:firstLine="480" w:firstLineChars="200"/>
        <w:jc w:val="left"/>
        <w:rPr>
          <w:rStyle w:val="59"/>
          <w:rFonts w:hint="eastAsia" w:ascii="宋体" w:hAnsi="宋体" w:eastAsia="宋体" w:cs="宋体"/>
          <w:color w:val="auto"/>
          <w:sz w:val="24"/>
          <w:szCs w:val="24"/>
          <w:highlight w:val="none"/>
          <w:u w:val="single"/>
        </w:rPr>
      </w:pPr>
      <w:r>
        <w:rPr>
          <w:rStyle w:val="59"/>
          <w:rFonts w:hint="eastAsia" w:ascii="宋体" w:hAnsi="宋体" w:eastAsia="宋体" w:cs="宋体"/>
          <w:color w:val="auto"/>
          <w:sz w:val="24"/>
          <w:szCs w:val="24"/>
          <w:highlight w:val="none"/>
          <w:u w:val="single"/>
        </w:rPr>
        <w:t>4、政府投资工程的结算如需财政部门</w:t>
      </w:r>
      <w:r>
        <w:rPr>
          <w:rStyle w:val="59"/>
          <w:rFonts w:hint="eastAsia" w:ascii="宋体" w:hAnsi="宋体" w:cs="宋体"/>
          <w:color w:val="auto"/>
          <w:sz w:val="24"/>
          <w:szCs w:val="24"/>
          <w:highlight w:val="none"/>
          <w:u w:val="single"/>
          <w:lang w:eastAsia="zh-CN"/>
        </w:rPr>
        <w:t>、</w:t>
      </w:r>
      <w:r>
        <w:rPr>
          <w:rStyle w:val="59"/>
          <w:rFonts w:hint="eastAsia" w:ascii="宋体" w:hAnsi="宋体" w:eastAsia="宋体" w:cs="宋体"/>
          <w:color w:val="auto"/>
          <w:sz w:val="24"/>
          <w:szCs w:val="24"/>
          <w:highlight w:val="none"/>
          <w:u w:val="single"/>
        </w:rPr>
        <w:t>审计部门</w:t>
      </w:r>
      <w:r>
        <w:rPr>
          <w:rStyle w:val="59"/>
          <w:rFonts w:hint="eastAsia" w:ascii="宋体" w:hAnsi="宋体" w:cs="宋体"/>
          <w:color w:val="auto"/>
          <w:sz w:val="24"/>
          <w:szCs w:val="24"/>
          <w:highlight w:val="none"/>
          <w:u w:val="single"/>
          <w:lang w:val="en-US" w:eastAsia="zh-CN"/>
        </w:rPr>
        <w:t>或第三方造价咨询机构</w:t>
      </w:r>
      <w:r>
        <w:rPr>
          <w:rStyle w:val="59"/>
          <w:rFonts w:hint="eastAsia" w:ascii="宋体" w:hAnsi="宋体" w:eastAsia="宋体" w:cs="宋体"/>
          <w:color w:val="auto"/>
          <w:sz w:val="24"/>
          <w:szCs w:val="24"/>
          <w:highlight w:val="none"/>
          <w:u w:val="single"/>
        </w:rPr>
        <w:t>审定，最终结算金额以审定金额为准，不能以发包人审核的结果作为要求支付的依据。审计</w:t>
      </w:r>
      <w:r>
        <w:rPr>
          <w:rStyle w:val="59"/>
          <w:rFonts w:hint="eastAsia" w:ascii="宋体" w:hAnsi="宋体" w:cs="宋体"/>
          <w:color w:val="auto"/>
          <w:sz w:val="24"/>
          <w:szCs w:val="24"/>
          <w:highlight w:val="none"/>
          <w:u w:val="single"/>
          <w:lang w:eastAsia="zh-CN"/>
        </w:rPr>
        <w:t>/财政评审</w:t>
      </w:r>
      <w:r>
        <w:rPr>
          <w:rStyle w:val="59"/>
          <w:rFonts w:hint="eastAsia" w:ascii="宋体" w:hAnsi="宋体" w:eastAsia="宋体" w:cs="宋体"/>
          <w:color w:val="auto"/>
          <w:sz w:val="24"/>
          <w:szCs w:val="24"/>
          <w:highlight w:val="none"/>
          <w:u w:val="single"/>
        </w:rPr>
        <w:t>单位处理相关事宜需要一定时间，发包人</w:t>
      </w:r>
      <w:r>
        <w:rPr>
          <w:rStyle w:val="59"/>
          <w:rFonts w:hint="eastAsia" w:ascii="宋体" w:hAnsi="宋体" w:cs="宋体"/>
          <w:color w:val="auto"/>
          <w:sz w:val="24"/>
          <w:szCs w:val="24"/>
          <w:highlight w:val="none"/>
          <w:u w:val="single"/>
          <w:lang w:eastAsia="zh-CN"/>
        </w:rPr>
        <w:t>应积极敦促</w:t>
      </w:r>
      <w:r>
        <w:rPr>
          <w:rStyle w:val="59"/>
          <w:rFonts w:hint="eastAsia" w:ascii="宋体" w:hAnsi="宋体" w:eastAsia="宋体" w:cs="宋体"/>
          <w:color w:val="auto"/>
          <w:sz w:val="24"/>
          <w:szCs w:val="24"/>
          <w:highlight w:val="none"/>
          <w:u w:val="single"/>
        </w:rPr>
        <w:t>审计</w:t>
      </w:r>
      <w:r>
        <w:rPr>
          <w:rStyle w:val="59"/>
          <w:rFonts w:hint="eastAsia" w:ascii="宋体" w:hAnsi="宋体" w:cs="宋体"/>
          <w:color w:val="auto"/>
          <w:sz w:val="24"/>
          <w:szCs w:val="24"/>
          <w:highlight w:val="none"/>
          <w:u w:val="single"/>
          <w:lang w:eastAsia="zh-CN"/>
        </w:rPr>
        <w:t>/财政评审</w:t>
      </w:r>
      <w:r>
        <w:rPr>
          <w:rStyle w:val="59"/>
          <w:rFonts w:hint="eastAsia" w:ascii="宋体" w:hAnsi="宋体" w:eastAsia="宋体" w:cs="宋体"/>
          <w:color w:val="auto"/>
          <w:sz w:val="24"/>
          <w:szCs w:val="24"/>
          <w:highlight w:val="none"/>
          <w:u w:val="single"/>
        </w:rPr>
        <w:t>单位</w:t>
      </w:r>
      <w:r>
        <w:rPr>
          <w:rStyle w:val="59"/>
          <w:rFonts w:hint="eastAsia" w:ascii="宋体" w:hAnsi="宋体" w:cs="宋体"/>
          <w:color w:val="auto"/>
          <w:sz w:val="24"/>
          <w:szCs w:val="24"/>
          <w:highlight w:val="none"/>
          <w:u w:val="single"/>
          <w:lang w:eastAsia="zh-CN"/>
        </w:rPr>
        <w:t>按相关规定时限完成审核，非因发包人原因导致的审核</w:t>
      </w:r>
      <w:r>
        <w:rPr>
          <w:rStyle w:val="59"/>
          <w:rFonts w:hint="eastAsia" w:ascii="宋体" w:hAnsi="宋体" w:eastAsia="宋体" w:cs="宋体"/>
          <w:color w:val="auto"/>
          <w:sz w:val="24"/>
          <w:szCs w:val="24"/>
          <w:highlight w:val="none"/>
          <w:u w:val="single"/>
        </w:rPr>
        <w:t>拖延</w:t>
      </w:r>
      <w:r>
        <w:rPr>
          <w:rStyle w:val="59"/>
          <w:rFonts w:hint="eastAsia" w:ascii="宋体" w:hAnsi="宋体" w:cs="宋体"/>
          <w:color w:val="auto"/>
          <w:sz w:val="24"/>
          <w:szCs w:val="24"/>
          <w:highlight w:val="none"/>
          <w:u w:val="single"/>
          <w:lang w:eastAsia="zh-CN"/>
        </w:rPr>
        <w:t>，发包人不承担</w:t>
      </w:r>
      <w:r>
        <w:rPr>
          <w:rStyle w:val="59"/>
          <w:rFonts w:hint="eastAsia" w:ascii="宋体" w:hAnsi="宋体" w:eastAsia="宋体" w:cs="宋体"/>
          <w:color w:val="auto"/>
          <w:sz w:val="24"/>
          <w:szCs w:val="24"/>
          <w:highlight w:val="none"/>
          <w:u w:val="single"/>
        </w:rPr>
        <w:t>任何责任。</w:t>
      </w:r>
    </w:p>
    <w:p w14:paraId="551ED921">
      <w:pPr>
        <w:spacing w:line="360" w:lineRule="auto"/>
        <w:jc w:val="left"/>
        <w:rPr>
          <w:rFonts w:ascii="宋体" w:hAnsi="宋体"/>
          <w:color w:val="auto"/>
          <w:szCs w:val="21"/>
          <w:highlight w:val="none"/>
        </w:rPr>
      </w:pPr>
    </w:p>
    <w:p w14:paraId="3AA45885">
      <w:pPr>
        <w:spacing w:line="360" w:lineRule="auto"/>
        <w:ind w:firstLine="420" w:firstLineChars="200"/>
        <w:jc w:val="left"/>
        <w:rPr>
          <w:color w:val="auto"/>
          <w:highlight w:val="none"/>
        </w:rPr>
      </w:pPr>
      <w:r>
        <w:rPr>
          <w:rFonts w:hint="eastAsia" w:ascii="宋体" w:hAnsi="宋体"/>
          <w:color w:val="auto"/>
          <w:szCs w:val="21"/>
          <w:highlight w:val="none"/>
        </w:rPr>
        <w:t>备注：对于国有投资项目结算审核约定，双方可结合各地政府或有关部门出台的管理规定进行局部调整</w:t>
      </w:r>
      <w:r>
        <w:rPr>
          <w:rFonts w:ascii="宋体" w:hAnsi="宋体"/>
          <w:color w:val="auto"/>
          <w:szCs w:val="21"/>
          <w:highlight w:val="none"/>
        </w:rPr>
        <w:t>。</w:t>
      </w:r>
    </w:p>
    <w:p w14:paraId="7610CBE8">
      <w:pPr>
        <w:keepNext/>
        <w:keepLines/>
        <w:spacing w:before="260" w:after="260" w:line="416" w:lineRule="auto"/>
        <w:outlineLvl w:val="2"/>
        <w:rPr>
          <w:rFonts w:ascii="宋体" w:hAnsi="宋体"/>
          <w:b/>
          <w:bCs/>
          <w:color w:val="auto"/>
          <w:sz w:val="32"/>
          <w:szCs w:val="32"/>
          <w:highlight w:val="none"/>
        </w:rPr>
      </w:pPr>
      <w:bookmarkStart w:id="1451" w:name="_Toc411345245"/>
      <w:bookmarkStart w:id="1452" w:name="_Toc373227761"/>
      <w:bookmarkStart w:id="1453" w:name="_Toc461179307"/>
      <w:bookmarkStart w:id="1454" w:name="_Toc432343953"/>
      <w:bookmarkStart w:id="1455" w:name="_Toc389065326"/>
      <w:bookmarkStart w:id="1456" w:name="_Toc373478408"/>
      <w:bookmarkStart w:id="1457" w:name="_Toc454211177"/>
      <w:bookmarkStart w:id="1458" w:name="_Toc472931670"/>
      <w:bookmarkStart w:id="1459" w:name="_Toc470247864"/>
      <w:bookmarkStart w:id="1460" w:name="_Toc530144531"/>
      <w:bookmarkStart w:id="1461" w:name="_Toc529527037"/>
      <w:bookmarkStart w:id="1462" w:name="_Toc529547389"/>
      <w:bookmarkStart w:id="1463" w:name="_Toc531186666"/>
      <w:r>
        <w:rPr>
          <w:rFonts w:ascii="宋体" w:hAnsi="宋体"/>
          <w:b/>
          <w:bCs/>
          <w:color w:val="auto"/>
          <w:sz w:val="32"/>
          <w:szCs w:val="32"/>
          <w:highlight w:val="none"/>
        </w:rPr>
        <w:t>14.4 最终结清</w:t>
      </w:r>
      <w:bookmarkEnd w:id="1451"/>
      <w:bookmarkEnd w:id="1452"/>
      <w:bookmarkEnd w:id="1453"/>
      <w:bookmarkEnd w:id="1454"/>
      <w:bookmarkEnd w:id="1455"/>
      <w:bookmarkEnd w:id="1456"/>
      <w:bookmarkEnd w:id="1457"/>
      <w:bookmarkEnd w:id="1458"/>
      <w:bookmarkEnd w:id="1459"/>
      <w:bookmarkEnd w:id="1460"/>
      <w:bookmarkEnd w:id="1461"/>
      <w:bookmarkEnd w:id="1462"/>
      <w:bookmarkEnd w:id="1463"/>
    </w:p>
    <w:p w14:paraId="2390391E">
      <w:pPr>
        <w:spacing w:line="36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14.4.1 最终结清申请单</w:t>
      </w:r>
    </w:p>
    <w:p w14:paraId="4F2399B7">
      <w:pPr>
        <w:spacing w:line="36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承包人提交最终结清申请单的份数：</w:t>
      </w:r>
      <w:r>
        <w:rPr>
          <w:rFonts w:hint="eastAsia" w:hAnsi="宋体"/>
          <w:color w:val="auto"/>
          <w:szCs w:val="21"/>
          <w:highlight w:val="none"/>
          <w:u w:val="single"/>
          <w:lang w:val="en-US" w:eastAsia="zh-CN"/>
        </w:rPr>
        <w:t xml:space="preserve">    /    </w:t>
      </w:r>
      <w:r>
        <w:rPr>
          <w:rFonts w:ascii="宋体" w:hAnsi="宋体"/>
          <w:color w:val="auto"/>
          <w:szCs w:val="21"/>
          <w:highlight w:val="none"/>
        </w:rPr>
        <w:t>。</w:t>
      </w:r>
    </w:p>
    <w:p w14:paraId="68047014">
      <w:pPr>
        <w:spacing w:line="360" w:lineRule="auto"/>
        <w:ind w:firstLine="420" w:firstLineChars="200"/>
        <w:jc w:val="left"/>
        <w:rPr>
          <w:rFonts w:ascii="宋体" w:hAnsi="宋体"/>
          <w:color w:val="auto"/>
          <w:szCs w:val="21"/>
          <w:highlight w:val="none"/>
        </w:rPr>
      </w:pPr>
      <w:r>
        <w:rPr>
          <w:rFonts w:ascii="宋体" w:hAnsi="宋体"/>
          <w:color w:val="auto"/>
          <w:kern w:val="0"/>
          <w:szCs w:val="21"/>
          <w:highlight w:val="none"/>
        </w:rPr>
        <w:t>承包人提交最终结算申请单的期限：</w:t>
      </w:r>
      <w:r>
        <w:rPr>
          <w:rFonts w:hint="eastAsia" w:hAnsi="宋体"/>
          <w:color w:val="auto"/>
          <w:szCs w:val="21"/>
          <w:highlight w:val="none"/>
          <w:u w:val="single"/>
          <w:lang w:val="en-US" w:eastAsia="zh-CN"/>
        </w:rPr>
        <w:t xml:space="preserve">      /    </w:t>
      </w:r>
      <w:r>
        <w:rPr>
          <w:rFonts w:ascii="宋体" w:hAnsi="宋体"/>
          <w:color w:val="auto"/>
          <w:szCs w:val="21"/>
          <w:highlight w:val="none"/>
        </w:rPr>
        <w:t xml:space="preserve">。 </w:t>
      </w:r>
    </w:p>
    <w:p w14:paraId="0D5F163B">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14.4.2 最终结清证书和支付</w:t>
      </w:r>
    </w:p>
    <w:p w14:paraId="250DB541">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（1）发包人完成最终结清申请单的审批并颁发最终结清证书的期限：</w:t>
      </w:r>
      <w:r>
        <w:rPr>
          <w:rFonts w:hint="eastAsia" w:hAnsi="宋体"/>
          <w:color w:val="auto"/>
          <w:szCs w:val="21"/>
          <w:highlight w:val="none"/>
          <w:u w:val="single"/>
          <w:lang w:val="en-US" w:eastAsia="zh-CN"/>
        </w:rPr>
        <w:t xml:space="preserve">    /    </w:t>
      </w:r>
      <w:r>
        <w:rPr>
          <w:rFonts w:ascii="宋体" w:hAnsi="宋体"/>
          <w:color w:val="auto"/>
          <w:szCs w:val="21"/>
          <w:highlight w:val="none"/>
        </w:rPr>
        <w:t>。</w:t>
      </w:r>
    </w:p>
    <w:p w14:paraId="724C5F3F">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（2）发包人完成支付的期限：</w:t>
      </w:r>
      <w:r>
        <w:rPr>
          <w:rFonts w:hint="eastAsia" w:hAnsi="宋体"/>
          <w:color w:val="auto"/>
          <w:szCs w:val="21"/>
          <w:highlight w:val="none"/>
          <w:u w:val="single"/>
          <w:lang w:val="en-US" w:eastAsia="zh-CN"/>
        </w:rPr>
        <w:t xml:space="preserve">      /     </w:t>
      </w:r>
      <w:r>
        <w:rPr>
          <w:rFonts w:ascii="宋体" w:hAnsi="宋体"/>
          <w:color w:val="auto"/>
          <w:szCs w:val="21"/>
          <w:highlight w:val="none"/>
        </w:rPr>
        <w:t>。</w:t>
      </w:r>
    </w:p>
    <w:bookmarkEnd w:id="1372"/>
    <w:bookmarkEnd w:id="1373"/>
    <w:bookmarkEnd w:id="1374"/>
    <w:bookmarkEnd w:id="1375"/>
    <w:bookmarkEnd w:id="1376"/>
    <w:bookmarkEnd w:id="1377"/>
    <w:bookmarkEnd w:id="1378"/>
    <w:bookmarkEnd w:id="1384"/>
    <w:p w14:paraId="194E1473">
      <w:pPr>
        <w:keepNext/>
        <w:keepLines/>
        <w:spacing w:before="260" w:after="260" w:line="416" w:lineRule="auto"/>
        <w:outlineLvl w:val="2"/>
        <w:rPr>
          <w:rFonts w:ascii="宋体" w:hAnsi="宋体"/>
          <w:b/>
          <w:bCs/>
          <w:color w:val="auto"/>
          <w:sz w:val="32"/>
          <w:szCs w:val="32"/>
          <w:highlight w:val="none"/>
        </w:rPr>
      </w:pPr>
      <w:bookmarkStart w:id="1464" w:name="_Toc529547390"/>
      <w:bookmarkStart w:id="1465" w:name="_Toc470247865"/>
      <w:bookmarkStart w:id="1466" w:name="_Toc472931671"/>
      <w:bookmarkStart w:id="1467" w:name="_Toc389065327"/>
      <w:bookmarkStart w:id="1468" w:name="_Toc373478409"/>
      <w:bookmarkStart w:id="1469" w:name="_Toc529527038"/>
      <w:bookmarkStart w:id="1470" w:name="_Toc530144532"/>
      <w:bookmarkStart w:id="1471" w:name="_Toc373227762"/>
      <w:bookmarkStart w:id="1472" w:name="_Toc461179308"/>
      <w:bookmarkStart w:id="1473" w:name="_Toc351203647"/>
      <w:bookmarkStart w:id="1474" w:name="_Toc454211178"/>
      <w:bookmarkStart w:id="1475" w:name="_Toc432343954"/>
      <w:bookmarkStart w:id="1476" w:name="_Toc411345246"/>
      <w:bookmarkStart w:id="1477" w:name="_Toc531186667"/>
      <w:bookmarkStart w:id="1478" w:name="_Toc267251483"/>
      <w:bookmarkStart w:id="1479" w:name="_Toc267251482"/>
      <w:bookmarkStart w:id="1480" w:name="_Toc267251484"/>
      <w:bookmarkStart w:id="1481" w:name="_Toc267251485"/>
      <w:bookmarkStart w:id="1482" w:name="_Toc267251486"/>
      <w:bookmarkStart w:id="1483" w:name="_Toc267251489"/>
      <w:bookmarkStart w:id="1484" w:name="_Toc267251490"/>
      <w:bookmarkStart w:id="1485" w:name="_Toc267251488"/>
      <w:bookmarkStart w:id="1486" w:name="_Toc267251491"/>
      <w:bookmarkStart w:id="1487" w:name="_Toc267251501"/>
      <w:bookmarkStart w:id="1488" w:name="_Toc267251494"/>
      <w:bookmarkStart w:id="1489" w:name="_Toc267251492"/>
      <w:bookmarkStart w:id="1490" w:name="_Toc267251502"/>
      <w:bookmarkStart w:id="1491" w:name="_Toc267251496"/>
      <w:bookmarkStart w:id="1492" w:name="_Toc267251498"/>
      <w:bookmarkStart w:id="1493" w:name="_Toc267251499"/>
      <w:bookmarkStart w:id="1494" w:name="_Toc267251493"/>
      <w:bookmarkStart w:id="1495" w:name="_Toc267251497"/>
      <w:bookmarkStart w:id="1496" w:name="_Toc267251503"/>
      <w:bookmarkStart w:id="1497" w:name="_Toc267251495"/>
      <w:bookmarkStart w:id="1498" w:name="_Toc267251504"/>
      <w:bookmarkStart w:id="1499" w:name="_Toc267251506"/>
      <w:bookmarkStart w:id="1500" w:name="_Toc267251507"/>
      <w:bookmarkStart w:id="1501" w:name="_Toc267251508"/>
      <w:bookmarkStart w:id="1502" w:name="_Toc267251509"/>
      <w:bookmarkStart w:id="1503" w:name="_Toc267251513"/>
      <w:bookmarkStart w:id="1504" w:name="_Toc267251514"/>
      <w:bookmarkStart w:id="1505" w:name="_Toc267251515"/>
      <w:bookmarkStart w:id="1506" w:name="_Toc267251510"/>
      <w:bookmarkStart w:id="1507" w:name="_Toc267251511"/>
      <w:r>
        <w:rPr>
          <w:rFonts w:ascii="宋体" w:hAnsi="宋体"/>
          <w:b/>
          <w:bCs/>
          <w:color w:val="auto"/>
          <w:sz w:val="32"/>
          <w:szCs w:val="32"/>
          <w:highlight w:val="none"/>
        </w:rPr>
        <w:t>15. 缺陷责任期与保修</w:t>
      </w:r>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p>
    <w:p w14:paraId="653AEC25">
      <w:pPr>
        <w:keepNext/>
        <w:keepLines/>
        <w:spacing w:before="260" w:after="260" w:line="416" w:lineRule="auto"/>
        <w:outlineLvl w:val="2"/>
        <w:rPr>
          <w:rFonts w:ascii="宋体" w:hAnsi="宋体"/>
          <w:b/>
          <w:bCs/>
          <w:color w:val="auto"/>
          <w:sz w:val="32"/>
          <w:szCs w:val="32"/>
          <w:highlight w:val="none"/>
        </w:rPr>
      </w:pPr>
      <w:bookmarkStart w:id="1508" w:name="_Toc389065328"/>
      <w:bookmarkStart w:id="1509" w:name="_Toc470247866"/>
      <w:bookmarkStart w:id="1510" w:name="_Toc373478410"/>
      <w:bookmarkStart w:id="1511" w:name="_Toc529527039"/>
      <w:bookmarkStart w:id="1512" w:name="_Toc432343955"/>
      <w:bookmarkStart w:id="1513" w:name="_Toc454211179"/>
      <w:bookmarkStart w:id="1514" w:name="_Toc530144533"/>
      <w:bookmarkStart w:id="1515" w:name="_Toc373227763"/>
      <w:bookmarkStart w:id="1516" w:name="_Toc529547391"/>
      <w:bookmarkStart w:id="1517" w:name="_Toc461179309"/>
      <w:bookmarkStart w:id="1518" w:name="_Toc411345247"/>
      <w:bookmarkStart w:id="1519" w:name="_Toc531186668"/>
      <w:bookmarkStart w:id="1520" w:name="_Toc472931672"/>
      <w:r>
        <w:rPr>
          <w:rFonts w:ascii="宋体" w:hAnsi="宋体"/>
          <w:b/>
          <w:bCs/>
          <w:color w:val="auto"/>
          <w:sz w:val="32"/>
          <w:szCs w:val="32"/>
          <w:highlight w:val="none"/>
        </w:rPr>
        <w:t>15.2缺陷责任期</w:t>
      </w:r>
      <w:bookmarkEnd w:id="1478"/>
      <w:bookmarkEnd w:id="1508"/>
      <w:bookmarkEnd w:id="1509"/>
      <w:bookmarkEnd w:id="1510"/>
      <w:bookmarkEnd w:id="1511"/>
      <w:bookmarkEnd w:id="1512"/>
      <w:bookmarkEnd w:id="1513"/>
      <w:bookmarkEnd w:id="1514"/>
      <w:bookmarkEnd w:id="1515"/>
      <w:bookmarkEnd w:id="1516"/>
      <w:bookmarkEnd w:id="1517"/>
      <w:bookmarkEnd w:id="1518"/>
      <w:bookmarkEnd w:id="1519"/>
      <w:bookmarkEnd w:id="1520"/>
    </w:p>
    <w:p w14:paraId="70AB252E">
      <w:pPr>
        <w:spacing w:line="360" w:lineRule="auto"/>
        <w:ind w:firstLine="420" w:firstLineChars="200"/>
        <w:jc w:val="left"/>
        <w:rPr>
          <w:rFonts w:ascii="宋体" w:hAnsi="宋体"/>
          <w:color w:val="auto"/>
          <w:szCs w:val="21"/>
          <w:highlight w:val="none"/>
          <w:u w:val="single"/>
        </w:rPr>
      </w:pPr>
      <w:r>
        <w:rPr>
          <w:rFonts w:ascii="宋体" w:hAnsi="宋体"/>
          <w:color w:val="auto"/>
          <w:szCs w:val="21"/>
          <w:highlight w:val="none"/>
        </w:rPr>
        <w:t>缺陷责任期的具体期限：</w:t>
      </w:r>
      <w:r>
        <w:rPr>
          <w:rFonts w:hint="eastAsia" w:ascii="宋体" w:hAnsi="宋体" w:eastAsia="宋体" w:cs="Times New Roman"/>
          <w:b/>
          <w:bCs/>
          <w:color w:val="auto"/>
          <w:szCs w:val="21"/>
          <w:highlight w:val="none"/>
          <w:u w:val="single"/>
          <w:lang w:val="en-US" w:eastAsia="zh-CN"/>
        </w:rPr>
        <w:t>12</w:t>
      </w:r>
      <w:r>
        <w:rPr>
          <w:rFonts w:hint="eastAsia" w:ascii="宋体" w:hAnsi="宋体" w:eastAsia="宋体" w:cs="Times New Roman"/>
          <w:b/>
          <w:bCs/>
          <w:color w:val="auto"/>
          <w:szCs w:val="21"/>
          <w:highlight w:val="none"/>
          <w:u w:val="single"/>
        </w:rPr>
        <w:t>个</w:t>
      </w:r>
      <w:r>
        <w:rPr>
          <w:rFonts w:hint="eastAsia" w:ascii="宋体" w:hAnsi="宋体"/>
          <w:b/>
          <w:bCs/>
          <w:color w:val="auto"/>
          <w:szCs w:val="21"/>
          <w:highlight w:val="none"/>
          <w:u w:val="single"/>
        </w:rPr>
        <w:t>月</w:t>
      </w:r>
      <w:r>
        <w:rPr>
          <w:rFonts w:ascii="宋体" w:hAnsi="宋体"/>
          <w:color w:val="auto"/>
          <w:szCs w:val="21"/>
          <w:highlight w:val="none"/>
        </w:rPr>
        <w:t>。</w:t>
      </w:r>
    </w:p>
    <w:p w14:paraId="2C5B97CD">
      <w:pPr>
        <w:keepNext/>
        <w:keepLines/>
        <w:spacing w:before="260" w:after="260" w:line="416" w:lineRule="auto"/>
        <w:outlineLvl w:val="2"/>
        <w:rPr>
          <w:rFonts w:ascii="宋体" w:hAnsi="宋体"/>
          <w:b/>
          <w:bCs/>
          <w:color w:val="auto"/>
          <w:sz w:val="32"/>
          <w:szCs w:val="32"/>
          <w:highlight w:val="none"/>
        </w:rPr>
      </w:pPr>
      <w:bookmarkStart w:id="1521" w:name="_Toc454211180"/>
      <w:bookmarkStart w:id="1522" w:name="_Toc373227764"/>
      <w:bookmarkStart w:id="1523" w:name="_Toc472931673"/>
      <w:bookmarkStart w:id="1524" w:name="_Toc529547392"/>
      <w:bookmarkStart w:id="1525" w:name="_Toc461179310"/>
      <w:bookmarkStart w:id="1526" w:name="_Toc530144534"/>
      <w:bookmarkStart w:id="1527" w:name="_Toc531186669"/>
      <w:bookmarkStart w:id="1528" w:name="_Toc432343956"/>
      <w:bookmarkStart w:id="1529" w:name="_Toc389065329"/>
      <w:bookmarkStart w:id="1530" w:name="_Toc373478411"/>
      <w:bookmarkStart w:id="1531" w:name="_Toc470247867"/>
      <w:bookmarkStart w:id="1532" w:name="_Toc411345248"/>
      <w:bookmarkStart w:id="1533" w:name="_Toc529527040"/>
      <w:r>
        <w:rPr>
          <w:rFonts w:ascii="宋体" w:hAnsi="宋体"/>
          <w:b/>
          <w:bCs/>
          <w:color w:val="auto"/>
          <w:sz w:val="32"/>
          <w:szCs w:val="32"/>
          <w:highlight w:val="none"/>
        </w:rPr>
        <w:t>15.3 质量保证金</w:t>
      </w:r>
      <w:bookmarkEnd w:id="1521"/>
      <w:bookmarkEnd w:id="1522"/>
      <w:bookmarkEnd w:id="1523"/>
      <w:bookmarkEnd w:id="1524"/>
      <w:bookmarkEnd w:id="1525"/>
      <w:bookmarkEnd w:id="1526"/>
      <w:bookmarkEnd w:id="1527"/>
      <w:bookmarkEnd w:id="1528"/>
      <w:bookmarkEnd w:id="1529"/>
      <w:bookmarkEnd w:id="1530"/>
      <w:bookmarkEnd w:id="1531"/>
      <w:bookmarkEnd w:id="1532"/>
      <w:bookmarkEnd w:id="1533"/>
    </w:p>
    <w:p w14:paraId="38951AA4">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关于是否扣留质量保证金的约定：</w:t>
      </w:r>
      <w:r>
        <w:rPr>
          <w:rFonts w:hint="eastAsia" w:ascii="宋体" w:hAnsi="宋体"/>
          <w:color w:val="auto"/>
          <w:szCs w:val="21"/>
          <w:highlight w:val="none"/>
          <w:u w:val="single"/>
        </w:rPr>
        <w:t>扣留</w:t>
      </w:r>
      <w:r>
        <w:rPr>
          <w:rFonts w:ascii="宋体" w:hAnsi="宋体"/>
          <w:color w:val="auto"/>
          <w:szCs w:val="21"/>
          <w:highlight w:val="none"/>
        </w:rPr>
        <w:t>。</w:t>
      </w:r>
    </w:p>
    <w:p w14:paraId="27B93468">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15.3.1 承包人提供质量保证金的方式</w:t>
      </w:r>
    </w:p>
    <w:p w14:paraId="7B1DC642">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质量保证金采用以下第</w:t>
      </w:r>
      <w:r>
        <w:rPr>
          <w:rFonts w:hint="eastAsia" w:ascii="宋体" w:hAnsi="宋体"/>
          <w:b/>
          <w:bCs/>
          <w:color w:val="auto"/>
          <w:szCs w:val="21"/>
          <w:highlight w:val="none"/>
          <w:u w:val="single"/>
        </w:rPr>
        <w:t>（2）</w:t>
      </w:r>
      <w:r>
        <w:rPr>
          <w:rFonts w:ascii="宋体" w:hAnsi="宋体"/>
          <w:color w:val="auto"/>
          <w:szCs w:val="21"/>
          <w:highlight w:val="none"/>
        </w:rPr>
        <w:t>种方式：</w:t>
      </w:r>
    </w:p>
    <w:p w14:paraId="63B09781">
      <w:pPr>
        <w:autoSpaceDE w:val="0"/>
        <w:autoSpaceDN w:val="0"/>
        <w:adjustRightInd w:val="0"/>
        <w:spacing w:line="36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（1）质量保证金保函，保证金额为：；</w:t>
      </w:r>
    </w:p>
    <w:p w14:paraId="66540F37">
      <w:pPr>
        <w:autoSpaceDE w:val="0"/>
        <w:autoSpaceDN w:val="0"/>
        <w:adjustRightInd w:val="0"/>
        <w:spacing w:line="36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（2）</w:t>
      </w:r>
      <w:r>
        <w:rPr>
          <w:rFonts w:ascii="宋体" w:hAnsi="宋体"/>
          <w:bCs/>
          <w:color w:val="auto"/>
          <w:szCs w:val="21"/>
          <w:highlight w:val="none"/>
        </w:rPr>
        <w:t>发包人按工程价款结算总额的</w:t>
      </w:r>
      <w:r>
        <w:rPr>
          <w:rFonts w:hint="eastAsia" w:ascii="宋体" w:hAnsi="宋体"/>
          <w:b/>
          <w:color w:val="auto"/>
          <w:szCs w:val="21"/>
          <w:highlight w:val="none"/>
          <w:u w:val="single"/>
        </w:rPr>
        <w:t xml:space="preserve"> 3 </w:t>
      </w:r>
      <w:r>
        <w:rPr>
          <w:rFonts w:ascii="宋体" w:hAnsi="宋体"/>
          <w:bCs/>
          <w:color w:val="auto"/>
          <w:szCs w:val="21"/>
          <w:highlight w:val="none"/>
        </w:rPr>
        <w:t>%预留工程质量保修金，待</w:t>
      </w:r>
      <w:r>
        <w:rPr>
          <w:rFonts w:hint="eastAsia" w:ascii="宋体" w:hAnsi="宋体"/>
          <w:bCs/>
          <w:color w:val="auto"/>
          <w:szCs w:val="21"/>
          <w:highlight w:val="none"/>
        </w:rPr>
        <w:t>缺陷责任期</w:t>
      </w:r>
      <w:r>
        <w:rPr>
          <w:rFonts w:ascii="宋体" w:hAnsi="宋体"/>
          <w:bCs/>
          <w:color w:val="auto"/>
          <w:szCs w:val="21"/>
          <w:highlight w:val="none"/>
        </w:rPr>
        <w:t>满后返还</w:t>
      </w:r>
      <w:r>
        <w:rPr>
          <w:rFonts w:ascii="宋体" w:hAnsi="宋体"/>
          <w:color w:val="auto"/>
          <w:kern w:val="0"/>
          <w:szCs w:val="21"/>
          <w:highlight w:val="none"/>
        </w:rPr>
        <w:t>；</w:t>
      </w:r>
    </w:p>
    <w:p w14:paraId="26A9BF97">
      <w:pPr>
        <w:autoSpaceDE w:val="0"/>
        <w:autoSpaceDN w:val="0"/>
        <w:adjustRightInd w:val="0"/>
        <w:spacing w:line="36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（3）其他方式</w:t>
      </w:r>
      <w:r>
        <w:rPr>
          <w:rFonts w:hint="eastAsia" w:ascii="宋体" w:hAnsi="宋体"/>
          <w:color w:val="auto"/>
          <w:kern w:val="0"/>
          <w:szCs w:val="21"/>
          <w:highlight w:val="none"/>
        </w:rPr>
        <w:t>：</w:t>
      </w:r>
      <w:r>
        <w:rPr>
          <w:rFonts w:hint="eastAsia" w:ascii="宋体" w:hAnsi="宋体"/>
          <w:bCs/>
          <w:color w:val="auto"/>
          <w:szCs w:val="21"/>
          <w:highlight w:val="none"/>
          <w:u w:val="single"/>
        </w:rPr>
        <w:t xml:space="preserve">    /     </w:t>
      </w:r>
      <w:r>
        <w:rPr>
          <w:rFonts w:ascii="宋体" w:hAnsi="宋体"/>
          <w:bCs/>
          <w:color w:val="auto"/>
          <w:szCs w:val="21"/>
          <w:highlight w:val="none"/>
        </w:rPr>
        <w:t>。</w:t>
      </w:r>
    </w:p>
    <w:p w14:paraId="27E5EEE5">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15.3.2 质量保证金的扣留</w:t>
      </w:r>
    </w:p>
    <w:p w14:paraId="760EF678">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质量保证金的扣留采取以下第</w:t>
      </w:r>
      <w:r>
        <w:rPr>
          <w:rFonts w:hint="eastAsia" w:ascii="宋体" w:hAnsi="宋体"/>
          <w:b/>
          <w:bCs/>
          <w:color w:val="auto"/>
          <w:szCs w:val="21"/>
          <w:highlight w:val="none"/>
          <w:u w:val="single"/>
        </w:rPr>
        <w:t>（2）</w:t>
      </w:r>
      <w:r>
        <w:rPr>
          <w:rFonts w:ascii="宋体" w:hAnsi="宋体"/>
          <w:color w:val="auto"/>
          <w:szCs w:val="21"/>
          <w:highlight w:val="none"/>
        </w:rPr>
        <w:t>种方式：</w:t>
      </w:r>
    </w:p>
    <w:p w14:paraId="3C9FCEC5">
      <w:pPr>
        <w:autoSpaceDE w:val="0"/>
        <w:autoSpaceDN w:val="0"/>
        <w:adjustRightInd w:val="0"/>
        <w:spacing w:line="36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（1）在支付工程进度款时逐次扣留，在此情形下，质量保证金的计算基数不包括预付款的支付、扣回以及价格调整的金额；</w:t>
      </w:r>
    </w:p>
    <w:p w14:paraId="3AA7FBF7">
      <w:pPr>
        <w:autoSpaceDE w:val="0"/>
        <w:autoSpaceDN w:val="0"/>
        <w:adjustRightInd w:val="0"/>
        <w:spacing w:line="36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（2）工程竣工结算时一次性扣留质量保证金；</w:t>
      </w:r>
    </w:p>
    <w:p w14:paraId="66464990">
      <w:pPr>
        <w:autoSpaceDE w:val="0"/>
        <w:autoSpaceDN w:val="0"/>
        <w:adjustRightInd w:val="0"/>
        <w:spacing w:line="36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（3）其他扣留方式:</w:t>
      </w:r>
      <w:r>
        <w:rPr>
          <w:rFonts w:hint="eastAsia" w:ascii="宋体" w:hAnsi="宋体"/>
          <w:color w:val="auto"/>
          <w:kern w:val="0"/>
          <w:szCs w:val="21"/>
          <w:highlight w:val="none"/>
          <w:u w:val="single"/>
        </w:rPr>
        <w:t xml:space="preserve">  /   </w:t>
      </w:r>
      <w:r>
        <w:rPr>
          <w:rFonts w:ascii="宋体" w:hAnsi="宋体"/>
          <w:color w:val="auto"/>
          <w:kern w:val="0"/>
          <w:szCs w:val="21"/>
          <w:highlight w:val="none"/>
        </w:rPr>
        <w:t>。</w:t>
      </w:r>
    </w:p>
    <w:p w14:paraId="05FDA7A5">
      <w:pPr>
        <w:spacing w:line="360" w:lineRule="auto"/>
        <w:ind w:firstLine="420" w:firstLineChars="200"/>
        <w:jc w:val="left"/>
        <w:rPr>
          <w:rFonts w:ascii="宋体" w:hAnsi="宋体"/>
          <w:color w:val="auto"/>
          <w:kern w:val="0"/>
          <w:szCs w:val="21"/>
          <w:highlight w:val="none"/>
          <w:u w:val="single"/>
        </w:rPr>
      </w:pPr>
      <w:r>
        <w:rPr>
          <w:rFonts w:ascii="宋体" w:hAnsi="宋体"/>
          <w:color w:val="auto"/>
          <w:szCs w:val="21"/>
          <w:highlight w:val="none"/>
        </w:rPr>
        <w:t>关于质量保证金的补充约定：</w:t>
      </w:r>
      <w:r>
        <w:rPr>
          <w:rFonts w:hint="eastAsia" w:ascii="宋体" w:hAnsi="宋体"/>
          <w:color w:val="auto"/>
          <w:kern w:val="0"/>
          <w:szCs w:val="21"/>
          <w:highlight w:val="none"/>
          <w:u w:val="single"/>
        </w:rPr>
        <w:t>/</w:t>
      </w:r>
      <w:r>
        <w:rPr>
          <w:rFonts w:ascii="宋体" w:hAnsi="宋体"/>
          <w:color w:val="auto"/>
          <w:kern w:val="0"/>
          <w:szCs w:val="21"/>
          <w:highlight w:val="none"/>
        </w:rPr>
        <w:t>。</w:t>
      </w:r>
    </w:p>
    <w:bookmarkEnd w:id="1479"/>
    <w:bookmarkEnd w:id="1480"/>
    <w:p w14:paraId="44F73BBB">
      <w:pPr>
        <w:keepNext/>
        <w:keepLines/>
        <w:spacing w:before="260" w:after="260" w:line="416" w:lineRule="auto"/>
        <w:outlineLvl w:val="2"/>
        <w:rPr>
          <w:rFonts w:ascii="宋体" w:hAnsi="宋体"/>
          <w:b/>
          <w:bCs/>
          <w:color w:val="auto"/>
          <w:sz w:val="32"/>
          <w:szCs w:val="32"/>
          <w:highlight w:val="none"/>
        </w:rPr>
      </w:pPr>
      <w:bookmarkStart w:id="1534" w:name="_Toc411345249"/>
      <w:bookmarkStart w:id="1535" w:name="_Toc472931674"/>
      <w:bookmarkStart w:id="1536" w:name="_Toc432343957"/>
      <w:bookmarkStart w:id="1537" w:name="_Toc529527041"/>
      <w:bookmarkStart w:id="1538" w:name="_Toc529547393"/>
      <w:bookmarkStart w:id="1539" w:name="_Toc470247868"/>
      <w:bookmarkStart w:id="1540" w:name="_Toc373478412"/>
      <w:bookmarkStart w:id="1541" w:name="_Toc461179311"/>
      <w:bookmarkStart w:id="1542" w:name="_Toc389065330"/>
      <w:bookmarkStart w:id="1543" w:name="_Toc531186670"/>
      <w:bookmarkStart w:id="1544" w:name="_Toc373227765"/>
      <w:bookmarkStart w:id="1545" w:name="_Toc454211181"/>
      <w:bookmarkStart w:id="1546" w:name="_Toc530144535"/>
      <w:r>
        <w:rPr>
          <w:rFonts w:ascii="宋体" w:hAnsi="宋体"/>
          <w:b/>
          <w:bCs/>
          <w:color w:val="auto"/>
          <w:sz w:val="32"/>
          <w:szCs w:val="32"/>
          <w:highlight w:val="none"/>
        </w:rPr>
        <w:t>15.4保修</w:t>
      </w:r>
      <w:bookmarkEnd w:id="1534"/>
      <w:bookmarkEnd w:id="1535"/>
      <w:bookmarkEnd w:id="1536"/>
      <w:bookmarkEnd w:id="1537"/>
      <w:bookmarkEnd w:id="1538"/>
      <w:bookmarkEnd w:id="1539"/>
      <w:bookmarkEnd w:id="1540"/>
      <w:bookmarkEnd w:id="1541"/>
      <w:bookmarkEnd w:id="1542"/>
      <w:bookmarkEnd w:id="1543"/>
      <w:bookmarkEnd w:id="1544"/>
      <w:bookmarkEnd w:id="1545"/>
      <w:bookmarkEnd w:id="1546"/>
    </w:p>
    <w:bookmarkEnd w:id="1481"/>
    <w:p w14:paraId="6406782A">
      <w:pPr>
        <w:spacing w:line="360" w:lineRule="auto"/>
        <w:ind w:firstLine="409" w:firstLineChars="195"/>
        <w:jc w:val="left"/>
        <w:rPr>
          <w:rFonts w:ascii="宋体" w:hAnsi="宋体"/>
          <w:color w:val="auto"/>
          <w:szCs w:val="21"/>
          <w:highlight w:val="none"/>
        </w:rPr>
      </w:pPr>
      <w:r>
        <w:rPr>
          <w:rFonts w:ascii="宋体" w:hAnsi="宋体"/>
          <w:color w:val="auto"/>
          <w:szCs w:val="21"/>
          <w:highlight w:val="none"/>
        </w:rPr>
        <w:t>15.4.1 保修责任</w:t>
      </w:r>
    </w:p>
    <w:p w14:paraId="4AE1541D">
      <w:pPr>
        <w:spacing w:line="360" w:lineRule="auto"/>
        <w:ind w:firstLine="409" w:firstLineChars="195"/>
        <w:jc w:val="left"/>
        <w:rPr>
          <w:rFonts w:ascii="宋体" w:hAnsi="宋体"/>
          <w:color w:val="auto"/>
          <w:kern w:val="0"/>
          <w:szCs w:val="21"/>
          <w:highlight w:val="none"/>
        </w:rPr>
      </w:pPr>
      <w:r>
        <w:rPr>
          <w:rFonts w:ascii="宋体" w:hAnsi="宋体"/>
          <w:color w:val="auto"/>
          <w:szCs w:val="21"/>
          <w:highlight w:val="none"/>
        </w:rPr>
        <w:t>工程保修期为：</w:t>
      </w:r>
      <w:r>
        <w:rPr>
          <w:rFonts w:hint="eastAsia" w:ascii="宋体" w:hAnsi="宋体"/>
          <w:color w:val="auto"/>
          <w:kern w:val="0"/>
          <w:szCs w:val="21"/>
          <w:highlight w:val="none"/>
          <w:u w:val="single"/>
        </w:rPr>
        <w:t>见工程质量保修书</w:t>
      </w:r>
      <w:r>
        <w:rPr>
          <w:rFonts w:ascii="宋体" w:hAnsi="宋体"/>
          <w:color w:val="auto"/>
          <w:kern w:val="0"/>
          <w:szCs w:val="21"/>
          <w:highlight w:val="none"/>
        </w:rPr>
        <w:t>。</w:t>
      </w:r>
    </w:p>
    <w:p w14:paraId="2B9A5557">
      <w:pPr>
        <w:spacing w:line="360" w:lineRule="auto"/>
        <w:ind w:firstLine="409" w:firstLineChars="195"/>
        <w:jc w:val="left"/>
        <w:rPr>
          <w:rFonts w:ascii="宋体" w:hAnsi="宋体"/>
          <w:color w:val="auto"/>
          <w:kern w:val="0"/>
          <w:szCs w:val="21"/>
          <w:highlight w:val="none"/>
          <w:u w:val="single"/>
        </w:rPr>
      </w:pPr>
      <w:r>
        <w:rPr>
          <w:rFonts w:hint="eastAsia" w:ascii="宋体" w:hAnsi="宋体"/>
          <w:color w:val="auto"/>
          <w:szCs w:val="21"/>
          <w:highlight w:val="none"/>
        </w:rPr>
        <w:t>工程保修书具体内容见合同附件8。</w:t>
      </w:r>
    </w:p>
    <w:p w14:paraId="7CFC5757">
      <w:pPr>
        <w:spacing w:line="360" w:lineRule="auto"/>
        <w:ind w:firstLine="409" w:firstLineChars="195"/>
        <w:jc w:val="left"/>
        <w:rPr>
          <w:rFonts w:ascii="宋体" w:hAnsi="宋体"/>
          <w:color w:val="auto"/>
          <w:szCs w:val="21"/>
          <w:highlight w:val="none"/>
        </w:rPr>
      </w:pPr>
      <w:r>
        <w:rPr>
          <w:rFonts w:ascii="宋体" w:hAnsi="宋体"/>
          <w:color w:val="auto"/>
          <w:szCs w:val="21"/>
          <w:highlight w:val="none"/>
        </w:rPr>
        <w:t>15.4.3 修复通知</w:t>
      </w:r>
    </w:p>
    <w:p w14:paraId="0022E800">
      <w:pPr>
        <w:spacing w:line="360" w:lineRule="auto"/>
        <w:ind w:firstLine="409" w:firstLineChars="195"/>
        <w:jc w:val="left"/>
        <w:rPr>
          <w:rFonts w:ascii="宋体" w:hAnsi="宋体"/>
          <w:color w:val="auto"/>
          <w:kern w:val="0"/>
          <w:szCs w:val="21"/>
          <w:highlight w:val="none"/>
          <w:u w:val="single"/>
        </w:rPr>
      </w:pPr>
      <w:r>
        <w:rPr>
          <w:rFonts w:ascii="宋体" w:hAnsi="宋体"/>
          <w:color w:val="auto"/>
          <w:kern w:val="0"/>
          <w:szCs w:val="21"/>
          <w:highlight w:val="none"/>
        </w:rPr>
        <w:t>承包人收到保修通知并到达工程现场的合理时间：</w:t>
      </w:r>
      <w:r>
        <w:rPr>
          <w:rFonts w:hint="eastAsia" w:ascii="宋体" w:hAnsi="宋体"/>
          <w:color w:val="auto"/>
          <w:kern w:val="0"/>
          <w:szCs w:val="21"/>
          <w:highlight w:val="none"/>
          <w:u w:val="single"/>
        </w:rPr>
        <w:t>见工程质量保修书</w:t>
      </w:r>
      <w:r>
        <w:rPr>
          <w:rFonts w:ascii="宋体" w:hAnsi="宋体"/>
          <w:color w:val="auto"/>
          <w:kern w:val="0"/>
          <w:szCs w:val="21"/>
          <w:highlight w:val="none"/>
        </w:rPr>
        <w:t>。</w:t>
      </w:r>
    </w:p>
    <w:bookmarkEnd w:id="1482"/>
    <w:bookmarkEnd w:id="1483"/>
    <w:bookmarkEnd w:id="1484"/>
    <w:bookmarkEnd w:id="1485"/>
    <w:p w14:paraId="556C95EE">
      <w:pPr>
        <w:keepNext/>
        <w:keepLines/>
        <w:spacing w:before="260" w:after="260" w:line="416" w:lineRule="auto"/>
        <w:outlineLvl w:val="2"/>
        <w:rPr>
          <w:rFonts w:ascii="宋体" w:hAnsi="宋体"/>
          <w:b/>
          <w:bCs/>
          <w:color w:val="auto"/>
          <w:sz w:val="32"/>
          <w:szCs w:val="32"/>
          <w:highlight w:val="none"/>
        </w:rPr>
      </w:pPr>
      <w:bookmarkStart w:id="1547" w:name="_Toc530144536"/>
      <w:bookmarkStart w:id="1548" w:name="_Toc461179312"/>
      <w:bookmarkStart w:id="1549" w:name="_Toc529547394"/>
      <w:bookmarkStart w:id="1550" w:name="_Toc531186671"/>
      <w:bookmarkStart w:id="1551" w:name="_Toc351203648"/>
      <w:bookmarkStart w:id="1552" w:name="_Toc373227766"/>
      <w:bookmarkStart w:id="1553" w:name="_Toc373478413"/>
      <w:bookmarkStart w:id="1554" w:name="_Toc529527042"/>
      <w:bookmarkStart w:id="1555" w:name="_Toc389065331"/>
      <w:bookmarkStart w:id="1556" w:name="_Toc470247869"/>
      <w:bookmarkStart w:id="1557" w:name="_Toc411345250"/>
      <w:bookmarkStart w:id="1558" w:name="_Toc454211182"/>
      <w:bookmarkStart w:id="1559" w:name="_Toc472931675"/>
      <w:bookmarkStart w:id="1560" w:name="_Toc432343958"/>
      <w:bookmarkStart w:id="1561" w:name="_Toc280868717"/>
      <w:bookmarkStart w:id="1562" w:name="_Toc280868718"/>
      <w:r>
        <w:rPr>
          <w:rFonts w:ascii="宋体" w:hAnsi="宋体"/>
          <w:b/>
          <w:bCs/>
          <w:color w:val="auto"/>
          <w:sz w:val="32"/>
          <w:szCs w:val="32"/>
          <w:highlight w:val="none"/>
        </w:rPr>
        <w:t>16. 违约</w:t>
      </w:r>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p>
    <w:p w14:paraId="33F34C36">
      <w:pPr>
        <w:keepNext/>
        <w:keepLines/>
        <w:spacing w:before="260" w:after="260" w:line="416" w:lineRule="auto"/>
        <w:outlineLvl w:val="2"/>
        <w:rPr>
          <w:rFonts w:ascii="宋体" w:hAnsi="宋体"/>
          <w:b/>
          <w:bCs/>
          <w:color w:val="auto"/>
          <w:sz w:val="32"/>
          <w:szCs w:val="32"/>
          <w:highlight w:val="none"/>
        </w:rPr>
      </w:pPr>
      <w:bookmarkStart w:id="1563" w:name="_Toc454211183"/>
      <w:bookmarkStart w:id="1564" w:name="_Toc411345251"/>
      <w:bookmarkStart w:id="1565" w:name="_Toc432343959"/>
      <w:bookmarkStart w:id="1566" w:name="_Toc531186672"/>
      <w:bookmarkStart w:id="1567" w:name="_Toc373478414"/>
      <w:bookmarkStart w:id="1568" w:name="_Toc389065332"/>
      <w:bookmarkStart w:id="1569" w:name="_Toc470247870"/>
      <w:bookmarkStart w:id="1570" w:name="_Toc530144537"/>
      <w:bookmarkStart w:id="1571" w:name="_Toc373227767"/>
      <w:bookmarkStart w:id="1572" w:name="_Toc529547395"/>
      <w:bookmarkStart w:id="1573" w:name="_Toc529527043"/>
      <w:bookmarkStart w:id="1574" w:name="_Toc461179313"/>
      <w:bookmarkStart w:id="1575" w:name="_Toc472931676"/>
      <w:r>
        <w:rPr>
          <w:rFonts w:ascii="宋体" w:hAnsi="宋体"/>
          <w:b/>
          <w:bCs/>
          <w:color w:val="auto"/>
          <w:sz w:val="32"/>
          <w:szCs w:val="32"/>
          <w:highlight w:val="none"/>
        </w:rPr>
        <w:t>16.1 发包人违约</w:t>
      </w:r>
      <w:bookmarkEnd w:id="1563"/>
      <w:bookmarkEnd w:id="1564"/>
      <w:bookmarkEnd w:id="1565"/>
      <w:bookmarkEnd w:id="1566"/>
      <w:bookmarkEnd w:id="1567"/>
      <w:bookmarkEnd w:id="1568"/>
      <w:bookmarkEnd w:id="1569"/>
      <w:bookmarkEnd w:id="1570"/>
      <w:bookmarkEnd w:id="1571"/>
      <w:bookmarkEnd w:id="1572"/>
      <w:bookmarkEnd w:id="1573"/>
      <w:bookmarkEnd w:id="1574"/>
      <w:bookmarkEnd w:id="1575"/>
    </w:p>
    <w:p w14:paraId="6B451DE0">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16.1.1发包人违约的情形</w:t>
      </w:r>
    </w:p>
    <w:p w14:paraId="5D8F63FC">
      <w:pPr>
        <w:spacing w:line="36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发包人违约的其他情形：</w:t>
      </w:r>
      <w:r>
        <w:rPr>
          <w:rFonts w:hint="eastAsia" w:ascii="宋体" w:hAnsi="宋体"/>
          <w:color w:val="auto"/>
          <w:kern w:val="0"/>
          <w:szCs w:val="21"/>
          <w:highlight w:val="none"/>
          <w:u w:val="single"/>
        </w:rPr>
        <w:t>无</w:t>
      </w:r>
      <w:r>
        <w:rPr>
          <w:rFonts w:ascii="宋体" w:hAnsi="宋体"/>
          <w:color w:val="auto"/>
          <w:kern w:val="0"/>
          <w:szCs w:val="21"/>
          <w:highlight w:val="none"/>
        </w:rPr>
        <w:t>。</w:t>
      </w:r>
    </w:p>
    <w:p w14:paraId="1895E527">
      <w:pPr>
        <w:spacing w:line="36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16.1.2 发包人违约的责任</w:t>
      </w:r>
    </w:p>
    <w:p w14:paraId="0073DD67">
      <w:pPr>
        <w:spacing w:line="36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发包人违约责任的承担方式和计算方法：</w:t>
      </w:r>
    </w:p>
    <w:p w14:paraId="1CCAA1B9">
      <w:pPr>
        <w:spacing w:line="360" w:lineRule="auto"/>
        <w:ind w:firstLine="420" w:firstLineChars="200"/>
        <w:jc w:val="left"/>
        <w:rPr>
          <w:rFonts w:ascii="宋体" w:hAnsi="宋体"/>
          <w:color w:val="auto"/>
          <w:kern w:val="0"/>
          <w:szCs w:val="21"/>
          <w:highlight w:val="none"/>
          <w:u w:val="single"/>
        </w:rPr>
      </w:pPr>
      <w:r>
        <w:rPr>
          <w:rFonts w:ascii="宋体" w:hAnsi="宋体"/>
          <w:color w:val="auto"/>
          <w:kern w:val="0"/>
          <w:szCs w:val="21"/>
          <w:highlight w:val="none"/>
        </w:rPr>
        <w:t>（1）因发包人原因未能在计划开工日期前7天内下达开工通知的违约责任：</w:t>
      </w:r>
      <w:r>
        <w:rPr>
          <w:rFonts w:hint="eastAsia" w:ascii="宋体" w:hAnsi="宋体"/>
          <w:color w:val="auto"/>
          <w:kern w:val="0"/>
          <w:szCs w:val="21"/>
          <w:highlight w:val="none"/>
          <w:u w:val="single"/>
        </w:rPr>
        <w:t>工期顺延</w:t>
      </w:r>
      <w:r>
        <w:rPr>
          <w:rFonts w:ascii="宋体" w:hAnsi="宋体"/>
          <w:color w:val="auto"/>
          <w:kern w:val="0"/>
          <w:szCs w:val="21"/>
          <w:highlight w:val="none"/>
        </w:rPr>
        <w:t>。</w:t>
      </w:r>
    </w:p>
    <w:p w14:paraId="6DC9B7FF">
      <w:pPr>
        <w:spacing w:line="36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（2）因发包人原因未能按合同约定支付合同价款的违约责任：</w:t>
      </w:r>
      <w:r>
        <w:rPr>
          <w:rFonts w:hint="eastAsia" w:ascii="宋体" w:hAnsi="宋体"/>
          <w:color w:val="auto"/>
          <w:kern w:val="0"/>
          <w:szCs w:val="21"/>
          <w:highlight w:val="none"/>
          <w:u w:val="single"/>
        </w:rPr>
        <w:t>无</w:t>
      </w:r>
      <w:r>
        <w:rPr>
          <w:rFonts w:ascii="宋体" w:hAnsi="宋体"/>
          <w:color w:val="auto"/>
          <w:kern w:val="0"/>
          <w:szCs w:val="21"/>
          <w:highlight w:val="none"/>
        </w:rPr>
        <w:t>。</w:t>
      </w:r>
    </w:p>
    <w:p w14:paraId="2C193517">
      <w:pPr>
        <w:spacing w:line="36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（3）发包人违反第10.1款〔变更的范围〕第（2）项约定，自行实施被取消的工作或转由他人实施的违约责任：</w:t>
      </w:r>
      <w:r>
        <w:rPr>
          <w:rFonts w:hint="eastAsia" w:ascii="宋体" w:hAnsi="宋体"/>
          <w:color w:val="auto"/>
          <w:kern w:val="0"/>
          <w:szCs w:val="21"/>
          <w:highlight w:val="none"/>
          <w:u w:val="single"/>
        </w:rPr>
        <w:t>无</w:t>
      </w:r>
      <w:r>
        <w:rPr>
          <w:rFonts w:ascii="宋体" w:hAnsi="宋体"/>
          <w:color w:val="auto"/>
          <w:kern w:val="0"/>
          <w:szCs w:val="21"/>
          <w:highlight w:val="none"/>
        </w:rPr>
        <w:t>。</w:t>
      </w:r>
    </w:p>
    <w:p w14:paraId="646BB689">
      <w:pPr>
        <w:spacing w:line="36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（4）发包人提供的材料、工程设备的规格、数量或质量不符合合同约定，或因发包人原因导致交货日期延误或交货地点变更等情况的违约责任：</w:t>
      </w:r>
      <w:r>
        <w:rPr>
          <w:rFonts w:hint="eastAsia" w:ascii="宋体" w:hAnsi="宋体"/>
          <w:color w:val="auto"/>
          <w:kern w:val="0"/>
          <w:szCs w:val="21"/>
          <w:highlight w:val="none"/>
          <w:u w:val="single"/>
        </w:rPr>
        <w:t>工期顺延</w:t>
      </w:r>
      <w:r>
        <w:rPr>
          <w:rFonts w:ascii="宋体" w:hAnsi="宋体"/>
          <w:color w:val="auto"/>
          <w:kern w:val="0"/>
          <w:szCs w:val="21"/>
          <w:highlight w:val="none"/>
        </w:rPr>
        <w:t>。</w:t>
      </w:r>
    </w:p>
    <w:p w14:paraId="3BC50DA6">
      <w:pPr>
        <w:spacing w:line="360" w:lineRule="auto"/>
        <w:ind w:firstLine="420" w:firstLineChars="200"/>
        <w:jc w:val="left"/>
        <w:rPr>
          <w:rFonts w:ascii="宋体" w:hAnsi="宋体"/>
          <w:color w:val="auto"/>
          <w:kern w:val="0"/>
          <w:szCs w:val="21"/>
          <w:highlight w:val="none"/>
          <w:u w:val="single"/>
        </w:rPr>
      </w:pPr>
      <w:r>
        <w:rPr>
          <w:rFonts w:ascii="宋体" w:hAnsi="宋体"/>
          <w:color w:val="auto"/>
          <w:kern w:val="0"/>
          <w:szCs w:val="21"/>
          <w:highlight w:val="none"/>
        </w:rPr>
        <w:t>（5）因发包人违反合同约定造成暂停施工的违约责任：</w:t>
      </w:r>
      <w:r>
        <w:rPr>
          <w:rFonts w:hint="eastAsia" w:ascii="宋体" w:hAnsi="宋体"/>
          <w:color w:val="auto"/>
          <w:kern w:val="0"/>
          <w:szCs w:val="21"/>
          <w:highlight w:val="none"/>
          <w:u w:val="single"/>
        </w:rPr>
        <w:t>工期顺延</w:t>
      </w:r>
      <w:r>
        <w:rPr>
          <w:rFonts w:ascii="宋体" w:hAnsi="宋体"/>
          <w:color w:val="auto"/>
          <w:kern w:val="0"/>
          <w:szCs w:val="21"/>
          <w:highlight w:val="none"/>
        </w:rPr>
        <w:t>。</w:t>
      </w:r>
    </w:p>
    <w:p w14:paraId="3723D826">
      <w:pPr>
        <w:spacing w:line="36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（6）发包人无正当理由没有在约定期限内发出复工指示，导致承包人无法复工的违约责任：</w:t>
      </w:r>
      <w:r>
        <w:rPr>
          <w:rFonts w:hint="eastAsia" w:ascii="宋体" w:hAnsi="宋体"/>
          <w:color w:val="auto"/>
          <w:kern w:val="0"/>
          <w:szCs w:val="21"/>
          <w:highlight w:val="none"/>
          <w:u w:val="single"/>
        </w:rPr>
        <w:t>工期顺延</w:t>
      </w:r>
      <w:r>
        <w:rPr>
          <w:rFonts w:ascii="宋体" w:hAnsi="宋体"/>
          <w:color w:val="auto"/>
          <w:kern w:val="0"/>
          <w:szCs w:val="21"/>
          <w:highlight w:val="none"/>
        </w:rPr>
        <w:t>。</w:t>
      </w:r>
    </w:p>
    <w:p w14:paraId="10999743">
      <w:pPr>
        <w:spacing w:line="36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（7）其他：</w:t>
      </w:r>
      <w:r>
        <w:rPr>
          <w:rFonts w:hint="eastAsia" w:ascii="宋体" w:hAnsi="宋体"/>
          <w:color w:val="auto"/>
          <w:kern w:val="0"/>
          <w:szCs w:val="21"/>
          <w:highlight w:val="none"/>
          <w:u w:val="single"/>
        </w:rPr>
        <w:t>无</w:t>
      </w:r>
      <w:r>
        <w:rPr>
          <w:rFonts w:ascii="宋体" w:hAnsi="宋体"/>
          <w:color w:val="auto"/>
          <w:kern w:val="0"/>
          <w:szCs w:val="21"/>
          <w:highlight w:val="none"/>
        </w:rPr>
        <w:t>。</w:t>
      </w:r>
    </w:p>
    <w:p w14:paraId="52F0D563">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16.1.3 因发包人违约解除合同</w:t>
      </w:r>
    </w:p>
    <w:p w14:paraId="335A2370">
      <w:pPr>
        <w:autoSpaceDE w:val="0"/>
        <w:autoSpaceDN w:val="0"/>
        <w:adjustRightInd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承包人按16.1.1项〔发包人违约的情形〕约定暂停施工满</w:t>
      </w:r>
      <w:r>
        <w:rPr>
          <w:rFonts w:hint="eastAsia" w:ascii="宋体" w:hAnsi="宋体"/>
          <w:color w:val="auto"/>
          <w:kern w:val="0"/>
          <w:szCs w:val="21"/>
          <w:highlight w:val="none"/>
          <w:u w:val="single"/>
        </w:rPr>
        <w:t>84</w:t>
      </w:r>
      <w:r>
        <w:rPr>
          <w:rFonts w:hint="eastAsia" w:ascii="宋体" w:hAnsi="宋体"/>
          <w:color w:val="auto"/>
          <w:kern w:val="0"/>
          <w:szCs w:val="21"/>
          <w:highlight w:val="none"/>
        </w:rPr>
        <w:t>天后发包人仍不纠正其违约行为并致使合同目的不能实现的，承包人有权解除合同。</w:t>
      </w:r>
    </w:p>
    <w:p w14:paraId="243FC8F7">
      <w:pPr>
        <w:keepNext/>
        <w:keepLines/>
        <w:spacing w:before="260" w:after="260" w:line="416" w:lineRule="auto"/>
        <w:outlineLvl w:val="2"/>
        <w:rPr>
          <w:rFonts w:ascii="宋体" w:hAnsi="宋体"/>
          <w:b/>
          <w:bCs/>
          <w:color w:val="auto"/>
          <w:sz w:val="32"/>
          <w:szCs w:val="32"/>
          <w:highlight w:val="none"/>
        </w:rPr>
      </w:pPr>
      <w:bookmarkStart w:id="1576" w:name="_Toc472931677"/>
      <w:bookmarkStart w:id="1577" w:name="_Toc529527044"/>
      <w:bookmarkStart w:id="1578" w:name="_Toc411345252"/>
      <w:bookmarkStart w:id="1579" w:name="_Toc461179314"/>
      <w:bookmarkStart w:id="1580" w:name="_Toc389065333"/>
      <w:bookmarkStart w:id="1581" w:name="_Toc530144538"/>
      <w:bookmarkStart w:id="1582" w:name="_Toc531186673"/>
      <w:bookmarkStart w:id="1583" w:name="_Toc470247871"/>
      <w:bookmarkStart w:id="1584" w:name="_Toc373478415"/>
      <w:bookmarkStart w:id="1585" w:name="_Toc529547396"/>
      <w:bookmarkStart w:id="1586" w:name="_Toc454211184"/>
      <w:bookmarkStart w:id="1587" w:name="_Toc432343960"/>
      <w:bookmarkStart w:id="1588" w:name="_Toc373227768"/>
      <w:r>
        <w:rPr>
          <w:rFonts w:ascii="宋体" w:hAnsi="宋体"/>
          <w:b/>
          <w:bCs/>
          <w:color w:val="auto"/>
          <w:sz w:val="32"/>
          <w:szCs w:val="32"/>
          <w:highlight w:val="none"/>
        </w:rPr>
        <w:t>16.2 承包人违约</w:t>
      </w:r>
      <w:bookmarkEnd w:id="1576"/>
      <w:bookmarkEnd w:id="1577"/>
      <w:bookmarkEnd w:id="1578"/>
      <w:bookmarkEnd w:id="1579"/>
      <w:bookmarkEnd w:id="1580"/>
      <w:bookmarkEnd w:id="1581"/>
      <w:bookmarkEnd w:id="1582"/>
      <w:bookmarkEnd w:id="1583"/>
      <w:bookmarkEnd w:id="1584"/>
      <w:bookmarkEnd w:id="1585"/>
      <w:bookmarkEnd w:id="1586"/>
      <w:bookmarkEnd w:id="1587"/>
      <w:bookmarkEnd w:id="1588"/>
    </w:p>
    <w:p w14:paraId="1B67A298">
      <w:pPr>
        <w:spacing w:line="36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16.2.1 承包人违约的情形</w:t>
      </w:r>
    </w:p>
    <w:p w14:paraId="4EAB1F87">
      <w:pPr>
        <w:spacing w:line="36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承包人违约的其他情形：</w:t>
      </w:r>
    </w:p>
    <w:p w14:paraId="7D135898">
      <w:pPr>
        <w:numPr>
          <w:ilvl w:val="0"/>
          <w:numId w:val="1"/>
        </w:numPr>
        <w:spacing w:line="360" w:lineRule="auto"/>
        <w:ind w:firstLine="420" w:firstLineChars="200"/>
        <w:jc w:val="left"/>
        <w:rPr>
          <w:rFonts w:hint="eastAsia" w:ascii="宋体" w:hAnsi="宋体"/>
          <w:color w:val="auto"/>
          <w:kern w:val="0"/>
          <w:szCs w:val="21"/>
          <w:highlight w:val="none"/>
          <w:u w:val="single"/>
        </w:rPr>
      </w:pPr>
      <w:r>
        <w:rPr>
          <w:rFonts w:hint="eastAsia" w:ascii="宋体" w:hAnsi="宋体"/>
          <w:color w:val="auto"/>
          <w:kern w:val="0"/>
          <w:szCs w:val="21"/>
          <w:highlight w:val="none"/>
          <w:u w:val="single"/>
        </w:rPr>
        <w:t>承包人未经发包人、监理人事先同意，擅自更换合同工程项目经理、技术负责人</w:t>
      </w:r>
      <w:r>
        <w:rPr>
          <w:rFonts w:hint="eastAsia" w:hAnsi="宋体"/>
          <w:color w:val="auto"/>
          <w:kern w:val="0"/>
          <w:szCs w:val="21"/>
          <w:highlight w:val="none"/>
          <w:u w:val="single"/>
          <w:lang w:eastAsia="zh-CN"/>
        </w:rPr>
        <w:t>、专职安全员及</w:t>
      </w:r>
      <w:r>
        <w:rPr>
          <w:rFonts w:hint="eastAsia" w:ascii="宋体" w:hAnsi="宋体"/>
          <w:color w:val="auto"/>
          <w:kern w:val="0"/>
          <w:szCs w:val="21"/>
          <w:highlight w:val="none"/>
          <w:u w:val="single"/>
        </w:rPr>
        <w:t>其他</w:t>
      </w:r>
      <w:r>
        <w:rPr>
          <w:rFonts w:hint="eastAsia" w:hAnsi="宋体"/>
          <w:color w:val="auto"/>
          <w:kern w:val="0"/>
          <w:szCs w:val="21"/>
          <w:highlight w:val="none"/>
          <w:u w:val="single"/>
          <w:lang w:eastAsia="zh-CN"/>
        </w:rPr>
        <w:t>在项目管理机构及施工现场管理人员安排报告中列明</w:t>
      </w:r>
      <w:r>
        <w:rPr>
          <w:rFonts w:hint="eastAsia" w:ascii="宋体" w:hAnsi="宋体"/>
          <w:color w:val="auto"/>
          <w:kern w:val="0"/>
          <w:szCs w:val="21"/>
          <w:highlight w:val="none"/>
          <w:u w:val="single"/>
        </w:rPr>
        <w:t>主要</w:t>
      </w:r>
      <w:r>
        <w:rPr>
          <w:rFonts w:hint="eastAsia" w:hAnsi="宋体"/>
          <w:color w:val="auto"/>
          <w:kern w:val="0"/>
          <w:szCs w:val="21"/>
          <w:highlight w:val="none"/>
          <w:u w:val="single"/>
          <w:lang w:val="en-US" w:eastAsia="zh-CN"/>
        </w:rPr>
        <w:t>施工</w:t>
      </w:r>
      <w:r>
        <w:rPr>
          <w:rFonts w:hint="eastAsia" w:ascii="宋体" w:hAnsi="宋体"/>
          <w:color w:val="auto"/>
          <w:kern w:val="0"/>
          <w:szCs w:val="21"/>
          <w:highlight w:val="none"/>
          <w:u w:val="single"/>
        </w:rPr>
        <w:t>管理人员。</w:t>
      </w:r>
    </w:p>
    <w:p w14:paraId="61797DD6">
      <w:pPr>
        <w:numPr>
          <w:ilvl w:val="0"/>
          <w:numId w:val="0"/>
        </w:numPr>
        <w:spacing w:line="360" w:lineRule="auto"/>
        <w:ind w:firstLine="420" w:firstLineChars="200"/>
        <w:jc w:val="left"/>
        <w:rPr>
          <w:rFonts w:ascii="宋体" w:hAnsi="宋体"/>
          <w:color w:val="auto"/>
          <w:kern w:val="0"/>
          <w:szCs w:val="21"/>
          <w:highlight w:val="none"/>
          <w:u w:val="single"/>
        </w:rPr>
      </w:pPr>
      <w:r>
        <w:rPr>
          <w:rFonts w:hint="eastAsia" w:ascii="宋体" w:hAnsi="宋体"/>
          <w:color w:val="auto"/>
          <w:kern w:val="0"/>
          <w:szCs w:val="21"/>
          <w:highlight w:val="none"/>
          <w:u w:val="single"/>
        </w:rPr>
        <w:t>（10）将工程预付款、进度款以及发包人支付用于本项目的其他费用挪作他用；</w:t>
      </w:r>
    </w:p>
    <w:p w14:paraId="07CCA71F">
      <w:pPr>
        <w:spacing w:line="360" w:lineRule="auto"/>
        <w:ind w:firstLine="420" w:firstLineChars="200"/>
        <w:jc w:val="left"/>
        <w:rPr>
          <w:rFonts w:ascii="宋体" w:hAnsi="宋体"/>
          <w:color w:val="auto"/>
          <w:kern w:val="0"/>
          <w:szCs w:val="21"/>
          <w:highlight w:val="none"/>
          <w:u w:val="single"/>
        </w:rPr>
      </w:pPr>
      <w:r>
        <w:rPr>
          <w:rFonts w:hint="eastAsia" w:ascii="宋体" w:hAnsi="宋体"/>
          <w:color w:val="auto"/>
          <w:kern w:val="0"/>
          <w:szCs w:val="21"/>
          <w:highlight w:val="none"/>
          <w:u w:val="single"/>
        </w:rPr>
        <w:t>（11）承包人违反第8.2款的约定使用了不合格的材料或工程设备又拒绝清除不合格的材料或工程设备，或因使用了不合格的材料或工程设备导致工程质量达不到标准要求又拒绝清除或修复不合格工程；</w:t>
      </w:r>
    </w:p>
    <w:p w14:paraId="04D70815">
      <w:pPr>
        <w:spacing w:line="360" w:lineRule="auto"/>
        <w:ind w:firstLine="420" w:firstLineChars="200"/>
        <w:jc w:val="left"/>
        <w:rPr>
          <w:rFonts w:ascii="宋体" w:hAnsi="宋体"/>
          <w:color w:val="auto"/>
          <w:kern w:val="0"/>
          <w:szCs w:val="21"/>
          <w:highlight w:val="none"/>
          <w:u w:val="single"/>
        </w:rPr>
      </w:pPr>
      <w:r>
        <w:rPr>
          <w:rFonts w:hint="eastAsia" w:ascii="宋体" w:hAnsi="宋体"/>
          <w:color w:val="auto"/>
          <w:kern w:val="0"/>
          <w:szCs w:val="21"/>
          <w:highlight w:val="none"/>
          <w:u w:val="single"/>
        </w:rPr>
        <w:t>（12）承包人违反第8.5款的约定使用了不合格的材料或工程设备或工程质量达不到标准要求等造成安全质量事故；</w:t>
      </w:r>
    </w:p>
    <w:p w14:paraId="5A25F0AF">
      <w:pPr>
        <w:spacing w:line="360" w:lineRule="auto"/>
        <w:ind w:firstLine="420" w:firstLineChars="200"/>
        <w:jc w:val="left"/>
        <w:rPr>
          <w:rFonts w:ascii="宋体" w:hAnsi="宋体"/>
          <w:color w:val="auto"/>
          <w:kern w:val="0"/>
          <w:szCs w:val="21"/>
          <w:highlight w:val="none"/>
          <w:u w:val="single"/>
        </w:rPr>
      </w:pPr>
      <w:r>
        <w:rPr>
          <w:rFonts w:hint="eastAsia" w:ascii="宋体" w:hAnsi="宋体"/>
          <w:color w:val="auto"/>
          <w:kern w:val="0"/>
          <w:szCs w:val="21"/>
          <w:highlight w:val="none"/>
          <w:u w:val="single"/>
        </w:rPr>
        <w:t>（13）合同工程竣工后，经两次验收仍不能达到合同约定的质量标准；</w:t>
      </w:r>
    </w:p>
    <w:p w14:paraId="6EC37A66">
      <w:pPr>
        <w:spacing w:line="360" w:lineRule="auto"/>
        <w:ind w:firstLine="420" w:firstLineChars="200"/>
        <w:jc w:val="left"/>
        <w:rPr>
          <w:rFonts w:ascii="宋体" w:hAnsi="宋体"/>
          <w:color w:val="auto"/>
          <w:kern w:val="0"/>
          <w:szCs w:val="21"/>
          <w:highlight w:val="none"/>
          <w:u w:val="single"/>
        </w:rPr>
      </w:pPr>
      <w:r>
        <w:rPr>
          <w:rFonts w:hint="eastAsia" w:ascii="宋体" w:hAnsi="宋体"/>
          <w:color w:val="auto"/>
          <w:kern w:val="0"/>
          <w:szCs w:val="21"/>
          <w:highlight w:val="none"/>
          <w:u w:val="single"/>
        </w:rPr>
        <w:t>（14）承包人拒绝执行发包人或监理人发出的关于本工程的指令的；或以招标工程量清单中的措施项目出现错误、缺项、漏项情况为由，拒绝执行相应部分内容施工的；或以变更或增加部分与本合同无实质性关联为由，拒绝执行的；或以变更或增加部分子目单价低或超出施工能力范围等为由拒绝施工的</w:t>
      </w:r>
      <w:r>
        <w:rPr>
          <w:rFonts w:hint="eastAsia" w:hAnsi="宋体"/>
          <w:color w:val="auto"/>
          <w:kern w:val="0"/>
          <w:szCs w:val="21"/>
          <w:highlight w:val="none"/>
          <w:u w:val="single"/>
          <w:lang w:eastAsia="zh-CN"/>
        </w:rPr>
        <w:t>（但承包人应在其投标时已充分考虑并承诺的施工能力范围内）</w:t>
      </w:r>
      <w:r>
        <w:rPr>
          <w:rFonts w:hint="eastAsia" w:ascii="宋体" w:hAnsi="宋体"/>
          <w:color w:val="auto"/>
          <w:kern w:val="0"/>
          <w:szCs w:val="21"/>
          <w:highlight w:val="none"/>
          <w:u w:val="single"/>
        </w:rPr>
        <w:t>；或拒绝执行合同约定的其他情形的。</w:t>
      </w:r>
    </w:p>
    <w:p w14:paraId="1F7E9FF8">
      <w:pPr>
        <w:spacing w:line="360" w:lineRule="auto"/>
        <w:ind w:firstLine="420" w:firstLineChars="200"/>
        <w:jc w:val="left"/>
        <w:rPr>
          <w:rFonts w:ascii="宋体" w:hAnsi="宋体"/>
          <w:color w:val="auto"/>
          <w:kern w:val="0"/>
          <w:szCs w:val="21"/>
          <w:highlight w:val="none"/>
          <w:u w:val="single"/>
        </w:rPr>
      </w:pPr>
      <w:r>
        <w:rPr>
          <w:rFonts w:hint="eastAsia" w:ascii="宋体" w:hAnsi="宋体"/>
          <w:color w:val="auto"/>
          <w:kern w:val="0"/>
          <w:szCs w:val="21"/>
          <w:highlight w:val="none"/>
          <w:u w:val="single"/>
        </w:rPr>
        <w:t>（15）如果承包人或承包人的工作人员（不论承包人是否知晓）以贿赂或变相贿赂的方式，谋取不当利益或损害发包人权益的；</w:t>
      </w:r>
    </w:p>
    <w:p w14:paraId="749B230A">
      <w:pPr>
        <w:spacing w:line="360" w:lineRule="auto"/>
        <w:ind w:firstLine="420" w:firstLineChars="200"/>
        <w:jc w:val="left"/>
        <w:rPr>
          <w:rFonts w:ascii="宋体" w:hAnsi="宋体"/>
          <w:color w:val="auto"/>
          <w:kern w:val="0"/>
          <w:szCs w:val="21"/>
          <w:highlight w:val="none"/>
          <w:u w:val="single"/>
        </w:rPr>
      </w:pPr>
      <w:r>
        <w:rPr>
          <w:rFonts w:hint="eastAsia" w:ascii="宋体" w:hAnsi="宋体"/>
          <w:color w:val="auto"/>
          <w:kern w:val="0"/>
          <w:szCs w:val="21"/>
          <w:highlight w:val="none"/>
          <w:u w:val="single"/>
        </w:rPr>
        <w:t>（16) 未经验收或验收不合格，擅自进行隐蔽工程的覆盖或其他工程下道工序的施工，或验收合格后到隐蔽施工前对通过隐蔽验收的合格部分有任何改动；</w:t>
      </w:r>
    </w:p>
    <w:p w14:paraId="58966FBF">
      <w:pPr>
        <w:spacing w:line="360" w:lineRule="auto"/>
        <w:ind w:firstLine="420" w:firstLineChars="200"/>
        <w:jc w:val="left"/>
        <w:rPr>
          <w:rFonts w:ascii="宋体" w:hAnsi="宋体"/>
          <w:color w:val="auto"/>
          <w:kern w:val="0"/>
          <w:szCs w:val="21"/>
          <w:highlight w:val="none"/>
          <w:u w:val="single"/>
        </w:rPr>
      </w:pPr>
      <w:r>
        <w:rPr>
          <w:rFonts w:hint="eastAsia" w:ascii="宋体" w:hAnsi="宋体"/>
          <w:color w:val="auto"/>
          <w:kern w:val="0"/>
          <w:szCs w:val="21"/>
          <w:highlight w:val="none"/>
          <w:u w:val="single"/>
        </w:rPr>
        <w:t>（17）承包人在缺陷责任期内，未能对缺陷责任期内发生的缺陷进行修复而又拒绝按发包人或监理人指示再进行修补或同一部位出现二次以上维修的；</w:t>
      </w:r>
    </w:p>
    <w:p w14:paraId="592B827A">
      <w:pPr>
        <w:spacing w:line="360" w:lineRule="auto"/>
        <w:ind w:firstLine="420" w:firstLineChars="200"/>
        <w:jc w:val="left"/>
        <w:rPr>
          <w:rFonts w:ascii="宋体" w:hAnsi="宋体"/>
          <w:color w:val="auto"/>
          <w:kern w:val="0"/>
          <w:szCs w:val="21"/>
          <w:highlight w:val="none"/>
          <w:u w:val="single"/>
        </w:rPr>
      </w:pPr>
      <w:r>
        <w:rPr>
          <w:rFonts w:hint="eastAsia" w:ascii="宋体" w:hAnsi="宋体"/>
          <w:color w:val="auto"/>
          <w:kern w:val="0"/>
          <w:szCs w:val="21"/>
          <w:highlight w:val="none"/>
          <w:u w:val="single"/>
        </w:rPr>
        <w:t>（18）承包人无法定或合同约定依据，而未能按期开工、暂停施工或以暂停施工相威胁，连续或累计超过7天（含7天）；</w:t>
      </w:r>
    </w:p>
    <w:p w14:paraId="4A5F5E38">
      <w:pPr>
        <w:spacing w:line="360" w:lineRule="auto"/>
        <w:ind w:firstLine="420" w:firstLineChars="200"/>
        <w:jc w:val="left"/>
        <w:rPr>
          <w:rFonts w:ascii="宋体" w:hAnsi="宋体"/>
          <w:color w:val="auto"/>
          <w:kern w:val="0"/>
          <w:szCs w:val="21"/>
          <w:highlight w:val="none"/>
          <w:u w:val="single"/>
        </w:rPr>
      </w:pPr>
      <w:r>
        <w:rPr>
          <w:rFonts w:hint="eastAsia" w:ascii="宋体" w:hAnsi="宋体"/>
          <w:color w:val="auto"/>
          <w:kern w:val="0"/>
          <w:szCs w:val="21"/>
          <w:highlight w:val="none"/>
          <w:u w:val="single"/>
        </w:rPr>
        <w:t>（19）承包人逾期竣工超过60天（含60天）或投标文件承诺的节点或修改的施工组织设计承诺的节点逾期超过30天（含30天）；</w:t>
      </w:r>
    </w:p>
    <w:p w14:paraId="456AB8BB">
      <w:pPr>
        <w:spacing w:line="360" w:lineRule="auto"/>
        <w:ind w:firstLine="420" w:firstLineChars="200"/>
        <w:jc w:val="left"/>
        <w:rPr>
          <w:rFonts w:ascii="宋体" w:hAnsi="宋体"/>
          <w:color w:val="auto"/>
          <w:kern w:val="0"/>
          <w:szCs w:val="21"/>
          <w:highlight w:val="none"/>
          <w:u w:val="single"/>
        </w:rPr>
      </w:pPr>
      <w:r>
        <w:rPr>
          <w:rFonts w:hint="eastAsia" w:ascii="宋体" w:hAnsi="宋体"/>
          <w:color w:val="auto"/>
          <w:kern w:val="0"/>
          <w:szCs w:val="21"/>
          <w:highlight w:val="none"/>
          <w:u w:val="single"/>
        </w:rPr>
        <w:t>（20）承包人的雇员或其分包人的雇员、或承包人的供应商扰乱发包人生产、生活秩序的。</w:t>
      </w:r>
    </w:p>
    <w:p w14:paraId="035DAEB3">
      <w:pPr>
        <w:spacing w:line="36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16.2.2承包人违约的责任</w:t>
      </w:r>
    </w:p>
    <w:p w14:paraId="3A848823">
      <w:pPr>
        <w:spacing w:line="360" w:lineRule="auto"/>
        <w:ind w:firstLine="420" w:firstLineChars="200"/>
        <w:jc w:val="left"/>
        <w:rPr>
          <w:rFonts w:ascii="Calibri" w:hAnsi="Calibri"/>
          <w:color w:val="auto"/>
          <w:kern w:val="0"/>
          <w:szCs w:val="21"/>
          <w:highlight w:val="none"/>
        </w:rPr>
      </w:pPr>
      <w:r>
        <w:rPr>
          <w:rFonts w:ascii="Calibri" w:hAnsi="宋体"/>
          <w:color w:val="auto"/>
          <w:kern w:val="0"/>
          <w:szCs w:val="21"/>
          <w:highlight w:val="none"/>
        </w:rPr>
        <w:t>承包人违约责任的承担方式和计算方法：</w:t>
      </w:r>
    </w:p>
    <w:p w14:paraId="0F55D31D">
      <w:pPr>
        <w:spacing w:line="360" w:lineRule="auto"/>
        <w:ind w:firstLine="420" w:firstLineChars="200"/>
        <w:jc w:val="left"/>
        <w:rPr>
          <w:rFonts w:ascii="Calibri" w:hAnsi="宋体"/>
          <w:color w:val="auto"/>
          <w:kern w:val="0"/>
          <w:szCs w:val="21"/>
          <w:highlight w:val="none"/>
        </w:rPr>
      </w:pPr>
      <w:r>
        <w:rPr>
          <w:rFonts w:ascii="Calibri" w:hAnsi="宋体"/>
          <w:color w:val="auto"/>
          <w:kern w:val="0"/>
          <w:szCs w:val="21"/>
          <w:highlight w:val="none"/>
        </w:rPr>
        <w:t>（</w:t>
      </w:r>
      <w:r>
        <w:rPr>
          <w:rFonts w:ascii="Calibri" w:hAnsi="Calibri"/>
          <w:color w:val="auto"/>
          <w:kern w:val="0"/>
          <w:szCs w:val="21"/>
          <w:highlight w:val="none"/>
        </w:rPr>
        <w:t>1</w:t>
      </w:r>
      <w:r>
        <w:rPr>
          <w:rFonts w:ascii="Calibri" w:hAnsi="宋体"/>
          <w:color w:val="auto"/>
          <w:kern w:val="0"/>
          <w:szCs w:val="21"/>
          <w:highlight w:val="none"/>
        </w:rPr>
        <w:t>）承包人未按本合同通用条款第</w:t>
      </w:r>
      <w:r>
        <w:rPr>
          <w:rFonts w:ascii="Calibri" w:hAnsi="Calibri"/>
          <w:color w:val="auto"/>
          <w:kern w:val="0"/>
          <w:szCs w:val="21"/>
          <w:highlight w:val="none"/>
        </w:rPr>
        <w:t>16.2.1</w:t>
      </w:r>
      <w:r>
        <w:rPr>
          <w:rFonts w:ascii="Calibri" w:hAnsi="宋体"/>
          <w:color w:val="auto"/>
          <w:kern w:val="0"/>
          <w:szCs w:val="21"/>
          <w:highlight w:val="none"/>
        </w:rPr>
        <w:t>（</w:t>
      </w:r>
      <w:r>
        <w:rPr>
          <w:rFonts w:ascii="Calibri" w:hAnsi="Calibri"/>
          <w:color w:val="auto"/>
          <w:kern w:val="0"/>
          <w:szCs w:val="21"/>
          <w:highlight w:val="none"/>
        </w:rPr>
        <w:t>2</w:t>
      </w:r>
      <w:r>
        <w:rPr>
          <w:rFonts w:ascii="Calibri" w:hAnsi="宋体"/>
          <w:color w:val="auto"/>
          <w:kern w:val="0"/>
          <w:szCs w:val="21"/>
          <w:highlight w:val="none"/>
        </w:rPr>
        <w:t>）</w:t>
      </w:r>
      <w:r>
        <w:rPr>
          <w:rFonts w:hint="eastAsia" w:ascii="Calibri" w:hAnsi="宋体"/>
          <w:color w:val="auto"/>
          <w:kern w:val="0"/>
          <w:szCs w:val="21"/>
          <w:highlight w:val="none"/>
        </w:rPr>
        <w:t>、</w:t>
      </w:r>
      <w:r>
        <w:rPr>
          <w:rFonts w:ascii="Calibri" w:hAnsi="宋体"/>
          <w:color w:val="auto"/>
          <w:kern w:val="0"/>
          <w:szCs w:val="21"/>
          <w:highlight w:val="none"/>
        </w:rPr>
        <w:t>（</w:t>
      </w:r>
      <w:r>
        <w:rPr>
          <w:rFonts w:ascii="Calibri" w:hAnsi="Calibri"/>
          <w:color w:val="auto"/>
          <w:kern w:val="0"/>
          <w:szCs w:val="21"/>
          <w:highlight w:val="none"/>
        </w:rPr>
        <w:t>3</w:t>
      </w:r>
      <w:r>
        <w:rPr>
          <w:rFonts w:ascii="Calibri" w:hAnsi="宋体"/>
          <w:color w:val="auto"/>
          <w:kern w:val="0"/>
          <w:szCs w:val="21"/>
          <w:highlight w:val="none"/>
        </w:rPr>
        <w:t>）条内容完成的，承包人无条件返工处理，修复至工程质量要求并承担相关费用，并在发包人规定的时间内完成返工，否则发包人有权扣罚该分项工程</w:t>
      </w:r>
      <w:r>
        <w:rPr>
          <w:rFonts w:ascii="Calibri" w:hAnsi="Calibri"/>
          <w:color w:val="auto"/>
          <w:kern w:val="0"/>
          <w:szCs w:val="21"/>
          <w:highlight w:val="none"/>
        </w:rPr>
        <w:t>10%</w:t>
      </w:r>
      <w:r>
        <w:rPr>
          <w:rFonts w:ascii="Calibri" w:hAnsi="宋体"/>
          <w:color w:val="auto"/>
          <w:kern w:val="0"/>
          <w:szCs w:val="21"/>
          <w:highlight w:val="none"/>
        </w:rPr>
        <w:t>的工程款作为处罚。</w:t>
      </w:r>
    </w:p>
    <w:p w14:paraId="00009168">
      <w:pPr>
        <w:spacing w:line="360" w:lineRule="auto"/>
        <w:ind w:firstLine="420" w:firstLineChars="200"/>
        <w:jc w:val="left"/>
        <w:rPr>
          <w:rFonts w:ascii="Calibri" w:hAnsi="宋体"/>
          <w:color w:val="auto"/>
          <w:kern w:val="0"/>
          <w:szCs w:val="21"/>
          <w:highlight w:val="none"/>
        </w:rPr>
      </w:pPr>
      <w:r>
        <w:rPr>
          <w:rFonts w:ascii="Calibri" w:hAnsi="宋体"/>
          <w:color w:val="auto"/>
          <w:kern w:val="0"/>
          <w:szCs w:val="21"/>
          <w:highlight w:val="none"/>
        </w:rPr>
        <w:t>（</w:t>
      </w:r>
      <w:r>
        <w:rPr>
          <w:rFonts w:ascii="Calibri" w:hAnsi="Calibri"/>
          <w:color w:val="auto"/>
          <w:kern w:val="0"/>
          <w:szCs w:val="21"/>
          <w:highlight w:val="none"/>
        </w:rPr>
        <w:t>2</w:t>
      </w:r>
      <w:r>
        <w:rPr>
          <w:rFonts w:ascii="Calibri" w:hAnsi="宋体"/>
          <w:color w:val="auto"/>
          <w:kern w:val="0"/>
          <w:szCs w:val="21"/>
          <w:highlight w:val="none"/>
        </w:rPr>
        <w:t>）承包人有本合同通用条款第</w:t>
      </w:r>
      <w:r>
        <w:rPr>
          <w:rFonts w:ascii="Calibri" w:hAnsi="Calibri"/>
          <w:color w:val="auto"/>
          <w:kern w:val="0"/>
          <w:szCs w:val="21"/>
          <w:highlight w:val="none"/>
        </w:rPr>
        <w:t>16.2.1</w:t>
      </w:r>
      <w:r>
        <w:rPr>
          <w:rFonts w:ascii="Calibri" w:hAnsi="宋体"/>
          <w:color w:val="auto"/>
          <w:kern w:val="0"/>
          <w:szCs w:val="21"/>
          <w:highlight w:val="none"/>
        </w:rPr>
        <w:t>（</w:t>
      </w:r>
      <w:r>
        <w:rPr>
          <w:rFonts w:ascii="Calibri" w:hAnsi="Calibri"/>
          <w:color w:val="auto"/>
          <w:kern w:val="0"/>
          <w:szCs w:val="21"/>
          <w:highlight w:val="none"/>
        </w:rPr>
        <w:t>6</w:t>
      </w:r>
      <w:r>
        <w:rPr>
          <w:rFonts w:ascii="Calibri" w:hAnsi="宋体"/>
          <w:color w:val="auto"/>
          <w:kern w:val="0"/>
          <w:szCs w:val="21"/>
          <w:highlight w:val="none"/>
        </w:rPr>
        <w:t>）条情形的，或经监理人检验认为修复质量不合格而承包人拒绝再进行修补的，发包人将扣除承包人全部质量保修金。</w:t>
      </w:r>
    </w:p>
    <w:p w14:paraId="1B8836B6">
      <w:pPr>
        <w:spacing w:line="360" w:lineRule="auto"/>
        <w:ind w:firstLine="420" w:firstLineChars="200"/>
        <w:jc w:val="left"/>
        <w:rPr>
          <w:rFonts w:ascii="Calibri" w:hAnsi="宋体"/>
          <w:color w:val="auto"/>
          <w:kern w:val="0"/>
          <w:szCs w:val="21"/>
          <w:highlight w:val="none"/>
        </w:rPr>
      </w:pPr>
      <w:r>
        <w:rPr>
          <w:rFonts w:ascii="Calibri" w:hAnsi="宋体"/>
          <w:color w:val="auto"/>
          <w:kern w:val="0"/>
          <w:szCs w:val="21"/>
          <w:highlight w:val="none"/>
        </w:rPr>
        <w:t>（</w:t>
      </w:r>
      <w:r>
        <w:rPr>
          <w:rFonts w:ascii="Calibri" w:hAnsi="Calibri"/>
          <w:color w:val="auto"/>
          <w:kern w:val="0"/>
          <w:szCs w:val="21"/>
          <w:highlight w:val="none"/>
        </w:rPr>
        <w:t>3</w:t>
      </w:r>
      <w:r>
        <w:rPr>
          <w:rFonts w:ascii="Calibri" w:hAnsi="宋体"/>
          <w:color w:val="auto"/>
          <w:kern w:val="0"/>
          <w:szCs w:val="21"/>
          <w:highlight w:val="none"/>
        </w:rPr>
        <w:t>）承包人有本专用合同条款</w:t>
      </w:r>
      <w:r>
        <w:rPr>
          <w:rFonts w:ascii="Calibri" w:hAnsi="Calibri"/>
          <w:color w:val="auto"/>
          <w:kern w:val="0"/>
          <w:szCs w:val="21"/>
          <w:highlight w:val="none"/>
        </w:rPr>
        <w:t>3.2</w:t>
      </w:r>
      <w:r>
        <w:rPr>
          <w:rFonts w:ascii="Calibri" w:hAnsi="宋体"/>
          <w:color w:val="auto"/>
          <w:kern w:val="0"/>
          <w:szCs w:val="21"/>
          <w:highlight w:val="none"/>
        </w:rPr>
        <w:t>、</w:t>
      </w:r>
      <w:r>
        <w:rPr>
          <w:rFonts w:ascii="Calibri" w:hAnsi="Calibri"/>
          <w:color w:val="auto"/>
          <w:kern w:val="0"/>
          <w:szCs w:val="21"/>
          <w:highlight w:val="none"/>
        </w:rPr>
        <w:t>3.3</w:t>
      </w:r>
      <w:r>
        <w:rPr>
          <w:rFonts w:ascii="Calibri" w:hAnsi="宋体"/>
          <w:color w:val="auto"/>
          <w:kern w:val="0"/>
          <w:szCs w:val="21"/>
          <w:highlight w:val="none"/>
        </w:rPr>
        <w:t>条违约责任的，发包人有权扣除承包人的违约金。监理人预先下发含有罚款意向的指令，如承包人不及时采取措施纠正，则在指令下达后十五天下发罚款通知书（不再陈述罚款理由）。承包人在合同期内，完成合同规定的全部工程，且质量合格，在本工程施工竣工验收后十五天内可申请返还全部或部分罚款，返还金额由监理人审核，发包人批准。罚款金额返还时不包括银行利息。</w:t>
      </w:r>
    </w:p>
    <w:p w14:paraId="72787A24">
      <w:pPr>
        <w:spacing w:line="360" w:lineRule="auto"/>
        <w:ind w:firstLine="422" w:firstLineChars="200"/>
        <w:jc w:val="left"/>
        <w:rPr>
          <w:rFonts w:ascii="宋体" w:hAnsi="宋体"/>
          <w:b/>
          <w:color w:val="auto"/>
          <w:szCs w:val="21"/>
          <w:highlight w:val="none"/>
        </w:rPr>
      </w:pPr>
      <w:r>
        <w:rPr>
          <w:rFonts w:ascii="宋体" w:hAnsi="宋体"/>
          <w:b/>
          <w:color w:val="auto"/>
          <w:szCs w:val="21"/>
          <w:highlight w:val="none"/>
        </w:rPr>
        <w:t>16.2.3 因承包人违约解除合同</w:t>
      </w:r>
    </w:p>
    <w:p w14:paraId="441CB8CF">
      <w:pPr>
        <w:spacing w:line="36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关于承包人违约解除合同的特别约定：</w:t>
      </w:r>
      <w:r>
        <w:rPr>
          <w:rFonts w:ascii="宋体" w:hAnsi="宋体"/>
          <w:color w:val="auto"/>
          <w:kern w:val="0"/>
          <w:szCs w:val="21"/>
          <w:highlight w:val="none"/>
          <w:u w:val="single"/>
        </w:rPr>
        <w:t>承包人有违反以下情况之一的，发包人有权解除合同</w:t>
      </w:r>
      <w:r>
        <w:rPr>
          <w:rFonts w:ascii="宋体" w:hAnsi="宋体"/>
          <w:color w:val="auto"/>
          <w:kern w:val="0"/>
          <w:szCs w:val="21"/>
          <w:highlight w:val="none"/>
        </w:rPr>
        <w:t>。</w:t>
      </w:r>
    </w:p>
    <w:p w14:paraId="52CE5D9B">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w:t>
      </w:r>
      <w:r>
        <w:rPr>
          <w:rFonts w:ascii="宋体" w:hAnsi="宋体"/>
          <w:color w:val="auto"/>
          <w:kern w:val="0"/>
          <w:szCs w:val="21"/>
          <w:highlight w:val="none"/>
        </w:rPr>
        <w:t>1)承包人无正当理由不按开工通知的要求及时进场组织施工和不按签订协议书时商</w:t>
      </w:r>
      <w:r>
        <w:rPr>
          <w:rFonts w:hint="eastAsia" w:ascii="宋体" w:hAnsi="宋体"/>
          <w:color w:val="auto"/>
          <w:kern w:val="0"/>
          <w:szCs w:val="21"/>
          <w:highlight w:val="none"/>
        </w:rPr>
        <w:t>定</w:t>
      </w:r>
      <w:r>
        <w:rPr>
          <w:rFonts w:ascii="宋体" w:hAnsi="宋体"/>
          <w:color w:val="auto"/>
          <w:kern w:val="0"/>
          <w:szCs w:val="21"/>
          <w:highlight w:val="none"/>
        </w:rPr>
        <w:t>的进度计划有效地开展施工准备，造成工期延误的；</w:t>
      </w:r>
    </w:p>
    <w:p w14:paraId="4A797F07">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w:t>
      </w:r>
      <w:r>
        <w:rPr>
          <w:rFonts w:ascii="宋体" w:hAnsi="宋体"/>
          <w:color w:val="auto"/>
          <w:kern w:val="0"/>
          <w:szCs w:val="21"/>
          <w:highlight w:val="none"/>
        </w:rPr>
        <w:t>2)承包人违反本合同通用条款第3.5条规定私自将合同或合同的任何部分或任何权利转让给其他人，或私自将工程或工程的一部分分包出去的；</w:t>
      </w:r>
    </w:p>
    <w:p w14:paraId="57D5EF65">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w:t>
      </w:r>
      <w:r>
        <w:rPr>
          <w:rFonts w:ascii="宋体" w:hAnsi="宋体"/>
          <w:color w:val="auto"/>
          <w:kern w:val="0"/>
          <w:szCs w:val="21"/>
          <w:highlight w:val="none"/>
        </w:rPr>
        <w:t>3)未经监理人批准，承包人私自将已按投标文件承诺进入工地的工程设备、施工设备、临时工程或材料撤离工地的；</w:t>
      </w:r>
    </w:p>
    <w:p w14:paraId="5190CEE2">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w:t>
      </w:r>
      <w:r>
        <w:rPr>
          <w:rFonts w:ascii="宋体" w:hAnsi="宋体"/>
          <w:color w:val="auto"/>
          <w:kern w:val="0"/>
          <w:szCs w:val="21"/>
          <w:highlight w:val="none"/>
        </w:rPr>
        <w:t>4)由于承包人原因拒绝按合同进度计划及时完成合同规定的工程，而又未采取有效措施赶上进度，造成工期延误的；</w:t>
      </w:r>
    </w:p>
    <w:p w14:paraId="08E868CC">
      <w:pPr>
        <w:spacing w:line="360" w:lineRule="auto"/>
        <w:ind w:firstLine="420" w:firstLineChars="200"/>
        <w:rPr>
          <w:rFonts w:ascii="宋体" w:hAnsi="宋体"/>
          <w:color w:val="auto"/>
          <w:kern w:val="0"/>
          <w:szCs w:val="21"/>
          <w:highlight w:val="none"/>
        </w:rPr>
      </w:pPr>
      <w:r>
        <w:rPr>
          <w:rFonts w:hint="eastAsia" w:ascii="宋体" w:hAnsi="宋体"/>
          <w:color w:val="auto"/>
          <w:kern w:val="0"/>
          <w:szCs w:val="21"/>
          <w:highlight w:val="none"/>
        </w:rPr>
        <w:t>（</w:t>
      </w:r>
      <w:r>
        <w:rPr>
          <w:rFonts w:ascii="宋体" w:hAnsi="宋体"/>
          <w:color w:val="auto"/>
          <w:kern w:val="0"/>
          <w:szCs w:val="21"/>
          <w:highlight w:val="none"/>
        </w:rPr>
        <w:t>5)承包人否认合同有效或拒绝履行合同规定的承包人义务，或由于法律、财务等原因导致承包人无法继续履行或实质上已停止履行合同的义务的；</w:t>
      </w:r>
    </w:p>
    <w:p w14:paraId="08F95340">
      <w:pPr>
        <w:spacing w:line="360" w:lineRule="auto"/>
        <w:ind w:firstLine="420" w:firstLineChars="200"/>
        <w:rPr>
          <w:rFonts w:ascii="宋体" w:hAnsi="宋体"/>
          <w:color w:val="auto"/>
          <w:kern w:val="0"/>
          <w:szCs w:val="21"/>
          <w:highlight w:val="none"/>
        </w:rPr>
      </w:pPr>
      <w:r>
        <w:rPr>
          <w:rFonts w:hint="eastAsia" w:ascii="宋体" w:hAnsi="宋体"/>
          <w:color w:val="auto"/>
          <w:kern w:val="0"/>
          <w:szCs w:val="21"/>
          <w:highlight w:val="none"/>
        </w:rPr>
        <w:t>（</w:t>
      </w:r>
      <w:r>
        <w:rPr>
          <w:rFonts w:ascii="宋体" w:hAnsi="宋体"/>
          <w:color w:val="auto"/>
          <w:kern w:val="0"/>
          <w:szCs w:val="21"/>
          <w:highlight w:val="none"/>
        </w:rPr>
        <w:t>6)合同签订之日起十五日内，承包人无法按合同规定及投标文件的承诺进场经监理工程师认可的全部人员和机械的。</w:t>
      </w:r>
    </w:p>
    <w:p w14:paraId="35153871">
      <w:pPr>
        <w:spacing w:line="360" w:lineRule="auto"/>
        <w:ind w:firstLine="420" w:firstLineChars="200"/>
        <w:rPr>
          <w:rFonts w:ascii="宋体" w:hAnsi="宋体"/>
          <w:color w:val="auto"/>
          <w:kern w:val="0"/>
          <w:szCs w:val="21"/>
          <w:highlight w:val="none"/>
        </w:rPr>
      </w:pPr>
      <w:r>
        <w:rPr>
          <w:rFonts w:ascii="宋体" w:hAnsi="宋体"/>
          <w:color w:val="auto"/>
          <w:kern w:val="0"/>
          <w:szCs w:val="21"/>
          <w:highlight w:val="none"/>
        </w:rPr>
        <w:t>发包人继续使用承包人在施工现场的材料、设备、临时工程、承包人文件和由承包人或以其名义编制的其他文件的费用承担方式：</w:t>
      </w:r>
      <w:r>
        <w:rPr>
          <w:rFonts w:hint="eastAsia" w:ascii="宋体" w:hAnsi="宋体"/>
          <w:color w:val="auto"/>
          <w:kern w:val="0"/>
          <w:szCs w:val="21"/>
          <w:highlight w:val="none"/>
          <w:u w:val="single"/>
        </w:rPr>
        <w:t>无</w:t>
      </w:r>
      <w:r>
        <w:rPr>
          <w:rFonts w:ascii="宋体" w:hAnsi="宋体"/>
          <w:color w:val="auto"/>
          <w:kern w:val="0"/>
          <w:szCs w:val="21"/>
          <w:highlight w:val="none"/>
        </w:rPr>
        <w:t>。</w:t>
      </w:r>
    </w:p>
    <w:p w14:paraId="5AECBF05">
      <w:pPr>
        <w:keepNext/>
        <w:keepLines/>
        <w:spacing w:before="260" w:after="260" w:line="416" w:lineRule="auto"/>
        <w:outlineLvl w:val="2"/>
        <w:rPr>
          <w:rFonts w:ascii="宋体" w:hAnsi="宋体"/>
          <w:b/>
          <w:bCs/>
          <w:color w:val="auto"/>
          <w:sz w:val="32"/>
          <w:szCs w:val="32"/>
          <w:highlight w:val="none"/>
        </w:rPr>
      </w:pPr>
      <w:bookmarkStart w:id="1589" w:name="_Toc470247872"/>
      <w:bookmarkStart w:id="1590" w:name="_Toc373478416"/>
      <w:bookmarkStart w:id="1591" w:name="_Toc530144539"/>
      <w:bookmarkStart w:id="1592" w:name="_Toc529547397"/>
      <w:bookmarkStart w:id="1593" w:name="_Toc373227769"/>
      <w:bookmarkStart w:id="1594" w:name="_Toc411345253"/>
      <w:bookmarkStart w:id="1595" w:name="_Toc531186674"/>
      <w:bookmarkStart w:id="1596" w:name="_Toc461179315"/>
      <w:bookmarkStart w:id="1597" w:name="_Toc454211185"/>
      <w:bookmarkStart w:id="1598" w:name="_Toc472931678"/>
      <w:bookmarkStart w:id="1599" w:name="_Toc351203649"/>
      <w:bookmarkStart w:id="1600" w:name="_Toc432343961"/>
      <w:bookmarkStart w:id="1601" w:name="_Toc529527045"/>
      <w:bookmarkStart w:id="1602" w:name="_Toc389065334"/>
      <w:r>
        <w:rPr>
          <w:rFonts w:ascii="宋体" w:hAnsi="宋体"/>
          <w:b/>
          <w:bCs/>
          <w:color w:val="auto"/>
          <w:sz w:val="32"/>
          <w:szCs w:val="32"/>
          <w:highlight w:val="none"/>
        </w:rPr>
        <w:t>17. 不可抗力</w:t>
      </w:r>
      <w:bookmarkEnd w:id="1561"/>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p>
    <w:p w14:paraId="09979D4F">
      <w:pPr>
        <w:keepNext/>
        <w:keepLines/>
        <w:spacing w:before="260" w:after="260" w:line="416" w:lineRule="auto"/>
        <w:outlineLvl w:val="2"/>
        <w:rPr>
          <w:rFonts w:ascii="宋体" w:hAnsi="宋体"/>
          <w:b/>
          <w:bCs/>
          <w:color w:val="auto"/>
          <w:sz w:val="32"/>
          <w:szCs w:val="32"/>
          <w:highlight w:val="none"/>
        </w:rPr>
      </w:pPr>
      <w:bookmarkStart w:id="1603" w:name="_Toc530144540"/>
      <w:bookmarkStart w:id="1604" w:name="_Toc373478417"/>
      <w:bookmarkStart w:id="1605" w:name="_Toc461179316"/>
      <w:bookmarkStart w:id="1606" w:name="_Toc472931679"/>
      <w:bookmarkStart w:id="1607" w:name="_Toc373227770"/>
      <w:bookmarkStart w:id="1608" w:name="_Toc470247873"/>
      <w:bookmarkStart w:id="1609" w:name="_Toc432343962"/>
      <w:bookmarkStart w:id="1610" w:name="_Toc529547398"/>
      <w:bookmarkStart w:id="1611" w:name="_Toc531186675"/>
      <w:bookmarkStart w:id="1612" w:name="_Toc454211186"/>
      <w:bookmarkStart w:id="1613" w:name="_Toc529527046"/>
      <w:bookmarkStart w:id="1614" w:name="_Toc389065335"/>
      <w:bookmarkStart w:id="1615" w:name="_Toc411345254"/>
      <w:r>
        <w:rPr>
          <w:rFonts w:ascii="宋体" w:hAnsi="宋体"/>
          <w:b/>
          <w:bCs/>
          <w:color w:val="auto"/>
          <w:sz w:val="32"/>
          <w:szCs w:val="32"/>
          <w:highlight w:val="none"/>
        </w:rPr>
        <w:t>17.1 不可抗力的确认</w:t>
      </w:r>
      <w:bookmarkEnd w:id="1603"/>
      <w:bookmarkEnd w:id="1604"/>
      <w:bookmarkEnd w:id="1605"/>
      <w:bookmarkEnd w:id="1606"/>
      <w:bookmarkEnd w:id="1607"/>
      <w:bookmarkEnd w:id="1608"/>
      <w:bookmarkEnd w:id="1609"/>
      <w:bookmarkEnd w:id="1610"/>
      <w:bookmarkEnd w:id="1611"/>
      <w:bookmarkEnd w:id="1612"/>
      <w:bookmarkEnd w:id="1613"/>
      <w:bookmarkEnd w:id="1614"/>
      <w:bookmarkEnd w:id="1615"/>
    </w:p>
    <w:p w14:paraId="680DDEDF">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除通用合同条款约定的不可抗力事件之外，视为不可抗力的其他情形：</w:t>
      </w:r>
      <w:r>
        <w:rPr>
          <w:rFonts w:hint="eastAsia" w:ascii="宋体" w:hAnsi="宋体"/>
          <w:color w:val="auto"/>
          <w:szCs w:val="21"/>
          <w:highlight w:val="none"/>
        </w:rPr>
        <w:t>地震、海啸、瘟疫、骚乱、戒严、暴动、战争及13级以上台风，但由于承包人及其分包商的雇员的原因引起的骚乱及其他灾难性事件不属于不可抗力。</w:t>
      </w:r>
    </w:p>
    <w:p w14:paraId="28B1BB90">
      <w:pPr>
        <w:keepNext/>
        <w:keepLines/>
        <w:spacing w:before="260" w:after="260" w:line="416" w:lineRule="auto"/>
        <w:outlineLvl w:val="2"/>
        <w:rPr>
          <w:rFonts w:ascii="宋体" w:hAnsi="宋体"/>
          <w:b/>
          <w:bCs/>
          <w:color w:val="auto"/>
          <w:sz w:val="32"/>
          <w:szCs w:val="32"/>
          <w:highlight w:val="none"/>
        </w:rPr>
      </w:pPr>
      <w:bookmarkStart w:id="1616" w:name="_Toc454211188"/>
      <w:bookmarkStart w:id="1617" w:name="_Toc411345256"/>
      <w:bookmarkStart w:id="1618" w:name="_Toc373478418"/>
      <w:bookmarkStart w:id="1619" w:name="_Toc529547399"/>
      <w:bookmarkStart w:id="1620" w:name="_Toc531186676"/>
      <w:bookmarkStart w:id="1621" w:name="_Toc472931680"/>
      <w:bookmarkStart w:id="1622" w:name="_Toc432343964"/>
      <w:bookmarkStart w:id="1623" w:name="_Toc389065336"/>
      <w:bookmarkStart w:id="1624" w:name="_Toc530144541"/>
      <w:bookmarkStart w:id="1625" w:name="_Toc470247874"/>
      <w:bookmarkStart w:id="1626" w:name="_Toc529527047"/>
      <w:bookmarkStart w:id="1627" w:name="_Toc461179318"/>
      <w:bookmarkStart w:id="1628" w:name="_Toc373227771"/>
      <w:r>
        <w:rPr>
          <w:rFonts w:ascii="宋体" w:hAnsi="宋体"/>
          <w:b/>
          <w:bCs/>
          <w:color w:val="auto"/>
          <w:sz w:val="32"/>
          <w:szCs w:val="32"/>
          <w:highlight w:val="none"/>
        </w:rPr>
        <w:t>17.4 因不可抗力解除合同</w:t>
      </w:r>
      <w:bookmarkEnd w:id="1616"/>
      <w:bookmarkEnd w:id="1617"/>
      <w:bookmarkEnd w:id="1618"/>
      <w:bookmarkEnd w:id="1619"/>
      <w:bookmarkEnd w:id="1620"/>
      <w:bookmarkEnd w:id="1621"/>
      <w:bookmarkEnd w:id="1622"/>
      <w:bookmarkEnd w:id="1623"/>
      <w:bookmarkEnd w:id="1624"/>
      <w:bookmarkEnd w:id="1625"/>
      <w:bookmarkEnd w:id="1626"/>
      <w:bookmarkEnd w:id="1627"/>
      <w:bookmarkEnd w:id="1628"/>
    </w:p>
    <w:p w14:paraId="5917D9F7">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合同解除后，发包人应在商定或确定发包人应支付款项后</w:t>
      </w:r>
      <w:r>
        <w:rPr>
          <w:rFonts w:hint="eastAsia" w:ascii="宋体" w:hAnsi="宋体"/>
          <w:color w:val="auto"/>
          <w:szCs w:val="21"/>
          <w:highlight w:val="none"/>
          <w:u w:val="single"/>
        </w:rPr>
        <w:t xml:space="preserve"> 120 </w:t>
      </w:r>
      <w:r>
        <w:rPr>
          <w:rFonts w:ascii="宋体" w:hAnsi="宋体"/>
          <w:color w:val="auto"/>
          <w:szCs w:val="21"/>
          <w:highlight w:val="none"/>
        </w:rPr>
        <w:t>天内完成款项的支付。</w:t>
      </w:r>
    </w:p>
    <w:p w14:paraId="66750879">
      <w:pPr>
        <w:keepNext/>
        <w:keepLines/>
        <w:spacing w:before="260" w:after="260" w:line="416" w:lineRule="auto"/>
        <w:outlineLvl w:val="2"/>
        <w:rPr>
          <w:rFonts w:ascii="宋体" w:hAnsi="宋体"/>
          <w:b/>
          <w:bCs/>
          <w:color w:val="auto"/>
          <w:sz w:val="32"/>
          <w:szCs w:val="32"/>
          <w:highlight w:val="none"/>
        </w:rPr>
      </w:pPr>
      <w:bookmarkStart w:id="1629" w:name="_Toc454211189"/>
      <w:bookmarkStart w:id="1630" w:name="_Toc529527048"/>
      <w:bookmarkStart w:id="1631" w:name="_Toc470247875"/>
      <w:bookmarkStart w:id="1632" w:name="_Toc472931681"/>
      <w:bookmarkStart w:id="1633" w:name="_Toc411345257"/>
      <w:bookmarkStart w:id="1634" w:name="_Toc531186677"/>
      <w:bookmarkStart w:id="1635" w:name="_Toc351203650"/>
      <w:bookmarkStart w:id="1636" w:name="_Toc530144542"/>
      <w:bookmarkStart w:id="1637" w:name="_Toc389065337"/>
      <w:bookmarkStart w:id="1638" w:name="_Toc529547400"/>
      <w:bookmarkStart w:id="1639" w:name="_Toc373478419"/>
      <w:bookmarkStart w:id="1640" w:name="_Toc461179319"/>
      <w:bookmarkStart w:id="1641" w:name="_Toc432343965"/>
      <w:bookmarkStart w:id="1642" w:name="_Toc373227772"/>
      <w:r>
        <w:rPr>
          <w:rFonts w:ascii="宋体" w:hAnsi="宋体"/>
          <w:b/>
          <w:bCs/>
          <w:color w:val="auto"/>
          <w:sz w:val="32"/>
          <w:szCs w:val="32"/>
          <w:highlight w:val="none"/>
        </w:rPr>
        <w:t>18. 保险</w:t>
      </w:r>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p>
    <w:bookmarkEnd w:id="1562"/>
    <w:p w14:paraId="57753E28">
      <w:pPr>
        <w:keepNext/>
        <w:keepLines/>
        <w:spacing w:before="260" w:after="260" w:line="416" w:lineRule="auto"/>
        <w:outlineLvl w:val="2"/>
        <w:rPr>
          <w:rFonts w:ascii="宋体" w:hAnsi="宋体"/>
          <w:b/>
          <w:bCs/>
          <w:color w:val="auto"/>
          <w:sz w:val="32"/>
          <w:szCs w:val="32"/>
          <w:highlight w:val="none"/>
        </w:rPr>
      </w:pPr>
      <w:bookmarkStart w:id="1643" w:name="_Toc461179320"/>
      <w:bookmarkStart w:id="1644" w:name="_Toc529527049"/>
      <w:bookmarkStart w:id="1645" w:name="_Toc530144543"/>
      <w:bookmarkStart w:id="1646" w:name="_Toc389065338"/>
      <w:bookmarkStart w:id="1647" w:name="_Toc432343966"/>
      <w:bookmarkStart w:id="1648" w:name="_Toc373227773"/>
      <w:bookmarkStart w:id="1649" w:name="_Toc472931682"/>
      <w:bookmarkStart w:id="1650" w:name="_Toc411345258"/>
      <w:bookmarkStart w:id="1651" w:name="_Toc454211190"/>
      <w:bookmarkStart w:id="1652" w:name="_Toc373478420"/>
      <w:bookmarkStart w:id="1653" w:name="_Toc529547401"/>
      <w:bookmarkStart w:id="1654" w:name="_Toc470247876"/>
      <w:bookmarkStart w:id="1655" w:name="_Toc531186678"/>
      <w:r>
        <w:rPr>
          <w:rFonts w:ascii="宋体" w:hAnsi="宋体"/>
          <w:b/>
          <w:bCs/>
          <w:color w:val="auto"/>
          <w:sz w:val="32"/>
          <w:szCs w:val="32"/>
          <w:highlight w:val="none"/>
        </w:rPr>
        <w:t>18.1 工程保险</w:t>
      </w:r>
      <w:bookmarkEnd w:id="1643"/>
      <w:bookmarkEnd w:id="1644"/>
      <w:bookmarkEnd w:id="1645"/>
      <w:bookmarkEnd w:id="1646"/>
      <w:bookmarkEnd w:id="1647"/>
      <w:bookmarkEnd w:id="1648"/>
      <w:bookmarkEnd w:id="1649"/>
      <w:bookmarkEnd w:id="1650"/>
      <w:bookmarkEnd w:id="1651"/>
      <w:bookmarkEnd w:id="1652"/>
      <w:bookmarkEnd w:id="1653"/>
      <w:bookmarkEnd w:id="1654"/>
      <w:bookmarkEnd w:id="1655"/>
    </w:p>
    <w:p w14:paraId="1A6EC98E">
      <w:pPr>
        <w:spacing w:line="360" w:lineRule="auto"/>
        <w:ind w:firstLine="420" w:firstLineChars="200"/>
        <w:jc w:val="left"/>
        <w:rPr>
          <w:rFonts w:ascii="宋体" w:hAnsi="宋体"/>
          <w:b/>
          <w:color w:val="auto"/>
          <w:szCs w:val="21"/>
          <w:highlight w:val="none"/>
          <w:u w:val="single"/>
        </w:rPr>
      </w:pPr>
      <w:r>
        <w:rPr>
          <w:rFonts w:ascii="宋体" w:hAnsi="宋体"/>
          <w:color w:val="auto"/>
          <w:szCs w:val="21"/>
          <w:highlight w:val="none"/>
        </w:rPr>
        <w:t>关于工程保险的特别约定：</w:t>
      </w:r>
      <w:r>
        <w:rPr>
          <w:rFonts w:hint="eastAsia" w:ascii="宋体" w:hAnsi="宋体"/>
          <w:b/>
          <w:color w:val="auto"/>
          <w:szCs w:val="21"/>
          <w:highlight w:val="none"/>
          <w:u w:val="single"/>
        </w:rPr>
        <w:t>本项目的一切险（或安装工程一切险）和第三者责任险由</w:t>
      </w:r>
      <w:r>
        <w:rPr>
          <w:rFonts w:hint="eastAsia" w:ascii="宋体" w:hAnsi="宋体"/>
          <w:b/>
          <w:color w:val="auto"/>
          <w:kern w:val="0"/>
          <w:szCs w:val="21"/>
          <w:highlight w:val="none"/>
          <w:u w:val="single"/>
        </w:rPr>
        <w:t>发包人委托承包人投保，投保产生的保险费和其他相关费用由发包人承担，投保产生的相关费用由承包人在措施费中列项考虑，费用总价包干，由于承包人预估费用低于实际费用，不足部分由承包人补齐。</w:t>
      </w:r>
    </w:p>
    <w:p w14:paraId="3DC08FBF">
      <w:pPr>
        <w:keepNext/>
        <w:keepLines/>
        <w:spacing w:before="260" w:after="260" w:line="416" w:lineRule="auto"/>
        <w:outlineLvl w:val="2"/>
        <w:rPr>
          <w:rFonts w:ascii="宋体" w:hAnsi="宋体"/>
          <w:b/>
          <w:bCs/>
          <w:color w:val="auto"/>
          <w:sz w:val="32"/>
          <w:szCs w:val="32"/>
          <w:highlight w:val="none"/>
        </w:rPr>
      </w:pPr>
      <w:bookmarkStart w:id="1656" w:name="_Toc454211191"/>
      <w:bookmarkStart w:id="1657" w:name="_Toc373227774"/>
      <w:bookmarkStart w:id="1658" w:name="_Toc461179321"/>
      <w:bookmarkStart w:id="1659" w:name="_Toc389065339"/>
      <w:bookmarkStart w:id="1660" w:name="_Toc411345259"/>
      <w:bookmarkStart w:id="1661" w:name="_Toc472931683"/>
      <w:bookmarkStart w:id="1662" w:name="_Toc529527050"/>
      <w:bookmarkStart w:id="1663" w:name="_Toc432343967"/>
      <w:bookmarkStart w:id="1664" w:name="_Toc470247877"/>
      <w:bookmarkStart w:id="1665" w:name="_Toc373478421"/>
      <w:bookmarkStart w:id="1666" w:name="_Toc530144544"/>
      <w:bookmarkStart w:id="1667" w:name="_Toc531186679"/>
      <w:bookmarkStart w:id="1668" w:name="_Toc529547402"/>
      <w:r>
        <w:rPr>
          <w:rFonts w:ascii="宋体" w:hAnsi="宋体"/>
          <w:b/>
          <w:bCs/>
          <w:color w:val="auto"/>
          <w:sz w:val="32"/>
          <w:szCs w:val="32"/>
          <w:highlight w:val="none"/>
        </w:rPr>
        <w:t>18.3 其他保险</w:t>
      </w:r>
      <w:bookmarkEnd w:id="1656"/>
      <w:bookmarkEnd w:id="1657"/>
      <w:bookmarkEnd w:id="1658"/>
      <w:bookmarkEnd w:id="1659"/>
      <w:bookmarkEnd w:id="1660"/>
      <w:bookmarkEnd w:id="1661"/>
      <w:bookmarkEnd w:id="1662"/>
      <w:bookmarkEnd w:id="1663"/>
      <w:bookmarkEnd w:id="1664"/>
      <w:bookmarkEnd w:id="1665"/>
      <w:bookmarkEnd w:id="1666"/>
      <w:bookmarkEnd w:id="1667"/>
      <w:bookmarkEnd w:id="1668"/>
    </w:p>
    <w:p w14:paraId="1F6DBB5A">
      <w:pPr>
        <w:spacing w:line="360" w:lineRule="auto"/>
        <w:ind w:firstLine="420" w:firstLineChars="200"/>
        <w:jc w:val="left"/>
        <w:rPr>
          <w:rFonts w:ascii="宋体" w:hAnsi="宋体"/>
          <w:color w:val="auto"/>
          <w:kern w:val="0"/>
          <w:szCs w:val="21"/>
          <w:highlight w:val="none"/>
        </w:rPr>
      </w:pPr>
      <w:r>
        <w:rPr>
          <w:rFonts w:ascii="宋体" w:hAnsi="宋体"/>
          <w:color w:val="auto"/>
          <w:szCs w:val="21"/>
          <w:highlight w:val="none"/>
        </w:rPr>
        <w:t>关于其他保险的约定：</w:t>
      </w:r>
      <w:r>
        <w:rPr>
          <w:rFonts w:hint="eastAsia" w:ascii="宋体" w:hAnsi="宋体"/>
          <w:bCs/>
          <w:color w:val="auto"/>
          <w:szCs w:val="21"/>
          <w:highlight w:val="none"/>
          <w:u w:val="single"/>
        </w:rPr>
        <w:t xml:space="preserve">  承包人必须为施工现场从事施工的自有作业人员和管理人员办理意外伤害保险，并支付其保费，保险期限为项目建设期内 </w:t>
      </w:r>
      <w:r>
        <w:rPr>
          <w:rFonts w:hint="eastAsia" w:ascii="宋体" w:hAnsi="宋体"/>
          <w:bCs/>
          <w:color w:val="auto"/>
          <w:szCs w:val="21"/>
          <w:highlight w:val="none"/>
        </w:rPr>
        <w:t>。</w:t>
      </w:r>
    </w:p>
    <w:p w14:paraId="14604CA6">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承包人是否应为其施工设备等办理财产保险：</w:t>
      </w:r>
      <w:r>
        <w:rPr>
          <w:rFonts w:hint="eastAsia" w:ascii="宋体" w:hAnsi="宋体"/>
          <w:color w:val="auto"/>
          <w:szCs w:val="21"/>
          <w:highlight w:val="none"/>
          <w:u w:val="single"/>
        </w:rPr>
        <w:t>无</w:t>
      </w:r>
      <w:r>
        <w:rPr>
          <w:rFonts w:ascii="宋体" w:hAnsi="宋体"/>
          <w:color w:val="auto"/>
          <w:szCs w:val="21"/>
          <w:highlight w:val="none"/>
        </w:rPr>
        <w:t>。</w:t>
      </w:r>
    </w:p>
    <w:p w14:paraId="6A632127">
      <w:pPr>
        <w:keepNext/>
        <w:keepLines/>
        <w:spacing w:before="260" w:after="260" w:line="416" w:lineRule="auto"/>
        <w:outlineLvl w:val="2"/>
        <w:rPr>
          <w:rFonts w:ascii="宋体" w:hAnsi="宋体"/>
          <w:b/>
          <w:bCs/>
          <w:color w:val="auto"/>
          <w:sz w:val="32"/>
          <w:szCs w:val="32"/>
          <w:highlight w:val="none"/>
        </w:rPr>
      </w:pPr>
      <w:bookmarkStart w:id="1669" w:name="_Toc470247878"/>
      <w:bookmarkStart w:id="1670" w:name="_Toc432343969"/>
      <w:bookmarkStart w:id="1671" w:name="_Toc472931684"/>
      <w:bookmarkStart w:id="1672" w:name="_Toc461179323"/>
      <w:bookmarkStart w:id="1673" w:name="_Toc529547403"/>
      <w:bookmarkStart w:id="1674" w:name="_Toc529527051"/>
      <w:bookmarkStart w:id="1675" w:name="_Toc411345260"/>
      <w:bookmarkStart w:id="1676" w:name="_Toc373227775"/>
      <w:bookmarkStart w:id="1677" w:name="_Toc531186680"/>
      <w:bookmarkStart w:id="1678" w:name="_Toc530144545"/>
      <w:bookmarkStart w:id="1679" w:name="_Toc454211193"/>
      <w:bookmarkStart w:id="1680" w:name="_Toc373478422"/>
      <w:bookmarkStart w:id="1681" w:name="_Toc389065340"/>
      <w:r>
        <w:rPr>
          <w:rFonts w:ascii="宋体" w:hAnsi="宋体"/>
          <w:b/>
          <w:bCs/>
          <w:color w:val="auto"/>
          <w:sz w:val="32"/>
          <w:szCs w:val="32"/>
          <w:highlight w:val="none"/>
        </w:rPr>
        <w:t>18.7 通知义务</w:t>
      </w:r>
      <w:bookmarkEnd w:id="1669"/>
      <w:bookmarkEnd w:id="1670"/>
      <w:bookmarkEnd w:id="1671"/>
      <w:bookmarkEnd w:id="1672"/>
      <w:bookmarkEnd w:id="1673"/>
      <w:bookmarkEnd w:id="1674"/>
      <w:bookmarkEnd w:id="1675"/>
      <w:bookmarkEnd w:id="1676"/>
      <w:bookmarkEnd w:id="1677"/>
      <w:bookmarkEnd w:id="1678"/>
      <w:bookmarkEnd w:id="1679"/>
      <w:bookmarkEnd w:id="1680"/>
      <w:bookmarkEnd w:id="1681"/>
    </w:p>
    <w:p w14:paraId="5020EDBF">
      <w:pPr>
        <w:spacing w:line="360" w:lineRule="auto"/>
        <w:ind w:firstLine="420" w:firstLineChars="200"/>
        <w:jc w:val="left"/>
        <w:rPr>
          <w:rFonts w:ascii="宋体" w:hAnsi="宋体"/>
          <w:color w:val="auto"/>
          <w:szCs w:val="21"/>
          <w:highlight w:val="none"/>
          <w:u w:val="single"/>
        </w:rPr>
      </w:pPr>
      <w:r>
        <w:rPr>
          <w:rFonts w:ascii="宋体" w:hAnsi="宋体"/>
          <w:color w:val="auto"/>
          <w:kern w:val="0"/>
          <w:szCs w:val="21"/>
          <w:highlight w:val="none"/>
        </w:rPr>
        <w:t>关于变更保险合同时的通知义务的约定：</w:t>
      </w:r>
      <w:r>
        <w:rPr>
          <w:rFonts w:hint="eastAsia" w:ascii="宋体" w:hAnsi="宋体"/>
          <w:color w:val="auto"/>
          <w:szCs w:val="21"/>
          <w:highlight w:val="none"/>
          <w:u w:val="single"/>
        </w:rPr>
        <w:t>按通用合同条款执行</w:t>
      </w:r>
      <w:r>
        <w:rPr>
          <w:rFonts w:ascii="宋体" w:hAnsi="宋体"/>
          <w:color w:val="auto"/>
          <w:szCs w:val="21"/>
          <w:highlight w:val="none"/>
        </w:rPr>
        <w:t>。</w:t>
      </w:r>
    </w:p>
    <w:bookmarkEnd w:id="1486"/>
    <w:bookmarkEnd w:id="1487"/>
    <w:bookmarkEnd w:id="1488"/>
    <w:bookmarkEnd w:id="1489"/>
    <w:bookmarkEnd w:id="1490"/>
    <w:bookmarkEnd w:id="1491"/>
    <w:bookmarkEnd w:id="1492"/>
    <w:bookmarkEnd w:id="1493"/>
    <w:bookmarkEnd w:id="1494"/>
    <w:bookmarkEnd w:id="1495"/>
    <w:bookmarkEnd w:id="1496"/>
    <w:bookmarkEnd w:id="1497"/>
    <w:p w14:paraId="6D6E9A04">
      <w:pPr>
        <w:keepNext/>
        <w:keepLines/>
        <w:spacing w:before="260" w:after="260" w:line="416" w:lineRule="auto"/>
        <w:outlineLvl w:val="2"/>
        <w:rPr>
          <w:rFonts w:ascii="宋体" w:hAnsi="宋体"/>
          <w:b/>
          <w:bCs/>
          <w:color w:val="auto"/>
          <w:sz w:val="32"/>
          <w:szCs w:val="32"/>
          <w:highlight w:val="none"/>
        </w:rPr>
      </w:pPr>
      <w:bookmarkStart w:id="1682" w:name="_Toc454211194"/>
      <w:bookmarkStart w:id="1683" w:name="_Toc530144546"/>
      <w:bookmarkStart w:id="1684" w:name="_Toc351203651"/>
      <w:bookmarkStart w:id="1685" w:name="_Toc432343970"/>
      <w:bookmarkStart w:id="1686" w:name="_Toc373227776"/>
      <w:bookmarkStart w:id="1687" w:name="_Toc411345261"/>
      <w:bookmarkStart w:id="1688" w:name="_Toc470247879"/>
      <w:bookmarkStart w:id="1689" w:name="_Toc461179324"/>
      <w:bookmarkStart w:id="1690" w:name="_Toc531186681"/>
      <w:bookmarkStart w:id="1691" w:name="_Toc472931685"/>
      <w:bookmarkStart w:id="1692" w:name="_Toc389065341"/>
      <w:bookmarkStart w:id="1693" w:name="_Toc529547404"/>
      <w:bookmarkStart w:id="1694" w:name="_Toc373478423"/>
      <w:bookmarkStart w:id="1695" w:name="_Toc529527052"/>
      <w:r>
        <w:rPr>
          <w:rFonts w:ascii="宋体" w:hAnsi="宋体"/>
          <w:b/>
          <w:bCs/>
          <w:color w:val="auto"/>
          <w:sz w:val="32"/>
          <w:szCs w:val="32"/>
          <w:highlight w:val="none"/>
        </w:rPr>
        <w:t>20. 争议解决</w:t>
      </w:r>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p>
    <w:bookmarkEnd w:id="1498"/>
    <w:bookmarkEnd w:id="1499"/>
    <w:p w14:paraId="60BE6EC2">
      <w:pPr>
        <w:keepNext/>
        <w:keepLines/>
        <w:spacing w:before="260" w:after="260" w:line="416" w:lineRule="auto"/>
        <w:outlineLvl w:val="2"/>
        <w:rPr>
          <w:rFonts w:ascii="宋体" w:hAnsi="宋体"/>
          <w:b/>
          <w:bCs/>
          <w:color w:val="auto"/>
          <w:sz w:val="32"/>
          <w:szCs w:val="32"/>
          <w:highlight w:val="none"/>
        </w:rPr>
      </w:pPr>
      <w:bookmarkStart w:id="1696" w:name="_Toc472931686"/>
      <w:bookmarkStart w:id="1697" w:name="_Toc373227777"/>
      <w:bookmarkStart w:id="1698" w:name="_Toc432343971"/>
      <w:bookmarkStart w:id="1699" w:name="_Toc529527053"/>
      <w:bookmarkStart w:id="1700" w:name="_Toc389065342"/>
      <w:bookmarkStart w:id="1701" w:name="_Toc373478424"/>
      <w:bookmarkStart w:id="1702" w:name="_Toc530144547"/>
      <w:bookmarkStart w:id="1703" w:name="_Toc470247880"/>
      <w:bookmarkStart w:id="1704" w:name="_Toc411345262"/>
      <w:bookmarkStart w:id="1705" w:name="_Toc529547405"/>
      <w:bookmarkStart w:id="1706" w:name="_Toc461179325"/>
      <w:bookmarkStart w:id="1707" w:name="_Toc531186682"/>
      <w:bookmarkStart w:id="1708" w:name="_Toc454211195"/>
      <w:r>
        <w:rPr>
          <w:rFonts w:ascii="宋体" w:hAnsi="宋体"/>
          <w:b/>
          <w:bCs/>
          <w:color w:val="auto"/>
          <w:sz w:val="32"/>
          <w:szCs w:val="32"/>
          <w:highlight w:val="none"/>
        </w:rPr>
        <w:t>20.3 争</w:t>
      </w:r>
      <w:bookmarkEnd w:id="1500"/>
      <w:r>
        <w:rPr>
          <w:rFonts w:ascii="宋体" w:hAnsi="宋体"/>
          <w:b/>
          <w:bCs/>
          <w:color w:val="auto"/>
          <w:sz w:val="32"/>
          <w:szCs w:val="32"/>
          <w:highlight w:val="none"/>
        </w:rPr>
        <w:t>议评审</w:t>
      </w:r>
      <w:bookmarkEnd w:id="1696"/>
      <w:bookmarkEnd w:id="1697"/>
      <w:bookmarkEnd w:id="1698"/>
      <w:bookmarkEnd w:id="1699"/>
      <w:bookmarkEnd w:id="1700"/>
      <w:bookmarkEnd w:id="1701"/>
      <w:bookmarkEnd w:id="1702"/>
      <w:bookmarkEnd w:id="1703"/>
      <w:bookmarkEnd w:id="1704"/>
      <w:bookmarkEnd w:id="1705"/>
      <w:bookmarkEnd w:id="1706"/>
      <w:bookmarkEnd w:id="1707"/>
      <w:bookmarkEnd w:id="1708"/>
    </w:p>
    <w:p w14:paraId="3BE80E7F">
      <w:pPr>
        <w:spacing w:line="360" w:lineRule="auto"/>
        <w:ind w:left="149" w:leftChars="71" w:firstLine="315" w:firstLineChars="150"/>
        <w:jc w:val="left"/>
        <w:rPr>
          <w:rFonts w:ascii="宋体" w:hAnsi="宋体"/>
          <w:color w:val="auto"/>
          <w:szCs w:val="21"/>
          <w:highlight w:val="none"/>
          <w:u w:val="single"/>
        </w:rPr>
      </w:pPr>
      <w:r>
        <w:rPr>
          <w:rFonts w:ascii="宋体" w:hAnsi="宋体"/>
          <w:color w:val="auto"/>
          <w:szCs w:val="21"/>
          <w:highlight w:val="none"/>
        </w:rPr>
        <w:t>合同当事人是否同意将工程争议提交争议评审小组决定：</w:t>
      </w:r>
      <w:r>
        <w:rPr>
          <w:rFonts w:hint="eastAsia" w:ascii="宋体" w:hAnsi="宋体"/>
          <w:color w:val="auto"/>
          <w:szCs w:val="21"/>
          <w:highlight w:val="none"/>
          <w:u w:val="single"/>
        </w:rPr>
        <w:t>否。双方约定，在履行合同进程中产生争议时，请工程所在地建设行政主管部门进行调解，调解不成时，向工程所在地人民法院起诉。</w:t>
      </w:r>
    </w:p>
    <w:p w14:paraId="0AFF5390">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20.3.1 争议评审小组的确定</w:t>
      </w:r>
    </w:p>
    <w:p w14:paraId="000B9317">
      <w:pPr>
        <w:spacing w:line="360" w:lineRule="auto"/>
        <w:ind w:firstLine="420" w:firstLineChars="200"/>
        <w:jc w:val="left"/>
        <w:rPr>
          <w:rFonts w:ascii="宋体" w:hAnsi="宋体"/>
          <w:color w:val="auto"/>
          <w:szCs w:val="21"/>
          <w:highlight w:val="none"/>
          <w:u w:val="single"/>
        </w:rPr>
      </w:pPr>
      <w:r>
        <w:rPr>
          <w:rFonts w:ascii="宋体" w:hAnsi="宋体"/>
          <w:color w:val="auto"/>
          <w:szCs w:val="21"/>
          <w:highlight w:val="none"/>
        </w:rPr>
        <w:t>争议评审小组成员的确定：</w:t>
      </w:r>
      <w:r>
        <w:rPr>
          <w:rFonts w:hint="eastAsia" w:ascii="宋体" w:hAnsi="宋体"/>
          <w:color w:val="auto"/>
          <w:szCs w:val="21"/>
          <w:highlight w:val="none"/>
          <w:u w:val="single"/>
        </w:rPr>
        <w:t>/</w:t>
      </w:r>
      <w:r>
        <w:rPr>
          <w:rFonts w:ascii="宋体" w:hAnsi="宋体"/>
          <w:color w:val="auto"/>
          <w:szCs w:val="21"/>
          <w:highlight w:val="none"/>
        </w:rPr>
        <w:t>。</w:t>
      </w:r>
    </w:p>
    <w:p w14:paraId="5694E414">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选定争议评审员的期限：</w:t>
      </w:r>
      <w:r>
        <w:rPr>
          <w:rFonts w:hint="eastAsia" w:ascii="宋体" w:hAnsi="宋体"/>
          <w:color w:val="auto"/>
          <w:szCs w:val="21"/>
          <w:highlight w:val="none"/>
          <w:u w:val="single"/>
        </w:rPr>
        <w:t>/</w:t>
      </w:r>
      <w:r>
        <w:rPr>
          <w:rFonts w:ascii="宋体" w:hAnsi="宋体"/>
          <w:color w:val="auto"/>
          <w:szCs w:val="21"/>
          <w:highlight w:val="none"/>
        </w:rPr>
        <w:t>。</w:t>
      </w:r>
    </w:p>
    <w:p w14:paraId="3AF7C358">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争议评审小组成员的报酬承担方式：</w:t>
      </w:r>
      <w:r>
        <w:rPr>
          <w:rFonts w:hint="eastAsia" w:ascii="宋体" w:hAnsi="宋体"/>
          <w:color w:val="auto"/>
          <w:szCs w:val="21"/>
          <w:highlight w:val="none"/>
          <w:u w:val="single"/>
        </w:rPr>
        <w:t>/</w:t>
      </w:r>
      <w:r>
        <w:rPr>
          <w:rFonts w:ascii="宋体" w:hAnsi="宋体"/>
          <w:color w:val="auto"/>
          <w:szCs w:val="21"/>
          <w:highlight w:val="none"/>
        </w:rPr>
        <w:t>。</w:t>
      </w:r>
    </w:p>
    <w:p w14:paraId="1790AF5E">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其他事项的约定：</w:t>
      </w:r>
      <w:r>
        <w:rPr>
          <w:rFonts w:hint="eastAsia" w:ascii="宋体" w:hAnsi="宋体"/>
          <w:color w:val="auto"/>
          <w:szCs w:val="21"/>
          <w:highlight w:val="none"/>
          <w:u w:val="single"/>
        </w:rPr>
        <w:t>/</w:t>
      </w:r>
      <w:r>
        <w:rPr>
          <w:rFonts w:ascii="宋体" w:hAnsi="宋体"/>
          <w:color w:val="auto"/>
          <w:szCs w:val="21"/>
          <w:highlight w:val="none"/>
        </w:rPr>
        <w:t>。</w:t>
      </w:r>
    </w:p>
    <w:p w14:paraId="07421BAD">
      <w:pPr>
        <w:autoSpaceDE w:val="0"/>
        <w:autoSpaceDN w:val="0"/>
        <w:adjustRightInd w:val="0"/>
        <w:spacing w:line="36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20.3.2 争议评审小组的决定</w:t>
      </w:r>
    </w:p>
    <w:p w14:paraId="50E55536">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合同当事人关于本项的约定：</w:t>
      </w:r>
      <w:r>
        <w:rPr>
          <w:rFonts w:hint="eastAsia" w:ascii="宋体" w:hAnsi="宋体"/>
          <w:color w:val="auto"/>
          <w:szCs w:val="21"/>
          <w:highlight w:val="none"/>
          <w:u w:val="single"/>
        </w:rPr>
        <w:t>/</w:t>
      </w:r>
      <w:r>
        <w:rPr>
          <w:rFonts w:ascii="宋体" w:hAnsi="宋体"/>
          <w:color w:val="auto"/>
          <w:szCs w:val="21"/>
          <w:highlight w:val="none"/>
        </w:rPr>
        <w:t>。</w:t>
      </w:r>
    </w:p>
    <w:p w14:paraId="2A2CC494">
      <w:pPr>
        <w:keepNext/>
        <w:keepLines/>
        <w:spacing w:before="260" w:after="260" w:line="416" w:lineRule="auto"/>
        <w:outlineLvl w:val="2"/>
        <w:rPr>
          <w:rFonts w:ascii="宋体" w:hAnsi="宋体"/>
          <w:b/>
          <w:bCs/>
          <w:color w:val="auto"/>
          <w:sz w:val="32"/>
          <w:szCs w:val="32"/>
          <w:highlight w:val="none"/>
        </w:rPr>
      </w:pPr>
      <w:bookmarkStart w:id="1709" w:name="_Toc389065343"/>
      <w:bookmarkStart w:id="1710" w:name="_Toc470247881"/>
      <w:bookmarkStart w:id="1711" w:name="_Toc373227778"/>
      <w:bookmarkStart w:id="1712" w:name="_Toc472931687"/>
      <w:bookmarkStart w:id="1713" w:name="_Toc411345263"/>
      <w:bookmarkStart w:id="1714" w:name="_Toc432343972"/>
      <w:bookmarkStart w:id="1715" w:name="_Toc531186683"/>
      <w:bookmarkStart w:id="1716" w:name="_Toc461179326"/>
      <w:bookmarkStart w:id="1717" w:name="_Toc373478425"/>
      <w:bookmarkStart w:id="1718" w:name="_Toc454211196"/>
      <w:bookmarkStart w:id="1719" w:name="_Toc529527054"/>
      <w:bookmarkStart w:id="1720" w:name="_Toc530144548"/>
      <w:bookmarkStart w:id="1721" w:name="_Toc529547406"/>
      <w:r>
        <w:rPr>
          <w:rFonts w:ascii="宋体" w:hAnsi="宋体"/>
          <w:b/>
          <w:bCs/>
          <w:color w:val="auto"/>
          <w:sz w:val="32"/>
          <w:szCs w:val="32"/>
          <w:highlight w:val="none"/>
        </w:rPr>
        <w:t>20.4仲裁或诉讼</w:t>
      </w:r>
      <w:bookmarkEnd w:id="1501"/>
      <w:bookmarkEnd w:id="1709"/>
      <w:bookmarkEnd w:id="1710"/>
      <w:bookmarkEnd w:id="1711"/>
      <w:bookmarkEnd w:id="1712"/>
      <w:bookmarkEnd w:id="1713"/>
      <w:bookmarkEnd w:id="1714"/>
      <w:bookmarkEnd w:id="1715"/>
      <w:bookmarkEnd w:id="1716"/>
      <w:bookmarkEnd w:id="1717"/>
      <w:bookmarkEnd w:id="1718"/>
      <w:bookmarkEnd w:id="1719"/>
      <w:bookmarkEnd w:id="1720"/>
      <w:bookmarkEnd w:id="1721"/>
    </w:p>
    <w:p w14:paraId="26A6EAF4">
      <w:pPr>
        <w:spacing w:line="360" w:lineRule="auto"/>
        <w:ind w:firstLine="420" w:firstLineChars="200"/>
        <w:rPr>
          <w:rFonts w:ascii="宋体" w:hAnsi="宋体"/>
          <w:color w:val="auto"/>
          <w:szCs w:val="21"/>
          <w:highlight w:val="none"/>
        </w:rPr>
      </w:pPr>
      <w:r>
        <w:rPr>
          <w:rFonts w:ascii="宋体" w:hAnsi="宋体"/>
          <w:color w:val="auto"/>
          <w:szCs w:val="21"/>
          <w:highlight w:val="none"/>
        </w:rPr>
        <w:t>因合同及合同有关事项发生的争议，按下列第</w:t>
      </w:r>
      <w:r>
        <w:rPr>
          <w:rFonts w:hint="eastAsia" w:ascii="宋体" w:hAnsi="宋体"/>
          <w:b/>
          <w:bCs/>
          <w:color w:val="auto"/>
          <w:szCs w:val="21"/>
          <w:highlight w:val="none"/>
          <w:u w:val="single"/>
        </w:rPr>
        <w:t>（2）</w:t>
      </w:r>
      <w:r>
        <w:rPr>
          <w:rFonts w:ascii="宋体" w:hAnsi="宋体"/>
          <w:color w:val="auto"/>
          <w:szCs w:val="21"/>
          <w:highlight w:val="none"/>
        </w:rPr>
        <w:t>种方式解决：</w:t>
      </w:r>
    </w:p>
    <w:p w14:paraId="18AD492F">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（1）提请</w:t>
      </w:r>
      <w:r>
        <w:rPr>
          <w:rFonts w:hint="eastAsia" w:ascii="宋体" w:hAnsi="宋体"/>
          <w:color w:val="auto"/>
          <w:szCs w:val="21"/>
          <w:highlight w:val="none"/>
          <w:u w:val="single"/>
        </w:rPr>
        <w:t>/</w:t>
      </w:r>
      <w:r>
        <w:rPr>
          <w:rFonts w:ascii="宋体" w:hAnsi="宋体"/>
          <w:color w:val="auto"/>
          <w:szCs w:val="21"/>
          <w:highlight w:val="none"/>
        </w:rPr>
        <w:t>仲裁委员会按照该会仲裁规则进行仲裁，仲裁裁决是终局的，对合同双方均有约束力。</w:t>
      </w:r>
    </w:p>
    <w:p w14:paraId="3DF54795">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（2）向</w:t>
      </w:r>
      <w:r>
        <w:rPr>
          <w:rFonts w:hint="eastAsia" w:ascii="宋体" w:hAnsi="宋体"/>
          <w:color w:val="auto"/>
          <w:szCs w:val="21"/>
          <w:highlight w:val="none"/>
          <w:u w:val="single"/>
        </w:rPr>
        <w:t>工程所在地</w:t>
      </w:r>
      <w:r>
        <w:rPr>
          <w:rFonts w:ascii="宋体" w:hAnsi="宋体"/>
          <w:color w:val="auto"/>
          <w:szCs w:val="21"/>
          <w:highlight w:val="none"/>
        </w:rPr>
        <w:t>人民法院起诉。</w:t>
      </w:r>
      <w:bookmarkEnd w:id="1502"/>
      <w:bookmarkEnd w:id="1503"/>
      <w:bookmarkEnd w:id="1504"/>
      <w:bookmarkEnd w:id="1505"/>
      <w:bookmarkEnd w:id="1506"/>
      <w:bookmarkEnd w:id="1507"/>
    </w:p>
    <w:p w14:paraId="33B81516">
      <w:pPr>
        <w:keepNext/>
        <w:keepLines/>
        <w:spacing w:before="260" w:after="260" w:line="416" w:lineRule="auto"/>
        <w:outlineLvl w:val="2"/>
        <w:rPr>
          <w:rFonts w:ascii="宋体" w:hAnsi="宋体"/>
          <w:b/>
          <w:bCs/>
          <w:color w:val="auto"/>
          <w:sz w:val="32"/>
          <w:szCs w:val="32"/>
          <w:highlight w:val="none"/>
        </w:rPr>
      </w:pPr>
      <w:bookmarkStart w:id="1722" w:name="_Toc530144549"/>
      <w:bookmarkStart w:id="1723" w:name="_Toc529527055"/>
      <w:bookmarkStart w:id="1724" w:name="_Toc373227779"/>
      <w:bookmarkStart w:id="1725" w:name="_Toc461179327"/>
      <w:bookmarkStart w:id="1726" w:name="_Toc389065344"/>
      <w:bookmarkStart w:id="1727" w:name="_Toc454211197"/>
      <w:bookmarkStart w:id="1728" w:name="_Toc432343973"/>
      <w:bookmarkStart w:id="1729" w:name="_Toc411345264"/>
      <w:bookmarkStart w:id="1730" w:name="_Toc470247882"/>
      <w:bookmarkStart w:id="1731" w:name="_Toc472931688"/>
      <w:bookmarkStart w:id="1732" w:name="_Toc531186684"/>
      <w:bookmarkStart w:id="1733" w:name="_Toc373478426"/>
      <w:bookmarkStart w:id="1734" w:name="_Toc529547407"/>
      <w:r>
        <w:rPr>
          <w:rFonts w:ascii="宋体" w:hAnsi="宋体"/>
          <w:b/>
          <w:bCs/>
          <w:color w:val="auto"/>
          <w:sz w:val="32"/>
          <w:szCs w:val="32"/>
          <w:highlight w:val="none"/>
        </w:rPr>
        <w:t>21. 补充条款</w:t>
      </w:r>
      <w:bookmarkEnd w:id="1722"/>
      <w:bookmarkEnd w:id="1723"/>
      <w:bookmarkEnd w:id="1724"/>
      <w:bookmarkEnd w:id="1725"/>
      <w:bookmarkEnd w:id="1726"/>
      <w:bookmarkEnd w:id="1727"/>
      <w:bookmarkEnd w:id="1728"/>
      <w:bookmarkEnd w:id="1729"/>
      <w:bookmarkEnd w:id="1730"/>
      <w:bookmarkEnd w:id="1731"/>
      <w:bookmarkEnd w:id="1732"/>
      <w:bookmarkEnd w:id="1733"/>
      <w:bookmarkEnd w:id="1734"/>
    </w:p>
    <w:p w14:paraId="699100F3">
      <w:pPr>
        <w:spacing w:line="360" w:lineRule="auto"/>
        <w:ind w:left="-359" w:leftChars="-171" w:firstLine="268" w:firstLineChars="128"/>
        <w:jc w:val="left"/>
        <w:rPr>
          <w:rFonts w:ascii="Calibri" w:hAnsi="Calibri"/>
          <w:color w:val="auto"/>
          <w:szCs w:val="22"/>
          <w:highlight w:val="none"/>
        </w:rPr>
      </w:pPr>
      <w:r>
        <w:rPr>
          <w:rFonts w:ascii="Calibri" w:hAnsi="Calibri"/>
          <w:color w:val="auto"/>
          <w:szCs w:val="21"/>
          <w:highlight w:val="none"/>
        </w:rPr>
        <w:t xml:space="preserve">  21.1 </w:t>
      </w:r>
      <w:r>
        <w:rPr>
          <w:rFonts w:ascii="Calibri" w:hAnsi="宋体"/>
          <w:color w:val="auto"/>
          <w:szCs w:val="21"/>
          <w:highlight w:val="none"/>
        </w:rPr>
        <w:t>凡进入本工程工作的妇女应持有计生证、否则不准安排工作，禁止使用童工。</w:t>
      </w:r>
    </w:p>
    <w:p w14:paraId="53D1D18D">
      <w:pPr>
        <w:spacing w:line="360" w:lineRule="auto"/>
        <w:ind w:firstLine="420" w:firstLineChars="200"/>
        <w:jc w:val="left"/>
        <w:rPr>
          <w:rFonts w:ascii="宋体" w:hAnsi="宋体" w:cs="宋体"/>
          <w:color w:val="auto"/>
          <w:kern w:val="0"/>
          <w:szCs w:val="21"/>
          <w:highlight w:val="none"/>
        </w:rPr>
      </w:pPr>
      <w:r>
        <w:rPr>
          <w:rFonts w:ascii="宋体" w:hAnsi="宋体" w:cs="宋体"/>
          <w:color w:val="auto"/>
          <w:kern w:val="0"/>
          <w:szCs w:val="21"/>
          <w:highlight w:val="none"/>
        </w:rPr>
        <w:t>21.2农民工工资实行分账管理</w:t>
      </w:r>
    </w:p>
    <w:p w14:paraId="30D71907">
      <w:pPr>
        <w:spacing w:line="360" w:lineRule="auto"/>
        <w:ind w:firstLine="420" w:firstLineChars="200"/>
        <w:jc w:val="left"/>
        <w:rPr>
          <w:rFonts w:ascii="宋体" w:hAnsi="宋体" w:cs="宋体"/>
          <w:color w:val="auto"/>
          <w:kern w:val="0"/>
          <w:szCs w:val="21"/>
          <w:highlight w:val="none"/>
        </w:rPr>
      </w:pPr>
      <w:r>
        <w:rPr>
          <w:rFonts w:ascii="宋体" w:hAnsi="宋体" w:cs="宋体"/>
          <w:color w:val="auto"/>
          <w:kern w:val="0"/>
          <w:szCs w:val="21"/>
          <w:highlight w:val="none"/>
        </w:rPr>
        <w:t>根据《关于进一步规范防城港市建设领域农民工工资的有关问题的通知》（防住建管发［2017]37号）第二条，合同承包人应设立农民工工资支付账户，实行农民工工资与其他款项分账管理，农民工工资支付账户信息：</w:t>
      </w:r>
    </w:p>
    <w:p w14:paraId="7C8F85F2">
      <w:pPr>
        <w:spacing w:line="360" w:lineRule="auto"/>
        <w:ind w:firstLine="420" w:firstLineChars="200"/>
        <w:jc w:val="left"/>
        <w:rPr>
          <w:rFonts w:ascii="宋体" w:hAnsi="宋体" w:cs="宋体"/>
          <w:color w:val="auto"/>
          <w:kern w:val="0"/>
          <w:szCs w:val="21"/>
          <w:highlight w:val="none"/>
        </w:rPr>
      </w:pPr>
      <w:r>
        <w:rPr>
          <w:rFonts w:ascii="宋体" w:hAnsi="宋体" w:cs="宋体"/>
          <w:color w:val="auto"/>
          <w:kern w:val="0"/>
          <w:szCs w:val="21"/>
          <w:highlight w:val="none"/>
        </w:rPr>
        <w:t>开户名称：   </w:t>
      </w:r>
    </w:p>
    <w:p w14:paraId="142B4C92">
      <w:pPr>
        <w:spacing w:line="360" w:lineRule="auto"/>
        <w:ind w:firstLine="420" w:firstLineChars="200"/>
        <w:jc w:val="left"/>
        <w:rPr>
          <w:rFonts w:ascii="宋体" w:hAnsi="宋体" w:cs="宋体"/>
          <w:color w:val="auto"/>
          <w:kern w:val="0"/>
          <w:szCs w:val="21"/>
          <w:highlight w:val="none"/>
        </w:rPr>
      </w:pPr>
      <w:r>
        <w:rPr>
          <w:rFonts w:ascii="宋体" w:hAnsi="宋体" w:cs="宋体"/>
          <w:color w:val="auto"/>
          <w:kern w:val="0"/>
          <w:szCs w:val="21"/>
          <w:highlight w:val="none"/>
        </w:rPr>
        <w:t>开户行：       </w:t>
      </w:r>
    </w:p>
    <w:p w14:paraId="67105DB7">
      <w:pPr>
        <w:spacing w:line="360" w:lineRule="auto"/>
        <w:ind w:firstLine="420" w:firstLineChars="200"/>
        <w:jc w:val="left"/>
        <w:rPr>
          <w:rFonts w:ascii="宋体" w:hAnsi="宋体" w:cs="宋体"/>
          <w:color w:val="auto"/>
          <w:kern w:val="0"/>
          <w:szCs w:val="21"/>
          <w:highlight w:val="none"/>
        </w:rPr>
      </w:pPr>
      <w:r>
        <w:rPr>
          <w:rFonts w:ascii="宋体" w:hAnsi="宋体" w:cs="宋体"/>
          <w:color w:val="auto"/>
          <w:kern w:val="0"/>
          <w:szCs w:val="21"/>
          <w:highlight w:val="none"/>
        </w:rPr>
        <w:t>账号：    </w:t>
      </w:r>
    </w:p>
    <w:p w14:paraId="5792FD8B">
      <w:pPr>
        <w:spacing w:line="360" w:lineRule="auto"/>
        <w:ind w:firstLine="420" w:firstLineChars="200"/>
        <w:jc w:val="left"/>
        <w:rPr>
          <w:rFonts w:ascii="宋体" w:hAnsi="宋体" w:cs="宋体"/>
          <w:color w:val="auto"/>
          <w:kern w:val="0"/>
          <w:szCs w:val="21"/>
          <w:highlight w:val="none"/>
        </w:rPr>
      </w:pPr>
      <w:r>
        <w:rPr>
          <w:rFonts w:ascii="宋体" w:hAnsi="宋体" w:cs="宋体"/>
          <w:color w:val="auto"/>
          <w:kern w:val="0"/>
          <w:szCs w:val="21"/>
          <w:highlight w:val="none"/>
        </w:rPr>
        <w:t>21.3农民工工资支付约定</w:t>
      </w:r>
    </w:p>
    <w:p w14:paraId="0D6E0EE2">
      <w:pPr>
        <w:spacing w:line="360" w:lineRule="auto"/>
        <w:ind w:firstLine="420" w:firstLineChars="200"/>
        <w:rPr>
          <w:color w:val="auto"/>
          <w:highlight w:val="none"/>
        </w:rPr>
      </w:pPr>
      <w:r>
        <w:rPr>
          <w:rFonts w:hint="eastAsia" w:hAnsi="宋体"/>
          <w:color w:val="auto"/>
          <w:szCs w:val="21"/>
          <w:highlight w:val="none"/>
          <w:lang w:val="en-US" w:eastAsia="zh-CN"/>
        </w:rPr>
        <w:t>21.3.1</w:t>
      </w:r>
      <w:r>
        <w:rPr>
          <w:rFonts w:hint="eastAsia" w:ascii="宋体" w:hAnsi="宋体"/>
          <w:color w:val="auto"/>
          <w:szCs w:val="21"/>
          <w:highlight w:val="none"/>
        </w:rPr>
        <w:t>发包人应按合同约定向承包人及时支付合同条款，发包人在每期进度支付进度款时，通过银行转账方式，按进度款的20%拨付到承包人农民工工资支付专用账户，专门用于支付农民工工资</w:t>
      </w:r>
      <w:r>
        <w:rPr>
          <w:rFonts w:hint="eastAsia" w:hAnsi="宋体"/>
          <w:color w:val="auto"/>
          <w:szCs w:val="21"/>
          <w:highlight w:val="none"/>
          <w:lang w:eastAsia="zh-CN"/>
        </w:rPr>
        <w:t>。</w:t>
      </w:r>
    </w:p>
    <w:p w14:paraId="7163A571">
      <w:pPr>
        <w:spacing w:line="360" w:lineRule="auto"/>
        <w:ind w:firstLine="420" w:firstLineChars="200"/>
        <w:jc w:val="left"/>
        <w:rPr>
          <w:rFonts w:ascii="宋体" w:hAnsi="宋体"/>
          <w:color w:val="auto"/>
          <w:szCs w:val="21"/>
          <w:highlight w:val="none"/>
        </w:rPr>
      </w:pPr>
      <w:r>
        <w:rPr>
          <w:rFonts w:hint="eastAsia" w:hAnsi="宋体"/>
          <w:color w:val="auto"/>
          <w:szCs w:val="21"/>
          <w:highlight w:val="none"/>
          <w:lang w:val="en-US" w:eastAsia="zh-CN"/>
        </w:rPr>
        <w:t>21.3.2</w:t>
      </w:r>
      <w:r>
        <w:rPr>
          <w:rFonts w:ascii="宋体" w:hAnsi="宋体" w:cs="宋体"/>
          <w:color w:val="auto"/>
          <w:kern w:val="0"/>
          <w:szCs w:val="21"/>
          <w:highlight w:val="none"/>
        </w:rPr>
        <w:t>合同承包人申请进度款应明确农民工工资金额，拨付进度款须优先保障农民工工资，再经农民工工资专户转至工人个人账户。</w:t>
      </w:r>
    </w:p>
    <w:p w14:paraId="57D619EA">
      <w:pPr>
        <w:pageBreakBefore/>
        <w:spacing w:line="360" w:lineRule="auto"/>
        <w:ind w:left="-359" w:leftChars="-171" w:firstLine="360" w:firstLineChars="128"/>
        <w:jc w:val="left"/>
        <w:rPr>
          <w:rFonts w:ascii="宋体" w:hAnsi="宋体"/>
          <w:b/>
          <w:color w:val="auto"/>
          <w:sz w:val="28"/>
          <w:szCs w:val="28"/>
          <w:highlight w:val="none"/>
        </w:rPr>
      </w:pPr>
      <w:r>
        <w:rPr>
          <w:rFonts w:ascii="宋体" w:hAnsi="宋体"/>
          <w:b/>
          <w:color w:val="auto"/>
          <w:sz w:val="28"/>
          <w:szCs w:val="28"/>
          <w:highlight w:val="none"/>
        </w:rPr>
        <w:t>附件</w:t>
      </w:r>
    </w:p>
    <w:p w14:paraId="4BEB2C2C">
      <w:pPr>
        <w:spacing w:line="360" w:lineRule="auto"/>
        <w:jc w:val="left"/>
        <w:rPr>
          <w:rFonts w:ascii="宋体" w:hAnsi="宋体"/>
          <w:color w:val="auto"/>
          <w:szCs w:val="21"/>
          <w:highlight w:val="none"/>
        </w:rPr>
      </w:pPr>
      <w:r>
        <w:rPr>
          <w:rFonts w:ascii="宋体" w:hAnsi="宋体"/>
          <w:color w:val="auto"/>
          <w:szCs w:val="21"/>
          <w:highlight w:val="none"/>
        </w:rPr>
        <w:t>附件1：承包人承揽工程项目一览表</w:t>
      </w:r>
    </w:p>
    <w:p w14:paraId="730A4D08">
      <w:pPr>
        <w:spacing w:line="360" w:lineRule="auto"/>
        <w:jc w:val="left"/>
        <w:rPr>
          <w:rFonts w:ascii="宋体" w:hAnsi="宋体"/>
          <w:color w:val="auto"/>
          <w:szCs w:val="21"/>
          <w:highlight w:val="none"/>
        </w:rPr>
      </w:pPr>
      <w:r>
        <w:rPr>
          <w:rFonts w:ascii="宋体" w:hAnsi="宋体"/>
          <w:color w:val="auto"/>
          <w:szCs w:val="21"/>
          <w:highlight w:val="none"/>
        </w:rPr>
        <w:t>附件</w:t>
      </w:r>
      <w:r>
        <w:rPr>
          <w:rFonts w:hint="eastAsia" w:hAnsi="宋体"/>
          <w:color w:val="auto"/>
          <w:szCs w:val="21"/>
          <w:highlight w:val="none"/>
          <w:lang w:val="en-US" w:eastAsia="zh-CN"/>
        </w:rPr>
        <w:t>2</w:t>
      </w:r>
      <w:r>
        <w:rPr>
          <w:rFonts w:ascii="宋体" w:hAnsi="宋体"/>
          <w:color w:val="auto"/>
          <w:szCs w:val="21"/>
          <w:highlight w:val="none"/>
        </w:rPr>
        <w:t>：</w:t>
      </w:r>
      <w:r>
        <w:rPr>
          <w:rFonts w:hint="eastAsia" w:ascii="宋体" w:hAnsi="宋体"/>
          <w:color w:val="auto"/>
          <w:szCs w:val="21"/>
          <w:highlight w:val="none"/>
        </w:rPr>
        <w:t>承包人主要施工管理人员表</w:t>
      </w:r>
    </w:p>
    <w:p w14:paraId="2DD303C6">
      <w:pPr>
        <w:spacing w:line="360" w:lineRule="auto"/>
        <w:jc w:val="left"/>
        <w:rPr>
          <w:rFonts w:ascii="宋体" w:hAnsi="宋体"/>
          <w:color w:val="auto"/>
          <w:szCs w:val="21"/>
          <w:highlight w:val="none"/>
        </w:rPr>
      </w:pPr>
      <w:r>
        <w:rPr>
          <w:rFonts w:ascii="宋体" w:hAnsi="宋体"/>
          <w:color w:val="auto"/>
          <w:szCs w:val="21"/>
          <w:highlight w:val="none"/>
        </w:rPr>
        <w:t>附件</w:t>
      </w:r>
      <w:r>
        <w:rPr>
          <w:rFonts w:hint="eastAsia" w:hAnsi="宋体"/>
          <w:color w:val="auto"/>
          <w:szCs w:val="21"/>
          <w:highlight w:val="none"/>
          <w:lang w:val="en-US" w:eastAsia="zh-CN"/>
        </w:rPr>
        <w:t>3</w:t>
      </w:r>
      <w:r>
        <w:rPr>
          <w:rFonts w:ascii="宋体" w:hAnsi="宋体"/>
          <w:color w:val="auto"/>
          <w:szCs w:val="21"/>
          <w:highlight w:val="none"/>
        </w:rPr>
        <w:t>：</w:t>
      </w:r>
      <w:r>
        <w:rPr>
          <w:rFonts w:hint="eastAsia" w:ascii="宋体" w:hAnsi="宋体"/>
          <w:color w:val="auto"/>
          <w:szCs w:val="21"/>
          <w:highlight w:val="none"/>
        </w:rPr>
        <w:t>分包人主要施工管理人员表</w:t>
      </w:r>
    </w:p>
    <w:p w14:paraId="3DC777AA">
      <w:pPr>
        <w:spacing w:line="360" w:lineRule="auto"/>
        <w:jc w:val="left"/>
        <w:rPr>
          <w:rFonts w:ascii="宋体" w:hAnsi="宋体"/>
          <w:color w:val="auto"/>
          <w:szCs w:val="21"/>
          <w:highlight w:val="none"/>
        </w:rPr>
      </w:pPr>
      <w:r>
        <w:rPr>
          <w:rFonts w:ascii="宋体" w:hAnsi="宋体"/>
          <w:color w:val="auto"/>
          <w:szCs w:val="21"/>
          <w:highlight w:val="none"/>
        </w:rPr>
        <w:t>附件</w:t>
      </w:r>
      <w:r>
        <w:rPr>
          <w:rFonts w:hint="eastAsia" w:hAnsi="宋体"/>
          <w:color w:val="auto"/>
          <w:szCs w:val="21"/>
          <w:highlight w:val="none"/>
          <w:lang w:val="en-US" w:eastAsia="zh-CN"/>
        </w:rPr>
        <w:t>4</w:t>
      </w:r>
      <w:r>
        <w:rPr>
          <w:rFonts w:ascii="宋体" w:hAnsi="宋体"/>
          <w:color w:val="auto"/>
          <w:szCs w:val="21"/>
          <w:highlight w:val="none"/>
        </w:rPr>
        <w:t>：</w:t>
      </w:r>
      <w:r>
        <w:rPr>
          <w:rFonts w:hint="eastAsia" w:ascii="宋体" w:hAnsi="宋体"/>
          <w:color w:val="auto"/>
          <w:szCs w:val="21"/>
          <w:highlight w:val="none"/>
        </w:rPr>
        <w:t>承包人用于本工程施工的机械设备表</w:t>
      </w:r>
    </w:p>
    <w:p w14:paraId="6442F623">
      <w:pPr>
        <w:spacing w:line="360" w:lineRule="auto"/>
        <w:jc w:val="left"/>
        <w:rPr>
          <w:rFonts w:ascii="宋体" w:hAnsi="宋体"/>
          <w:color w:val="auto"/>
          <w:szCs w:val="21"/>
          <w:highlight w:val="none"/>
        </w:rPr>
      </w:pPr>
      <w:r>
        <w:rPr>
          <w:rFonts w:ascii="宋体" w:hAnsi="宋体"/>
          <w:color w:val="auto"/>
          <w:szCs w:val="21"/>
          <w:highlight w:val="none"/>
        </w:rPr>
        <w:t>附件</w:t>
      </w:r>
      <w:r>
        <w:rPr>
          <w:rFonts w:hint="eastAsia" w:hAnsi="宋体"/>
          <w:color w:val="auto"/>
          <w:szCs w:val="21"/>
          <w:highlight w:val="none"/>
          <w:lang w:val="en-US" w:eastAsia="zh-CN"/>
        </w:rPr>
        <w:t>5</w:t>
      </w:r>
      <w:r>
        <w:rPr>
          <w:rFonts w:ascii="宋体" w:hAnsi="宋体"/>
          <w:color w:val="auto"/>
          <w:szCs w:val="21"/>
          <w:highlight w:val="none"/>
        </w:rPr>
        <w:t>：</w:t>
      </w:r>
      <w:r>
        <w:rPr>
          <w:rFonts w:hint="eastAsia" w:ascii="宋体" w:hAnsi="宋体"/>
          <w:color w:val="auto"/>
          <w:szCs w:val="21"/>
          <w:highlight w:val="none"/>
        </w:rPr>
        <w:t>预付款担保格式</w:t>
      </w:r>
    </w:p>
    <w:p w14:paraId="58582F9F">
      <w:pPr>
        <w:spacing w:line="360" w:lineRule="auto"/>
        <w:jc w:val="left"/>
        <w:rPr>
          <w:rFonts w:ascii="宋体" w:hAnsi="宋体"/>
          <w:color w:val="auto"/>
          <w:szCs w:val="21"/>
          <w:highlight w:val="none"/>
        </w:rPr>
      </w:pPr>
      <w:r>
        <w:rPr>
          <w:rFonts w:ascii="宋体" w:hAnsi="宋体"/>
          <w:color w:val="auto"/>
          <w:szCs w:val="21"/>
          <w:highlight w:val="none"/>
        </w:rPr>
        <w:t>附件</w:t>
      </w:r>
      <w:r>
        <w:rPr>
          <w:rFonts w:hint="eastAsia" w:hAnsi="宋体"/>
          <w:color w:val="auto"/>
          <w:szCs w:val="21"/>
          <w:highlight w:val="none"/>
          <w:lang w:val="en-US" w:eastAsia="zh-CN"/>
        </w:rPr>
        <w:t>6</w:t>
      </w:r>
      <w:r>
        <w:rPr>
          <w:rFonts w:ascii="宋体" w:hAnsi="宋体"/>
          <w:color w:val="auto"/>
          <w:szCs w:val="21"/>
          <w:highlight w:val="none"/>
        </w:rPr>
        <w:t>：</w:t>
      </w:r>
      <w:r>
        <w:rPr>
          <w:rFonts w:hint="eastAsia" w:ascii="宋体" w:hAnsi="宋体"/>
          <w:color w:val="auto"/>
          <w:szCs w:val="21"/>
          <w:highlight w:val="none"/>
        </w:rPr>
        <w:t>工程质量保修书</w:t>
      </w:r>
    </w:p>
    <w:p w14:paraId="4FAD14A2">
      <w:pPr>
        <w:pStyle w:val="252"/>
        <w:spacing w:line="360" w:lineRule="auto"/>
        <w:jc w:val="left"/>
        <w:rPr>
          <w:rFonts w:ascii="宋体" w:hAnsi="宋体"/>
          <w:color w:val="auto"/>
          <w:szCs w:val="21"/>
          <w:highlight w:val="none"/>
        </w:rPr>
      </w:pPr>
      <w:r>
        <w:rPr>
          <w:rFonts w:ascii="宋体" w:hAnsi="宋体"/>
          <w:color w:val="auto"/>
          <w:szCs w:val="21"/>
          <w:highlight w:val="none"/>
        </w:rPr>
        <w:t>附件</w:t>
      </w:r>
      <w:r>
        <w:rPr>
          <w:rFonts w:hint="eastAsia" w:ascii="宋体" w:hAnsi="宋体"/>
          <w:color w:val="auto"/>
          <w:szCs w:val="21"/>
          <w:highlight w:val="none"/>
          <w:lang w:val="en-US" w:eastAsia="zh-CN"/>
        </w:rPr>
        <w:t>7</w:t>
      </w:r>
      <w:r>
        <w:rPr>
          <w:rFonts w:ascii="宋体" w:hAnsi="宋体"/>
          <w:color w:val="auto"/>
          <w:szCs w:val="21"/>
          <w:highlight w:val="none"/>
        </w:rPr>
        <w:t>：</w:t>
      </w:r>
      <w:bookmarkStart w:id="1735" w:name="_Toc14904_WPSOffice_Level2"/>
      <w:r>
        <w:rPr>
          <w:rFonts w:hint="eastAsia" w:ascii="宋体" w:hAnsi="宋体"/>
          <w:color w:val="auto"/>
          <w:szCs w:val="21"/>
          <w:highlight w:val="none"/>
        </w:rPr>
        <w:t>廉政合同</w:t>
      </w:r>
      <w:bookmarkEnd w:id="1735"/>
    </w:p>
    <w:p w14:paraId="5A515959">
      <w:pPr>
        <w:pStyle w:val="252"/>
        <w:spacing w:line="360" w:lineRule="auto"/>
        <w:rPr>
          <w:rFonts w:ascii="宋体" w:hAnsi="宋体"/>
          <w:color w:val="auto"/>
          <w:szCs w:val="21"/>
          <w:highlight w:val="none"/>
        </w:rPr>
      </w:pPr>
      <w:r>
        <w:rPr>
          <w:rFonts w:ascii="宋体" w:hAnsi="宋体"/>
          <w:color w:val="auto"/>
          <w:szCs w:val="21"/>
          <w:highlight w:val="none"/>
        </w:rPr>
        <w:t>附件</w:t>
      </w:r>
      <w:r>
        <w:rPr>
          <w:rFonts w:hint="eastAsia" w:ascii="宋体" w:hAnsi="宋体"/>
          <w:color w:val="auto"/>
          <w:szCs w:val="21"/>
          <w:highlight w:val="none"/>
          <w:lang w:val="en-US" w:eastAsia="zh-CN"/>
        </w:rPr>
        <w:t>8</w:t>
      </w:r>
      <w:r>
        <w:rPr>
          <w:rFonts w:ascii="宋体" w:hAnsi="宋体"/>
          <w:color w:val="auto"/>
          <w:szCs w:val="21"/>
          <w:highlight w:val="none"/>
        </w:rPr>
        <w:t>：</w:t>
      </w:r>
      <w:bookmarkStart w:id="1736" w:name="_Toc23600_WPSOffice_Level2"/>
      <w:r>
        <w:rPr>
          <w:rFonts w:hint="eastAsia" w:ascii="宋体" w:hAnsi="宋体"/>
          <w:color w:val="auto"/>
          <w:szCs w:val="21"/>
          <w:highlight w:val="none"/>
        </w:rPr>
        <w:t>安全生产合同</w:t>
      </w:r>
      <w:bookmarkEnd w:id="1736"/>
    </w:p>
    <w:p w14:paraId="52EA186C">
      <w:pPr>
        <w:pStyle w:val="23"/>
        <w:rPr>
          <w:color w:val="auto"/>
          <w:highlight w:val="none"/>
        </w:rPr>
      </w:pPr>
    </w:p>
    <w:p w14:paraId="4C72FE16">
      <w:pPr>
        <w:spacing w:line="360" w:lineRule="auto"/>
        <w:jc w:val="left"/>
        <w:rPr>
          <w:rFonts w:ascii="宋体" w:hAnsi="宋体"/>
          <w:color w:val="auto"/>
          <w:szCs w:val="21"/>
          <w:highlight w:val="none"/>
        </w:rPr>
      </w:pPr>
    </w:p>
    <w:p w14:paraId="4A3B67DF">
      <w:pPr>
        <w:spacing w:line="360" w:lineRule="auto"/>
        <w:jc w:val="left"/>
        <w:rPr>
          <w:rFonts w:ascii="宋体" w:hAnsi="宋体"/>
          <w:color w:val="auto"/>
          <w:szCs w:val="21"/>
          <w:highlight w:val="none"/>
        </w:rPr>
      </w:pPr>
    </w:p>
    <w:p w14:paraId="1C05F688">
      <w:pPr>
        <w:spacing w:line="360" w:lineRule="auto"/>
        <w:jc w:val="left"/>
        <w:rPr>
          <w:rFonts w:ascii="宋体" w:hAnsi="宋体"/>
          <w:color w:val="auto"/>
          <w:szCs w:val="21"/>
          <w:highlight w:val="none"/>
        </w:rPr>
      </w:pPr>
    </w:p>
    <w:p w14:paraId="6752F129">
      <w:pPr>
        <w:spacing w:line="360" w:lineRule="auto"/>
        <w:jc w:val="left"/>
        <w:rPr>
          <w:rFonts w:ascii="宋体" w:hAnsi="宋体"/>
          <w:color w:val="auto"/>
          <w:szCs w:val="21"/>
          <w:highlight w:val="none"/>
        </w:rPr>
      </w:pPr>
    </w:p>
    <w:p w14:paraId="36D5795B">
      <w:pPr>
        <w:spacing w:line="360" w:lineRule="auto"/>
        <w:jc w:val="left"/>
        <w:rPr>
          <w:rFonts w:ascii="宋体" w:hAnsi="宋体"/>
          <w:color w:val="auto"/>
          <w:szCs w:val="21"/>
          <w:highlight w:val="none"/>
        </w:rPr>
      </w:pPr>
    </w:p>
    <w:p w14:paraId="19889896">
      <w:pPr>
        <w:spacing w:line="360" w:lineRule="auto"/>
        <w:jc w:val="left"/>
        <w:rPr>
          <w:rFonts w:ascii="宋体" w:hAnsi="宋体"/>
          <w:color w:val="auto"/>
          <w:szCs w:val="21"/>
          <w:highlight w:val="none"/>
        </w:rPr>
      </w:pPr>
    </w:p>
    <w:p w14:paraId="257E118C">
      <w:pPr>
        <w:spacing w:line="360" w:lineRule="auto"/>
        <w:jc w:val="left"/>
        <w:rPr>
          <w:rFonts w:ascii="宋体" w:hAnsi="宋体"/>
          <w:color w:val="auto"/>
          <w:szCs w:val="21"/>
          <w:highlight w:val="none"/>
        </w:rPr>
      </w:pPr>
    </w:p>
    <w:p w14:paraId="23EAB914">
      <w:pPr>
        <w:spacing w:line="360" w:lineRule="auto"/>
        <w:jc w:val="left"/>
        <w:rPr>
          <w:rFonts w:ascii="宋体" w:hAnsi="宋体"/>
          <w:color w:val="auto"/>
          <w:szCs w:val="21"/>
          <w:highlight w:val="none"/>
        </w:rPr>
      </w:pPr>
    </w:p>
    <w:p w14:paraId="01B3C5B1">
      <w:pPr>
        <w:spacing w:line="360" w:lineRule="auto"/>
        <w:jc w:val="left"/>
        <w:rPr>
          <w:rFonts w:ascii="宋体" w:hAnsi="宋体"/>
          <w:color w:val="auto"/>
          <w:szCs w:val="21"/>
          <w:highlight w:val="none"/>
        </w:rPr>
      </w:pPr>
    </w:p>
    <w:p w14:paraId="25BB6288">
      <w:pPr>
        <w:spacing w:line="360" w:lineRule="auto"/>
        <w:jc w:val="left"/>
        <w:rPr>
          <w:rFonts w:ascii="宋体" w:hAnsi="宋体"/>
          <w:color w:val="auto"/>
          <w:szCs w:val="21"/>
          <w:highlight w:val="none"/>
        </w:rPr>
      </w:pPr>
    </w:p>
    <w:p w14:paraId="08C749F2">
      <w:pPr>
        <w:spacing w:line="360" w:lineRule="auto"/>
        <w:jc w:val="left"/>
        <w:rPr>
          <w:rFonts w:ascii="宋体" w:hAnsi="宋体"/>
          <w:color w:val="auto"/>
          <w:szCs w:val="21"/>
          <w:highlight w:val="none"/>
        </w:rPr>
      </w:pPr>
    </w:p>
    <w:p w14:paraId="53FA1560">
      <w:pPr>
        <w:spacing w:line="360" w:lineRule="auto"/>
        <w:jc w:val="left"/>
        <w:rPr>
          <w:rFonts w:ascii="宋体" w:hAnsi="宋体"/>
          <w:color w:val="auto"/>
          <w:szCs w:val="21"/>
          <w:highlight w:val="none"/>
        </w:rPr>
      </w:pPr>
    </w:p>
    <w:p w14:paraId="7BE4BD1F">
      <w:pPr>
        <w:spacing w:line="360" w:lineRule="auto"/>
        <w:jc w:val="left"/>
        <w:rPr>
          <w:rFonts w:ascii="宋体" w:hAnsi="宋体"/>
          <w:color w:val="auto"/>
          <w:szCs w:val="21"/>
          <w:highlight w:val="none"/>
        </w:rPr>
      </w:pPr>
    </w:p>
    <w:p w14:paraId="43CF3174">
      <w:pPr>
        <w:spacing w:line="360" w:lineRule="auto"/>
        <w:jc w:val="left"/>
        <w:rPr>
          <w:rFonts w:ascii="宋体" w:hAnsi="宋体"/>
          <w:color w:val="auto"/>
          <w:szCs w:val="21"/>
          <w:highlight w:val="none"/>
        </w:rPr>
      </w:pPr>
    </w:p>
    <w:p w14:paraId="5F02FA69">
      <w:pPr>
        <w:spacing w:line="360" w:lineRule="auto"/>
        <w:jc w:val="left"/>
        <w:rPr>
          <w:rFonts w:ascii="宋体" w:hAnsi="宋体"/>
          <w:color w:val="auto"/>
          <w:szCs w:val="21"/>
          <w:highlight w:val="none"/>
        </w:rPr>
      </w:pPr>
    </w:p>
    <w:p w14:paraId="2555091F">
      <w:pPr>
        <w:spacing w:line="360" w:lineRule="auto"/>
        <w:jc w:val="left"/>
        <w:rPr>
          <w:rFonts w:ascii="宋体" w:hAnsi="宋体"/>
          <w:color w:val="auto"/>
          <w:szCs w:val="21"/>
          <w:highlight w:val="none"/>
        </w:rPr>
      </w:pPr>
    </w:p>
    <w:p w14:paraId="1F2D52EC">
      <w:pPr>
        <w:spacing w:line="360" w:lineRule="auto"/>
        <w:jc w:val="left"/>
        <w:rPr>
          <w:rFonts w:ascii="宋体" w:hAnsi="宋体"/>
          <w:color w:val="auto"/>
          <w:szCs w:val="21"/>
          <w:highlight w:val="none"/>
        </w:rPr>
      </w:pPr>
    </w:p>
    <w:p w14:paraId="793FBAD3">
      <w:pPr>
        <w:spacing w:line="360" w:lineRule="auto"/>
        <w:jc w:val="left"/>
        <w:rPr>
          <w:rFonts w:ascii="宋体" w:hAnsi="宋体"/>
          <w:color w:val="auto"/>
          <w:szCs w:val="21"/>
          <w:highlight w:val="none"/>
        </w:rPr>
      </w:pPr>
    </w:p>
    <w:p w14:paraId="724A6528">
      <w:pPr>
        <w:spacing w:line="360" w:lineRule="auto"/>
        <w:jc w:val="left"/>
        <w:rPr>
          <w:rFonts w:ascii="宋体" w:hAnsi="宋体"/>
          <w:color w:val="auto"/>
          <w:szCs w:val="21"/>
          <w:highlight w:val="none"/>
        </w:rPr>
      </w:pPr>
    </w:p>
    <w:p w14:paraId="666CD893">
      <w:pPr>
        <w:spacing w:line="360" w:lineRule="auto"/>
        <w:jc w:val="left"/>
        <w:rPr>
          <w:rFonts w:ascii="宋体" w:hAnsi="宋体"/>
          <w:color w:val="auto"/>
          <w:szCs w:val="21"/>
          <w:highlight w:val="none"/>
        </w:rPr>
      </w:pPr>
    </w:p>
    <w:p w14:paraId="1AF31169">
      <w:pPr>
        <w:spacing w:line="360" w:lineRule="auto"/>
        <w:jc w:val="left"/>
        <w:rPr>
          <w:rFonts w:ascii="宋体" w:hAnsi="宋体"/>
          <w:color w:val="auto"/>
          <w:szCs w:val="21"/>
          <w:highlight w:val="none"/>
        </w:rPr>
      </w:pPr>
    </w:p>
    <w:p w14:paraId="084F77F9">
      <w:pPr>
        <w:spacing w:line="360" w:lineRule="auto"/>
        <w:jc w:val="left"/>
        <w:rPr>
          <w:rFonts w:ascii="宋体" w:hAnsi="宋体"/>
          <w:color w:val="auto"/>
          <w:szCs w:val="21"/>
          <w:highlight w:val="none"/>
        </w:rPr>
      </w:pPr>
    </w:p>
    <w:p w14:paraId="2BF2AF29">
      <w:pPr>
        <w:spacing w:line="360" w:lineRule="auto"/>
        <w:jc w:val="left"/>
        <w:rPr>
          <w:rFonts w:ascii="宋体" w:hAnsi="宋体"/>
          <w:color w:val="auto"/>
          <w:szCs w:val="21"/>
          <w:highlight w:val="none"/>
        </w:rPr>
      </w:pPr>
    </w:p>
    <w:p w14:paraId="1DC1EF7F">
      <w:pPr>
        <w:spacing w:before="120" w:beforeLines="50" w:after="120" w:afterLines="50" w:line="440" w:lineRule="exact"/>
        <w:jc w:val="left"/>
        <w:rPr>
          <w:rFonts w:ascii="仿宋_GB2312" w:eastAsia="仿宋_GB2312" w:cs="仿宋_GB2312"/>
          <w:color w:val="auto"/>
          <w:sz w:val="30"/>
          <w:szCs w:val="30"/>
          <w:highlight w:val="none"/>
        </w:rPr>
        <w:sectPr>
          <w:headerReference r:id="rId9" w:type="default"/>
          <w:pgSz w:w="11906" w:h="16838"/>
          <w:pgMar w:top="1134" w:right="1134" w:bottom="1134" w:left="1134" w:header="851" w:footer="851" w:gutter="0"/>
          <w:cols w:space="720" w:num="1"/>
          <w:docGrid w:linePitch="312" w:charSpace="0"/>
        </w:sectPr>
      </w:pPr>
    </w:p>
    <w:p w14:paraId="4AC10B41">
      <w:pPr>
        <w:spacing w:before="120" w:beforeLines="50" w:after="120" w:afterLines="50" w:line="440" w:lineRule="exact"/>
        <w:jc w:val="left"/>
        <w:rPr>
          <w:rFonts w:ascii="仿宋_GB2312" w:eastAsia="仿宋_GB2312"/>
          <w:color w:val="auto"/>
          <w:sz w:val="30"/>
          <w:szCs w:val="30"/>
          <w:highlight w:val="none"/>
        </w:rPr>
      </w:pPr>
      <w:r>
        <w:rPr>
          <w:rFonts w:hint="eastAsia" w:ascii="仿宋_GB2312" w:eastAsia="仿宋_GB2312" w:cs="仿宋_GB2312"/>
          <w:color w:val="auto"/>
          <w:sz w:val="30"/>
          <w:szCs w:val="30"/>
          <w:highlight w:val="none"/>
        </w:rPr>
        <w:t>附件</w:t>
      </w:r>
      <w:r>
        <w:rPr>
          <w:rFonts w:ascii="仿宋_GB2312" w:eastAsia="仿宋_GB2312" w:cs="仿宋_GB2312"/>
          <w:color w:val="auto"/>
          <w:sz w:val="30"/>
          <w:szCs w:val="30"/>
          <w:highlight w:val="none"/>
        </w:rPr>
        <w:t>1</w:t>
      </w:r>
      <w:r>
        <w:rPr>
          <w:rFonts w:hint="eastAsia" w:ascii="仿宋_GB2312" w:eastAsia="仿宋_GB2312" w:cs="仿宋_GB2312"/>
          <w:color w:val="auto"/>
          <w:sz w:val="30"/>
          <w:szCs w:val="30"/>
          <w:highlight w:val="none"/>
        </w:rPr>
        <w:t>：</w:t>
      </w:r>
    </w:p>
    <w:p w14:paraId="71915C8F">
      <w:pPr>
        <w:spacing w:before="120" w:beforeLines="50" w:after="120" w:afterLines="50" w:line="440" w:lineRule="exact"/>
        <w:jc w:val="center"/>
        <w:rPr>
          <w:rFonts w:eastAsia="黑体"/>
          <w:color w:val="auto"/>
          <w:sz w:val="30"/>
          <w:szCs w:val="30"/>
          <w:highlight w:val="none"/>
        </w:rPr>
      </w:pPr>
      <w:r>
        <w:rPr>
          <w:rFonts w:hint="eastAsia" w:eastAsia="黑体" w:cs="黑体"/>
          <w:color w:val="auto"/>
          <w:sz w:val="30"/>
          <w:szCs w:val="30"/>
          <w:highlight w:val="none"/>
        </w:rPr>
        <w:t>承包人承揽工程项目一览表</w:t>
      </w:r>
    </w:p>
    <w:tbl>
      <w:tblPr>
        <w:tblStyle w:val="5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440"/>
        <w:gridCol w:w="1440"/>
        <w:gridCol w:w="1620"/>
        <w:gridCol w:w="1661"/>
        <w:gridCol w:w="850"/>
        <w:gridCol w:w="1560"/>
        <w:gridCol w:w="2126"/>
        <w:gridCol w:w="1417"/>
        <w:gridCol w:w="851"/>
        <w:gridCol w:w="850"/>
      </w:tblGrid>
      <w:tr w14:paraId="002DF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440" w:type="dxa"/>
            <w:vAlign w:val="center"/>
          </w:tcPr>
          <w:p w14:paraId="494FD3B6">
            <w:pPr>
              <w:keepNext/>
              <w:adjustRightInd w:val="0"/>
              <w:spacing w:line="440" w:lineRule="exact"/>
              <w:ind w:left="63" w:leftChars="30" w:right="63" w:rightChars="30"/>
              <w:jc w:val="center"/>
              <w:rPr>
                <w:rFonts w:ascii="Calibri" w:hAnsi="Calibri" w:eastAsia="仿宋_GB2312"/>
                <w:color w:val="auto"/>
                <w:sz w:val="28"/>
                <w:szCs w:val="28"/>
                <w:highlight w:val="none"/>
              </w:rPr>
            </w:pPr>
            <w:r>
              <w:rPr>
                <w:rFonts w:hint="eastAsia" w:ascii="Calibri" w:hAnsi="Calibri" w:eastAsia="仿宋_GB2312" w:cs="仿宋_GB2312"/>
                <w:color w:val="auto"/>
                <w:sz w:val="28"/>
                <w:szCs w:val="28"/>
                <w:highlight w:val="none"/>
              </w:rPr>
              <w:t>单位工程名称</w:t>
            </w:r>
          </w:p>
        </w:tc>
        <w:tc>
          <w:tcPr>
            <w:tcW w:w="1440" w:type="dxa"/>
            <w:vAlign w:val="center"/>
          </w:tcPr>
          <w:p w14:paraId="3021ECAC">
            <w:pPr>
              <w:keepNext/>
              <w:adjustRightInd w:val="0"/>
              <w:spacing w:line="440" w:lineRule="exact"/>
              <w:ind w:left="63" w:leftChars="30" w:right="63" w:rightChars="30"/>
              <w:jc w:val="center"/>
              <w:rPr>
                <w:rFonts w:ascii="Calibri" w:hAnsi="Calibri" w:eastAsia="仿宋_GB2312"/>
                <w:color w:val="auto"/>
                <w:sz w:val="28"/>
                <w:szCs w:val="28"/>
                <w:highlight w:val="none"/>
              </w:rPr>
            </w:pPr>
            <w:r>
              <w:rPr>
                <w:rFonts w:hint="eastAsia" w:ascii="Calibri" w:hAnsi="Calibri" w:eastAsia="仿宋_GB2312" w:cs="仿宋_GB2312"/>
                <w:color w:val="auto"/>
                <w:sz w:val="28"/>
                <w:szCs w:val="28"/>
                <w:highlight w:val="none"/>
              </w:rPr>
              <w:t>建设规模</w:t>
            </w:r>
          </w:p>
        </w:tc>
        <w:tc>
          <w:tcPr>
            <w:tcW w:w="1620" w:type="dxa"/>
            <w:vAlign w:val="center"/>
          </w:tcPr>
          <w:p w14:paraId="35A981A7">
            <w:pPr>
              <w:keepNext/>
              <w:adjustRightInd w:val="0"/>
              <w:spacing w:line="440" w:lineRule="exact"/>
              <w:ind w:left="63" w:leftChars="30" w:right="63" w:rightChars="30"/>
              <w:jc w:val="center"/>
              <w:rPr>
                <w:rFonts w:ascii="Calibri" w:hAnsi="Calibri" w:eastAsia="仿宋_GB2312"/>
                <w:color w:val="auto"/>
                <w:sz w:val="28"/>
                <w:szCs w:val="28"/>
                <w:highlight w:val="none"/>
              </w:rPr>
            </w:pPr>
            <w:r>
              <w:rPr>
                <w:rFonts w:hint="eastAsia" w:ascii="Calibri" w:hAnsi="Calibri" w:eastAsia="仿宋_GB2312" w:cs="仿宋_GB2312"/>
                <w:color w:val="auto"/>
                <w:sz w:val="28"/>
                <w:szCs w:val="28"/>
                <w:highlight w:val="none"/>
              </w:rPr>
              <w:t>建筑面积</w:t>
            </w:r>
            <w:r>
              <w:rPr>
                <w:rFonts w:ascii="Calibri" w:hAnsi="Calibri" w:eastAsia="仿宋_GB2312"/>
                <w:color w:val="auto"/>
                <w:sz w:val="28"/>
                <w:szCs w:val="28"/>
                <w:highlight w:val="none"/>
              </w:rPr>
              <w:t>(</w:t>
            </w:r>
            <w:r>
              <w:rPr>
                <w:rFonts w:hint="eastAsia" w:ascii="Calibri" w:hAnsi="Calibri" w:eastAsia="仿宋_GB2312" w:cs="仿宋_GB2312"/>
                <w:color w:val="auto"/>
                <w:sz w:val="28"/>
                <w:szCs w:val="28"/>
                <w:highlight w:val="none"/>
              </w:rPr>
              <w:t>平方米</w:t>
            </w:r>
            <w:r>
              <w:rPr>
                <w:rFonts w:ascii="Calibri" w:hAnsi="Calibri" w:eastAsia="仿宋_GB2312"/>
                <w:color w:val="auto"/>
                <w:sz w:val="28"/>
                <w:szCs w:val="28"/>
                <w:highlight w:val="none"/>
              </w:rPr>
              <w:t>)</w:t>
            </w:r>
          </w:p>
        </w:tc>
        <w:tc>
          <w:tcPr>
            <w:tcW w:w="1661" w:type="dxa"/>
            <w:vAlign w:val="center"/>
          </w:tcPr>
          <w:p w14:paraId="281DD7AB">
            <w:pPr>
              <w:keepNext/>
              <w:adjustRightInd w:val="0"/>
              <w:spacing w:line="440" w:lineRule="exact"/>
              <w:ind w:left="63" w:leftChars="30" w:right="63" w:rightChars="30"/>
              <w:jc w:val="center"/>
              <w:rPr>
                <w:rFonts w:ascii="Calibri" w:hAnsi="Calibri" w:eastAsia="仿宋_GB2312"/>
                <w:color w:val="auto"/>
                <w:sz w:val="28"/>
                <w:szCs w:val="28"/>
                <w:highlight w:val="none"/>
              </w:rPr>
            </w:pPr>
            <w:r>
              <w:rPr>
                <w:rFonts w:hint="eastAsia" w:ascii="Calibri" w:hAnsi="Calibri" w:eastAsia="仿宋_GB2312" w:cs="仿宋_GB2312"/>
                <w:color w:val="auto"/>
                <w:sz w:val="28"/>
                <w:szCs w:val="28"/>
                <w:highlight w:val="none"/>
              </w:rPr>
              <w:t>结构形式</w:t>
            </w:r>
          </w:p>
        </w:tc>
        <w:tc>
          <w:tcPr>
            <w:tcW w:w="850" w:type="dxa"/>
            <w:vAlign w:val="center"/>
          </w:tcPr>
          <w:p w14:paraId="089C4083">
            <w:pPr>
              <w:keepNext/>
              <w:adjustRightInd w:val="0"/>
              <w:spacing w:line="440" w:lineRule="exact"/>
              <w:ind w:left="63" w:leftChars="30" w:right="63" w:rightChars="30"/>
              <w:jc w:val="center"/>
              <w:rPr>
                <w:rFonts w:ascii="Calibri" w:hAnsi="Calibri" w:eastAsia="仿宋_GB2312"/>
                <w:color w:val="auto"/>
                <w:sz w:val="28"/>
                <w:szCs w:val="28"/>
                <w:highlight w:val="none"/>
              </w:rPr>
            </w:pPr>
            <w:r>
              <w:rPr>
                <w:rFonts w:hint="eastAsia" w:ascii="Calibri" w:hAnsi="Calibri" w:eastAsia="仿宋_GB2312" w:cs="仿宋_GB2312"/>
                <w:color w:val="auto"/>
                <w:sz w:val="28"/>
                <w:szCs w:val="28"/>
                <w:highlight w:val="none"/>
              </w:rPr>
              <w:t>层数</w:t>
            </w:r>
          </w:p>
        </w:tc>
        <w:tc>
          <w:tcPr>
            <w:tcW w:w="1560" w:type="dxa"/>
            <w:vAlign w:val="center"/>
          </w:tcPr>
          <w:p w14:paraId="20A1F779">
            <w:pPr>
              <w:keepNext/>
              <w:adjustRightInd w:val="0"/>
              <w:spacing w:line="440" w:lineRule="exact"/>
              <w:ind w:left="63" w:leftChars="30" w:right="63" w:rightChars="30"/>
              <w:jc w:val="center"/>
              <w:rPr>
                <w:rFonts w:ascii="Calibri" w:hAnsi="Calibri" w:eastAsia="仿宋_GB2312"/>
                <w:color w:val="auto"/>
                <w:sz w:val="28"/>
                <w:szCs w:val="28"/>
                <w:highlight w:val="none"/>
              </w:rPr>
            </w:pPr>
            <w:r>
              <w:rPr>
                <w:rFonts w:hint="eastAsia" w:ascii="Calibri" w:hAnsi="Calibri" w:eastAsia="仿宋_GB2312" w:cs="仿宋_GB2312"/>
                <w:color w:val="auto"/>
                <w:sz w:val="28"/>
                <w:szCs w:val="28"/>
                <w:highlight w:val="none"/>
              </w:rPr>
              <w:t>生产能力</w:t>
            </w:r>
          </w:p>
        </w:tc>
        <w:tc>
          <w:tcPr>
            <w:tcW w:w="2126" w:type="dxa"/>
            <w:vAlign w:val="center"/>
          </w:tcPr>
          <w:p w14:paraId="5C9B9CC1">
            <w:pPr>
              <w:keepNext/>
              <w:adjustRightInd w:val="0"/>
              <w:spacing w:line="440" w:lineRule="exact"/>
              <w:ind w:left="63" w:leftChars="30" w:right="63" w:rightChars="30"/>
              <w:jc w:val="center"/>
              <w:rPr>
                <w:rFonts w:ascii="Calibri" w:hAnsi="Calibri" w:eastAsia="仿宋_GB2312"/>
                <w:color w:val="auto"/>
                <w:sz w:val="28"/>
                <w:szCs w:val="28"/>
                <w:highlight w:val="none"/>
              </w:rPr>
            </w:pPr>
            <w:r>
              <w:rPr>
                <w:rFonts w:hint="eastAsia" w:ascii="Calibri" w:hAnsi="Calibri" w:eastAsia="仿宋_GB2312" w:cs="仿宋_GB2312"/>
                <w:color w:val="auto"/>
                <w:sz w:val="28"/>
                <w:szCs w:val="28"/>
                <w:highlight w:val="none"/>
              </w:rPr>
              <w:t>设备安装内容</w:t>
            </w:r>
          </w:p>
        </w:tc>
        <w:tc>
          <w:tcPr>
            <w:tcW w:w="1417" w:type="dxa"/>
            <w:vAlign w:val="center"/>
          </w:tcPr>
          <w:p w14:paraId="28CAE02A">
            <w:pPr>
              <w:keepNext/>
              <w:adjustRightInd w:val="0"/>
              <w:spacing w:line="440" w:lineRule="exact"/>
              <w:ind w:left="63" w:leftChars="30" w:right="63" w:rightChars="30"/>
              <w:jc w:val="center"/>
              <w:rPr>
                <w:rFonts w:ascii="Calibri" w:hAnsi="Calibri" w:eastAsia="仿宋_GB2312"/>
                <w:color w:val="auto"/>
                <w:sz w:val="28"/>
                <w:szCs w:val="28"/>
                <w:highlight w:val="none"/>
              </w:rPr>
            </w:pPr>
            <w:r>
              <w:rPr>
                <w:rFonts w:hint="eastAsia" w:ascii="Calibri" w:hAnsi="Calibri" w:eastAsia="仿宋_GB2312" w:cs="仿宋_GB2312"/>
                <w:color w:val="auto"/>
                <w:sz w:val="28"/>
                <w:szCs w:val="28"/>
                <w:highlight w:val="none"/>
              </w:rPr>
              <w:t>合同价格（元）</w:t>
            </w:r>
          </w:p>
        </w:tc>
        <w:tc>
          <w:tcPr>
            <w:tcW w:w="851" w:type="dxa"/>
            <w:vAlign w:val="center"/>
          </w:tcPr>
          <w:p w14:paraId="3DA44F11">
            <w:pPr>
              <w:keepNext/>
              <w:adjustRightInd w:val="0"/>
              <w:spacing w:line="440" w:lineRule="exact"/>
              <w:ind w:left="63" w:leftChars="30" w:right="63" w:rightChars="30"/>
              <w:jc w:val="center"/>
              <w:rPr>
                <w:rFonts w:ascii="Calibri" w:hAnsi="Calibri" w:eastAsia="仿宋_GB2312"/>
                <w:color w:val="auto"/>
                <w:sz w:val="28"/>
                <w:szCs w:val="28"/>
                <w:highlight w:val="none"/>
              </w:rPr>
            </w:pPr>
            <w:r>
              <w:rPr>
                <w:rFonts w:hint="eastAsia" w:ascii="Calibri" w:hAnsi="Calibri" w:eastAsia="仿宋_GB2312" w:cs="仿宋_GB2312"/>
                <w:color w:val="auto"/>
                <w:sz w:val="28"/>
                <w:szCs w:val="28"/>
                <w:highlight w:val="none"/>
              </w:rPr>
              <w:t>开工日期</w:t>
            </w:r>
          </w:p>
        </w:tc>
        <w:tc>
          <w:tcPr>
            <w:tcW w:w="850" w:type="dxa"/>
            <w:vAlign w:val="center"/>
          </w:tcPr>
          <w:p w14:paraId="4B9A03BD">
            <w:pPr>
              <w:keepNext/>
              <w:adjustRightInd w:val="0"/>
              <w:spacing w:line="440" w:lineRule="exact"/>
              <w:ind w:left="63" w:leftChars="30" w:right="63" w:rightChars="30"/>
              <w:jc w:val="center"/>
              <w:rPr>
                <w:rFonts w:ascii="Calibri" w:hAnsi="Calibri" w:eastAsia="仿宋_GB2312"/>
                <w:color w:val="auto"/>
                <w:sz w:val="28"/>
                <w:szCs w:val="28"/>
                <w:highlight w:val="none"/>
              </w:rPr>
            </w:pPr>
            <w:r>
              <w:rPr>
                <w:rFonts w:hint="eastAsia" w:ascii="Calibri" w:hAnsi="Calibri" w:eastAsia="仿宋_GB2312" w:cs="仿宋_GB2312"/>
                <w:color w:val="auto"/>
                <w:sz w:val="28"/>
                <w:szCs w:val="28"/>
                <w:highlight w:val="none"/>
              </w:rPr>
              <w:t>竣工日期</w:t>
            </w:r>
          </w:p>
        </w:tc>
      </w:tr>
      <w:tr w14:paraId="77CFC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vAlign w:val="center"/>
          </w:tcPr>
          <w:p w14:paraId="617FDB51">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440" w:type="dxa"/>
            <w:vAlign w:val="center"/>
          </w:tcPr>
          <w:p w14:paraId="59179A80">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620" w:type="dxa"/>
            <w:vAlign w:val="center"/>
          </w:tcPr>
          <w:p w14:paraId="57F71D6C">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661" w:type="dxa"/>
            <w:vAlign w:val="center"/>
          </w:tcPr>
          <w:p w14:paraId="6C373453">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850" w:type="dxa"/>
            <w:vAlign w:val="center"/>
          </w:tcPr>
          <w:p w14:paraId="63B2E0D8">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560" w:type="dxa"/>
            <w:vAlign w:val="center"/>
          </w:tcPr>
          <w:p w14:paraId="1F7A00EF">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2126" w:type="dxa"/>
            <w:vAlign w:val="center"/>
          </w:tcPr>
          <w:p w14:paraId="73F39EF3">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417" w:type="dxa"/>
            <w:vAlign w:val="center"/>
          </w:tcPr>
          <w:p w14:paraId="2C63BB8C">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851" w:type="dxa"/>
            <w:vAlign w:val="center"/>
          </w:tcPr>
          <w:p w14:paraId="5AC6C5C7">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850" w:type="dxa"/>
            <w:vAlign w:val="center"/>
          </w:tcPr>
          <w:p w14:paraId="6BC9B996">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r w14:paraId="7A423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vAlign w:val="center"/>
          </w:tcPr>
          <w:p w14:paraId="0394DE0A">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440" w:type="dxa"/>
            <w:vAlign w:val="center"/>
          </w:tcPr>
          <w:p w14:paraId="7E33D0FB">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620" w:type="dxa"/>
            <w:vAlign w:val="center"/>
          </w:tcPr>
          <w:p w14:paraId="6DBEB564">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661" w:type="dxa"/>
            <w:vAlign w:val="center"/>
          </w:tcPr>
          <w:p w14:paraId="0EB3C596">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850" w:type="dxa"/>
            <w:vAlign w:val="center"/>
          </w:tcPr>
          <w:p w14:paraId="1720F613">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560" w:type="dxa"/>
            <w:vAlign w:val="center"/>
          </w:tcPr>
          <w:p w14:paraId="0ACC4A4E">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2126" w:type="dxa"/>
            <w:vAlign w:val="center"/>
          </w:tcPr>
          <w:p w14:paraId="52A14061">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417" w:type="dxa"/>
            <w:vAlign w:val="center"/>
          </w:tcPr>
          <w:p w14:paraId="0EFECCE2">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851" w:type="dxa"/>
            <w:vAlign w:val="center"/>
          </w:tcPr>
          <w:p w14:paraId="3B246A8F">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850" w:type="dxa"/>
            <w:vAlign w:val="center"/>
          </w:tcPr>
          <w:p w14:paraId="78C7203F">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r w14:paraId="222C2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vAlign w:val="center"/>
          </w:tcPr>
          <w:p w14:paraId="352AD243">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440" w:type="dxa"/>
            <w:vAlign w:val="center"/>
          </w:tcPr>
          <w:p w14:paraId="17C2566C">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620" w:type="dxa"/>
            <w:vAlign w:val="center"/>
          </w:tcPr>
          <w:p w14:paraId="6E3C11EA">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661" w:type="dxa"/>
            <w:vAlign w:val="center"/>
          </w:tcPr>
          <w:p w14:paraId="27B8F941">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850" w:type="dxa"/>
            <w:vAlign w:val="center"/>
          </w:tcPr>
          <w:p w14:paraId="5F9423CC">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560" w:type="dxa"/>
            <w:vAlign w:val="center"/>
          </w:tcPr>
          <w:p w14:paraId="749CAE83">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2126" w:type="dxa"/>
            <w:vAlign w:val="center"/>
          </w:tcPr>
          <w:p w14:paraId="499FBCE3">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417" w:type="dxa"/>
            <w:vAlign w:val="center"/>
          </w:tcPr>
          <w:p w14:paraId="5233212F">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851" w:type="dxa"/>
            <w:vAlign w:val="center"/>
          </w:tcPr>
          <w:p w14:paraId="440AA110">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850" w:type="dxa"/>
            <w:vAlign w:val="center"/>
          </w:tcPr>
          <w:p w14:paraId="24CD963F">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r w14:paraId="60537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vAlign w:val="center"/>
          </w:tcPr>
          <w:p w14:paraId="7BFA45F3">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440" w:type="dxa"/>
            <w:vAlign w:val="center"/>
          </w:tcPr>
          <w:p w14:paraId="1303C43E">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620" w:type="dxa"/>
            <w:vAlign w:val="center"/>
          </w:tcPr>
          <w:p w14:paraId="0638C302">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661" w:type="dxa"/>
            <w:vAlign w:val="center"/>
          </w:tcPr>
          <w:p w14:paraId="425FD530">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850" w:type="dxa"/>
            <w:vAlign w:val="center"/>
          </w:tcPr>
          <w:p w14:paraId="113CEA4A">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560" w:type="dxa"/>
            <w:vAlign w:val="center"/>
          </w:tcPr>
          <w:p w14:paraId="5D7926B5">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2126" w:type="dxa"/>
            <w:vAlign w:val="center"/>
          </w:tcPr>
          <w:p w14:paraId="69882D7E">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417" w:type="dxa"/>
            <w:vAlign w:val="center"/>
          </w:tcPr>
          <w:p w14:paraId="3DB3415F">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851" w:type="dxa"/>
            <w:vAlign w:val="center"/>
          </w:tcPr>
          <w:p w14:paraId="57C8ADF4">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850" w:type="dxa"/>
            <w:vAlign w:val="center"/>
          </w:tcPr>
          <w:p w14:paraId="3ED3BC34">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r w14:paraId="69F47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vAlign w:val="center"/>
          </w:tcPr>
          <w:p w14:paraId="7CB05533">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440" w:type="dxa"/>
            <w:vAlign w:val="center"/>
          </w:tcPr>
          <w:p w14:paraId="6C5805F9">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620" w:type="dxa"/>
            <w:vAlign w:val="center"/>
          </w:tcPr>
          <w:p w14:paraId="5BC404EE">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661" w:type="dxa"/>
            <w:vAlign w:val="center"/>
          </w:tcPr>
          <w:p w14:paraId="10C14681">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850" w:type="dxa"/>
            <w:vAlign w:val="center"/>
          </w:tcPr>
          <w:p w14:paraId="62F7329D">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560" w:type="dxa"/>
            <w:vAlign w:val="center"/>
          </w:tcPr>
          <w:p w14:paraId="7B081AB2">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2126" w:type="dxa"/>
            <w:vAlign w:val="center"/>
          </w:tcPr>
          <w:p w14:paraId="2407A987">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417" w:type="dxa"/>
            <w:vAlign w:val="center"/>
          </w:tcPr>
          <w:p w14:paraId="3D86076C">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851" w:type="dxa"/>
            <w:vAlign w:val="center"/>
          </w:tcPr>
          <w:p w14:paraId="2F8B0E56">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850" w:type="dxa"/>
            <w:vAlign w:val="center"/>
          </w:tcPr>
          <w:p w14:paraId="4572BE4E">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r w14:paraId="01BD2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vAlign w:val="center"/>
          </w:tcPr>
          <w:p w14:paraId="17BA3CCC">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440" w:type="dxa"/>
            <w:vAlign w:val="center"/>
          </w:tcPr>
          <w:p w14:paraId="67605465">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620" w:type="dxa"/>
            <w:vAlign w:val="center"/>
          </w:tcPr>
          <w:p w14:paraId="7C5D1563">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661" w:type="dxa"/>
            <w:vAlign w:val="center"/>
          </w:tcPr>
          <w:p w14:paraId="6FC1DA43">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850" w:type="dxa"/>
            <w:vAlign w:val="center"/>
          </w:tcPr>
          <w:p w14:paraId="477B573F">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560" w:type="dxa"/>
            <w:vAlign w:val="center"/>
          </w:tcPr>
          <w:p w14:paraId="5E87BEAE">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2126" w:type="dxa"/>
            <w:vAlign w:val="center"/>
          </w:tcPr>
          <w:p w14:paraId="0BD06454">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417" w:type="dxa"/>
            <w:vAlign w:val="center"/>
          </w:tcPr>
          <w:p w14:paraId="3F67D47F">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851" w:type="dxa"/>
            <w:vAlign w:val="center"/>
          </w:tcPr>
          <w:p w14:paraId="5BFB8234">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850" w:type="dxa"/>
            <w:vAlign w:val="center"/>
          </w:tcPr>
          <w:p w14:paraId="57A636AD">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r w14:paraId="78D23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vAlign w:val="center"/>
          </w:tcPr>
          <w:p w14:paraId="5FD2B799">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440" w:type="dxa"/>
            <w:vAlign w:val="center"/>
          </w:tcPr>
          <w:p w14:paraId="2F22CA0E">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620" w:type="dxa"/>
            <w:vAlign w:val="center"/>
          </w:tcPr>
          <w:p w14:paraId="47E23540">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661" w:type="dxa"/>
            <w:vAlign w:val="center"/>
          </w:tcPr>
          <w:p w14:paraId="07E7F2FC">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850" w:type="dxa"/>
            <w:vAlign w:val="center"/>
          </w:tcPr>
          <w:p w14:paraId="6DD14616">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560" w:type="dxa"/>
            <w:vAlign w:val="center"/>
          </w:tcPr>
          <w:p w14:paraId="7D4D0B9F">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2126" w:type="dxa"/>
            <w:vAlign w:val="center"/>
          </w:tcPr>
          <w:p w14:paraId="532628E5">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417" w:type="dxa"/>
            <w:vAlign w:val="center"/>
          </w:tcPr>
          <w:p w14:paraId="5DE95EE6">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851" w:type="dxa"/>
            <w:vAlign w:val="center"/>
          </w:tcPr>
          <w:p w14:paraId="396D7F23">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850" w:type="dxa"/>
            <w:vAlign w:val="center"/>
          </w:tcPr>
          <w:p w14:paraId="3ED88621">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r w14:paraId="6A490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vAlign w:val="center"/>
          </w:tcPr>
          <w:p w14:paraId="19CD194D">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440" w:type="dxa"/>
            <w:vAlign w:val="center"/>
          </w:tcPr>
          <w:p w14:paraId="388BE1F9">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620" w:type="dxa"/>
            <w:vAlign w:val="center"/>
          </w:tcPr>
          <w:p w14:paraId="4D73950B">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661" w:type="dxa"/>
            <w:vAlign w:val="center"/>
          </w:tcPr>
          <w:p w14:paraId="7C71BFD5">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850" w:type="dxa"/>
            <w:vAlign w:val="center"/>
          </w:tcPr>
          <w:p w14:paraId="09804C24">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560" w:type="dxa"/>
            <w:vAlign w:val="center"/>
          </w:tcPr>
          <w:p w14:paraId="310AF01F">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2126" w:type="dxa"/>
            <w:vAlign w:val="center"/>
          </w:tcPr>
          <w:p w14:paraId="44EFC4E4">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417" w:type="dxa"/>
            <w:vAlign w:val="center"/>
          </w:tcPr>
          <w:p w14:paraId="0D454B65">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851" w:type="dxa"/>
            <w:vAlign w:val="center"/>
          </w:tcPr>
          <w:p w14:paraId="1056E7D3">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850" w:type="dxa"/>
            <w:vAlign w:val="center"/>
          </w:tcPr>
          <w:p w14:paraId="1CC09B26">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r w14:paraId="4D20F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vAlign w:val="center"/>
          </w:tcPr>
          <w:p w14:paraId="252E815A">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440" w:type="dxa"/>
            <w:vAlign w:val="center"/>
          </w:tcPr>
          <w:p w14:paraId="13141DB3">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620" w:type="dxa"/>
            <w:vAlign w:val="center"/>
          </w:tcPr>
          <w:p w14:paraId="1D52E7C9">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661" w:type="dxa"/>
            <w:vAlign w:val="center"/>
          </w:tcPr>
          <w:p w14:paraId="2963352C">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850" w:type="dxa"/>
            <w:vAlign w:val="center"/>
          </w:tcPr>
          <w:p w14:paraId="602AEC25">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560" w:type="dxa"/>
            <w:vAlign w:val="center"/>
          </w:tcPr>
          <w:p w14:paraId="6C8A62EA">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2126" w:type="dxa"/>
            <w:vAlign w:val="center"/>
          </w:tcPr>
          <w:p w14:paraId="4E7B4418">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417" w:type="dxa"/>
            <w:vAlign w:val="center"/>
          </w:tcPr>
          <w:p w14:paraId="3FF46848">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851" w:type="dxa"/>
            <w:vAlign w:val="center"/>
          </w:tcPr>
          <w:p w14:paraId="60DA7655">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850" w:type="dxa"/>
            <w:vAlign w:val="center"/>
          </w:tcPr>
          <w:p w14:paraId="15095270">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bl>
    <w:p w14:paraId="6E95D830">
      <w:pPr>
        <w:spacing w:line="460" w:lineRule="exact"/>
        <w:ind w:firstLine="420" w:firstLineChars="200"/>
        <w:rPr>
          <w:color w:val="auto"/>
          <w:szCs w:val="21"/>
          <w:highlight w:val="none"/>
        </w:rPr>
      </w:pPr>
    </w:p>
    <w:p w14:paraId="2486B59D">
      <w:pPr>
        <w:spacing w:line="440" w:lineRule="exact"/>
        <w:rPr>
          <w:rFonts w:eastAsia="仿宋_GB2312" w:cs="仿宋_GB2312"/>
          <w:color w:val="auto"/>
          <w:sz w:val="30"/>
          <w:szCs w:val="30"/>
          <w:highlight w:val="none"/>
        </w:rPr>
      </w:pPr>
    </w:p>
    <w:p w14:paraId="2ACEED5B">
      <w:pPr>
        <w:spacing w:line="440" w:lineRule="exact"/>
        <w:rPr>
          <w:rFonts w:eastAsia="仿宋_GB2312" w:cs="仿宋_GB2312"/>
          <w:color w:val="auto"/>
          <w:sz w:val="30"/>
          <w:szCs w:val="30"/>
          <w:highlight w:val="none"/>
        </w:rPr>
      </w:pPr>
    </w:p>
    <w:p w14:paraId="16262DC3">
      <w:pPr>
        <w:spacing w:line="440" w:lineRule="exact"/>
        <w:rPr>
          <w:rFonts w:eastAsia="仿宋_GB2312" w:cs="仿宋_GB2312"/>
          <w:color w:val="auto"/>
          <w:sz w:val="30"/>
          <w:szCs w:val="30"/>
          <w:highlight w:val="none"/>
        </w:rPr>
      </w:pPr>
    </w:p>
    <w:p w14:paraId="74B916B4">
      <w:pPr>
        <w:spacing w:line="440" w:lineRule="exact"/>
        <w:rPr>
          <w:rFonts w:eastAsia="仿宋_GB2312" w:cs="仿宋_GB2312"/>
          <w:color w:val="auto"/>
          <w:sz w:val="30"/>
          <w:szCs w:val="30"/>
          <w:highlight w:val="none"/>
        </w:rPr>
        <w:sectPr>
          <w:pgSz w:w="16838" w:h="11906" w:orient="landscape"/>
          <w:pgMar w:top="1134" w:right="1134" w:bottom="1134" w:left="1134" w:header="851" w:footer="851" w:gutter="0"/>
          <w:cols w:space="720" w:num="1"/>
          <w:docGrid w:linePitch="312" w:charSpace="0"/>
        </w:sectPr>
      </w:pPr>
    </w:p>
    <w:p w14:paraId="6F7CA1B2">
      <w:pPr>
        <w:pStyle w:val="23"/>
        <w:rPr>
          <w:color w:val="auto"/>
          <w:highlight w:val="none"/>
        </w:rPr>
      </w:pPr>
    </w:p>
    <w:p w14:paraId="24D11C31">
      <w:pPr>
        <w:spacing w:line="440" w:lineRule="exact"/>
        <w:rPr>
          <w:rFonts w:eastAsia="黑体"/>
          <w:color w:val="auto"/>
          <w:sz w:val="30"/>
          <w:szCs w:val="30"/>
          <w:highlight w:val="none"/>
        </w:rPr>
      </w:pPr>
      <w:r>
        <w:rPr>
          <w:rFonts w:hint="eastAsia" w:eastAsia="仿宋_GB2312" w:cs="仿宋_GB2312"/>
          <w:color w:val="auto"/>
          <w:sz w:val="30"/>
          <w:szCs w:val="30"/>
          <w:highlight w:val="none"/>
        </w:rPr>
        <w:t>附</w:t>
      </w:r>
      <w:bookmarkStart w:id="1737" w:name="_Toc296944567"/>
      <w:bookmarkStart w:id="1738" w:name="_Toc296891056"/>
      <w:bookmarkStart w:id="1739" w:name="_Toc267261699"/>
      <w:bookmarkStart w:id="1740" w:name="_Toc296891268"/>
      <w:bookmarkStart w:id="1741" w:name="_Toc296347227"/>
      <w:bookmarkStart w:id="1742" w:name="_Toc296346729"/>
      <w:bookmarkStart w:id="1743" w:name="_Toc296503228"/>
      <w:r>
        <w:rPr>
          <w:rFonts w:hint="eastAsia" w:eastAsia="仿宋_GB2312" w:cs="仿宋_GB2312"/>
          <w:color w:val="auto"/>
          <w:sz w:val="30"/>
          <w:szCs w:val="30"/>
          <w:highlight w:val="none"/>
        </w:rPr>
        <w:t>件</w:t>
      </w:r>
      <w:r>
        <w:rPr>
          <w:rFonts w:hint="eastAsia" w:eastAsia="仿宋_GB2312"/>
          <w:color w:val="auto"/>
          <w:sz w:val="30"/>
          <w:szCs w:val="30"/>
          <w:highlight w:val="none"/>
          <w:lang w:val="en-US" w:eastAsia="zh-CN"/>
        </w:rPr>
        <w:t>2</w:t>
      </w:r>
      <w:r>
        <w:rPr>
          <w:rFonts w:hint="eastAsia" w:eastAsia="仿宋_GB2312" w:cs="仿宋_GB2312"/>
          <w:color w:val="auto"/>
          <w:sz w:val="30"/>
          <w:szCs w:val="30"/>
          <w:highlight w:val="none"/>
        </w:rPr>
        <w:t>：</w:t>
      </w:r>
    </w:p>
    <w:bookmarkEnd w:id="1737"/>
    <w:bookmarkEnd w:id="1738"/>
    <w:bookmarkEnd w:id="1739"/>
    <w:bookmarkEnd w:id="1740"/>
    <w:bookmarkEnd w:id="1741"/>
    <w:bookmarkEnd w:id="1742"/>
    <w:bookmarkEnd w:id="1743"/>
    <w:p w14:paraId="1F6AA488">
      <w:pPr>
        <w:spacing w:before="120" w:beforeLines="50" w:after="120" w:afterLines="50" w:line="440" w:lineRule="exact"/>
        <w:jc w:val="center"/>
        <w:rPr>
          <w:rFonts w:eastAsia="黑体"/>
          <w:color w:val="auto"/>
          <w:sz w:val="30"/>
          <w:szCs w:val="30"/>
          <w:highlight w:val="none"/>
        </w:rPr>
      </w:pPr>
      <w:r>
        <w:rPr>
          <w:rFonts w:hint="eastAsia" w:eastAsia="黑体" w:cs="黑体"/>
          <w:color w:val="auto"/>
          <w:sz w:val="30"/>
          <w:szCs w:val="30"/>
          <w:highlight w:val="none"/>
        </w:rPr>
        <w:t>承包人主要施工管理人员表</w:t>
      </w:r>
    </w:p>
    <w:tbl>
      <w:tblPr>
        <w:tblStyle w:val="5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871"/>
        <w:gridCol w:w="1418"/>
        <w:gridCol w:w="1134"/>
        <w:gridCol w:w="1134"/>
        <w:gridCol w:w="4252"/>
      </w:tblGrid>
      <w:tr w14:paraId="312EF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0104E0DD">
            <w:pPr>
              <w:keepNext/>
              <w:adjustRightInd w:val="0"/>
              <w:spacing w:line="440" w:lineRule="exact"/>
              <w:ind w:left="63" w:leftChars="30" w:right="63" w:rightChars="30"/>
              <w:jc w:val="center"/>
              <w:rPr>
                <w:rFonts w:ascii="Calibri" w:hAnsi="Calibri" w:eastAsia="仿宋_GB2312"/>
                <w:color w:val="auto"/>
                <w:sz w:val="28"/>
                <w:szCs w:val="28"/>
                <w:highlight w:val="none"/>
              </w:rPr>
            </w:pPr>
            <w:r>
              <w:rPr>
                <w:rFonts w:hint="eastAsia" w:ascii="Calibri" w:hAnsi="Calibri" w:eastAsia="仿宋_GB2312" w:cs="仿宋_GB2312"/>
                <w:color w:val="auto"/>
                <w:sz w:val="28"/>
                <w:szCs w:val="28"/>
                <w:highlight w:val="none"/>
              </w:rPr>
              <w:t>名称</w:t>
            </w:r>
          </w:p>
        </w:tc>
        <w:tc>
          <w:tcPr>
            <w:tcW w:w="1418" w:type="dxa"/>
            <w:vAlign w:val="center"/>
          </w:tcPr>
          <w:p w14:paraId="5110530C">
            <w:pPr>
              <w:keepNext/>
              <w:adjustRightInd w:val="0"/>
              <w:spacing w:line="440" w:lineRule="exact"/>
              <w:ind w:left="63" w:leftChars="30" w:right="63" w:rightChars="30"/>
              <w:jc w:val="center"/>
              <w:rPr>
                <w:rFonts w:ascii="Calibri" w:hAnsi="Calibri" w:eastAsia="仿宋_GB2312"/>
                <w:color w:val="auto"/>
                <w:sz w:val="28"/>
                <w:szCs w:val="28"/>
                <w:highlight w:val="none"/>
              </w:rPr>
            </w:pPr>
            <w:r>
              <w:rPr>
                <w:rFonts w:hint="eastAsia" w:ascii="Calibri" w:hAnsi="Calibri" w:eastAsia="仿宋_GB2312" w:cs="仿宋_GB2312"/>
                <w:color w:val="auto"/>
                <w:sz w:val="28"/>
                <w:szCs w:val="28"/>
                <w:highlight w:val="none"/>
              </w:rPr>
              <w:t>姓名</w:t>
            </w:r>
          </w:p>
        </w:tc>
        <w:tc>
          <w:tcPr>
            <w:tcW w:w="1134" w:type="dxa"/>
            <w:vAlign w:val="center"/>
          </w:tcPr>
          <w:p w14:paraId="6D301246">
            <w:pPr>
              <w:keepNext/>
              <w:adjustRightInd w:val="0"/>
              <w:spacing w:line="440" w:lineRule="exact"/>
              <w:ind w:left="63" w:leftChars="30" w:right="63" w:rightChars="30"/>
              <w:jc w:val="center"/>
              <w:rPr>
                <w:rFonts w:ascii="Calibri" w:hAnsi="Calibri" w:eastAsia="仿宋_GB2312"/>
                <w:color w:val="auto"/>
                <w:sz w:val="30"/>
                <w:szCs w:val="30"/>
                <w:highlight w:val="none"/>
              </w:rPr>
            </w:pPr>
            <w:r>
              <w:rPr>
                <w:rFonts w:hint="eastAsia" w:ascii="Calibri" w:hAnsi="Calibri" w:eastAsia="仿宋_GB2312" w:cs="仿宋_GB2312"/>
                <w:color w:val="auto"/>
                <w:sz w:val="30"/>
                <w:szCs w:val="30"/>
                <w:highlight w:val="none"/>
              </w:rPr>
              <w:t>职务</w:t>
            </w:r>
          </w:p>
        </w:tc>
        <w:tc>
          <w:tcPr>
            <w:tcW w:w="1134" w:type="dxa"/>
            <w:vAlign w:val="center"/>
          </w:tcPr>
          <w:p w14:paraId="08D330C4">
            <w:pPr>
              <w:keepNext/>
              <w:adjustRightInd w:val="0"/>
              <w:spacing w:line="440" w:lineRule="exact"/>
              <w:ind w:left="63" w:leftChars="30" w:right="63" w:rightChars="30"/>
              <w:jc w:val="center"/>
              <w:rPr>
                <w:rFonts w:ascii="Calibri" w:hAnsi="Calibri" w:eastAsia="仿宋_GB2312"/>
                <w:color w:val="auto"/>
                <w:sz w:val="30"/>
                <w:szCs w:val="30"/>
                <w:highlight w:val="none"/>
              </w:rPr>
            </w:pPr>
            <w:r>
              <w:rPr>
                <w:rFonts w:hint="eastAsia" w:ascii="Calibri" w:hAnsi="Calibri" w:eastAsia="仿宋_GB2312" w:cs="仿宋_GB2312"/>
                <w:color w:val="auto"/>
                <w:sz w:val="30"/>
                <w:szCs w:val="30"/>
                <w:highlight w:val="none"/>
              </w:rPr>
              <w:t>职称</w:t>
            </w:r>
          </w:p>
        </w:tc>
        <w:tc>
          <w:tcPr>
            <w:tcW w:w="4252" w:type="dxa"/>
            <w:vAlign w:val="center"/>
          </w:tcPr>
          <w:p w14:paraId="39ED945F">
            <w:pPr>
              <w:keepNext/>
              <w:adjustRightInd w:val="0"/>
              <w:spacing w:line="440" w:lineRule="exact"/>
              <w:ind w:right="63" w:rightChars="30"/>
              <w:jc w:val="center"/>
              <w:rPr>
                <w:rFonts w:ascii="Calibri" w:hAnsi="Calibri" w:eastAsia="仿宋_GB2312"/>
                <w:color w:val="auto"/>
                <w:sz w:val="30"/>
                <w:szCs w:val="30"/>
                <w:highlight w:val="none"/>
              </w:rPr>
            </w:pPr>
            <w:r>
              <w:rPr>
                <w:rFonts w:hint="eastAsia" w:ascii="Calibri" w:hAnsi="Calibri" w:eastAsia="仿宋_GB2312" w:cs="仿宋_GB2312"/>
                <w:color w:val="auto"/>
                <w:sz w:val="30"/>
                <w:szCs w:val="30"/>
                <w:highlight w:val="none"/>
              </w:rPr>
              <w:t>计划进场时间</w:t>
            </w:r>
          </w:p>
        </w:tc>
      </w:tr>
      <w:tr w14:paraId="52857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vAlign w:val="center"/>
          </w:tcPr>
          <w:p w14:paraId="43F39E7D">
            <w:pPr>
              <w:keepNext/>
              <w:adjustRightInd w:val="0"/>
              <w:spacing w:line="440" w:lineRule="exact"/>
              <w:ind w:left="63" w:leftChars="30" w:right="63" w:rightChars="30"/>
              <w:jc w:val="center"/>
              <w:rPr>
                <w:rFonts w:ascii="Calibri" w:hAnsi="Calibri" w:eastAsia="仿宋_GB2312"/>
                <w:color w:val="auto"/>
                <w:sz w:val="28"/>
                <w:szCs w:val="28"/>
                <w:highlight w:val="none"/>
              </w:rPr>
            </w:pPr>
            <w:r>
              <w:rPr>
                <w:rFonts w:hint="eastAsia" w:ascii="Calibri" w:hAnsi="Calibri" w:eastAsia="仿宋_GB2312" w:cs="仿宋_GB2312"/>
                <w:color w:val="auto"/>
                <w:sz w:val="28"/>
                <w:szCs w:val="28"/>
                <w:highlight w:val="none"/>
              </w:rPr>
              <w:t>一、总部人员</w:t>
            </w:r>
          </w:p>
        </w:tc>
      </w:tr>
      <w:tr w14:paraId="1C6CC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4C6881B5">
            <w:pPr>
              <w:keepNext/>
              <w:adjustRightInd w:val="0"/>
              <w:spacing w:line="440" w:lineRule="exact"/>
              <w:ind w:left="63" w:leftChars="30" w:right="63" w:rightChars="30"/>
              <w:jc w:val="center"/>
              <w:rPr>
                <w:rFonts w:ascii="Calibri" w:hAnsi="Calibri" w:eastAsia="仿宋_GB2312"/>
                <w:color w:val="auto"/>
                <w:sz w:val="28"/>
                <w:szCs w:val="28"/>
                <w:highlight w:val="none"/>
              </w:rPr>
            </w:pPr>
            <w:r>
              <w:rPr>
                <w:rFonts w:hint="eastAsia" w:ascii="Calibri" w:hAnsi="Calibri" w:eastAsia="仿宋_GB2312" w:cs="仿宋_GB2312"/>
                <w:color w:val="auto"/>
                <w:sz w:val="28"/>
                <w:szCs w:val="28"/>
                <w:highlight w:val="none"/>
              </w:rPr>
              <w:t>项目主管</w:t>
            </w:r>
          </w:p>
        </w:tc>
        <w:tc>
          <w:tcPr>
            <w:tcW w:w="1418" w:type="dxa"/>
            <w:vAlign w:val="center"/>
          </w:tcPr>
          <w:p w14:paraId="72D79FB7">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134" w:type="dxa"/>
            <w:vAlign w:val="center"/>
          </w:tcPr>
          <w:p w14:paraId="4CCE7FE2">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134" w:type="dxa"/>
            <w:vAlign w:val="center"/>
          </w:tcPr>
          <w:p w14:paraId="58C0C3BE">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4252" w:type="dxa"/>
            <w:vAlign w:val="center"/>
          </w:tcPr>
          <w:p w14:paraId="19A142F2">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r w14:paraId="04EBB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14:paraId="0A492601">
            <w:pPr>
              <w:keepNext/>
              <w:adjustRightInd w:val="0"/>
              <w:spacing w:after="60" w:line="440" w:lineRule="exact"/>
              <w:ind w:left="63" w:leftChars="30" w:right="63" w:rightChars="30"/>
              <w:jc w:val="center"/>
              <w:rPr>
                <w:rFonts w:ascii="Calibri" w:hAnsi="Calibri" w:eastAsia="仿宋_GB2312"/>
                <w:color w:val="auto"/>
                <w:sz w:val="28"/>
                <w:szCs w:val="28"/>
                <w:highlight w:val="none"/>
              </w:rPr>
            </w:pPr>
            <w:r>
              <w:rPr>
                <w:rFonts w:hint="eastAsia" w:ascii="Calibri" w:hAnsi="Calibri" w:eastAsia="仿宋_GB2312" w:cs="仿宋_GB2312"/>
                <w:color w:val="auto"/>
                <w:sz w:val="28"/>
                <w:szCs w:val="28"/>
                <w:highlight w:val="none"/>
              </w:rPr>
              <w:t>其他人员</w:t>
            </w:r>
          </w:p>
        </w:tc>
        <w:tc>
          <w:tcPr>
            <w:tcW w:w="1418" w:type="dxa"/>
            <w:vAlign w:val="center"/>
          </w:tcPr>
          <w:p w14:paraId="24182A3C">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134" w:type="dxa"/>
            <w:vAlign w:val="center"/>
          </w:tcPr>
          <w:p w14:paraId="49E6A849">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134" w:type="dxa"/>
            <w:vAlign w:val="center"/>
          </w:tcPr>
          <w:p w14:paraId="2EACD1A5">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4252" w:type="dxa"/>
            <w:vAlign w:val="center"/>
          </w:tcPr>
          <w:p w14:paraId="0E74FAE3">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r w14:paraId="1A22F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2A602B06">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418" w:type="dxa"/>
            <w:vAlign w:val="center"/>
          </w:tcPr>
          <w:p w14:paraId="25464271">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134" w:type="dxa"/>
            <w:vAlign w:val="center"/>
          </w:tcPr>
          <w:p w14:paraId="04D396FC">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134" w:type="dxa"/>
            <w:vAlign w:val="center"/>
          </w:tcPr>
          <w:p w14:paraId="2E900169">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4252" w:type="dxa"/>
            <w:vAlign w:val="center"/>
          </w:tcPr>
          <w:p w14:paraId="1047D942">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r w14:paraId="24700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0CB7FAE6">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418" w:type="dxa"/>
            <w:vAlign w:val="center"/>
          </w:tcPr>
          <w:p w14:paraId="413A9299">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134" w:type="dxa"/>
            <w:vAlign w:val="center"/>
          </w:tcPr>
          <w:p w14:paraId="514FBF25">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134" w:type="dxa"/>
            <w:vAlign w:val="center"/>
          </w:tcPr>
          <w:p w14:paraId="6B5A1DC5">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4252" w:type="dxa"/>
            <w:vAlign w:val="center"/>
          </w:tcPr>
          <w:p w14:paraId="5FF32E32">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r w14:paraId="77398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vAlign w:val="center"/>
          </w:tcPr>
          <w:p w14:paraId="0544F2B6">
            <w:pPr>
              <w:keepNext/>
              <w:adjustRightInd w:val="0"/>
              <w:spacing w:line="440" w:lineRule="exact"/>
              <w:ind w:left="63" w:leftChars="30" w:right="63" w:rightChars="30"/>
              <w:jc w:val="center"/>
              <w:rPr>
                <w:rFonts w:ascii="Calibri" w:hAnsi="Calibri" w:eastAsia="仿宋_GB2312"/>
                <w:color w:val="auto"/>
                <w:sz w:val="28"/>
                <w:szCs w:val="28"/>
                <w:highlight w:val="none"/>
              </w:rPr>
            </w:pPr>
            <w:r>
              <w:rPr>
                <w:rFonts w:hint="eastAsia" w:ascii="Calibri" w:hAnsi="Calibri" w:eastAsia="仿宋_GB2312" w:cs="仿宋_GB2312"/>
                <w:color w:val="auto"/>
                <w:sz w:val="28"/>
                <w:szCs w:val="28"/>
                <w:highlight w:val="none"/>
              </w:rPr>
              <w:t>二、现场人员</w:t>
            </w:r>
          </w:p>
        </w:tc>
      </w:tr>
      <w:tr w14:paraId="07ED3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54286751">
            <w:pPr>
              <w:keepNext/>
              <w:adjustRightInd w:val="0"/>
              <w:spacing w:line="440" w:lineRule="exact"/>
              <w:ind w:left="63" w:leftChars="30" w:right="63" w:rightChars="30"/>
              <w:jc w:val="center"/>
              <w:rPr>
                <w:rFonts w:ascii="Calibri" w:hAnsi="Calibri" w:eastAsia="仿宋_GB2312"/>
                <w:color w:val="auto"/>
                <w:sz w:val="28"/>
                <w:szCs w:val="28"/>
                <w:highlight w:val="none"/>
              </w:rPr>
            </w:pPr>
            <w:r>
              <w:rPr>
                <w:rFonts w:hint="eastAsia" w:ascii="Calibri" w:hAnsi="Calibri" w:eastAsia="仿宋_GB2312" w:cs="仿宋_GB2312"/>
                <w:color w:val="auto"/>
                <w:sz w:val="28"/>
                <w:szCs w:val="28"/>
                <w:highlight w:val="none"/>
              </w:rPr>
              <w:t>项目经理</w:t>
            </w:r>
          </w:p>
        </w:tc>
        <w:tc>
          <w:tcPr>
            <w:tcW w:w="1418" w:type="dxa"/>
            <w:vAlign w:val="center"/>
          </w:tcPr>
          <w:p w14:paraId="336A9E35">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134" w:type="dxa"/>
            <w:vAlign w:val="center"/>
          </w:tcPr>
          <w:p w14:paraId="0B880050">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134" w:type="dxa"/>
            <w:vAlign w:val="center"/>
          </w:tcPr>
          <w:p w14:paraId="0117FCD3">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4252" w:type="dxa"/>
            <w:vAlign w:val="center"/>
          </w:tcPr>
          <w:p w14:paraId="4A54FF12">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r w14:paraId="0FE0E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30E53F6A">
            <w:pPr>
              <w:keepNext/>
              <w:adjustRightInd w:val="0"/>
              <w:spacing w:line="440" w:lineRule="exact"/>
              <w:ind w:left="63" w:leftChars="30" w:right="63" w:rightChars="30"/>
              <w:jc w:val="center"/>
              <w:rPr>
                <w:rFonts w:ascii="Calibri" w:hAnsi="Calibri" w:eastAsia="仿宋_GB2312"/>
                <w:color w:val="auto"/>
                <w:sz w:val="28"/>
                <w:szCs w:val="28"/>
                <w:highlight w:val="none"/>
              </w:rPr>
            </w:pPr>
            <w:r>
              <w:rPr>
                <w:rFonts w:hint="eastAsia" w:ascii="Calibri" w:hAnsi="Calibri" w:eastAsia="仿宋_GB2312" w:cs="仿宋_GB2312"/>
                <w:color w:val="auto"/>
                <w:sz w:val="28"/>
                <w:szCs w:val="28"/>
                <w:highlight w:val="none"/>
              </w:rPr>
              <w:t>项目副经理</w:t>
            </w:r>
          </w:p>
        </w:tc>
        <w:tc>
          <w:tcPr>
            <w:tcW w:w="1418" w:type="dxa"/>
            <w:vAlign w:val="center"/>
          </w:tcPr>
          <w:p w14:paraId="13D2FA52">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134" w:type="dxa"/>
            <w:vAlign w:val="center"/>
          </w:tcPr>
          <w:p w14:paraId="79D371D6">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134" w:type="dxa"/>
            <w:vAlign w:val="center"/>
          </w:tcPr>
          <w:p w14:paraId="28D695A8">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4252" w:type="dxa"/>
            <w:vAlign w:val="center"/>
          </w:tcPr>
          <w:p w14:paraId="65813EAE">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r w14:paraId="56073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46C5C009">
            <w:pPr>
              <w:keepNext/>
              <w:adjustRightInd w:val="0"/>
              <w:spacing w:line="440" w:lineRule="exact"/>
              <w:ind w:left="63" w:leftChars="30" w:right="63" w:rightChars="30"/>
              <w:jc w:val="center"/>
              <w:rPr>
                <w:rFonts w:ascii="Calibri" w:hAnsi="Calibri" w:eastAsia="仿宋_GB2312"/>
                <w:color w:val="auto"/>
                <w:sz w:val="28"/>
                <w:szCs w:val="28"/>
                <w:highlight w:val="none"/>
              </w:rPr>
            </w:pPr>
            <w:r>
              <w:rPr>
                <w:rFonts w:hint="eastAsia" w:ascii="Calibri" w:hAnsi="Calibri" w:eastAsia="仿宋_GB2312" w:cs="仿宋_GB2312"/>
                <w:color w:val="auto"/>
                <w:sz w:val="28"/>
                <w:szCs w:val="28"/>
                <w:highlight w:val="none"/>
              </w:rPr>
              <w:t>技术负责人</w:t>
            </w:r>
          </w:p>
        </w:tc>
        <w:tc>
          <w:tcPr>
            <w:tcW w:w="1418" w:type="dxa"/>
            <w:vAlign w:val="center"/>
          </w:tcPr>
          <w:p w14:paraId="06502902">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134" w:type="dxa"/>
            <w:vAlign w:val="center"/>
          </w:tcPr>
          <w:p w14:paraId="25817B4A">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134" w:type="dxa"/>
            <w:vAlign w:val="center"/>
          </w:tcPr>
          <w:p w14:paraId="3E959401">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4252" w:type="dxa"/>
            <w:vAlign w:val="center"/>
          </w:tcPr>
          <w:p w14:paraId="65014805">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r w14:paraId="2AEEC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6F87CE46">
            <w:pPr>
              <w:keepNext/>
              <w:adjustRightInd w:val="0"/>
              <w:spacing w:line="440" w:lineRule="exact"/>
              <w:ind w:left="63" w:leftChars="30" w:right="63" w:rightChars="30"/>
              <w:jc w:val="center"/>
              <w:rPr>
                <w:rFonts w:ascii="Calibri" w:hAnsi="Calibri" w:eastAsia="仿宋_GB2312"/>
                <w:color w:val="auto"/>
                <w:sz w:val="28"/>
                <w:szCs w:val="28"/>
                <w:highlight w:val="none"/>
              </w:rPr>
            </w:pPr>
            <w:r>
              <w:rPr>
                <w:rFonts w:hint="eastAsia" w:ascii="Calibri" w:hAnsi="Calibri" w:eastAsia="仿宋_GB2312" w:cs="仿宋_GB2312"/>
                <w:color w:val="auto"/>
                <w:sz w:val="28"/>
                <w:szCs w:val="28"/>
                <w:highlight w:val="none"/>
              </w:rPr>
              <w:t>造价管理</w:t>
            </w:r>
          </w:p>
        </w:tc>
        <w:tc>
          <w:tcPr>
            <w:tcW w:w="1418" w:type="dxa"/>
            <w:vAlign w:val="center"/>
          </w:tcPr>
          <w:p w14:paraId="5B448D0E">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134" w:type="dxa"/>
            <w:vAlign w:val="center"/>
          </w:tcPr>
          <w:p w14:paraId="714B5C84">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134" w:type="dxa"/>
            <w:vAlign w:val="center"/>
          </w:tcPr>
          <w:p w14:paraId="3D63632E">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4252" w:type="dxa"/>
            <w:vAlign w:val="center"/>
          </w:tcPr>
          <w:p w14:paraId="00E6FF5F">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r w14:paraId="49B1E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14:paraId="24C4930D">
            <w:pPr>
              <w:keepNext/>
              <w:adjustRightInd w:val="0"/>
              <w:spacing w:after="60" w:line="440" w:lineRule="exact"/>
              <w:ind w:left="63" w:leftChars="30" w:right="63" w:rightChars="30"/>
              <w:jc w:val="center"/>
              <w:rPr>
                <w:rFonts w:ascii="Calibri" w:hAnsi="Calibri" w:eastAsia="仿宋_GB2312"/>
                <w:color w:val="auto"/>
                <w:sz w:val="28"/>
                <w:szCs w:val="28"/>
                <w:highlight w:val="none"/>
              </w:rPr>
            </w:pPr>
            <w:r>
              <w:rPr>
                <w:rFonts w:hint="eastAsia" w:ascii="Calibri" w:hAnsi="Calibri" w:eastAsia="仿宋_GB2312" w:cs="仿宋_GB2312"/>
                <w:color w:val="auto"/>
                <w:sz w:val="28"/>
                <w:szCs w:val="28"/>
                <w:highlight w:val="none"/>
              </w:rPr>
              <w:t>质量管理</w:t>
            </w:r>
          </w:p>
        </w:tc>
        <w:tc>
          <w:tcPr>
            <w:tcW w:w="1418" w:type="dxa"/>
            <w:vAlign w:val="center"/>
          </w:tcPr>
          <w:p w14:paraId="38186A9B">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134" w:type="dxa"/>
            <w:vAlign w:val="center"/>
          </w:tcPr>
          <w:p w14:paraId="4235C324">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134" w:type="dxa"/>
            <w:vAlign w:val="center"/>
          </w:tcPr>
          <w:p w14:paraId="06FF36E4">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4252" w:type="dxa"/>
            <w:vAlign w:val="center"/>
          </w:tcPr>
          <w:p w14:paraId="1BD45B88">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r w14:paraId="514DE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532C1ADC">
            <w:pPr>
              <w:keepNext/>
              <w:adjustRightInd w:val="0"/>
              <w:spacing w:after="60" w:line="440" w:lineRule="exact"/>
              <w:ind w:left="63" w:leftChars="30" w:right="63" w:rightChars="30"/>
              <w:jc w:val="center"/>
              <w:rPr>
                <w:rFonts w:ascii="Calibri" w:hAnsi="Calibri" w:eastAsia="仿宋_GB2312"/>
                <w:color w:val="auto"/>
                <w:sz w:val="28"/>
                <w:szCs w:val="28"/>
                <w:highlight w:val="none"/>
              </w:rPr>
            </w:pPr>
          </w:p>
        </w:tc>
        <w:tc>
          <w:tcPr>
            <w:tcW w:w="1418" w:type="dxa"/>
            <w:vAlign w:val="center"/>
          </w:tcPr>
          <w:p w14:paraId="194F1DAC">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134" w:type="dxa"/>
            <w:vAlign w:val="center"/>
          </w:tcPr>
          <w:p w14:paraId="53ED37A5">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134" w:type="dxa"/>
            <w:vAlign w:val="center"/>
          </w:tcPr>
          <w:p w14:paraId="4E48CA88">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4252" w:type="dxa"/>
            <w:vAlign w:val="center"/>
          </w:tcPr>
          <w:p w14:paraId="415FC094">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r w14:paraId="5BAFB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11E50ABF">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418" w:type="dxa"/>
            <w:vAlign w:val="center"/>
          </w:tcPr>
          <w:p w14:paraId="6E3564B6">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134" w:type="dxa"/>
            <w:vAlign w:val="center"/>
          </w:tcPr>
          <w:p w14:paraId="7FF234EC">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134" w:type="dxa"/>
            <w:vAlign w:val="center"/>
          </w:tcPr>
          <w:p w14:paraId="5950A9E4">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4252" w:type="dxa"/>
            <w:vAlign w:val="center"/>
          </w:tcPr>
          <w:p w14:paraId="577C1169">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r w14:paraId="6596B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6B4129E1">
            <w:pPr>
              <w:keepNext/>
              <w:adjustRightInd w:val="0"/>
              <w:spacing w:line="440" w:lineRule="exact"/>
              <w:ind w:left="63" w:leftChars="30" w:right="63" w:rightChars="30"/>
              <w:jc w:val="center"/>
              <w:rPr>
                <w:rFonts w:ascii="Calibri" w:hAnsi="Calibri" w:eastAsia="仿宋_GB2312"/>
                <w:color w:val="auto"/>
                <w:sz w:val="28"/>
                <w:szCs w:val="28"/>
                <w:highlight w:val="none"/>
              </w:rPr>
            </w:pPr>
            <w:r>
              <w:rPr>
                <w:rFonts w:hint="eastAsia" w:ascii="Calibri" w:hAnsi="Calibri" w:eastAsia="仿宋_GB2312" w:cs="仿宋_GB2312"/>
                <w:color w:val="auto"/>
                <w:sz w:val="28"/>
                <w:szCs w:val="28"/>
                <w:highlight w:val="none"/>
              </w:rPr>
              <w:t>材料管理</w:t>
            </w:r>
          </w:p>
        </w:tc>
        <w:tc>
          <w:tcPr>
            <w:tcW w:w="1418" w:type="dxa"/>
            <w:vAlign w:val="center"/>
          </w:tcPr>
          <w:p w14:paraId="46FC238D">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134" w:type="dxa"/>
            <w:vAlign w:val="center"/>
          </w:tcPr>
          <w:p w14:paraId="0016FA80">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134" w:type="dxa"/>
            <w:vAlign w:val="center"/>
          </w:tcPr>
          <w:p w14:paraId="62B05B37">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4252" w:type="dxa"/>
            <w:vAlign w:val="center"/>
          </w:tcPr>
          <w:p w14:paraId="556EB1A6">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r w14:paraId="60CFD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66120A30">
            <w:pPr>
              <w:keepNext/>
              <w:adjustRightInd w:val="0"/>
              <w:spacing w:line="440" w:lineRule="exact"/>
              <w:ind w:left="63" w:leftChars="30" w:right="63" w:rightChars="30"/>
              <w:jc w:val="center"/>
              <w:rPr>
                <w:rFonts w:ascii="Calibri" w:hAnsi="Calibri" w:eastAsia="仿宋_GB2312"/>
                <w:color w:val="auto"/>
                <w:sz w:val="28"/>
                <w:szCs w:val="28"/>
                <w:highlight w:val="none"/>
              </w:rPr>
            </w:pPr>
            <w:r>
              <w:rPr>
                <w:rFonts w:hint="eastAsia" w:ascii="Calibri" w:hAnsi="Calibri" w:eastAsia="仿宋_GB2312" w:cs="仿宋_GB2312"/>
                <w:color w:val="auto"/>
                <w:sz w:val="28"/>
                <w:szCs w:val="28"/>
                <w:highlight w:val="none"/>
              </w:rPr>
              <w:t>计划管理</w:t>
            </w:r>
          </w:p>
        </w:tc>
        <w:tc>
          <w:tcPr>
            <w:tcW w:w="1418" w:type="dxa"/>
            <w:vAlign w:val="center"/>
          </w:tcPr>
          <w:p w14:paraId="21D985C5">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134" w:type="dxa"/>
            <w:vAlign w:val="center"/>
          </w:tcPr>
          <w:p w14:paraId="1E5DD09C">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134" w:type="dxa"/>
            <w:vAlign w:val="center"/>
          </w:tcPr>
          <w:p w14:paraId="4FA70F80">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4252" w:type="dxa"/>
            <w:vAlign w:val="center"/>
          </w:tcPr>
          <w:p w14:paraId="774392A6">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r w14:paraId="5384C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14:paraId="077B0065">
            <w:pPr>
              <w:keepNext/>
              <w:adjustRightInd w:val="0"/>
              <w:spacing w:after="60" w:line="440" w:lineRule="exact"/>
              <w:ind w:left="63" w:leftChars="30" w:right="63" w:rightChars="30"/>
              <w:jc w:val="center"/>
              <w:rPr>
                <w:rFonts w:ascii="Calibri" w:hAnsi="Calibri" w:eastAsia="仿宋_GB2312"/>
                <w:color w:val="auto"/>
                <w:sz w:val="28"/>
                <w:szCs w:val="28"/>
                <w:highlight w:val="none"/>
              </w:rPr>
            </w:pPr>
            <w:r>
              <w:rPr>
                <w:rFonts w:hint="eastAsia" w:ascii="Calibri" w:hAnsi="Calibri" w:eastAsia="仿宋_GB2312" w:cs="仿宋_GB2312"/>
                <w:color w:val="auto"/>
                <w:sz w:val="28"/>
                <w:szCs w:val="28"/>
                <w:highlight w:val="none"/>
              </w:rPr>
              <w:t>安全管理</w:t>
            </w:r>
          </w:p>
        </w:tc>
        <w:tc>
          <w:tcPr>
            <w:tcW w:w="1418" w:type="dxa"/>
            <w:vAlign w:val="center"/>
          </w:tcPr>
          <w:p w14:paraId="6D5A44B0">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134" w:type="dxa"/>
            <w:vAlign w:val="center"/>
          </w:tcPr>
          <w:p w14:paraId="200E3B50">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134" w:type="dxa"/>
            <w:vAlign w:val="center"/>
          </w:tcPr>
          <w:p w14:paraId="2AB891AA">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4252" w:type="dxa"/>
            <w:vAlign w:val="center"/>
          </w:tcPr>
          <w:p w14:paraId="16696655">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r w14:paraId="1506D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256AD542">
            <w:pPr>
              <w:keepNext/>
              <w:adjustRightInd w:val="0"/>
              <w:spacing w:after="60" w:line="440" w:lineRule="exact"/>
              <w:ind w:left="63" w:leftChars="30" w:right="63" w:rightChars="30"/>
              <w:jc w:val="center"/>
              <w:rPr>
                <w:rFonts w:ascii="Calibri" w:hAnsi="Calibri" w:eastAsia="仿宋_GB2312"/>
                <w:color w:val="auto"/>
                <w:sz w:val="28"/>
                <w:szCs w:val="28"/>
                <w:highlight w:val="none"/>
              </w:rPr>
            </w:pPr>
          </w:p>
        </w:tc>
        <w:tc>
          <w:tcPr>
            <w:tcW w:w="1418" w:type="dxa"/>
            <w:vAlign w:val="center"/>
          </w:tcPr>
          <w:p w14:paraId="664696D8">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134" w:type="dxa"/>
            <w:vAlign w:val="center"/>
          </w:tcPr>
          <w:p w14:paraId="3314B3B4">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134" w:type="dxa"/>
            <w:vAlign w:val="center"/>
          </w:tcPr>
          <w:p w14:paraId="0AE45F21">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4252" w:type="dxa"/>
            <w:vAlign w:val="center"/>
          </w:tcPr>
          <w:p w14:paraId="13C689E1">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r w14:paraId="4D3D0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54179E00">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418" w:type="dxa"/>
            <w:vAlign w:val="center"/>
          </w:tcPr>
          <w:p w14:paraId="78D89037">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134" w:type="dxa"/>
            <w:vAlign w:val="center"/>
          </w:tcPr>
          <w:p w14:paraId="2416E653">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134" w:type="dxa"/>
            <w:vAlign w:val="center"/>
          </w:tcPr>
          <w:p w14:paraId="32D4B72A">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4252" w:type="dxa"/>
            <w:vAlign w:val="center"/>
          </w:tcPr>
          <w:p w14:paraId="577615C7">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r w14:paraId="68B53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14:paraId="2D5AE4A8">
            <w:pPr>
              <w:keepNext/>
              <w:adjustRightInd w:val="0"/>
              <w:spacing w:line="440" w:lineRule="exact"/>
              <w:ind w:left="63" w:leftChars="30" w:right="63" w:rightChars="30"/>
              <w:jc w:val="center"/>
              <w:rPr>
                <w:rFonts w:ascii="Calibri" w:hAnsi="Calibri" w:eastAsia="仿宋_GB2312"/>
                <w:color w:val="auto"/>
                <w:sz w:val="28"/>
                <w:szCs w:val="28"/>
                <w:highlight w:val="none"/>
              </w:rPr>
            </w:pPr>
            <w:r>
              <w:rPr>
                <w:rFonts w:hint="eastAsia" w:ascii="Calibri" w:hAnsi="Calibri" w:eastAsia="仿宋_GB2312" w:cs="仿宋_GB2312"/>
                <w:color w:val="auto"/>
                <w:sz w:val="28"/>
                <w:szCs w:val="28"/>
                <w:highlight w:val="none"/>
              </w:rPr>
              <w:t>其他人员</w:t>
            </w:r>
          </w:p>
        </w:tc>
        <w:tc>
          <w:tcPr>
            <w:tcW w:w="1418" w:type="dxa"/>
            <w:vAlign w:val="center"/>
          </w:tcPr>
          <w:p w14:paraId="658A6CD2">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134" w:type="dxa"/>
            <w:vAlign w:val="center"/>
          </w:tcPr>
          <w:p w14:paraId="49A729D7">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134" w:type="dxa"/>
            <w:vAlign w:val="center"/>
          </w:tcPr>
          <w:p w14:paraId="6A3774B0">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4252" w:type="dxa"/>
            <w:vAlign w:val="center"/>
          </w:tcPr>
          <w:p w14:paraId="14F15FC7">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r w14:paraId="2B007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666AA87B">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418" w:type="dxa"/>
            <w:vAlign w:val="center"/>
          </w:tcPr>
          <w:p w14:paraId="024584A3">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134" w:type="dxa"/>
            <w:vAlign w:val="center"/>
          </w:tcPr>
          <w:p w14:paraId="199C2301">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134" w:type="dxa"/>
            <w:vAlign w:val="center"/>
          </w:tcPr>
          <w:p w14:paraId="66A12C85">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4252" w:type="dxa"/>
            <w:vAlign w:val="center"/>
          </w:tcPr>
          <w:p w14:paraId="2A85045C">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r w14:paraId="04603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66C76FF4">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418" w:type="dxa"/>
            <w:vAlign w:val="center"/>
          </w:tcPr>
          <w:p w14:paraId="3E87A7C0">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134" w:type="dxa"/>
            <w:vAlign w:val="center"/>
          </w:tcPr>
          <w:p w14:paraId="7C1E8FC1">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134" w:type="dxa"/>
            <w:vAlign w:val="center"/>
          </w:tcPr>
          <w:p w14:paraId="6582AE08">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4252" w:type="dxa"/>
            <w:vAlign w:val="center"/>
          </w:tcPr>
          <w:p w14:paraId="020BF33F">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r w14:paraId="58FDD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573F899B">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418" w:type="dxa"/>
            <w:vAlign w:val="center"/>
          </w:tcPr>
          <w:p w14:paraId="33BC0DEA">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134" w:type="dxa"/>
            <w:vAlign w:val="center"/>
          </w:tcPr>
          <w:p w14:paraId="6EE993F9">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134" w:type="dxa"/>
            <w:vAlign w:val="center"/>
          </w:tcPr>
          <w:p w14:paraId="5F6342BA">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4252" w:type="dxa"/>
            <w:vAlign w:val="center"/>
          </w:tcPr>
          <w:p w14:paraId="69A8AC8F">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r w14:paraId="054C0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3750786A">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418" w:type="dxa"/>
            <w:vAlign w:val="center"/>
          </w:tcPr>
          <w:p w14:paraId="0F536A51">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134" w:type="dxa"/>
            <w:vAlign w:val="center"/>
          </w:tcPr>
          <w:p w14:paraId="309F8E34">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134" w:type="dxa"/>
            <w:vAlign w:val="center"/>
          </w:tcPr>
          <w:p w14:paraId="17176B57">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4252" w:type="dxa"/>
            <w:vAlign w:val="center"/>
          </w:tcPr>
          <w:p w14:paraId="4FDDACA1">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r w14:paraId="6415C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5DA5E2B6">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418" w:type="dxa"/>
            <w:vAlign w:val="center"/>
          </w:tcPr>
          <w:p w14:paraId="2567577D">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134" w:type="dxa"/>
            <w:vAlign w:val="center"/>
          </w:tcPr>
          <w:p w14:paraId="4590BB18">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134" w:type="dxa"/>
            <w:vAlign w:val="center"/>
          </w:tcPr>
          <w:p w14:paraId="302BEC93">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4252" w:type="dxa"/>
            <w:vAlign w:val="center"/>
          </w:tcPr>
          <w:p w14:paraId="6C7FFDA2">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bl>
    <w:p w14:paraId="20E24E15">
      <w:pPr>
        <w:spacing w:line="440" w:lineRule="exact"/>
        <w:rPr>
          <w:rFonts w:eastAsia="黑体"/>
          <w:color w:val="auto"/>
          <w:sz w:val="30"/>
          <w:szCs w:val="30"/>
          <w:highlight w:val="none"/>
        </w:rPr>
      </w:pPr>
      <w:r>
        <w:rPr>
          <w:rFonts w:eastAsia="仿宋_GB2312"/>
          <w:color w:val="auto"/>
          <w:sz w:val="30"/>
          <w:szCs w:val="30"/>
          <w:highlight w:val="none"/>
        </w:rPr>
        <w:br w:type="page"/>
      </w:r>
      <w:r>
        <w:rPr>
          <w:rFonts w:hint="eastAsia" w:eastAsia="仿宋_GB2312" w:cs="仿宋_GB2312"/>
          <w:color w:val="auto"/>
          <w:sz w:val="30"/>
          <w:szCs w:val="30"/>
          <w:highlight w:val="none"/>
        </w:rPr>
        <w:t>附</w:t>
      </w:r>
      <w:bookmarkStart w:id="1744" w:name="_Toc296347228"/>
      <w:bookmarkStart w:id="1745" w:name="_Toc296944568"/>
      <w:bookmarkStart w:id="1746" w:name="_Toc296891057"/>
      <w:bookmarkStart w:id="1747" w:name="_Toc296346730"/>
      <w:bookmarkStart w:id="1748" w:name="_Toc296891269"/>
      <w:bookmarkStart w:id="1749" w:name="_Toc296503229"/>
      <w:r>
        <w:rPr>
          <w:rFonts w:hint="eastAsia" w:eastAsia="仿宋_GB2312" w:cs="仿宋_GB2312"/>
          <w:color w:val="auto"/>
          <w:sz w:val="30"/>
          <w:szCs w:val="30"/>
          <w:highlight w:val="none"/>
        </w:rPr>
        <w:t>件</w:t>
      </w:r>
      <w:r>
        <w:rPr>
          <w:rFonts w:hint="eastAsia" w:eastAsia="仿宋_GB2312"/>
          <w:color w:val="auto"/>
          <w:sz w:val="30"/>
          <w:szCs w:val="30"/>
          <w:highlight w:val="none"/>
          <w:lang w:val="en-US" w:eastAsia="zh-CN"/>
        </w:rPr>
        <w:t>3</w:t>
      </w:r>
      <w:r>
        <w:rPr>
          <w:rFonts w:hint="eastAsia" w:eastAsia="仿宋_GB2312" w:cs="仿宋_GB2312"/>
          <w:color w:val="auto"/>
          <w:sz w:val="30"/>
          <w:szCs w:val="30"/>
          <w:highlight w:val="none"/>
        </w:rPr>
        <w:t>：</w:t>
      </w:r>
    </w:p>
    <w:bookmarkEnd w:id="1744"/>
    <w:bookmarkEnd w:id="1745"/>
    <w:bookmarkEnd w:id="1746"/>
    <w:bookmarkEnd w:id="1747"/>
    <w:bookmarkEnd w:id="1748"/>
    <w:bookmarkEnd w:id="1749"/>
    <w:p w14:paraId="0DCA734A">
      <w:pPr>
        <w:spacing w:before="120" w:beforeLines="50" w:after="120" w:afterLines="50" w:line="440" w:lineRule="exact"/>
        <w:jc w:val="center"/>
        <w:rPr>
          <w:rFonts w:eastAsia="黑体"/>
          <w:color w:val="auto"/>
          <w:sz w:val="30"/>
          <w:szCs w:val="30"/>
          <w:highlight w:val="none"/>
        </w:rPr>
      </w:pPr>
      <w:r>
        <w:rPr>
          <w:rFonts w:hint="eastAsia" w:eastAsia="黑体" w:cs="黑体"/>
          <w:color w:val="auto"/>
          <w:sz w:val="30"/>
          <w:szCs w:val="30"/>
          <w:highlight w:val="none"/>
        </w:rPr>
        <w:t>分包人主要施工管理人员表</w:t>
      </w:r>
    </w:p>
    <w:tbl>
      <w:tblPr>
        <w:tblStyle w:val="5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871"/>
        <w:gridCol w:w="1418"/>
        <w:gridCol w:w="1134"/>
        <w:gridCol w:w="1134"/>
        <w:gridCol w:w="4252"/>
      </w:tblGrid>
      <w:tr w14:paraId="0939A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199E9AD6">
            <w:pPr>
              <w:keepNext/>
              <w:adjustRightInd w:val="0"/>
              <w:spacing w:line="440" w:lineRule="exact"/>
              <w:ind w:left="63" w:leftChars="30" w:right="63" w:rightChars="30"/>
              <w:jc w:val="center"/>
              <w:rPr>
                <w:rFonts w:ascii="Calibri" w:hAnsi="Calibri" w:eastAsia="仿宋_GB2312"/>
                <w:color w:val="auto"/>
                <w:sz w:val="28"/>
                <w:szCs w:val="28"/>
                <w:highlight w:val="none"/>
              </w:rPr>
            </w:pPr>
            <w:r>
              <w:rPr>
                <w:rFonts w:hint="eastAsia" w:ascii="Calibri" w:hAnsi="Calibri" w:eastAsia="仿宋_GB2312" w:cs="仿宋_GB2312"/>
                <w:color w:val="auto"/>
                <w:sz w:val="28"/>
                <w:szCs w:val="28"/>
                <w:highlight w:val="none"/>
              </w:rPr>
              <w:t>名称</w:t>
            </w:r>
          </w:p>
        </w:tc>
        <w:tc>
          <w:tcPr>
            <w:tcW w:w="1418" w:type="dxa"/>
            <w:vAlign w:val="center"/>
          </w:tcPr>
          <w:p w14:paraId="4158D9C9">
            <w:pPr>
              <w:keepNext/>
              <w:adjustRightInd w:val="0"/>
              <w:spacing w:line="440" w:lineRule="exact"/>
              <w:ind w:left="63" w:leftChars="30" w:right="63" w:rightChars="30"/>
              <w:jc w:val="center"/>
              <w:rPr>
                <w:rFonts w:ascii="Calibri" w:hAnsi="Calibri" w:eastAsia="仿宋_GB2312"/>
                <w:color w:val="auto"/>
                <w:sz w:val="28"/>
                <w:szCs w:val="28"/>
                <w:highlight w:val="none"/>
              </w:rPr>
            </w:pPr>
            <w:r>
              <w:rPr>
                <w:rFonts w:hint="eastAsia" w:ascii="Calibri" w:hAnsi="Calibri" w:eastAsia="仿宋_GB2312" w:cs="仿宋_GB2312"/>
                <w:color w:val="auto"/>
                <w:sz w:val="28"/>
                <w:szCs w:val="28"/>
                <w:highlight w:val="none"/>
              </w:rPr>
              <w:t>姓名</w:t>
            </w:r>
          </w:p>
        </w:tc>
        <w:tc>
          <w:tcPr>
            <w:tcW w:w="1134" w:type="dxa"/>
            <w:vAlign w:val="center"/>
          </w:tcPr>
          <w:p w14:paraId="019E692E">
            <w:pPr>
              <w:keepNext/>
              <w:adjustRightInd w:val="0"/>
              <w:spacing w:line="440" w:lineRule="exact"/>
              <w:ind w:left="63" w:leftChars="30" w:right="63" w:rightChars="30"/>
              <w:jc w:val="center"/>
              <w:rPr>
                <w:rFonts w:ascii="Calibri" w:hAnsi="Calibri" w:eastAsia="仿宋_GB2312"/>
                <w:color w:val="auto"/>
                <w:sz w:val="30"/>
                <w:szCs w:val="30"/>
                <w:highlight w:val="none"/>
              </w:rPr>
            </w:pPr>
            <w:r>
              <w:rPr>
                <w:rFonts w:hint="eastAsia" w:ascii="Calibri" w:hAnsi="Calibri" w:eastAsia="仿宋_GB2312" w:cs="仿宋_GB2312"/>
                <w:color w:val="auto"/>
                <w:sz w:val="30"/>
                <w:szCs w:val="30"/>
                <w:highlight w:val="none"/>
              </w:rPr>
              <w:t>职务</w:t>
            </w:r>
          </w:p>
        </w:tc>
        <w:tc>
          <w:tcPr>
            <w:tcW w:w="1134" w:type="dxa"/>
            <w:vAlign w:val="center"/>
          </w:tcPr>
          <w:p w14:paraId="2DBCB5EE">
            <w:pPr>
              <w:keepNext/>
              <w:adjustRightInd w:val="0"/>
              <w:spacing w:line="440" w:lineRule="exact"/>
              <w:ind w:left="63" w:leftChars="30" w:right="63" w:rightChars="30"/>
              <w:jc w:val="center"/>
              <w:rPr>
                <w:rFonts w:ascii="Calibri" w:hAnsi="Calibri" w:eastAsia="仿宋_GB2312"/>
                <w:color w:val="auto"/>
                <w:sz w:val="30"/>
                <w:szCs w:val="30"/>
                <w:highlight w:val="none"/>
              </w:rPr>
            </w:pPr>
            <w:r>
              <w:rPr>
                <w:rFonts w:hint="eastAsia" w:ascii="Calibri" w:hAnsi="Calibri" w:eastAsia="仿宋_GB2312" w:cs="仿宋_GB2312"/>
                <w:color w:val="auto"/>
                <w:sz w:val="30"/>
                <w:szCs w:val="30"/>
                <w:highlight w:val="none"/>
              </w:rPr>
              <w:t>职称</w:t>
            </w:r>
          </w:p>
        </w:tc>
        <w:tc>
          <w:tcPr>
            <w:tcW w:w="4252" w:type="dxa"/>
            <w:vAlign w:val="center"/>
          </w:tcPr>
          <w:p w14:paraId="646C89FF">
            <w:pPr>
              <w:keepNext/>
              <w:adjustRightInd w:val="0"/>
              <w:spacing w:line="440" w:lineRule="exact"/>
              <w:ind w:left="63" w:leftChars="30" w:right="63" w:rightChars="30"/>
              <w:jc w:val="center"/>
              <w:rPr>
                <w:rFonts w:ascii="Calibri" w:hAnsi="Calibri" w:eastAsia="仿宋_GB2312"/>
                <w:color w:val="auto"/>
                <w:sz w:val="30"/>
                <w:szCs w:val="30"/>
                <w:highlight w:val="none"/>
              </w:rPr>
            </w:pPr>
            <w:r>
              <w:rPr>
                <w:rFonts w:hint="eastAsia" w:ascii="Calibri" w:hAnsi="Calibri" w:eastAsia="仿宋_GB2312" w:cs="仿宋_GB2312"/>
                <w:color w:val="auto"/>
                <w:sz w:val="30"/>
                <w:szCs w:val="30"/>
                <w:highlight w:val="none"/>
              </w:rPr>
              <w:t>主要资历、经验及承担过的项目</w:t>
            </w:r>
          </w:p>
        </w:tc>
      </w:tr>
      <w:tr w14:paraId="197EC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vAlign w:val="center"/>
          </w:tcPr>
          <w:p w14:paraId="35CC5B47">
            <w:pPr>
              <w:keepNext/>
              <w:adjustRightInd w:val="0"/>
              <w:spacing w:line="440" w:lineRule="exact"/>
              <w:ind w:left="63" w:leftChars="30" w:right="63" w:rightChars="30"/>
              <w:jc w:val="center"/>
              <w:rPr>
                <w:rFonts w:ascii="Calibri" w:hAnsi="Calibri" w:eastAsia="仿宋_GB2312"/>
                <w:color w:val="auto"/>
                <w:sz w:val="28"/>
                <w:szCs w:val="28"/>
                <w:highlight w:val="none"/>
              </w:rPr>
            </w:pPr>
            <w:r>
              <w:rPr>
                <w:rFonts w:hint="eastAsia" w:ascii="Calibri" w:hAnsi="Calibri" w:eastAsia="仿宋_GB2312" w:cs="仿宋_GB2312"/>
                <w:color w:val="auto"/>
                <w:sz w:val="28"/>
                <w:szCs w:val="28"/>
                <w:highlight w:val="none"/>
              </w:rPr>
              <w:t>一、总部人员</w:t>
            </w:r>
          </w:p>
        </w:tc>
      </w:tr>
      <w:tr w14:paraId="4A956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620A9EA2">
            <w:pPr>
              <w:keepNext/>
              <w:adjustRightInd w:val="0"/>
              <w:spacing w:line="440" w:lineRule="exact"/>
              <w:ind w:left="63" w:leftChars="30" w:right="63" w:rightChars="30"/>
              <w:jc w:val="center"/>
              <w:rPr>
                <w:rFonts w:ascii="Calibri" w:hAnsi="Calibri" w:eastAsia="仿宋_GB2312"/>
                <w:color w:val="auto"/>
                <w:sz w:val="28"/>
                <w:szCs w:val="28"/>
                <w:highlight w:val="none"/>
              </w:rPr>
            </w:pPr>
            <w:r>
              <w:rPr>
                <w:rFonts w:hint="eastAsia" w:ascii="Calibri" w:hAnsi="Calibri" w:eastAsia="仿宋_GB2312" w:cs="仿宋_GB2312"/>
                <w:color w:val="auto"/>
                <w:sz w:val="28"/>
                <w:szCs w:val="28"/>
                <w:highlight w:val="none"/>
              </w:rPr>
              <w:t>项目主管</w:t>
            </w:r>
          </w:p>
        </w:tc>
        <w:tc>
          <w:tcPr>
            <w:tcW w:w="1418" w:type="dxa"/>
            <w:vAlign w:val="center"/>
          </w:tcPr>
          <w:p w14:paraId="5F8593DB">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134" w:type="dxa"/>
            <w:vAlign w:val="center"/>
          </w:tcPr>
          <w:p w14:paraId="00D2893D">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134" w:type="dxa"/>
            <w:vAlign w:val="center"/>
          </w:tcPr>
          <w:p w14:paraId="13A9C169">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4252" w:type="dxa"/>
            <w:vAlign w:val="center"/>
          </w:tcPr>
          <w:p w14:paraId="19032798">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r w14:paraId="2AD9B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14:paraId="45B17655">
            <w:pPr>
              <w:keepNext/>
              <w:adjustRightInd w:val="0"/>
              <w:spacing w:after="60" w:line="440" w:lineRule="exact"/>
              <w:ind w:left="63" w:leftChars="30" w:right="63" w:rightChars="30"/>
              <w:jc w:val="center"/>
              <w:rPr>
                <w:rFonts w:ascii="Calibri" w:hAnsi="Calibri" w:eastAsia="仿宋_GB2312"/>
                <w:color w:val="auto"/>
                <w:sz w:val="28"/>
                <w:szCs w:val="28"/>
                <w:highlight w:val="none"/>
              </w:rPr>
            </w:pPr>
            <w:r>
              <w:rPr>
                <w:rFonts w:hint="eastAsia" w:ascii="Calibri" w:hAnsi="Calibri" w:eastAsia="仿宋_GB2312" w:cs="仿宋_GB2312"/>
                <w:color w:val="auto"/>
                <w:sz w:val="28"/>
                <w:szCs w:val="28"/>
                <w:highlight w:val="none"/>
              </w:rPr>
              <w:t>其他人员</w:t>
            </w:r>
          </w:p>
        </w:tc>
        <w:tc>
          <w:tcPr>
            <w:tcW w:w="1418" w:type="dxa"/>
            <w:vAlign w:val="center"/>
          </w:tcPr>
          <w:p w14:paraId="7D8B8A58">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134" w:type="dxa"/>
            <w:vAlign w:val="center"/>
          </w:tcPr>
          <w:p w14:paraId="6E0B1D76">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134" w:type="dxa"/>
            <w:vAlign w:val="center"/>
          </w:tcPr>
          <w:p w14:paraId="622D25BF">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4252" w:type="dxa"/>
            <w:vAlign w:val="center"/>
          </w:tcPr>
          <w:p w14:paraId="2EE550E2">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r w14:paraId="758CF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325D7BEE">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418" w:type="dxa"/>
            <w:vAlign w:val="center"/>
          </w:tcPr>
          <w:p w14:paraId="1AF213DC">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134" w:type="dxa"/>
            <w:vAlign w:val="center"/>
          </w:tcPr>
          <w:p w14:paraId="684DC0A0">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134" w:type="dxa"/>
            <w:vAlign w:val="center"/>
          </w:tcPr>
          <w:p w14:paraId="1A7C6AE6">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4252" w:type="dxa"/>
            <w:vAlign w:val="center"/>
          </w:tcPr>
          <w:p w14:paraId="2CF0777A">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r w14:paraId="20F28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5F71E4E7">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418" w:type="dxa"/>
            <w:vAlign w:val="center"/>
          </w:tcPr>
          <w:p w14:paraId="3BE4ACFC">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134" w:type="dxa"/>
            <w:vAlign w:val="center"/>
          </w:tcPr>
          <w:p w14:paraId="531B3207">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134" w:type="dxa"/>
            <w:vAlign w:val="center"/>
          </w:tcPr>
          <w:p w14:paraId="68FFED40">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4252" w:type="dxa"/>
            <w:vAlign w:val="center"/>
          </w:tcPr>
          <w:p w14:paraId="1CF7B747">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r w14:paraId="4BC1A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vAlign w:val="center"/>
          </w:tcPr>
          <w:p w14:paraId="44842A3B">
            <w:pPr>
              <w:keepNext/>
              <w:adjustRightInd w:val="0"/>
              <w:spacing w:line="440" w:lineRule="exact"/>
              <w:ind w:left="63" w:leftChars="30" w:right="63" w:rightChars="30"/>
              <w:jc w:val="center"/>
              <w:rPr>
                <w:rFonts w:ascii="Calibri" w:hAnsi="Calibri" w:eastAsia="仿宋_GB2312"/>
                <w:color w:val="auto"/>
                <w:sz w:val="28"/>
                <w:szCs w:val="28"/>
                <w:highlight w:val="none"/>
              </w:rPr>
            </w:pPr>
            <w:r>
              <w:rPr>
                <w:rFonts w:hint="eastAsia" w:ascii="Calibri" w:hAnsi="Calibri" w:eastAsia="仿宋_GB2312" w:cs="仿宋_GB2312"/>
                <w:color w:val="auto"/>
                <w:sz w:val="28"/>
                <w:szCs w:val="28"/>
                <w:highlight w:val="none"/>
              </w:rPr>
              <w:t>二、现场人员</w:t>
            </w:r>
          </w:p>
        </w:tc>
      </w:tr>
      <w:tr w14:paraId="6266B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53C3C606">
            <w:pPr>
              <w:keepNext/>
              <w:adjustRightInd w:val="0"/>
              <w:spacing w:line="440" w:lineRule="exact"/>
              <w:ind w:left="63" w:leftChars="30" w:right="63" w:rightChars="30"/>
              <w:jc w:val="center"/>
              <w:rPr>
                <w:rFonts w:ascii="Calibri" w:hAnsi="Calibri" w:eastAsia="仿宋_GB2312"/>
                <w:color w:val="auto"/>
                <w:sz w:val="28"/>
                <w:szCs w:val="28"/>
                <w:highlight w:val="none"/>
              </w:rPr>
            </w:pPr>
            <w:r>
              <w:rPr>
                <w:rFonts w:hint="eastAsia" w:ascii="Calibri" w:hAnsi="Calibri" w:eastAsia="仿宋_GB2312" w:cs="仿宋_GB2312"/>
                <w:color w:val="auto"/>
                <w:sz w:val="28"/>
                <w:szCs w:val="28"/>
                <w:highlight w:val="none"/>
              </w:rPr>
              <w:t>项目经理</w:t>
            </w:r>
          </w:p>
        </w:tc>
        <w:tc>
          <w:tcPr>
            <w:tcW w:w="1418" w:type="dxa"/>
            <w:vAlign w:val="center"/>
          </w:tcPr>
          <w:p w14:paraId="507BAD20">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134" w:type="dxa"/>
            <w:vAlign w:val="center"/>
          </w:tcPr>
          <w:p w14:paraId="61B970CF">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134" w:type="dxa"/>
            <w:vAlign w:val="center"/>
          </w:tcPr>
          <w:p w14:paraId="25371AE2">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4252" w:type="dxa"/>
            <w:vAlign w:val="center"/>
          </w:tcPr>
          <w:p w14:paraId="15CB35C0">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r w14:paraId="1F5BE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7FD8C89E">
            <w:pPr>
              <w:keepNext/>
              <w:adjustRightInd w:val="0"/>
              <w:spacing w:line="440" w:lineRule="exact"/>
              <w:ind w:left="63" w:leftChars="30" w:right="63" w:rightChars="30"/>
              <w:jc w:val="center"/>
              <w:rPr>
                <w:rFonts w:ascii="Calibri" w:hAnsi="Calibri" w:eastAsia="仿宋_GB2312"/>
                <w:color w:val="auto"/>
                <w:sz w:val="28"/>
                <w:szCs w:val="28"/>
                <w:highlight w:val="none"/>
              </w:rPr>
            </w:pPr>
            <w:r>
              <w:rPr>
                <w:rFonts w:hint="eastAsia" w:ascii="Calibri" w:hAnsi="Calibri" w:eastAsia="仿宋_GB2312" w:cs="仿宋_GB2312"/>
                <w:color w:val="auto"/>
                <w:sz w:val="28"/>
                <w:szCs w:val="28"/>
                <w:highlight w:val="none"/>
              </w:rPr>
              <w:t>项目副经理</w:t>
            </w:r>
          </w:p>
        </w:tc>
        <w:tc>
          <w:tcPr>
            <w:tcW w:w="1418" w:type="dxa"/>
            <w:vAlign w:val="center"/>
          </w:tcPr>
          <w:p w14:paraId="3786972A">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134" w:type="dxa"/>
            <w:vAlign w:val="center"/>
          </w:tcPr>
          <w:p w14:paraId="2B49064B">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134" w:type="dxa"/>
            <w:vAlign w:val="center"/>
          </w:tcPr>
          <w:p w14:paraId="6285F16E">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4252" w:type="dxa"/>
            <w:vAlign w:val="center"/>
          </w:tcPr>
          <w:p w14:paraId="34CB9555">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r w14:paraId="7F20F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0B6E2BEC">
            <w:pPr>
              <w:keepNext/>
              <w:adjustRightInd w:val="0"/>
              <w:spacing w:line="440" w:lineRule="exact"/>
              <w:ind w:left="63" w:leftChars="30" w:right="63" w:rightChars="30"/>
              <w:jc w:val="center"/>
              <w:rPr>
                <w:rFonts w:ascii="Calibri" w:hAnsi="Calibri" w:eastAsia="仿宋_GB2312"/>
                <w:color w:val="auto"/>
                <w:sz w:val="28"/>
                <w:szCs w:val="28"/>
                <w:highlight w:val="none"/>
              </w:rPr>
            </w:pPr>
            <w:r>
              <w:rPr>
                <w:rFonts w:hint="eastAsia" w:ascii="Calibri" w:hAnsi="Calibri" w:eastAsia="仿宋_GB2312" w:cs="仿宋_GB2312"/>
                <w:color w:val="auto"/>
                <w:sz w:val="28"/>
                <w:szCs w:val="28"/>
                <w:highlight w:val="none"/>
              </w:rPr>
              <w:t>技术负责人</w:t>
            </w:r>
          </w:p>
        </w:tc>
        <w:tc>
          <w:tcPr>
            <w:tcW w:w="1418" w:type="dxa"/>
            <w:vAlign w:val="center"/>
          </w:tcPr>
          <w:p w14:paraId="78332919">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134" w:type="dxa"/>
            <w:vAlign w:val="center"/>
          </w:tcPr>
          <w:p w14:paraId="2937EF99">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134" w:type="dxa"/>
            <w:vAlign w:val="center"/>
          </w:tcPr>
          <w:p w14:paraId="2188B311">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4252" w:type="dxa"/>
            <w:vAlign w:val="center"/>
          </w:tcPr>
          <w:p w14:paraId="0FCE08DB">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r w14:paraId="65561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579D7A48">
            <w:pPr>
              <w:keepNext/>
              <w:adjustRightInd w:val="0"/>
              <w:spacing w:line="440" w:lineRule="exact"/>
              <w:ind w:left="63" w:leftChars="30" w:right="63" w:rightChars="30"/>
              <w:jc w:val="center"/>
              <w:rPr>
                <w:rFonts w:ascii="Calibri" w:hAnsi="Calibri" w:eastAsia="仿宋_GB2312"/>
                <w:color w:val="auto"/>
                <w:sz w:val="28"/>
                <w:szCs w:val="28"/>
                <w:highlight w:val="none"/>
              </w:rPr>
            </w:pPr>
            <w:r>
              <w:rPr>
                <w:rFonts w:hint="eastAsia" w:ascii="Calibri" w:hAnsi="Calibri" w:eastAsia="仿宋_GB2312" w:cs="仿宋_GB2312"/>
                <w:color w:val="auto"/>
                <w:sz w:val="28"/>
                <w:szCs w:val="28"/>
                <w:highlight w:val="none"/>
              </w:rPr>
              <w:t>造价管理</w:t>
            </w:r>
          </w:p>
        </w:tc>
        <w:tc>
          <w:tcPr>
            <w:tcW w:w="1418" w:type="dxa"/>
            <w:vAlign w:val="center"/>
          </w:tcPr>
          <w:p w14:paraId="7BBA8CD2">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134" w:type="dxa"/>
            <w:vAlign w:val="center"/>
          </w:tcPr>
          <w:p w14:paraId="583E08B7">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134" w:type="dxa"/>
            <w:vAlign w:val="center"/>
          </w:tcPr>
          <w:p w14:paraId="3B01A6C9">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4252" w:type="dxa"/>
            <w:vAlign w:val="center"/>
          </w:tcPr>
          <w:p w14:paraId="68255C44">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r w14:paraId="06C99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5ABD86B2">
            <w:pPr>
              <w:keepNext/>
              <w:adjustRightInd w:val="0"/>
              <w:spacing w:line="440" w:lineRule="exact"/>
              <w:ind w:left="63" w:leftChars="30" w:right="63" w:rightChars="30"/>
              <w:jc w:val="center"/>
              <w:rPr>
                <w:rFonts w:ascii="Calibri" w:hAnsi="Calibri" w:eastAsia="仿宋_GB2312"/>
                <w:color w:val="auto"/>
                <w:sz w:val="28"/>
                <w:szCs w:val="28"/>
                <w:highlight w:val="none"/>
              </w:rPr>
            </w:pPr>
            <w:r>
              <w:rPr>
                <w:rFonts w:hint="eastAsia" w:ascii="Calibri" w:hAnsi="Calibri" w:eastAsia="仿宋_GB2312" w:cs="仿宋_GB2312"/>
                <w:color w:val="auto"/>
                <w:sz w:val="28"/>
                <w:szCs w:val="28"/>
                <w:highlight w:val="none"/>
              </w:rPr>
              <w:t>质量管理</w:t>
            </w:r>
          </w:p>
        </w:tc>
        <w:tc>
          <w:tcPr>
            <w:tcW w:w="1418" w:type="dxa"/>
            <w:vAlign w:val="center"/>
          </w:tcPr>
          <w:p w14:paraId="3CFCFBB4">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134" w:type="dxa"/>
            <w:vAlign w:val="center"/>
          </w:tcPr>
          <w:p w14:paraId="00DCBB09">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134" w:type="dxa"/>
            <w:vAlign w:val="center"/>
          </w:tcPr>
          <w:p w14:paraId="669078E6">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4252" w:type="dxa"/>
            <w:vAlign w:val="center"/>
          </w:tcPr>
          <w:p w14:paraId="5032BE2C">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r w14:paraId="10FB3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0EFC68B0">
            <w:pPr>
              <w:keepNext/>
              <w:adjustRightInd w:val="0"/>
              <w:spacing w:line="440" w:lineRule="exact"/>
              <w:ind w:left="63" w:leftChars="30" w:right="63" w:rightChars="30"/>
              <w:jc w:val="center"/>
              <w:rPr>
                <w:rFonts w:ascii="Calibri" w:hAnsi="Calibri" w:eastAsia="仿宋_GB2312"/>
                <w:color w:val="auto"/>
                <w:sz w:val="28"/>
                <w:szCs w:val="28"/>
                <w:highlight w:val="none"/>
              </w:rPr>
            </w:pPr>
            <w:r>
              <w:rPr>
                <w:rFonts w:hint="eastAsia" w:ascii="Calibri" w:hAnsi="Calibri" w:eastAsia="仿宋_GB2312" w:cs="仿宋_GB2312"/>
                <w:color w:val="auto"/>
                <w:sz w:val="28"/>
                <w:szCs w:val="28"/>
                <w:highlight w:val="none"/>
              </w:rPr>
              <w:t>材料管理</w:t>
            </w:r>
          </w:p>
        </w:tc>
        <w:tc>
          <w:tcPr>
            <w:tcW w:w="1418" w:type="dxa"/>
            <w:vAlign w:val="center"/>
          </w:tcPr>
          <w:p w14:paraId="3F33DBA5">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134" w:type="dxa"/>
            <w:vAlign w:val="center"/>
          </w:tcPr>
          <w:p w14:paraId="626135E1">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134" w:type="dxa"/>
            <w:vAlign w:val="center"/>
          </w:tcPr>
          <w:p w14:paraId="30FBF3A4">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4252" w:type="dxa"/>
            <w:vAlign w:val="center"/>
          </w:tcPr>
          <w:p w14:paraId="34E4758B">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r w14:paraId="05545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6D9DD746">
            <w:pPr>
              <w:keepNext/>
              <w:adjustRightInd w:val="0"/>
              <w:spacing w:line="440" w:lineRule="exact"/>
              <w:ind w:left="63" w:leftChars="30" w:right="63" w:rightChars="30"/>
              <w:jc w:val="center"/>
              <w:rPr>
                <w:rFonts w:ascii="Calibri" w:hAnsi="Calibri" w:eastAsia="仿宋_GB2312"/>
                <w:color w:val="auto"/>
                <w:sz w:val="28"/>
                <w:szCs w:val="28"/>
                <w:highlight w:val="none"/>
              </w:rPr>
            </w:pPr>
            <w:r>
              <w:rPr>
                <w:rFonts w:hint="eastAsia" w:ascii="Calibri" w:hAnsi="Calibri" w:eastAsia="仿宋_GB2312" w:cs="仿宋_GB2312"/>
                <w:color w:val="auto"/>
                <w:sz w:val="28"/>
                <w:szCs w:val="28"/>
                <w:highlight w:val="none"/>
              </w:rPr>
              <w:t>计划管理</w:t>
            </w:r>
          </w:p>
        </w:tc>
        <w:tc>
          <w:tcPr>
            <w:tcW w:w="1418" w:type="dxa"/>
            <w:vAlign w:val="center"/>
          </w:tcPr>
          <w:p w14:paraId="3CBF5844">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134" w:type="dxa"/>
            <w:vAlign w:val="center"/>
          </w:tcPr>
          <w:p w14:paraId="26EC42A2">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134" w:type="dxa"/>
            <w:vAlign w:val="center"/>
          </w:tcPr>
          <w:p w14:paraId="62D95C6D">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4252" w:type="dxa"/>
            <w:vAlign w:val="center"/>
          </w:tcPr>
          <w:p w14:paraId="4BC12856">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r w14:paraId="7DFD6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220D2E52">
            <w:pPr>
              <w:keepNext/>
              <w:adjustRightInd w:val="0"/>
              <w:spacing w:line="440" w:lineRule="exact"/>
              <w:ind w:left="63" w:leftChars="30" w:right="63" w:rightChars="30"/>
              <w:jc w:val="center"/>
              <w:rPr>
                <w:rFonts w:ascii="Calibri" w:hAnsi="Calibri" w:eastAsia="仿宋_GB2312"/>
                <w:color w:val="auto"/>
                <w:sz w:val="28"/>
                <w:szCs w:val="28"/>
                <w:highlight w:val="none"/>
              </w:rPr>
            </w:pPr>
            <w:r>
              <w:rPr>
                <w:rFonts w:hint="eastAsia" w:ascii="Calibri" w:hAnsi="Calibri" w:eastAsia="仿宋_GB2312" w:cs="仿宋_GB2312"/>
                <w:color w:val="auto"/>
                <w:sz w:val="28"/>
                <w:szCs w:val="28"/>
                <w:highlight w:val="none"/>
              </w:rPr>
              <w:t>安全管理</w:t>
            </w:r>
          </w:p>
        </w:tc>
        <w:tc>
          <w:tcPr>
            <w:tcW w:w="1418" w:type="dxa"/>
            <w:vAlign w:val="center"/>
          </w:tcPr>
          <w:p w14:paraId="66ECB697">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134" w:type="dxa"/>
            <w:vAlign w:val="center"/>
          </w:tcPr>
          <w:p w14:paraId="019499DD">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134" w:type="dxa"/>
            <w:vAlign w:val="center"/>
          </w:tcPr>
          <w:p w14:paraId="79A19D06">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4252" w:type="dxa"/>
            <w:vAlign w:val="center"/>
          </w:tcPr>
          <w:p w14:paraId="59CA1FE6">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r w14:paraId="03A7E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14:paraId="03C73019">
            <w:pPr>
              <w:keepNext/>
              <w:adjustRightInd w:val="0"/>
              <w:spacing w:line="440" w:lineRule="exact"/>
              <w:ind w:left="63" w:leftChars="30" w:right="63" w:rightChars="30"/>
              <w:jc w:val="center"/>
              <w:rPr>
                <w:rFonts w:ascii="Calibri" w:hAnsi="Calibri" w:eastAsia="仿宋_GB2312"/>
                <w:color w:val="auto"/>
                <w:sz w:val="28"/>
                <w:szCs w:val="28"/>
                <w:highlight w:val="none"/>
              </w:rPr>
            </w:pPr>
            <w:r>
              <w:rPr>
                <w:rFonts w:hint="eastAsia" w:ascii="Calibri" w:hAnsi="Calibri" w:eastAsia="仿宋_GB2312" w:cs="仿宋_GB2312"/>
                <w:color w:val="auto"/>
                <w:sz w:val="28"/>
                <w:szCs w:val="28"/>
                <w:highlight w:val="none"/>
              </w:rPr>
              <w:t>其他人员</w:t>
            </w:r>
          </w:p>
        </w:tc>
        <w:tc>
          <w:tcPr>
            <w:tcW w:w="1418" w:type="dxa"/>
            <w:vAlign w:val="center"/>
          </w:tcPr>
          <w:p w14:paraId="38611B9B">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134" w:type="dxa"/>
            <w:vAlign w:val="center"/>
          </w:tcPr>
          <w:p w14:paraId="65C5714E">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134" w:type="dxa"/>
            <w:vAlign w:val="center"/>
          </w:tcPr>
          <w:p w14:paraId="62EF3D9C">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4252" w:type="dxa"/>
            <w:vAlign w:val="center"/>
          </w:tcPr>
          <w:p w14:paraId="19D5049A">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r w14:paraId="466F2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52D99F8B">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418" w:type="dxa"/>
            <w:vAlign w:val="center"/>
          </w:tcPr>
          <w:p w14:paraId="62DEB0DB">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134" w:type="dxa"/>
            <w:vAlign w:val="center"/>
          </w:tcPr>
          <w:p w14:paraId="3D28C951">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134" w:type="dxa"/>
            <w:vAlign w:val="center"/>
          </w:tcPr>
          <w:p w14:paraId="156A85BB">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4252" w:type="dxa"/>
            <w:vAlign w:val="center"/>
          </w:tcPr>
          <w:p w14:paraId="1006F4AE">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r w14:paraId="42384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00B8E5C1">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418" w:type="dxa"/>
            <w:vAlign w:val="center"/>
          </w:tcPr>
          <w:p w14:paraId="521542B9">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134" w:type="dxa"/>
            <w:vAlign w:val="center"/>
          </w:tcPr>
          <w:p w14:paraId="2C608A93">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134" w:type="dxa"/>
            <w:vAlign w:val="center"/>
          </w:tcPr>
          <w:p w14:paraId="0E945C93">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4252" w:type="dxa"/>
            <w:vAlign w:val="center"/>
          </w:tcPr>
          <w:p w14:paraId="0A8E81FB">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r w14:paraId="268E9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15FC7EF5">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418" w:type="dxa"/>
            <w:vAlign w:val="center"/>
          </w:tcPr>
          <w:p w14:paraId="6F3C0631">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134" w:type="dxa"/>
            <w:vAlign w:val="center"/>
          </w:tcPr>
          <w:p w14:paraId="1F4934BB">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134" w:type="dxa"/>
            <w:vAlign w:val="center"/>
          </w:tcPr>
          <w:p w14:paraId="78616031">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4252" w:type="dxa"/>
            <w:vAlign w:val="center"/>
          </w:tcPr>
          <w:p w14:paraId="7A5CEB7C">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r w14:paraId="53959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515827F9">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418" w:type="dxa"/>
            <w:vAlign w:val="center"/>
          </w:tcPr>
          <w:p w14:paraId="538D682D">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134" w:type="dxa"/>
            <w:vAlign w:val="center"/>
          </w:tcPr>
          <w:p w14:paraId="5EB2B31C">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134" w:type="dxa"/>
            <w:vAlign w:val="center"/>
          </w:tcPr>
          <w:p w14:paraId="5CA9E814">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4252" w:type="dxa"/>
            <w:vAlign w:val="center"/>
          </w:tcPr>
          <w:p w14:paraId="0F0E3D18">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r w14:paraId="4F368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2062DC65">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418" w:type="dxa"/>
            <w:vAlign w:val="center"/>
          </w:tcPr>
          <w:p w14:paraId="000433CF">
            <w:pPr>
              <w:keepNext/>
              <w:adjustRightInd w:val="0"/>
              <w:spacing w:line="440" w:lineRule="exact"/>
              <w:ind w:left="63" w:leftChars="30" w:right="63" w:rightChars="30"/>
              <w:jc w:val="center"/>
              <w:rPr>
                <w:rFonts w:ascii="Calibri" w:hAnsi="Calibri" w:eastAsia="仿宋_GB2312"/>
                <w:color w:val="auto"/>
                <w:sz w:val="28"/>
                <w:szCs w:val="28"/>
                <w:highlight w:val="none"/>
              </w:rPr>
            </w:pPr>
          </w:p>
        </w:tc>
        <w:tc>
          <w:tcPr>
            <w:tcW w:w="1134" w:type="dxa"/>
            <w:vAlign w:val="center"/>
          </w:tcPr>
          <w:p w14:paraId="4C3538CA">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134" w:type="dxa"/>
            <w:vAlign w:val="center"/>
          </w:tcPr>
          <w:p w14:paraId="48CECB56">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4252" w:type="dxa"/>
            <w:vAlign w:val="center"/>
          </w:tcPr>
          <w:p w14:paraId="330C03A9">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bl>
    <w:p w14:paraId="7CEC6BE3">
      <w:pPr>
        <w:spacing w:line="440" w:lineRule="exact"/>
        <w:rPr>
          <w:rFonts w:eastAsia="黑体"/>
          <w:color w:val="auto"/>
          <w:sz w:val="30"/>
          <w:szCs w:val="30"/>
          <w:highlight w:val="none"/>
        </w:rPr>
      </w:pPr>
      <w:r>
        <w:rPr>
          <w:rFonts w:eastAsia="仿宋_GB2312"/>
          <w:color w:val="auto"/>
          <w:sz w:val="30"/>
          <w:szCs w:val="30"/>
          <w:highlight w:val="none"/>
        </w:rPr>
        <w:br w:type="page"/>
      </w:r>
      <w:bookmarkStart w:id="1750" w:name="_Toc267261701"/>
      <w:r>
        <w:rPr>
          <w:rFonts w:hint="eastAsia" w:eastAsia="仿宋_GB2312" w:cs="仿宋_GB2312"/>
          <w:color w:val="auto"/>
          <w:sz w:val="30"/>
          <w:szCs w:val="30"/>
          <w:highlight w:val="none"/>
        </w:rPr>
        <w:t xml:space="preserve"> </w:t>
      </w:r>
      <w:bookmarkEnd w:id="1750"/>
      <w:r>
        <w:rPr>
          <w:rFonts w:hint="eastAsia" w:eastAsia="仿宋_GB2312" w:cs="仿宋_GB2312"/>
          <w:color w:val="auto"/>
          <w:sz w:val="30"/>
          <w:szCs w:val="30"/>
          <w:highlight w:val="none"/>
        </w:rPr>
        <w:t>附</w:t>
      </w:r>
      <w:bookmarkStart w:id="1751" w:name="_Toc296346726"/>
      <w:bookmarkStart w:id="1752" w:name="_Toc296503225"/>
      <w:bookmarkStart w:id="1753" w:name="_Toc296347224"/>
      <w:bookmarkStart w:id="1754" w:name="_Toc296891053"/>
      <w:bookmarkStart w:id="1755" w:name="_Toc296891265"/>
      <w:bookmarkStart w:id="1756" w:name="_Toc267261692"/>
      <w:bookmarkStart w:id="1757" w:name="_Toc296944564"/>
      <w:r>
        <w:rPr>
          <w:rFonts w:hint="eastAsia" w:eastAsia="仿宋_GB2312" w:cs="仿宋_GB2312"/>
          <w:color w:val="auto"/>
          <w:sz w:val="30"/>
          <w:szCs w:val="30"/>
          <w:highlight w:val="none"/>
        </w:rPr>
        <w:t>件</w:t>
      </w:r>
      <w:r>
        <w:rPr>
          <w:rFonts w:hint="eastAsia" w:eastAsia="仿宋_GB2312"/>
          <w:color w:val="auto"/>
          <w:sz w:val="30"/>
          <w:szCs w:val="30"/>
          <w:highlight w:val="none"/>
          <w:lang w:val="en-US" w:eastAsia="zh-CN"/>
        </w:rPr>
        <w:t>4</w:t>
      </w:r>
      <w:r>
        <w:rPr>
          <w:rFonts w:hint="eastAsia" w:eastAsia="仿宋_GB2312" w:cs="仿宋_GB2312"/>
          <w:color w:val="auto"/>
          <w:sz w:val="30"/>
          <w:szCs w:val="30"/>
          <w:highlight w:val="none"/>
        </w:rPr>
        <w:t>：</w:t>
      </w:r>
    </w:p>
    <w:bookmarkEnd w:id="1751"/>
    <w:bookmarkEnd w:id="1752"/>
    <w:bookmarkEnd w:id="1753"/>
    <w:bookmarkEnd w:id="1754"/>
    <w:bookmarkEnd w:id="1755"/>
    <w:bookmarkEnd w:id="1756"/>
    <w:bookmarkEnd w:id="1757"/>
    <w:p w14:paraId="38E49D32">
      <w:pPr>
        <w:spacing w:before="120" w:beforeLines="50" w:after="120" w:afterLines="50" w:line="440" w:lineRule="exact"/>
        <w:jc w:val="center"/>
        <w:rPr>
          <w:rFonts w:eastAsia="黑体"/>
          <w:color w:val="auto"/>
          <w:sz w:val="30"/>
          <w:szCs w:val="30"/>
          <w:highlight w:val="none"/>
        </w:rPr>
      </w:pPr>
      <w:r>
        <w:rPr>
          <w:rFonts w:hint="eastAsia" w:eastAsia="黑体" w:cs="黑体"/>
          <w:color w:val="auto"/>
          <w:sz w:val="30"/>
          <w:szCs w:val="30"/>
          <w:highlight w:val="none"/>
        </w:rPr>
        <w:t>承包人用于本工程施工的机械设备表</w:t>
      </w:r>
    </w:p>
    <w:tbl>
      <w:tblPr>
        <w:tblStyle w:val="5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162"/>
        <w:gridCol w:w="1418"/>
        <w:gridCol w:w="850"/>
        <w:gridCol w:w="1058"/>
        <w:gridCol w:w="880"/>
        <w:gridCol w:w="1020"/>
        <w:gridCol w:w="1480"/>
        <w:gridCol w:w="1020"/>
        <w:gridCol w:w="921"/>
      </w:tblGrid>
      <w:tr w14:paraId="2A3F9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62" w:type="dxa"/>
            <w:vAlign w:val="center"/>
          </w:tcPr>
          <w:p w14:paraId="63083E1D">
            <w:pPr>
              <w:keepNext/>
              <w:adjustRightInd w:val="0"/>
              <w:spacing w:line="440" w:lineRule="exact"/>
              <w:ind w:left="63" w:leftChars="30" w:right="63" w:rightChars="30"/>
              <w:jc w:val="center"/>
              <w:rPr>
                <w:rFonts w:ascii="Calibri" w:hAnsi="Calibri" w:eastAsia="仿宋_GB2312"/>
                <w:color w:val="auto"/>
                <w:sz w:val="28"/>
                <w:szCs w:val="28"/>
                <w:highlight w:val="none"/>
              </w:rPr>
            </w:pPr>
            <w:r>
              <w:rPr>
                <w:rFonts w:hint="eastAsia" w:ascii="Calibri" w:hAnsi="Calibri" w:eastAsia="仿宋_GB2312" w:cs="仿宋_GB2312"/>
                <w:color w:val="auto"/>
                <w:sz w:val="28"/>
                <w:szCs w:val="28"/>
                <w:highlight w:val="none"/>
              </w:rPr>
              <w:t>序号</w:t>
            </w:r>
          </w:p>
        </w:tc>
        <w:tc>
          <w:tcPr>
            <w:tcW w:w="1418" w:type="dxa"/>
            <w:vAlign w:val="center"/>
          </w:tcPr>
          <w:p w14:paraId="5BE274EC">
            <w:pPr>
              <w:keepNext/>
              <w:adjustRightInd w:val="0"/>
              <w:spacing w:line="440" w:lineRule="exact"/>
              <w:ind w:left="63" w:leftChars="30" w:right="63" w:rightChars="30"/>
              <w:jc w:val="center"/>
              <w:rPr>
                <w:rFonts w:ascii="Calibri" w:hAnsi="Calibri" w:eastAsia="仿宋_GB2312"/>
                <w:color w:val="auto"/>
                <w:sz w:val="28"/>
                <w:szCs w:val="28"/>
                <w:highlight w:val="none"/>
              </w:rPr>
            </w:pPr>
            <w:r>
              <w:rPr>
                <w:rFonts w:hint="eastAsia" w:ascii="Calibri" w:hAnsi="Calibri" w:eastAsia="仿宋_GB2312" w:cs="仿宋_GB2312"/>
                <w:color w:val="auto"/>
                <w:sz w:val="28"/>
                <w:szCs w:val="28"/>
                <w:highlight w:val="none"/>
              </w:rPr>
              <w:t>机械或设备名称</w:t>
            </w:r>
          </w:p>
        </w:tc>
        <w:tc>
          <w:tcPr>
            <w:tcW w:w="850" w:type="dxa"/>
            <w:vAlign w:val="center"/>
          </w:tcPr>
          <w:p w14:paraId="1CD9FFE1">
            <w:pPr>
              <w:keepNext/>
              <w:adjustRightInd w:val="0"/>
              <w:spacing w:line="440" w:lineRule="exact"/>
              <w:ind w:left="63" w:leftChars="30" w:right="63" w:rightChars="30"/>
              <w:jc w:val="center"/>
              <w:rPr>
                <w:rFonts w:ascii="Calibri" w:hAnsi="Calibri" w:eastAsia="仿宋_GB2312"/>
                <w:color w:val="auto"/>
                <w:sz w:val="28"/>
                <w:szCs w:val="28"/>
                <w:highlight w:val="none"/>
              </w:rPr>
            </w:pPr>
            <w:r>
              <w:rPr>
                <w:rFonts w:hint="eastAsia" w:ascii="Calibri" w:hAnsi="Calibri" w:eastAsia="仿宋_GB2312" w:cs="仿宋_GB2312"/>
                <w:color w:val="auto"/>
                <w:sz w:val="28"/>
                <w:szCs w:val="28"/>
                <w:highlight w:val="none"/>
              </w:rPr>
              <w:t>规格型号</w:t>
            </w:r>
          </w:p>
        </w:tc>
        <w:tc>
          <w:tcPr>
            <w:tcW w:w="1058" w:type="dxa"/>
            <w:vAlign w:val="center"/>
          </w:tcPr>
          <w:p w14:paraId="1507A574">
            <w:pPr>
              <w:keepNext/>
              <w:adjustRightInd w:val="0"/>
              <w:spacing w:line="440" w:lineRule="exact"/>
              <w:ind w:left="63" w:leftChars="30" w:right="63" w:rightChars="30"/>
              <w:jc w:val="center"/>
              <w:rPr>
                <w:rFonts w:ascii="Calibri" w:hAnsi="Calibri" w:eastAsia="仿宋_GB2312"/>
                <w:color w:val="auto"/>
                <w:sz w:val="28"/>
                <w:szCs w:val="28"/>
                <w:highlight w:val="none"/>
              </w:rPr>
            </w:pPr>
            <w:r>
              <w:rPr>
                <w:rFonts w:hint="eastAsia" w:ascii="Calibri" w:hAnsi="Calibri" w:eastAsia="仿宋_GB2312" w:cs="仿宋_GB2312"/>
                <w:color w:val="auto"/>
                <w:sz w:val="28"/>
                <w:szCs w:val="28"/>
                <w:highlight w:val="none"/>
              </w:rPr>
              <w:t>数量</w:t>
            </w:r>
          </w:p>
        </w:tc>
        <w:tc>
          <w:tcPr>
            <w:tcW w:w="880" w:type="dxa"/>
            <w:vAlign w:val="center"/>
          </w:tcPr>
          <w:p w14:paraId="75838C2C">
            <w:pPr>
              <w:keepNext/>
              <w:adjustRightInd w:val="0"/>
              <w:spacing w:line="440" w:lineRule="exact"/>
              <w:ind w:left="63" w:leftChars="30" w:right="63" w:rightChars="30"/>
              <w:jc w:val="center"/>
              <w:rPr>
                <w:rFonts w:ascii="Calibri" w:hAnsi="Calibri" w:eastAsia="仿宋_GB2312"/>
                <w:color w:val="auto"/>
                <w:sz w:val="28"/>
                <w:szCs w:val="28"/>
                <w:highlight w:val="none"/>
              </w:rPr>
            </w:pPr>
            <w:r>
              <w:rPr>
                <w:rFonts w:hint="eastAsia" w:ascii="Calibri" w:hAnsi="Calibri" w:eastAsia="仿宋_GB2312" w:cs="仿宋_GB2312"/>
                <w:color w:val="auto"/>
                <w:sz w:val="28"/>
                <w:szCs w:val="28"/>
                <w:highlight w:val="none"/>
              </w:rPr>
              <w:t>产地</w:t>
            </w:r>
          </w:p>
        </w:tc>
        <w:tc>
          <w:tcPr>
            <w:tcW w:w="1020" w:type="dxa"/>
            <w:vAlign w:val="center"/>
          </w:tcPr>
          <w:p w14:paraId="08040004">
            <w:pPr>
              <w:keepNext/>
              <w:adjustRightInd w:val="0"/>
              <w:spacing w:line="440" w:lineRule="exact"/>
              <w:ind w:left="63" w:leftChars="30" w:right="63" w:rightChars="30"/>
              <w:jc w:val="center"/>
              <w:rPr>
                <w:rFonts w:ascii="Calibri" w:hAnsi="Calibri" w:eastAsia="仿宋_GB2312"/>
                <w:color w:val="auto"/>
                <w:sz w:val="28"/>
                <w:szCs w:val="28"/>
                <w:highlight w:val="none"/>
              </w:rPr>
            </w:pPr>
            <w:r>
              <w:rPr>
                <w:rFonts w:hint="eastAsia" w:ascii="Calibri" w:hAnsi="Calibri" w:eastAsia="仿宋_GB2312" w:cs="仿宋_GB2312"/>
                <w:color w:val="auto"/>
                <w:sz w:val="28"/>
                <w:szCs w:val="28"/>
                <w:highlight w:val="none"/>
              </w:rPr>
              <w:t>制造年份</w:t>
            </w:r>
          </w:p>
        </w:tc>
        <w:tc>
          <w:tcPr>
            <w:tcW w:w="1480" w:type="dxa"/>
            <w:vAlign w:val="center"/>
          </w:tcPr>
          <w:p w14:paraId="7B24E9F0">
            <w:pPr>
              <w:keepNext/>
              <w:adjustRightInd w:val="0"/>
              <w:spacing w:line="440" w:lineRule="exact"/>
              <w:ind w:left="63" w:leftChars="30" w:right="63" w:rightChars="30"/>
              <w:jc w:val="center"/>
              <w:rPr>
                <w:rFonts w:ascii="Calibri" w:hAnsi="Calibri" w:eastAsia="仿宋_GB2312"/>
                <w:color w:val="auto"/>
                <w:sz w:val="28"/>
                <w:szCs w:val="28"/>
                <w:highlight w:val="none"/>
              </w:rPr>
            </w:pPr>
            <w:r>
              <w:rPr>
                <w:rFonts w:hint="eastAsia" w:ascii="Calibri" w:hAnsi="Calibri" w:eastAsia="仿宋_GB2312" w:cs="仿宋_GB2312"/>
                <w:color w:val="auto"/>
                <w:sz w:val="28"/>
                <w:szCs w:val="28"/>
                <w:highlight w:val="none"/>
              </w:rPr>
              <w:t>额定功率（</w:t>
            </w:r>
            <w:r>
              <w:rPr>
                <w:rFonts w:ascii="Calibri" w:hAnsi="Calibri" w:eastAsia="仿宋_GB2312"/>
                <w:color w:val="auto"/>
                <w:sz w:val="28"/>
                <w:szCs w:val="28"/>
                <w:highlight w:val="none"/>
              </w:rPr>
              <w:t>kW</w:t>
            </w:r>
            <w:r>
              <w:rPr>
                <w:rFonts w:hint="eastAsia" w:ascii="Calibri" w:hAnsi="Calibri" w:eastAsia="仿宋_GB2312" w:cs="仿宋_GB2312"/>
                <w:color w:val="auto"/>
                <w:sz w:val="28"/>
                <w:szCs w:val="28"/>
                <w:highlight w:val="none"/>
              </w:rPr>
              <w:t>）</w:t>
            </w:r>
          </w:p>
        </w:tc>
        <w:tc>
          <w:tcPr>
            <w:tcW w:w="1020" w:type="dxa"/>
            <w:vAlign w:val="center"/>
          </w:tcPr>
          <w:p w14:paraId="2A90DEFD">
            <w:pPr>
              <w:keepNext/>
              <w:adjustRightInd w:val="0"/>
              <w:spacing w:line="440" w:lineRule="exact"/>
              <w:ind w:left="63" w:leftChars="30" w:right="63" w:rightChars="30"/>
              <w:jc w:val="center"/>
              <w:rPr>
                <w:rFonts w:ascii="Calibri" w:hAnsi="Calibri" w:eastAsia="仿宋_GB2312"/>
                <w:color w:val="auto"/>
                <w:sz w:val="28"/>
                <w:szCs w:val="28"/>
                <w:highlight w:val="none"/>
              </w:rPr>
            </w:pPr>
            <w:r>
              <w:rPr>
                <w:rFonts w:hint="eastAsia" w:ascii="Calibri" w:hAnsi="Calibri" w:eastAsia="仿宋_GB2312" w:cs="仿宋_GB2312"/>
                <w:color w:val="auto"/>
                <w:sz w:val="28"/>
                <w:szCs w:val="28"/>
                <w:highlight w:val="none"/>
              </w:rPr>
              <w:t>生产能力</w:t>
            </w:r>
          </w:p>
        </w:tc>
        <w:tc>
          <w:tcPr>
            <w:tcW w:w="921" w:type="dxa"/>
            <w:vAlign w:val="center"/>
          </w:tcPr>
          <w:p w14:paraId="62293FFD">
            <w:pPr>
              <w:keepNext/>
              <w:adjustRightInd w:val="0"/>
              <w:spacing w:line="440" w:lineRule="exact"/>
              <w:ind w:left="63" w:leftChars="30" w:right="63" w:rightChars="30"/>
              <w:jc w:val="center"/>
              <w:rPr>
                <w:rFonts w:ascii="Calibri" w:hAnsi="Calibri" w:eastAsia="仿宋_GB2312"/>
                <w:color w:val="auto"/>
                <w:sz w:val="28"/>
                <w:szCs w:val="28"/>
                <w:highlight w:val="none"/>
              </w:rPr>
            </w:pPr>
            <w:r>
              <w:rPr>
                <w:rFonts w:hint="eastAsia" w:ascii="Calibri" w:hAnsi="Calibri" w:eastAsia="仿宋_GB2312" w:cs="仿宋_GB2312"/>
                <w:color w:val="auto"/>
                <w:sz w:val="28"/>
                <w:szCs w:val="28"/>
                <w:highlight w:val="none"/>
              </w:rPr>
              <w:t>备注</w:t>
            </w:r>
          </w:p>
        </w:tc>
      </w:tr>
      <w:tr w14:paraId="5E51D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50F79DD3">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418" w:type="dxa"/>
            <w:vAlign w:val="center"/>
          </w:tcPr>
          <w:p w14:paraId="12A3B3C6">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850" w:type="dxa"/>
            <w:vAlign w:val="center"/>
          </w:tcPr>
          <w:p w14:paraId="77145306">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058" w:type="dxa"/>
            <w:vAlign w:val="center"/>
          </w:tcPr>
          <w:p w14:paraId="334005C1">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880" w:type="dxa"/>
            <w:vAlign w:val="center"/>
          </w:tcPr>
          <w:p w14:paraId="16F3B6F5">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020" w:type="dxa"/>
            <w:vAlign w:val="center"/>
          </w:tcPr>
          <w:p w14:paraId="1A8E489E">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480" w:type="dxa"/>
            <w:vAlign w:val="center"/>
          </w:tcPr>
          <w:p w14:paraId="279FCFE3">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020" w:type="dxa"/>
            <w:vAlign w:val="center"/>
          </w:tcPr>
          <w:p w14:paraId="5DBDF0D2">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921" w:type="dxa"/>
            <w:vAlign w:val="center"/>
          </w:tcPr>
          <w:p w14:paraId="696C0AF2">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r w14:paraId="55CC4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289E11C8">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418" w:type="dxa"/>
            <w:vAlign w:val="center"/>
          </w:tcPr>
          <w:p w14:paraId="2D12335C">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850" w:type="dxa"/>
            <w:vAlign w:val="center"/>
          </w:tcPr>
          <w:p w14:paraId="4AEDDD18">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058" w:type="dxa"/>
            <w:vAlign w:val="center"/>
          </w:tcPr>
          <w:p w14:paraId="0AD64A6D">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880" w:type="dxa"/>
            <w:vAlign w:val="center"/>
          </w:tcPr>
          <w:p w14:paraId="375728F0">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020" w:type="dxa"/>
            <w:vAlign w:val="center"/>
          </w:tcPr>
          <w:p w14:paraId="6EAA5109">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480" w:type="dxa"/>
            <w:vAlign w:val="center"/>
          </w:tcPr>
          <w:p w14:paraId="2646A47C">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020" w:type="dxa"/>
            <w:vAlign w:val="center"/>
          </w:tcPr>
          <w:p w14:paraId="50F19E02">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921" w:type="dxa"/>
            <w:vAlign w:val="center"/>
          </w:tcPr>
          <w:p w14:paraId="1AFD8E6C">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r w14:paraId="74BEF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1DFC45CC">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418" w:type="dxa"/>
            <w:vAlign w:val="center"/>
          </w:tcPr>
          <w:p w14:paraId="7318B204">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850" w:type="dxa"/>
            <w:vAlign w:val="center"/>
          </w:tcPr>
          <w:p w14:paraId="1F38323B">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058" w:type="dxa"/>
            <w:vAlign w:val="center"/>
          </w:tcPr>
          <w:p w14:paraId="068EA1A1">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880" w:type="dxa"/>
            <w:vAlign w:val="center"/>
          </w:tcPr>
          <w:p w14:paraId="2C738A34">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020" w:type="dxa"/>
            <w:vAlign w:val="center"/>
          </w:tcPr>
          <w:p w14:paraId="4E325EEB">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480" w:type="dxa"/>
            <w:vAlign w:val="center"/>
          </w:tcPr>
          <w:p w14:paraId="0C04634F">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020" w:type="dxa"/>
            <w:vAlign w:val="center"/>
          </w:tcPr>
          <w:p w14:paraId="57132190">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921" w:type="dxa"/>
            <w:vAlign w:val="center"/>
          </w:tcPr>
          <w:p w14:paraId="03EAD12C">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r w14:paraId="3F393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65679838">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418" w:type="dxa"/>
            <w:vAlign w:val="center"/>
          </w:tcPr>
          <w:p w14:paraId="7861A5DD">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850" w:type="dxa"/>
            <w:vAlign w:val="center"/>
          </w:tcPr>
          <w:p w14:paraId="1F7307BC">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058" w:type="dxa"/>
            <w:vAlign w:val="center"/>
          </w:tcPr>
          <w:p w14:paraId="0D868E5E">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880" w:type="dxa"/>
            <w:vAlign w:val="center"/>
          </w:tcPr>
          <w:p w14:paraId="4E2DCEB0">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020" w:type="dxa"/>
            <w:vAlign w:val="center"/>
          </w:tcPr>
          <w:p w14:paraId="764EBA7B">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480" w:type="dxa"/>
            <w:vAlign w:val="center"/>
          </w:tcPr>
          <w:p w14:paraId="425CEF76">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020" w:type="dxa"/>
            <w:vAlign w:val="center"/>
          </w:tcPr>
          <w:p w14:paraId="6A4F4B0F">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921" w:type="dxa"/>
            <w:vAlign w:val="center"/>
          </w:tcPr>
          <w:p w14:paraId="395566D0">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r w14:paraId="6BA3B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200730FF">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418" w:type="dxa"/>
            <w:vAlign w:val="center"/>
          </w:tcPr>
          <w:p w14:paraId="72896F03">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850" w:type="dxa"/>
            <w:vAlign w:val="center"/>
          </w:tcPr>
          <w:p w14:paraId="60E689B6">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058" w:type="dxa"/>
            <w:vAlign w:val="center"/>
          </w:tcPr>
          <w:p w14:paraId="550EB539">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880" w:type="dxa"/>
            <w:vAlign w:val="center"/>
          </w:tcPr>
          <w:p w14:paraId="56704FB4">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020" w:type="dxa"/>
            <w:vAlign w:val="center"/>
          </w:tcPr>
          <w:p w14:paraId="3C9F3CB5">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480" w:type="dxa"/>
            <w:vAlign w:val="center"/>
          </w:tcPr>
          <w:p w14:paraId="42D7FB7B">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020" w:type="dxa"/>
            <w:vAlign w:val="center"/>
          </w:tcPr>
          <w:p w14:paraId="0BD48BA4">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921" w:type="dxa"/>
            <w:vAlign w:val="center"/>
          </w:tcPr>
          <w:p w14:paraId="399AF13E">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r w14:paraId="1955D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0431BA5B">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418" w:type="dxa"/>
            <w:vAlign w:val="center"/>
          </w:tcPr>
          <w:p w14:paraId="53E8F0ED">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850" w:type="dxa"/>
            <w:vAlign w:val="center"/>
          </w:tcPr>
          <w:p w14:paraId="7438CCB7">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058" w:type="dxa"/>
            <w:vAlign w:val="center"/>
          </w:tcPr>
          <w:p w14:paraId="51F25941">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880" w:type="dxa"/>
            <w:vAlign w:val="center"/>
          </w:tcPr>
          <w:p w14:paraId="6044B7BE">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020" w:type="dxa"/>
            <w:vAlign w:val="center"/>
          </w:tcPr>
          <w:p w14:paraId="239D86B4">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480" w:type="dxa"/>
            <w:vAlign w:val="center"/>
          </w:tcPr>
          <w:p w14:paraId="0ABFB5BC">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020" w:type="dxa"/>
            <w:vAlign w:val="center"/>
          </w:tcPr>
          <w:p w14:paraId="7D10047A">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921" w:type="dxa"/>
            <w:vAlign w:val="center"/>
          </w:tcPr>
          <w:p w14:paraId="4DB41167">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r w14:paraId="3E439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19DFA026">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418" w:type="dxa"/>
            <w:vAlign w:val="center"/>
          </w:tcPr>
          <w:p w14:paraId="087A392C">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850" w:type="dxa"/>
            <w:vAlign w:val="center"/>
          </w:tcPr>
          <w:p w14:paraId="371D2791">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058" w:type="dxa"/>
            <w:vAlign w:val="center"/>
          </w:tcPr>
          <w:p w14:paraId="36E4BE7F">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880" w:type="dxa"/>
            <w:vAlign w:val="center"/>
          </w:tcPr>
          <w:p w14:paraId="0E9375FA">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020" w:type="dxa"/>
            <w:vAlign w:val="center"/>
          </w:tcPr>
          <w:p w14:paraId="0CAA03C0">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480" w:type="dxa"/>
            <w:vAlign w:val="center"/>
          </w:tcPr>
          <w:p w14:paraId="2EB3FC27">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020" w:type="dxa"/>
            <w:vAlign w:val="center"/>
          </w:tcPr>
          <w:p w14:paraId="5086D9F3">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921" w:type="dxa"/>
            <w:vAlign w:val="center"/>
          </w:tcPr>
          <w:p w14:paraId="2F047318">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r w14:paraId="70C1A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2C192572">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418" w:type="dxa"/>
            <w:vAlign w:val="center"/>
          </w:tcPr>
          <w:p w14:paraId="57A68019">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850" w:type="dxa"/>
            <w:vAlign w:val="center"/>
          </w:tcPr>
          <w:p w14:paraId="20FAC648">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058" w:type="dxa"/>
            <w:vAlign w:val="center"/>
          </w:tcPr>
          <w:p w14:paraId="7DB724BF">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880" w:type="dxa"/>
            <w:vAlign w:val="center"/>
          </w:tcPr>
          <w:p w14:paraId="657E0777">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020" w:type="dxa"/>
            <w:vAlign w:val="center"/>
          </w:tcPr>
          <w:p w14:paraId="0B61936A">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480" w:type="dxa"/>
            <w:vAlign w:val="center"/>
          </w:tcPr>
          <w:p w14:paraId="6DBB1458">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020" w:type="dxa"/>
            <w:vAlign w:val="center"/>
          </w:tcPr>
          <w:p w14:paraId="325A97CD">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921" w:type="dxa"/>
            <w:vAlign w:val="center"/>
          </w:tcPr>
          <w:p w14:paraId="4A3C84B8">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r w14:paraId="4CBFF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2FA13EA5">
            <w:pPr>
              <w:rPr>
                <w:rFonts w:eastAsia="仿宋_GB2312"/>
                <w:color w:val="auto"/>
                <w:sz w:val="30"/>
                <w:szCs w:val="30"/>
                <w:highlight w:val="none"/>
              </w:rPr>
            </w:pPr>
          </w:p>
        </w:tc>
        <w:tc>
          <w:tcPr>
            <w:tcW w:w="1418" w:type="dxa"/>
          </w:tcPr>
          <w:p w14:paraId="77F733CE">
            <w:pPr>
              <w:rPr>
                <w:rFonts w:eastAsia="仿宋_GB2312"/>
                <w:color w:val="auto"/>
                <w:sz w:val="30"/>
                <w:szCs w:val="30"/>
                <w:highlight w:val="none"/>
              </w:rPr>
            </w:pPr>
          </w:p>
        </w:tc>
        <w:tc>
          <w:tcPr>
            <w:tcW w:w="850" w:type="dxa"/>
          </w:tcPr>
          <w:p w14:paraId="15F939DE">
            <w:pPr>
              <w:rPr>
                <w:rFonts w:eastAsia="仿宋_GB2312"/>
                <w:color w:val="auto"/>
                <w:sz w:val="30"/>
                <w:szCs w:val="30"/>
                <w:highlight w:val="none"/>
              </w:rPr>
            </w:pPr>
          </w:p>
        </w:tc>
        <w:tc>
          <w:tcPr>
            <w:tcW w:w="1058" w:type="dxa"/>
          </w:tcPr>
          <w:p w14:paraId="4C55341A">
            <w:pPr>
              <w:rPr>
                <w:rFonts w:eastAsia="仿宋_GB2312"/>
                <w:color w:val="auto"/>
                <w:sz w:val="30"/>
                <w:szCs w:val="30"/>
                <w:highlight w:val="none"/>
              </w:rPr>
            </w:pPr>
          </w:p>
        </w:tc>
        <w:tc>
          <w:tcPr>
            <w:tcW w:w="880" w:type="dxa"/>
          </w:tcPr>
          <w:p w14:paraId="67C10515">
            <w:pPr>
              <w:rPr>
                <w:rFonts w:eastAsia="仿宋_GB2312"/>
                <w:color w:val="auto"/>
                <w:sz w:val="30"/>
                <w:szCs w:val="30"/>
                <w:highlight w:val="none"/>
              </w:rPr>
            </w:pPr>
          </w:p>
        </w:tc>
        <w:tc>
          <w:tcPr>
            <w:tcW w:w="1020" w:type="dxa"/>
          </w:tcPr>
          <w:p w14:paraId="72E6084C">
            <w:pPr>
              <w:rPr>
                <w:rFonts w:eastAsia="仿宋_GB2312"/>
                <w:color w:val="auto"/>
                <w:sz w:val="30"/>
                <w:szCs w:val="30"/>
                <w:highlight w:val="none"/>
              </w:rPr>
            </w:pPr>
          </w:p>
        </w:tc>
        <w:tc>
          <w:tcPr>
            <w:tcW w:w="1480" w:type="dxa"/>
          </w:tcPr>
          <w:p w14:paraId="26B182E0">
            <w:pPr>
              <w:rPr>
                <w:rFonts w:eastAsia="仿宋_GB2312"/>
                <w:color w:val="auto"/>
                <w:sz w:val="30"/>
                <w:szCs w:val="30"/>
                <w:highlight w:val="none"/>
              </w:rPr>
            </w:pPr>
          </w:p>
        </w:tc>
        <w:tc>
          <w:tcPr>
            <w:tcW w:w="1020" w:type="dxa"/>
          </w:tcPr>
          <w:p w14:paraId="4A0387DA">
            <w:pPr>
              <w:rPr>
                <w:rFonts w:eastAsia="仿宋_GB2312"/>
                <w:color w:val="auto"/>
                <w:sz w:val="30"/>
                <w:szCs w:val="30"/>
                <w:highlight w:val="none"/>
              </w:rPr>
            </w:pPr>
          </w:p>
        </w:tc>
        <w:tc>
          <w:tcPr>
            <w:tcW w:w="921" w:type="dxa"/>
          </w:tcPr>
          <w:p w14:paraId="66A17690">
            <w:pPr>
              <w:rPr>
                <w:rFonts w:eastAsia="仿宋_GB2312"/>
                <w:color w:val="auto"/>
                <w:sz w:val="30"/>
                <w:szCs w:val="30"/>
                <w:highlight w:val="none"/>
              </w:rPr>
            </w:pPr>
          </w:p>
        </w:tc>
      </w:tr>
      <w:tr w14:paraId="1A4DB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14:paraId="0AB58D0E">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418" w:type="dxa"/>
            <w:vAlign w:val="center"/>
          </w:tcPr>
          <w:p w14:paraId="0FF23317">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850" w:type="dxa"/>
            <w:vAlign w:val="center"/>
          </w:tcPr>
          <w:p w14:paraId="5E3E1608">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058" w:type="dxa"/>
            <w:vAlign w:val="center"/>
          </w:tcPr>
          <w:p w14:paraId="44BE9087">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880" w:type="dxa"/>
            <w:vAlign w:val="center"/>
          </w:tcPr>
          <w:p w14:paraId="49C746BF">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020" w:type="dxa"/>
            <w:vAlign w:val="center"/>
          </w:tcPr>
          <w:p w14:paraId="0C541BF2">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480" w:type="dxa"/>
            <w:vAlign w:val="center"/>
          </w:tcPr>
          <w:p w14:paraId="0B05F295">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1020" w:type="dxa"/>
            <w:vAlign w:val="center"/>
          </w:tcPr>
          <w:p w14:paraId="009E3121">
            <w:pPr>
              <w:keepNext/>
              <w:adjustRightInd w:val="0"/>
              <w:spacing w:line="440" w:lineRule="exact"/>
              <w:ind w:left="63" w:leftChars="30" w:right="63" w:rightChars="30"/>
              <w:jc w:val="center"/>
              <w:rPr>
                <w:rFonts w:ascii="Calibri" w:hAnsi="Calibri" w:eastAsia="仿宋_GB2312"/>
                <w:color w:val="auto"/>
                <w:sz w:val="30"/>
                <w:szCs w:val="30"/>
                <w:highlight w:val="none"/>
              </w:rPr>
            </w:pPr>
          </w:p>
        </w:tc>
        <w:tc>
          <w:tcPr>
            <w:tcW w:w="921" w:type="dxa"/>
            <w:vAlign w:val="center"/>
          </w:tcPr>
          <w:p w14:paraId="50EF9A67">
            <w:pPr>
              <w:keepNext/>
              <w:adjustRightInd w:val="0"/>
              <w:spacing w:line="440" w:lineRule="exact"/>
              <w:ind w:left="63" w:leftChars="30" w:right="63" w:rightChars="30"/>
              <w:jc w:val="center"/>
              <w:rPr>
                <w:rFonts w:ascii="Calibri" w:hAnsi="Calibri" w:eastAsia="仿宋_GB2312"/>
                <w:color w:val="auto"/>
                <w:sz w:val="30"/>
                <w:szCs w:val="30"/>
                <w:highlight w:val="none"/>
              </w:rPr>
            </w:pPr>
          </w:p>
        </w:tc>
      </w:tr>
      <w:tr w14:paraId="19434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4E3063FA">
            <w:pPr>
              <w:rPr>
                <w:rFonts w:eastAsia="仿宋_GB2312"/>
                <w:color w:val="auto"/>
                <w:sz w:val="30"/>
                <w:szCs w:val="30"/>
                <w:highlight w:val="none"/>
              </w:rPr>
            </w:pPr>
          </w:p>
        </w:tc>
        <w:tc>
          <w:tcPr>
            <w:tcW w:w="1418" w:type="dxa"/>
          </w:tcPr>
          <w:p w14:paraId="59042C2D">
            <w:pPr>
              <w:rPr>
                <w:rFonts w:eastAsia="仿宋_GB2312"/>
                <w:color w:val="auto"/>
                <w:sz w:val="30"/>
                <w:szCs w:val="30"/>
                <w:highlight w:val="none"/>
              </w:rPr>
            </w:pPr>
          </w:p>
        </w:tc>
        <w:tc>
          <w:tcPr>
            <w:tcW w:w="850" w:type="dxa"/>
          </w:tcPr>
          <w:p w14:paraId="0E19C57F">
            <w:pPr>
              <w:rPr>
                <w:rFonts w:eastAsia="仿宋_GB2312"/>
                <w:color w:val="auto"/>
                <w:sz w:val="30"/>
                <w:szCs w:val="30"/>
                <w:highlight w:val="none"/>
              </w:rPr>
            </w:pPr>
          </w:p>
        </w:tc>
        <w:tc>
          <w:tcPr>
            <w:tcW w:w="1058" w:type="dxa"/>
          </w:tcPr>
          <w:p w14:paraId="426078FA">
            <w:pPr>
              <w:rPr>
                <w:rFonts w:eastAsia="仿宋_GB2312"/>
                <w:color w:val="auto"/>
                <w:sz w:val="30"/>
                <w:szCs w:val="30"/>
                <w:highlight w:val="none"/>
              </w:rPr>
            </w:pPr>
          </w:p>
        </w:tc>
        <w:tc>
          <w:tcPr>
            <w:tcW w:w="880" w:type="dxa"/>
          </w:tcPr>
          <w:p w14:paraId="663E8A0B">
            <w:pPr>
              <w:rPr>
                <w:rFonts w:eastAsia="仿宋_GB2312"/>
                <w:color w:val="auto"/>
                <w:sz w:val="30"/>
                <w:szCs w:val="30"/>
                <w:highlight w:val="none"/>
              </w:rPr>
            </w:pPr>
          </w:p>
        </w:tc>
        <w:tc>
          <w:tcPr>
            <w:tcW w:w="1020" w:type="dxa"/>
          </w:tcPr>
          <w:p w14:paraId="1C1A99EF">
            <w:pPr>
              <w:rPr>
                <w:rFonts w:eastAsia="仿宋_GB2312"/>
                <w:color w:val="auto"/>
                <w:sz w:val="30"/>
                <w:szCs w:val="30"/>
                <w:highlight w:val="none"/>
              </w:rPr>
            </w:pPr>
          </w:p>
        </w:tc>
        <w:tc>
          <w:tcPr>
            <w:tcW w:w="1480" w:type="dxa"/>
          </w:tcPr>
          <w:p w14:paraId="497A7194">
            <w:pPr>
              <w:rPr>
                <w:rFonts w:eastAsia="仿宋_GB2312"/>
                <w:color w:val="auto"/>
                <w:sz w:val="30"/>
                <w:szCs w:val="30"/>
                <w:highlight w:val="none"/>
              </w:rPr>
            </w:pPr>
          </w:p>
        </w:tc>
        <w:tc>
          <w:tcPr>
            <w:tcW w:w="1020" w:type="dxa"/>
          </w:tcPr>
          <w:p w14:paraId="163F9BB1">
            <w:pPr>
              <w:rPr>
                <w:rFonts w:eastAsia="仿宋_GB2312"/>
                <w:color w:val="auto"/>
                <w:sz w:val="30"/>
                <w:szCs w:val="30"/>
                <w:highlight w:val="none"/>
              </w:rPr>
            </w:pPr>
          </w:p>
        </w:tc>
        <w:tc>
          <w:tcPr>
            <w:tcW w:w="921" w:type="dxa"/>
          </w:tcPr>
          <w:p w14:paraId="4A8EF6E5">
            <w:pPr>
              <w:rPr>
                <w:rFonts w:eastAsia="仿宋_GB2312"/>
                <w:color w:val="auto"/>
                <w:sz w:val="30"/>
                <w:szCs w:val="30"/>
                <w:highlight w:val="none"/>
              </w:rPr>
            </w:pPr>
          </w:p>
        </w:tc>
      </w:tr>
      <w:tr w14:paraId="185C9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326EA950">
            <w:pPr>
              <w:rPr>
                <w:rFonts w:eastAsia="仿宋_GB2312"/>
                <w:color w:val="auto"/>
                <w:sz w:val="30"/>
                <w:szCs w:val="30"/>
                <w:highlight w:val="none"/>
              </w:rPr>
            </w:pPr>
          </w:p>
        </w:tc>
        <w:tc>
          <w:tcPr>
            <w:tcW w:w="1418" w:type="dxa"/>
          </w:tcPr>
          <w:p w14:paraId="6CA479A7">
            <w:pPr>
              <w:rPr>
                <w:rFonts w:eastAsia="仿宋_GB2312"/>
                <w:color w:val="auto"/>
                <w:sz w:val="30"/>
                <w:szCs w:val="30"/>
                <w:highlight w:val="none"/>
              </w:rPr>
            </w:pPr>
          </w:p>
        </w:tc>
        <w:tc>
          <w:tcPr>
            <w:tcW w:w="850" w:type="dxa"/>
          </w:tcPr>
          <w:p w14:paraId="517AFF6E">
            <w:pPr>
              <w:rPr>
                <w:rFonts w:eastAsia="仿宋_GB2312"/>
                <w:color w:val="auto"/>
                <w:sz w:val="30"/>
                <w:szCs w:val="30"/>
                <w:highlight w:val="none"/>
              </w:rPr>
            </w:pPr>
          </w:p>
        </w:tc>
        <w:tc>
          <w:tcPr>
            <w:tcW w:w="1058" w:type="dxa"/>
          </w:tcPr>
          <w:p w14:paraId="5C18C1F1">
            <w:pPr>
              <w:rPr>
                <w:rFonts w:eastAsia="仿宋_GB2312"/>
                <w:color w:val="auto"/>
                <w:sz w:val="30"/>
                <w:szCs w:val="30"/>
                <w:highlight w:val="none"/>
              </w:rPr>
            </w:pPr>
          </w:p>
        </w:tc>
        <w:tc>
          <w:tcPr>
            <w:tcW w:w="880" w:type="dxa"/>
          </w:tcPr>
          <w:p w14:paraId="4C52195F">
            <w:pPr>
              <w:rPr>
                <w:rFonts w:eastAsia="仿宋_GB2312"/>
                <w:color w:val="auto"/>
                <w:sz w:val="30"/>
                <w:szCs w:val="30"/>
                <w:highlight w:val="none"/>
              </w:rPr>
            </w:pPr>
          </w:p>
        </w:tc>
        <w:tc>
          <w:tcPr>
            <w:tcW w:w="1020" w:type="dxa"/>
          </w:tcPr>
          <w:p w14:paraId="44C5F1A8">
            <w:pPr>
              <w:rPr>
                <w:rFonts w:eastAsia="仿宋_GB2312"/>
                <w:color w:val="auto"/>
                <w:sz w:val="30"/>
                <w:szCs w:val="30"/>
                <w:highlight w:val="none"/>
              </w:rPr>
            </w:pPr>
          </w:p>
        </w:tc>
        <w:tc>
          <w:tcPr>
            <w:tcW w:w="1480" w:type="dxa"/>
          </w:tcPr>
          <w:p w14:paraId="68BF7C47">
            <w:pPr>
              <w:rPr>
                <w:rFonts w:eastAsia="仿宋_GB2312"/>
                <w:color w:val="auto"/>
                <w:sz w:val="30"/>
                <w:szCs w:val="30"/>
                <w:highlight w:val="none"/>
              </w:rPr>
            </w:pPr>
          </w:p>
        </w:tc>
        <w:tc>
          <w:tcPr>
            <w:tcW w:w="1020" w:type="dxa"/>
          </w:tcPr>
          <w:p w14:paraId="5C239646">
            <w:pPr>
              <w:rPr>
                <w:rFonts w:eastAsia="仿宋_GB2312"/>
                <w:color w:val="auto"/>
                <w:sz w:val="30"/>
                <w:szCs w:val="30"/>
                <w:highlight w:val="none"/>
              </w:rPr>
            </w:pPr>
          </w:p>
        </w:tc>
        <w:tc>
          <w:tcPr>
            <w:tcW w:w="921" w:type="dxa"/>
          </w:tcPr>
          <w:p w14:paraId="6E14C562">
            <w:pPr>
              <w:rPr>
                <w:rFonts w:eastAsia="仿宋_GB2312"/>
                <w:color w:val="auto"/>
                <w:sz w:val="30"/>
                <w:szCs w:val="30"/>
                <w:highlight w:val="none"/>
              </w:rPr>
            </w:pPr>
          </w:p>
        </w:tc>
      </w:tr>
      <w:tr w14:paraId="48D25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2FEF97D9">
            <w:pPr>
              <w:rPr>
                <w:rFonts w:eastAsia="仿宋_GB2312"/>
                <w:color w:val="auto"/>
                <w:sz w:val="30"/>
                <w:szCs w:val="30"/>
                <w:highlight w:val="none"/>
              </w:rPr>
            </w:pPr>
          </w:p>
        </w:tc>
        <w:tc>
          <w:tcPr>
            <w:tcW w:w="1418" w:type="dxa"/>
          </w:tcPr>
          <w:p w14:paraId="7D2C488D">
            <w:pPr>
              <w:rPr>
                <w:rFonts w:eastAsia="仿宋_GB2312"/>
                <w:color w:val="auto"/>
                <w:sz w:val="30"/>
                <w:szCs w:val="30"/>
                <w:highlight w:val="none"/>
              </w:rPr>
            </w:pPr>
          </w:p>
        </w:tc>
        <w:tc>
          <w:tcPr>
            <w:tcW w:w="850" w:type="dxa"/>
          </w:tcPr>
          <w:p w14:paraId="2275D0BF">
            <w:pPr>
              <w:rPr>
                <w:rFonts w:eastAsia="仿宋_GB2312"/>
                <w:color w:val="auto"/>
                <w:sz w:val="30"/>
                <w:szCs w:val="30"/>
                <w:highlight w:val="none"/>
              </w:rPr>
            </w:pPr>
          </w:p>
        </w:tc>
        <w:tc>
          <w:tcPr>
            <w:tcW w:w="1058" w:type="dxa"/>
          </w:tcPr>
          <w:p w14:paraId="08D468C4">
            <w:pPr>
              <w:rPr>
                <w:rFonts w:eastAsia="仿宋_GB2312"/>
                <w:color w:val="auto"/>
                <w:sz w:val="30"/>
                <w:szCs w:val="30"/>
                <w:highlight w:val="none"/>
              </w:rPr>
            </w:pPr>
          </w:p>
        </w:tc>
        <w:tc>
          <w:tcPr>
            <w:tcW w:w="880" w:type="dxa"/>
          </w:tcPr>
          <w:p w14:paraId="46ED9D46">
            <w:pPr>
              <w:rPr>
                <w:rFonts w:eastAsia="仿宋_GB2312"/>
                <w:color w:val="auto"/>
                <w:sz w:val="30"/>
                <w:szCs w:val="30"/>
                <w:highlight w:val="none"/>
              </w:rPr>
            </w:pPr>
          </w:p>
        </w:tc>
        <w:tc>
          <w:tcPr>
            <w:tcW w:w="1020" w:type="dxa"/>
          </w:tcPr>
          <w:p w14:paraId="4207B466">
            <w:pPr>
              <w:rPr>
                <w:rFonts w:eastAsia="仿宋_GB2312"/>
                <w:color w:val="auto"/>
                <w:sz w:val="30"/>
                <w:szCs w:val="30"/>
                <w:highlight w:val="none"/>
              </w:rPr>
            </w:pPr>
          </w:p>
        </w:tc>
        <w:tc>
          <w:tcPr>
            <w:tcW w:w="1480" w:type="dxa"/>
          </w:tcPr>
          <w:p w14:paraId="09C9D2ED">
            <w:pPr>
              <w:rPr>
                <w:rFonts w:eastAsia="仿宋_GB2312"/>
                <w:color w:val="auto"/>
                <w:sz w:val="30"/>
                <w:szCs w:val="30"/>
                <w:highlight w:val="none"/>
              </w:rPr>
            </w:pPr>
          </w:p>
        </w:tc>
        <w:tc>
          <w:tcPr>
            <w:tcW w:w="1020" w:type="dxa"/>
          </w:tcPr>
          <w:p w14:paraId="5FEB1688">
            <w:pPr>
              <w:rPr>
                <w:rFonts w:eastAsia="仿宋_GB2312"/>
                <w:color w:val="auto"/>
                <w:sz w:val="30"/>
                <w:szCs w:val="30"/>
                <w:highlight w:val="none"/>
              </w:rPr>
            </w:pPr>
          </w:p>
        </w:tc>
        <w:tc>
          <w:tcPr>
            <w:tcW w:w="921" w:type="dxa"/>
          </w:tcPr>
          <w:p w14:paraId="4911A454">
            <w:pPr>
              <w:rPr>
                <w:rFonts w:eastAsia="仿宋_GB2312"/>
                <w:color w:val="auto"/>
                <w:sz w:val="30"/>
                <w:szCs w:val="30"/>
                <w:highlight w:val="none"/>
              </w:rPr>
            </w:pPr>
          </w:p>
        </w:tc>
      </w:tr>
      <w:tr w14:paraId="4BBA0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379FE613">
            <w:pPr>
              <w:rPr>
                <w:rFonts w:eastAsia="仿宋_GB2312"/>
                <w:color w:val="auto"/>
                <w:sz w:val="30"/>
                <w:szCs w:val="30"/>
                <w:highlight w:val="none"/>
              </w:rPr>
            </w:pPr>
          </w:p>
        </w:tc>
        <w:tc>
          <w:tcPr>
            <w:tcW w:w="1418" w:type="dxa"/>
          </w:tcPr>
          <w:p w14:paraId="2E660D22">
            <w:pPr>
              <w:rPr>
                <w:rFonts w:eastAsia="仿宋_GB2312"/>
                <w:color w:val="auto"/>
                <w:sz w:val="30"/>
                <w:szCs w:val="30"/>
                <w:highlight w:val="none"/>
              </w:rPr>
            </w:pPr>
          </w:p>
        </w:tc>
        <w:tc>
          <w:tcPr>
            <w:tcW w:w="850" w:type="dxa"/>
          </w:tcPr>
          <w:p w14:paraId="4ECDC487">
            <w:pPr>
              <w:rPr>
                <w:rFonts w:eastAsia="仿宋_GB2312"/>
                <w:color w:val="auto"/>
                <w:sz w:val="30"/>
                <w:szCs w:val="30"/>
                <w:highlight w:val="none"/>
              </w:rPr>
            </w:pPr>
          </w:p>
        </w:tc>
        <w:tc>
          <w:tcPr>
            <w:tcW w:w="1058" w:type="dxa"/>
          </w:tcPr>
          <w:p w14:paraId="1B456547">
            <w:pPr>
              <w:rPr>
                <w:rFonts w:eastAsia="仿宋_GB2312"/>
                <w:color w:val="auto"/>
                <w:sz w:val="30"/>
                <w:szCs w:val="30"/>
                <w:highlight w:val="none"/>
              </w:rPr>
            </w:pPr>
          </w:p>
        </w:tc>
        <w:tc>
          <w:tcPr>
            <w:tcW w:w="880" w:type="dxa"/>
          </w:tcPr>
          <w:p w14:paraId="7A73D568">
            <w:pPr>
              <w:rPr>
                <w:rFonts w:eastAsia="仿宋_GB2312"/>
                <w:color w:val="auto"/>
                <w:sz w:val="30"/>
                <w:szCs w:val="30"/>
                <w:highlight w:val="none"/>
              </w:rPr>
            </w:pPr>
          </w:p>
        </w:tc>
        <w:tc>
          <w:tcPr>
            <w:tcW w:w="1020" w:type="dxa"/>
          </w:tcPr>
          <w:p w14:paraId="78826C5E">
            <w:pPr>
              <w:rPr>
                <w:rFonts w:eastAsia="仿宋_GB2312"/>
                <w:color w:val="auto"/>
                <w:sz w:val="30"/>
                <w:szCs w:val="30"/>
                <w:highlight w:val="none"/>
              </w:rPr>
            </w:pPr>
          </w:p>
        </w:tc>
        <w:tc>
          <w:tcPr>
            <w:tcW w:w="1480" w:type="dxa"/>
          </w:tcPr>
          <w:p w14:paraId="2F5D0B71">
            <w:pPr>
              <w:rPr>
                <w:rFonts w:eastAsia="仿宋_GB2312"/>
                <w:color w:val="auto"/>
                <w:sz w:val="30"/>
                <w:szCs w:val="30"/>
                <w:highlight w:val="none"/>
              </w:rPr>
            </w:pPr>
          </w:p>
        </w:tc>
        <w:tc>
          <w:tcPr>
            <w:tcW w:w="1020" w:type="dxa"/>
          </w:tcPr>
          <w:p w14:paraId="1B7D52C1">
            <w:pPr>
              <w:rPr>
                <w:rFonts w:eastAsia="仿宋_GB2312"/>
                <w:color w:val="auto"/>
                <w:sz w:val="30"/>
                <w:szCs w:val="30"/>
                <w:highlight w:val="none"/>
              </w:rPr>
            </w:pPr>
          </w:p>
        </w:tc>
        <w:tc>
          <w:tcPr>
            <w:tcW w:w="921" w:type="dxa"/>
          </w:tcPr>
          <w:p w14:paraId="35FBF8C2">
            <w:pPr>
              <w:rPr>
                <w:rFonts w:eastAsia="仿宋_GB2312"/>
                <w:color w:val="auto"/>
                <w:sz w:val="30"/>
                <w:szCs w:val="30"/>
                <w:highlight w:val="none"/>
              </w:rPr>
            </w:pPr>
          </w:p>
        </w:tc>
      </w:tr>
      <w:tr w14:paraId="6FE12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720C5CA5">
            <w:pPr>
              <w:rPr>
                <w:rFonts w:eastAsia="仿宋_GB2312"/>
                <w:color w:val="auto"/>
                <w:sz w:val="30"/>
                <w:szCs w:val="30"/>
                <w:highlight w:val="none"/>
              </w:rPr>
            </w:pPr>
          </w:p>
        </w:tc>
        <w:tc>
          <w:tcPr>
            <w:tcW w:w="1418" w:type="dxa"/>
          </w:tcPr>
          <w:p w14:paraId="6278C58B">
            <w:pPr>
              <w:rPr>
                <w:rFonts w:eastAsia="仿宋_GB2312"/>
                <w:color w:val="auto"/>
                <w:sz w:val="30"/>
                <w:szCs w:val="30"/>
                <w:highlight w:val="none"/>
              </w:rPr>
            </w:pPr>
          </w:p>
        </w:tc>
        <w:tc>
          <w:tcPr>
            <w:tcW w:w="850" w:type="dxa"/>
          </w:tcPr>
          <w:p w14:paraId="2DD06242">
            <w:pPr>
              <w:rPr>
                <w:rFonts w:eastAsia="仿宋_GB2312"/>
                <w:color w:val="auto"/>
                <w:sz w:val="30"/>
                <w:szCs w:val="30"/>
                <w:highlight w:val="none"/>
              </w:rPr>
            </w:pPr>
          </w:p>
        </w:tc>
        <w:tc>
          <w:tcPr>
            <w:tcW w:w="1058" w:type="dxa"/>
          </w:tcPr>
          <w:p w14:paraId="62F00501">
            <w:pPr>
              <w:rPr>
                <w:rFonts w:eastAsia="仿宋_GB2312"/>
                <w:color w:val="auto"/>
                <w:sz w:val="30"/>
                <w:szCs w:val="30"/>
                <w:highlight w:val="none"/>
              </w:rPr>
            </w:pPr>
          </w:p>
        </w:tc>
        <w:tc>
          <w:tcPr>
            <w:tcW w:w="880" w:type="dxa"/>
          </w:tcPr>
          <w:p w14:paraId="643645CA">
            <w:pPr>
              <w:rPr>
                <w:rFonts w:eastAsia="仿宋_GB2312"/>
                <w:color w:val="auto"/>
                <w:sz w:val="30"/>
                <w:szCs w:val="30"/>
                <w:highlight w:val="none"/>
              </w:rPr>
            </w:pPr>
          </w:p>
        </w:tc>
        <w:tc>
          <w:tcPr>
            <w:tcW w:w="1020" w:type="dxa"/>
          </w:tcPr>
          <w:p w14:paraId="4B2AD048">
            <w:pPr>
              <w:rPr>
                <w:rFonts w:eastAsia="仿宋_GB2312"/>
                <w:color w:val="auto"/>
                <w:sz w:val="30"/>
                <w:szCs w:val="30"/>
                <w:highlight w:val="none"/>
              </w:rPr>
            </w:pPr>
          </w:p>
        </w:tc>
        <w:tc>
          <w:tcPr>
            <w:tcW w:w="1480" w:type="dxa"/>
          </w:tcPr>
          <w:p w14:paraId="62C36E78">
            <w:pPr>
              <w:rPr>
                <w:rFonts w:eastAsia="仿宋_GB2312"/>
                <w:color w:val="auto"/>
                <w:sz w:val="30"/>
                <w:szCs w:val="30"/>
                <w:highlight w:val="none"/>
              </w:rPr>
            </w:pPr>
          </w:p>
        </w:tc>
        <w:tc>
          <w:tcPr>
            <w:tcW w:w="1020" w:type="dxa"/>
          </w:tcPr>
          <w:p w14:paraId="41B021F1">
            <w:pPr>
              <w:rPr>
                <w:rFonts w:eastAsia="仿宋_GB2312"/>
                <w:color w:val="auto"/>
                <w:sz w:val="30"/>
                <w:szCs w:val="30"/>
                <w:highlight w:val="none"/>
              </w:rPr>
            </w:pPr>
          </w:p>
        </w:tc>
        <w:tc>
          <w:tcPr>
            <w:tcW w:w="921" w:type="dxa"/>
          </w:tcPr>
          <w:p w14:paraId="398C60F1">
            <w:pPr>
              <w:rPr>
                <w:rFonts w:eastAsia="仿宋_GB2312"/>
                <w:color w:val="auto"/>
                <w:sz w:val="30"/>
                <w:szCs w:val="30"/>
                <w:highlight w:val="none"/>
              </w:rPr>
            </w:pPr>
          </w:p>
        </w:tc>
      </w:tr>
      <w:tr w14:paraId="70174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0EBA7D97">
            <w:pPr>
              <w:rPr>
                <w:rFonts w:eastAsia="仿宋_GB2312"/>
                <w:color w:val="auto"/>
                <w:sz w:val="30"/>
                <w:szCs w:val="30"/>
                <w:highlight w:val="none"/>
              </w:rPr>
            </w:pPr>
          </w:p>
        </w:tc>
        <w:tc>
          <w:tcPr>
            <w:tcW w:w="1418" w:type="dxa"/>
          </w:tcPr>
          <w:p w14:paraId="30CDE995">
            <w:pPr>
              <w:rPr>
                <w:rFonts w:eastAsia="仿宋_GB2312"/>
                <w:color w:val="auto"/>
                <w:sz w:val="30"/>
                <w:szCs w:val="30"/>
                <w:highlight w:val="none"/>
              </w:rPr>
            </w:pPr>
          </w:p>
        </w:tc>
        <w:tc>
          <w:tcPr>
            <w:tcW w:w="850" w:type="dxa"/>
          </w:tcPr>
          <w:p w14:paraId="32D53C06">
            <w:pPr>
              <w:rPr>
                <w:rFonts w:eastAsia="仿宋_GB2312"/>
                <w:color w:val="auto"/>
                <w:sz w:val="30"/>
                <w:szCs w:val="30"/>
                <w:highlight w:val="none"/>
              </w:rPr>
            </w:pPr>
          </w:p>
        </w:tc>
        <w:tc>
          <w:tcPr>
            <w:tcW w:w="1058" w:type="dxa"/>
          </w:tcPr>
          <w:p w14:paraId="31758DAF">
            <w:pPr>
              <w:rPr>
                <w:rFonts w:eastAsia="仿宋_GB2312"/>
                <w:color w:val="auto"/>
                <w:sz w:val="30"/>
                <w:szCs w:val="30"/>
                <w:highlight w:val="none"/>
              </w:rPr>
            </w:pPr>
          </w:p>
        </w:tc>
        <w:tc>
          <w:tcPr>
            <w:tcW w:w="880" w:type="dxa"/>
          </w:tcPr>
          <w:p w14:paraId="4EC56876">
            <w:pPr>
              <w:rPr>
                <w:rFonts w:eastAsia="仿宋_GB2312"/>
                <w:color w:val="auto"/>
                <w:sz w:val="30"/>
                <w:szCs w:val="30"/>
                <w:highlight w:val="none"/>
              </w:rPr>
            </w:pPr>
          </w:p>
        </w:tc>
        <w:tc>
          <w:tcPr>
            <w:tcW w:w="1020" w:type="dxa"/>
          </w:tcPr>
          <w:p w14:paraId="683D71DB">
            <w:pPr>
              <w:rPr>
                <w:rFonts w:eastAsia="仿宋_GB2312"/>
                <w:color w:val="auto"/>
                <w:sz w:val="30"/>
                <w:szCs w:val="30"/>
                <w:highlight w:val="none"/>
              </w:rPr>
            </w:pPr>
          </w:p>
        </w:tc>
        <w:tc>
          <w:tcPr>
            <w:tcW w:w="1480" w:type="dxa"/>
          </w:tcPr>
          <w:p w14:paraId="4B28FFC5">
            <w:pPr>
              <w:rPr>
                <w:rFonts w:eastAsia="仿宋_GB2312"/>
                <w:color w:val="auto"/>
                <w:sz w:val="30"/>
                <w:szCs w:val="30"/>
                <w:highlight w:val="none"/>
              </w:rPr>
            </w:pPr>
          </w:p>
        </w:tc>
        <w:tc>
          <w:tcPr>
            <w:tcW w:w="1020" w:type="dxa"/>
          </w:tcPr>
          <w:p w14:paraId="17EFB78C">
            <w:pPr>
              <w:rPr>
                <w:rFonts w:eastAsia="仿宋_GB2312"/>
                <w:color w:val="auto"/>
                <w:sz w:val="30"/>
                <w:szCs w:val="30"/>
                <w:highlight w:val="none"/>
              </w:rPr>
            </w:pPr>
          </w:p>
        </w:tc>
        <w:tc>
          <w:tcPr>
            <w:tcW w:w="921" w:type="dxa"/>
          </w:tcPr>
          <w:p w14:paraId="5C806B95">
            <w:pPr>
              <w:rPr>
                <w:rFonts w:eastAsia="仿宋_GB2312"/>
                <w:color w:val="auto"/>
                <w:sz w:val="30"/>
                <w:szCs w:val="30"/>
                <w:highlight w:val="none"/>
              </w:rPr>
            </w:pPr>
          </w:p>
        </w:tc>
      </w:tr>
      <w:tr w14:paraId="5EAA7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03CB805B">
            <w:pPr>
              <w:rPr>
                <w:rFonts w:eastAsia="仿宋_GB2312"/>
                <w:color w:val="auto"/>
                <w:sz w:val="30"/>
                <w:szCs w:val="30"/>
                <w:highlight w:val="none"/>
              </w:rPr>
            </w:pPr>
          </w:p>
        </w:tc>
        <w:tc>
          <w:tcPr>
            <w:tcW w:w="1418" w:type="dxa"/>
          </w:tcPr>
          <w:p w14:paraId="37429A0E">
            <w:pPr>
              <w:rPr>
                <w:rFonts w:eastAsia="仿宋_GB2312"/>
                <w:color w:val="auto"/>
                <w:sz w:val="30"/>
                <w:szCs w:val="30"/>
                <w:highlight w:val="none"/>
              </w:rPr>
            </w:pPr>
          </w:p>
        </w:tc>
        <w:tc>
          <w:tcPr>
            <w:tcW w:w="850" w:type="dxa"/>
          </w:tcPr>
          <w:p w14:paraId="77D811DA">
            <w:pPr>
              <w:rPr>
                <w:rFonts w:eastAsia="仿宋_GB2312"/>
                <w:color w:val="auto"/>
                <w:sz w:val="30"/>
                <w:szCs w:val="30"/>
                <w:highlight w:val="none"/>
              </w:rPr>
            </w:pPr>
          </w:p>
        </w:tc>
        <w:tc>
          <w:tcPr>
            <w:tcW w:w="1058" w:type="dxa"/>
          </w:tcPr>
          <w:p w14:paraId="55CDAF6C">
            <w:pPr>
              <w:rPr>
                <w:rFonts w:eastAsia="仿宋_GB2312"/>
                <w:color w:val="auto"/>
                <w:sz w:val="30"/>
                <w:szCs w:val="30"/>
                <w:highlight w:val="none"/>
              </w:rPr>
            </w:pPr>
          </w:p>
        </w:tc>
        <w:tc>
          <w:tcPr>
            <w:tcW w:w="880" w:type="dxa"/>
          </w:tcPr>
          <w:p w14:paraId="2D4997A2">
            <w:pPr>
              <w:rPr>
                <w:rFonts w:eastAsia="仿宋_GB2312"/>
                <w:color w:val="auto"/>
                <w:sz w:val="30"/>
                <w:szCs w:val="30"/>
                <w:highlight w:val="none"/>
              </w:rPr>
            </w:pPr>
          </w:p>
        </w:tc>
        <w:tc>
          <w:tcPr>
            <w:tcW w:w="1020" w:type="dxa"/>
          </w:tcPr>
          <w:p w14:paraId="1706CC04">
            <w:pPr>
              <w:rPr>
                <w:rFonts w:eastAsia="仿宋_GB2312"/>
                <w:color w:val="auto"/>
                <w:sz w:val="30"/>
                <w:szCs w:val="30"/>
                <w:highlight w:val="none"/>
              </w:rPr>
            </w:pPr>
          </w:p>
        </w:tc>
        <w:tc>
          <w:tcPr>
            <w:tcW w:w="1480" w:type="dxa"/>
          </w:tcPr>
          <w:p w14:paraId="2F784E58">
            <w:pPr>
              <w:rPr>
                <w:rFonts w:eastAsia="仿宋_GB2312"/>
                <w:color w:val="auto"/>
                <w:sz w:val="30"/>
                <w:szCs w:val="30"/>
                <w:highlight w:val="none"/>
              </w:rPr>
            </w:pPr>
          </w:p>
        </w:tc>
        <w:tc>
          <w:tcPr>
            <w:tcW w:w="1020" w:type="dxa"/>
          </w:tcPr>
          <w:p w14:paraId="7AC987D7">
            <w:pPr>
              <w:rPr>
                <w:rFonts w:eastAsia="仿宋_GB2312"/>
                <w:color w:val="auto"/>
                <w:sz w:val="30"/>
                <w:szCs w:val="30"/>
                <w:highlight w:val="none"/>
              </w:rPr>
            </w:pPr>
          </w:p>
        </w:tc>
        <w:tc>
          <w:tcPr>
            <w:tcW w:w="921" w:type="dxa"/>
          </w:tcPr>
          <w:p w14:paraId="46C6E448">
            <w:pPr>
              <w:rPr>
                <w:rFonts w:eastAsia="仿宋_GB2312"/>
                <w:color w:val="auto"/>
                <w:sz w:val="30"/>
                <w:szCs w:val="30"/>
                <w:highlight w:val="none"/>
              </w:rPr>
            </w:pPr>
          </w:p>
        </w:tc>
      </w:tr>
      <w:tr w14:paraId="6BAA5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0AC6D0DC">
            <w:pPr>
              <w:rPr>
                <w:rFonts w:eastAsia="仿宋_GB2312"/>
                <w:color w:val="auto"/>
                <w:sz w:val="30"/>
                <w:szCs w:val="30"/>
                <w:highlight w:val="none"/>
              </w:rPr>
            </w:pPr>
          </w:p>
        </w:tc>
        <w:tc>
          <w:tcPr>
            <w:tcW w:w="1418" w:type="dxa"/>
          </w:tcPr>
          <w:p w14:paraId="4B60F44B">
            <w:pPr>
              <w:rPr>
                <w:rFonts w:eastAsia="仿宋_GB2312"/>
                <w:color w:val="auto"/>
                <w:sz w:val="30"/>
                <w:szCs w:val="30"/>
                <w:highlight w:val="none"/>
              </w:rPr>
            </w:pPr>
          </w:p>
        </w:tc>
        <w:tc>
          <w:tcPr>
            <w:tcW w:w="850" w:type="dxa"/>
          </w:tcPr>
          <w:p w14:paraId="40DC8159">
            <w:pPr>
              <w:rPr>
                <w:rFonts w:eastAsia="仿宋_GB2312"/>
                <w:color w:val="auto"/>
                <w:sz w:val="30"/>
                <w:szCs w:val="30"/>
                <w:highlight w:val="none"/>
              </w:rPr>
            </w:pPr>
          </w:p>
        </w:tc>
        <w:tc>
          <w:tcPr>
            <w:tcW w:w="1058" w:type="dxa"/>
          </w:tcPr>
          <w:p w14:paraId="2C68CA3C">
            <w:pPr>
              <w:rPr>
                <w:rFonts w:eastAsia="仿宋_GB2312"/>
                <w:color w:val="auto"/>
                <w:sz w:val="30"/>
                <w:szCs w:val="30"/>
                <w:highlight w:val="none"/>
              </w:rPr>
            </w:pPr>
          </w:p>
        </w:tc>
        <w:tc>
          <w:tcPr>
            <w:tcW w:w="880" w:type="dxa"/>
          </w:tcPr>
          <w:p w14:paraId="12EBF89A">
            <w:pPr>
              <w:rPr>
                <w:rFonts w:eastAsia="仿宋_GB2312"/>
                <w:color w:val="auto"/>
                <w:sz w:val="30"/>
                <w:szCs w:val="30"/>
                <w:highlight w:val="none"/>
              </w:rPr>
            </w:pPr>
          </w:p>
        </w:tc>
        <w:tc>
          <w:tcPr>
            <w:tcW w:w="1020" w:type="dxa"/>
          </w:tcPr>
          <w:p w14:paraId="7EA9CE1F">
            <w:pPr>
              <w:rPr>
                <w:rFonts w:eastAsia="仿宋_GB2312"/>
                <w:color w:val="auto"/>
                <w:sz w:val="30"/>
                <w:szCs w:val="30"/>
                <w:highlight w:val="none"/>
              </w:rPr>
            </w:pPr>
          </w:p>
        </w:tc>
        <w:tc>
          <w:tcPr>
            <w:tcW w:w="1480" w:type="dxa"/>
          </w:tcPr>
          <w:p w14:paraId="6AC03092">
            <w:pPr>
              <w:rPr>
                <w:rFonts w:eastAsia="仿宋_GB2312"/>
                <w:color w:val="auto"/>
                <w:sz w:val="30"/>
                <w:szCs w:val="30"/>
                <w:highlight w:val="none"/>
              </w:rPr>
            </w:pPr>
          </w:p>
        </w:tc>
        <w:tc>
          <w:tcPr>
            <w:tcW w:w="1020" w:type="dxa"/>
          </w:tcPr>
          <w:p w14:paraId="65DDB384">
            <w:pPr>
              <w:rPr>
                <w:rFonts w:eastAsia="仿宋_GB2312"/>
                <w:color w:val="auto"/>
                <w:sz w:val="30"/>
                <w:szCs w:val="30"/>
                <w:highlight w:val="none"/>
              </w:rPr>
            </w:pPr>
          </w:p>
        </w:tc>
        <w:tc>
          <w:tcPr>
            <w:tcW w:w="921" w:type="dxa"/>
          </w:tcPr>
          <w:p w14:paraId="5674FD72">
            <w:pPr>
              <w:rPr>
                <w:rFonts w:eastAsia="仿宋_GB2312"/>
                <w:color w:val="auto"/>
                <w:sz w:val="30"/>
                <w:szCs w:val="30"/>
                <w:highlight w:val="none"/>
              </w:rPr>
            </w:pPr>
          </w:p>
        </w:tc>
      </w:tr>
      <w:tr w14:paraId="77338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Pr>
          <w:p w14:paraId="26A7F725">
            <w:pPr>
              <w:rPr>
                <w:rFonts w:eastAsia="仿宋_GB2312"/>
                <w:color w:val="auto"/>
                <w:sz w:val="30"/>
                <w:szCs w:val="30"/>
                <w:highlight w:val="none"/>
              </w:rPr>
            </w:pPr>
          </w:p>
        </w:tc>
        <w:tc>
          <w:tcPr>
            <w:tcW w:w="1418" w:type="dxa"/>
          </w:tcPr>
          <w:p w14:paraId="7B127F06">
            <w:pPr>
              <w:rPr>
                <w:rFonts w:eastAsia="仿宋_GB2312"/>
                <w:color w:val="auto"/>
                <w:sz w:val="30"/>
                <w:szCs w:val="30"/>
                <w:highlight w:val="none"/>
              </w:rPr>
            </w:pPr>
          </w:p>
        </w:tc>
        <w:tc>
          <w:tcPr>
            <w:tcW w:w="850" w:type="dxa"/>
          </w:tcPr>
          <w:p w14:paraId="0525B435">
            <w:pPr>
              <w:rPr>
                <w:rFonts w:eastAsia="仿宋_GB2312"/>
                <w:color w:val="auto"/>
                <w:sz w:val="30"/>
                <w:szCs w:val="30"/>
                <w:highlight w:val="none"/>
              </w:rPr>
            </w:pPr>
          </w:p>
        </w:tc>
        <w:tc>
          <w:tcPr>
            <w:tcW w:w="1058" w:type="dxa"/>
          </w:tcPr>
          <w:p w14:paraId="4E767888">
            <w:pPr>
              <w:rPr>
                <w:rFonts w:eastAsia="仿宋_GB2312"/>
                <w:color w:val="auto"/>
                <w:sz w:val="30"/>
                <w:szCs w:val="30"/>
                <w:highlight w:val="none"/>
              </w:rPr>
            </w:pPr>
          </w:p>
        </w:tc>
        <w:tc>
          <w:tcPr>
            <w:tcW w:w="880" w:type="dxa"/>
          </w:tcPr>
          <w:p w14:paraId="1E0D12FD">
            <w:pPr>
              <w:rPr>
                <w:rFonts w:eastAsia="仿宋_GB2312"/>
                <w:color w:val="auto"/>
                <w:sz w:val="30"/>
                <w:szCs w:val="30"/>
                <w:highlight w:val="none"/>
              </w:rPr>
            </w:pPr>
          </w:p>
        </w:tc>
        <w:tc>
          <w:tcPr>
            <w:tcW w:w="1020" w:type="dxa"/>
          </w:tcPr>
          <w:p w14:paraId="4A7BB26B">
            <w:pPr>
              <w:rPr>
                <w:rFonts w:eastAsia="仿宋_GB2312"/>
                <w:color w:val="auto"/>
                <w:sz w:val="30"/>
                <w:szCs w:val="30"/>
                <w:highlight w:val="none"/>
              </w:rPr>
            </w:pPr>
          </w:p>
        </w:tc>
        <w:tc>
          <w:tcPr>
            <w:tcW w:w="1480" w:type="dxa"/>
          </w:tcPr>
          <w:p w14:paraId="36162184">
            <w:pPr>
              <w:rPr>
                <w:rFonts w:eastAsia="仿宋_GB2312"/>
                <w:color w:val="auto"/>
                <w:sz w:val="30"/>
                <w:szCs w:val="30"/>
                <w:highlight w:val="none"/>
              </w:rPr>
            </w:pPr>
          </w:p>
        </w:tc>
        <w:tc>
          <w:tcPr>
            <w:tcW w:w="1020" w:type="dxa"/>
          </w:tcPr>
          <w:p w14:paraId="71F234A8">
            <w:pPr>
              <w:rPr>
                <w:rFonts w:eastAsia="仿宋_GB2312"/>
                <w:color w:val="auto"/>
                <w:sz w:val="30"/>
                <w:szCs w:val="30"/>
                <w:highlight w:val="none"/>
              </w:rPr>
            </w:pPr>
          </w:p>
        </w:tc>
        <w:tc>
          <w:tcPr>
            <w:tcW w:w="921" w:type="dxa"/>
          </w:tcPr>
          <w:p w14:paraId="71A8E270">
            <w:pPr>
              <w:rPr>
                <w:rFonts w:eastAsia="仿宋_GB2312"/>
                <w:color w:val="auto"/>
                <w:sz w:val="30"/>
                <w:szCs w:val="30"/>
                <w:highlight w:val="none"/>
              </w:rPr>
            </w:pPr>
          </w:p>
        </w:tc>
      </w:tr>
    </w:tbl>
    <w:p w14:paraId="3A947918">
      <w:pPr>
        <w:spacing w:line="360" w:lineRule="auto"/>
        <w:rPr>
          <w:rFonts w:eastAsia="仿宋_GB2312" w:cs="仿宋_GB2312"/>
          <w:color w:val="auto"/>
          <w:sz w:val="30"/>
          <w:szCs w:val="30"/>
          <w:highlight w:val="none"/>
        </w:rPr>
      </w:pPr>
    </w:p>
    <w:p w14:paraId="0E412B85">
      <w:pPr>
        <w:spacing w:line="360" w:lineRule="auto"/>
        <w:rPr>
          <w:rFonts w:eastAsia="仿宋_GB2312" w:cs="仿宋_GB2312"/>
          <w:color w:val="auto"/>
          <w:sz w:val="30"/>
          <w:szCs w:val="30"/>
          <w:highlight w:val="none"/>
        </w:rPr>
      </w:pPr>
    </w:p>
    <w:p w14:paraId="78B81C96">
      <w:pPr>
        <w:spacing w:line="360" w:lineRule="auto"/>
        <w:rPr>
          <w:rFonts w:eastAsia="黑体"/>
          <w:color w:val="auto"/>
          <w:sz w:val="30"/>
          <w:szCs w:val="30"/>
          <w:highlight w:val="none"/>
        </w:rPr>
      </w:pPr>
      <w:r>
        <w:rPr>
          <w:rFonts w:hint="eastAsia" w:eastAsia="仿宋_GB2312" w:cs="仿宋_GB2312"/>
          <w:color w:val="auto"/>
          <w:sz w:val="30"/>
          <w:szCs w:val="30"/>
          <w:highlight w:val="none"/>
        </w:rPr>
        <w:t>附件</w:t>
      </w:r>
      <w:r>
        <w:rPr>
          <w:rFonts w:hint="eastAsia" w:eastAsia="仿宋_GB2312"/>
          <w:color w:val="auto"/>
          <w:sz w:val="30"/>
          <w:szCs w:val="30"/>
          <w:highlight w:val="none"/>
          <w:lang w:val="en-US" w:eastAsia="zh-CN"/>
        </w:rPr>
        <w:t>5</w:t>
      </w:r>
      <w:r>
        <w:rPr>
          <w:rFonts w:hint="eastAsia" w:eastAsia="仿宋_GB2312" w:cs="仿宋_GB2312"/>
          <w:color w:val="auto"/>
          <w:sz w:val="30"/>
          <w:szCs w:val="30"/>
          <w:highlight w:val="none"/>
        </w:rPr>
        <w:t>：</w:t>
      </w:r>
    </w:p>
    <w:p w14:paraId="0B57891F">
      <w:pPr>
        <w:spacing w:before="120" w:beforeLines="50" w:after="120" w:afterLines="50" w:line="440" w:lineRule="exact"/>
        <w:jc w:val="center"/>
        <w:rPr>
          <w:rFonts w:eastAsia="黑体"/>
          <w:color w:val="auto"/>
          <w:sz w:val="30"/>
          <w:szCs w:val="30"/>
          <w:highlight w:val="none"/>
        </w:rPr>
      </w:pPr>
      <w:r>
        <w:rPr>
          <w:rFonts w:hint="eastAsia" w:eastAsia="黑体" w:cs="黑体"/>
          <w:color w:val="auto"/>
          <w:sz w:val="30"/>
          <w:szCs w:val="30"/>
          <w:highlight w:val="none"/>
        </w:rPr>
        <w:t>预付款担保</w:t>
      </w:r>
    </w:p>
    <w:p w14:paraId="29956EA9">
      <w:pPr>
        <w:spacing w:line="360" w:lineRule="auto"/>
        <w:rPr>
          <w:color w:val="auto"/>
          <w:szCs w:val="21"/>
          <w:highlight w:val="none"/>
        </w:rPr>
      </w:pPr>
      <w:r>
        <w:rPr>
          <w:rFonts w:hint="eastAsia" w:hAnsi="宋体" w:cs="宋体"/>
          <w:color w:val="auto"/>
          <w:szCs w:val="21"/>
          <w:highlight w:val="none"/>
        </w:rPr>
        <w:t>（发包人名称）：</w:t>
      </w:r>
    </w:p>
    <w:p w14:paraId="0CFA49E9">
      <w:pPr>
        <w:spacing w:line="360" w:lineRule="auto"/>
        <w:ind w:firstLine="420" w:firstLineChars="200"/>
        <w:rPr>
          <w:color w:val="auto"/>
          <w:szCs w:val="21"/>
          <w:highlight w:val="none"/>
        </w:rPr>
      </w:pPr>
      <w:r>
        <w:rPr>
          <w:rFonts w:hint="eastAsia" w:hAnsi="宋体" w:cs="宋体"/>
          <w:color w:val="auto"/>
          <w:szCs w:val="21"/>
          <w:highlight w:val="none"/>
        </w:rPr>
        <w:t>根据（承包人名称）（以下称</w:t>
      </w:r>
      <w:r>
        <w:rPr>
          <w:color w:val="auto"/>
          <w:szCs w:val="21"/>
          <w:highlight w:val="none"/>
        </w:rPr>
        <w:t>“</w:t>
      </w:r>
      <w:r>
        <w:rPr>
          <w:rFonts w:hint="eastAsia" w:hAnsi="宋体" w:cs="宋体"/>
          <w:color w:val="auto"/>
          <w:szCs w:val="21"/>
          <w:highlight w:val="none"/>
        </w:rPr>
        <w:t>承包人</w:t>
      </w:r>
      <w:r>
        <w:rPr>
          <w:color w:val="auto"/>
          <w:szCs w:val="21"/>
          <w:highlight w:val="none"/>
        </w:rPr>
        <w:t>”</w:t>
      </w:r>
      <w:r>
        <w:rPr>
          <w:rFonts w:hint="eastAsia" w:hAnsi="宋体" w:cs="宋体"/>
          <w:color w:val="auto"/>
          <w:szCs w:val="21"/>
          <w:highlight w:val="none"/>
        </w:rPr>
        <w:t>）与（发包人名称）（以下简称</w:t>
      </w:r>
      <w:r>
        <w:rPr>
          <w:color w:val="auto"/>
          <w:szCs w:val="21"/>
          <w:highlight w:val="none"/>
        </w:rPr>
        <w:t>“</w:t>
      </w:r>
      <w:r>
        <w:rPr>
          <w:rFonts w:hint="eastAsia" w:hAnsi="宋体" w:cs="宋体"/>
          <w:color w:val="auto"/>
          <w:szCs w:val="21"/>
          <w:highlight w:val="none"/>
        </w:rPr>
        <w:t>发包人</w:t>
      </w:r>
      <w:r>
        <w:rPr>
          <w:color w:val="auto"/>
          <w:szCs w:val="21"/>
          <w:highlight w:val="none"/>
        </w:rPr>
        <w:t>”</w:t>
      </w:r>
      <w:r>
        <w:rPr>
          <w:rFonts w:hint="eastAsia" w:hAnsi="宋体" w:cs="宋体"/>
          <w:color w:val="auto"/>
          <w:szCs w:val="21"/>
          <w:highlight w:val="none"/>
        </w:rPr>
        <w:t>）于年月日签订的（工程名称）《建设工程施工合同》，承包人按约定的金额向你方提交一份预付款担保，即有权得到你方支付相等金额的预付款。我方愿意就你方提供给承包人的预付款为承包人提供连带责任担保。</w:t>
      </w:r>
    </w:p>
    <w:p w14:paraId="6F20E7BB">
      <w:pPr>
        <w:spacing w:line="360" w:lineRule="auto"/>
        <w:ind w:firstLine="420" w:firstLineChars="200"/>
        <w:rPr>
          <w:color w:val="auto"/>
          <w:szCs w:val="21"/>
          <w:highlight w:val="none"/>
        </w:rPr>
      </w:pPr>
      <w:r>
        <w:rPr>
          <w:color w:val="auto"/>
          <w:szCs w:val="21"/>
          <w:highlight w:val="none"/>
        </w:rPr>
        <w:t xml:space="preserve">1. </w:t>
      </w:r>
      <w:r>
        <w:rPr>
          <w:rFonts w:hint="eastAsia" w:hAnsi="宋体" w:cs="宋体"/>
          <w:color w:val="auto"/>
          <w:szCs w:val="21"/>
          <w:highlight w:val="none"/>
        </w:rPr>
        <w:t>担保金额人民币（大写）元（</w:t>
      </w:r>
      <w:r>
        <w:rPr>
          <w:color w:val="auto"/>
          <w:szCs w:val="21"/>
          <w:highlight w:val="none"/>
        </w:rPr>
        <w:t>¥</w:t>
      </w:r>
      <w:r>
        <w:rPr>
          <w:rFonts w:hint="eastAsia" w:hAnsi="宋体" w:cs="宋体"/>
          <w:color w:val="auto"/>
          <w:szCs w:val="21"/>
          <w:highlight w:val="none"/>
        </w:rPr>
        <w:t>）。</w:t>
      </w:r>
    </w:p>
    <w:p w14:paraId="411102CC">
      <w:pPr>
        <w:spacing w:line="360" w:lineRule="auto"/>
        <w:ind w:firstLine="420" w:firstLineChars="200"/>
        <w:rPr>
          <w:color w:val="auto"/>
          <w:szCs w:val="21"/>
          <w:highlight w:val="none"/>
        </w:rPr>
      </w:pPr>
      <w:r>
        <w:rPr>
          <w:color w:val="auto"/>
          <w:szCs w:val="21"/>
          <w:highlight w:val="none"/>
        </w:rPr>
        <w:t xml:space="preserve">2. </w:t>
      </w:r>
      <w:r>
        <w:rPr>
          <w:rFonts w:hint="eastAsia" w:hAnsi="宋体" w:cs="宋体"/>
          <w:color w:val="auto"/>
          <w:szCs w:val="21"/>
          <w:highlight w:val="none"/>
        </w:rPr>
        <w:t>担保有效期自预付款支付给承包人起生效，至你方签发的进度款支付证书说明已完全扣清止。</w:t>
      </w:r>
    </w:p>
    <w:p w14:paraId="19A45509">
      <w:pPr>
        <w:spacing w:line="360" w:lineRule="auto"/>
        <w:ind w:firstLine="420" w:firstLineChars="200"/>
        <w:rPr>
          <w:color w:val="auto"/>
          <w:szCs w:val="21"/>
          <w:highlight w:val="none"/>
        </w:rPr>
      </w:pPr>
      <w:r>
        <w:rPr>
          <w:color w:val="auto"/>
          <w:szCs w:val="21"/>
          <w:highlight w:val="none"/>
        </w:rPr>
        <w:t xml:space="preserve">3. </w:t>
      </w:r>
      <w:r>
        <w:rPr>
          <w:rFonts w:hint="eastAsia" w:hAnsi="宋体" w:cs="宋体"/>
          <w:color w:val="auto"/>
          <w:szCs w:val="21"/>
          <w:highlight w:val="none"/>
        </w:rPr>
        <w:t>在本保函有效期内，因承包人违反合同约定的义务而要求收回预付款时，我方在收到你方的书面通知后，在７天内无条件支付。但本保函的担保金额，在任何时候不应超过预付款金额减去你方按合同约定在向承包人签发的进度款支付证书中扣除的金额。</w:t>
      </w:r>
    </w:p>
    <w:p w14:paraId="2095B88D">
      <w:pPr>
        <w:spacing w:line="360" w:lineRule="auto"/>
        <w:ind w:firstLine="420" w:firstLineChars="200"/>
        <w:rPr>
          <w:color w:val="auto"/>
          <w:szCs w:val="21"/>
          <w:highlight w:val="none"/>
        </w:rPr>
      </w:pPr>
      <w:r>
        <w:rPr>
          <w:color w:val="auto"/>
          <w:szCs w:val="21"/>
          <w:highlight w:val="none"/>
        </w:rPr>
        <w:t xml:space="preserve">4. </w:t>
      </w:r>
      <w:r>
        <w:rPr>
          <w:rFonts w:hint="eastAsia" w:hAnsi="宋体" w:cs="宋体"/>
          <w:color w:val="auto"/>
          <w:szCs w:val="21"/>
          <w:highlight w:val="none"/>
        </w:rPr>
        <w:t>你方和承包人按合同约定变更合同时，我方承担本保函规定的义务不变。</w:t>
      </w:r>
    </w:p>
    <w:p w14:paraId="661F9F79">
      <w:pPr>
        <w:spacing w:line="360" w:lineRule="auto"/>
        <w:ind w:firstLine="420" w:firstLineChars="200"/>
        <w:rPr>
          <w:color w:val="auto"/>
          <w:szCs w:val="21"/>
          <w:highlight w:val="none"/>
        </w:rPr>
      </w:pPr>
      <w:r>
        <w:rPr>
          <w:color w:val="auto"/>
          <w:szCs w:val="21"/>
          <w:highlight w:val="none"/>
        </w:rPr>
        <w:t xml:space="preserve">5. </w:t>
      </w:r>
      <w:r>
        <w:rPr>
          <w:rFonts w:hint="eastAsia" w:hAnsi="宋体" w:cs="宋体"/>
          <w:color w:val="auto"/>
          <w:szCs w:val="21"/>
          <w:highlight w:val="none"/>
        </w:rPr>
        <w:t>因本保函发生的纠纷，可由双方协商解决，协商不成的，任何一方均可提请仲裁委员会仲裁。</w:t>
      </w:r>
    </w:p>
    <w:p w14:paraId="4F0F9260">
      <w:pPr>
        <w:spacing w:line="360" w:lineRule="auto"/>
        <w:ind w:firstLine="420" w:firstLineChars="200"/>
        <w:jc w:val="left"/>
        <w:rPr>
          <w:color w:val="auto"/>
          <w:szCs w:val="21"/>
          <w:highlight w:val="none"/>
        </w:rPr>
      </w:pPr>
      <w:r>
        <w:rPr>
          <w:color w:val="auto"/>
          <w:szCs w:val="21"/>
          <w:highlight w:val="none"/>
        </w:rPr>
        <w:t xml:space="preserve">6. </w:t>
      </w:r>
      <w:r>
        <w:rPr>
          <w:rFonts w:hint="eastAsia" w:hAnsi="宋体" w:cs="宋体"/>
          <w:color w:val="auto"/>
          <w:szCs w:val="21"/>
          <w:highlight w:val="none"/>
        </w:rPr>
        <w:t>本保函自我方法定代表人（或其授权代理人）签字并加盖公章之日起生效。</w:t>
      </w:r>
    </w:p>
    <w:p w14:paraId="35107FCE">
      <w:pPr>
        <w:spacing w:line="360" w:lineRule="auto"/>
        <w:rPr>
          <w:color w:val="auto"/>
          <w:szCs w:val="21"/>
          <w:highlight w:val="none"/>
        </w:rPr>
      </w:pPr>
    </w:p>
    <w:p w14:paraId="491D45B6">
      <w:pPr>
        <w:spacing w:line="360" w:lineRule="auto"/>
        <w:rPr>
          <w:color w:val="auto"/>
          <w:szCs w:val="21"/>
          <w:highlight w:val="none"/>
        </w:rPr>
      </w:pPr>
      <w:r>
        <w:rPr>
          <w:rFonts w:hint="eastAsia" w:hAnsi="宋体" w:cs="宋体"/>
          <w:color w:val="auto"/>
          <w:szCs w:val="21"/>
          <w:highlight w:val="none"/>
        </w:rPr>
        <w:t>担保人：（盖单位章）</w:t>
      </w:r>
    </w:p>
    <w:p w14:paraId="0F19AD95">
      <w:pPr>
        <w:spacing w:line="360" w:lineRule="auto"/>
        <w:rPr>
          <w:color w:val="auto"/>
          <w:szCs w:val="21"/>
          <w:highlight w:val="none"/>
        </w:rPr>
      </w:pPr>
      <w:r>
        <w:rPr>
          <w:rFonts w:hint="eastAsia" w:hAnsi="宋体" w:cs="宋体"/>
          <w:color w:val="auto"/>
          <w:szCs w:val="21"/>
          <w:highlight w:val="none"/>
        </w:rPr>
        <w:t>法定代表人或其委托代理人：（签字）</w:t>
      </w:r>
    </w:p>
    <w:p w14:paraId="0B9057F2">
      <w:pPr>
        <w:spacing w:line="360" w:lineRule="auto"/>
        <w:rPr>
          <w:color w:val="auto"/>
          <w:szCs w:val="21"/>
          <w:highlight w:val="none"/>
        </w:rPr>
      </w:pPr>
      <w:r>
        <w:rPr>
          <w:rFonts w:hint="eastAsia" w:hAnsi="宋体" w:cs="宋体"/>
          <w:color w:val="auto"/>
          <w:szCs w:val="21"/>
          <w:highlight w:val="none"/>
        </w:rPr>
        <w:t>地址：</w:t>
      </w:r>
    </w:p>
    <w:p w14:paraId="1D44E271">
      <w:pPr>
        <w:spacing w:line="360" w:lineRule="auto"/>
        <w:rPr>
          <w:color w:val="auto"/>
          <w:szCs w:val="21"/>
          <w:highlight w:val="none"/>
          <w:u w:val="single"/>
        </w:rPr>
      </w:pPr>
      <w:r>
        <w:rPr>
          <w:rFonts w:hint="eastAsia" w:hAnsi="宋体" w:cs="宋体"/>
          <w:color w:val="auto"/>
          <w:szCs w:val="21"/>
          <w:highlight w:val="none"/>
        </w:rPr>
        <w:t>邮政编码：</w:t>
      </w:r>
    </w:p>
    <w:p w14:paraId="23FE88FC">
      <w:pPr>
        <w:spacing w:line="360" w:lineRule="auto"/>
        <w:rPr>
          <w:color w:val="auto"/>
          <w:szCs w:val="21"/>
          <w:highlight w:val="none"/>
          <w:u w:val="single"/>
        </w:rPr>
      </w:pPr>
      <w:r>
        <w:rPr>
          <w:rFonts w:hint="eastAsia" w:hAnsi="宋体" w:cs="宋体"/>
          <w:color w:val="auto"/>
          <w:szCs w:val="21"/>
          <w:highlight w:val="none"/>
        </w:rPr>
        <w:t>电话：</w:t>
      </w:r>
    </w:p>
    <w:p w14:paraId="37965840">
      <w:pPr>
        <w:spacing w:line="360" w:lineRule="auto"/>
        <w:rPr>
          <w:color w:val="auto"/>
          <w:szCs w:val="21"/>
          <w:highlight w:val="none"/>
          <w:u w:val="single"/>
        </w:rPr>
      </w:pPr>
      <w:r>
        <w:rPr>
          <w:rFonts w:hint="eastAsia" w:hAnsi="宋体" w:cs="宋体"/>
          <w:color w:val="auto"/>
          <w:szCs w:val="21"/>
          <w:highlight w:val="none"/>
        </w:rPr>
        <w:t>传真：</w:t>
      </w:r>
    </w:p>
    <w:p w14:paraId="35558E77">
      <w:pPr>
        <w:spacing w:line="360" w:lineRule="auto"/>
        <w:rPr>
          <w:color w:val="auto"/>
          <w:szCs w:val="21"/>
          <w:highlight w:val="none"/>
          <w:u w:val="single"/>
        </w:rPr>
      </w:pPr>
    </w:p>
    <w:p w14:paraId="003921EA">
      <w:pPr>
        <w:spacing w:line="360" w:lineRule="auto"/>
        <w:rPr>
          <w:color w:val="auto"/>
          <w:szCs w:val="21"/>
          <w:highlight w:val="none"/>
        </w:rPr>
      </w:pPr>
      <w:r>
        <w:rPr>
          <w:rFonts w:hint="eastAsia" w:hAnsi="宋体" w:cs="宋体"/>
          <w:color w:val="auto"/>
          <w:szCs w:val="21"/>
          <w:highlight w:val="none"/>
        </w:rPr>
        <w:t>年月日</w:t>
      </w:r>
    </w:p>
    <w:p w14:paraId="1A0BEA7D">
      <w:pPr>
        <w:spacing w:line="480" w:lineRule="auto"/>
        <w:rPr>
          <w:rFonts w:hAnsi="宋体"/>
          <w:color w:val="auto"/>
          <w:szCs w:val="21"/>
          <w:highlight w:val="none"/>
        </w:rPr>
      </w:pPr>
    </w:p>
    <w:p w14:paraId="7B12A80D">
      <w:pPr>
        <w:spacing w:line="480" w:lineRule="auto"/>
        <w:rPr>
          <w:rFonts w:hAnsi="宋体"/>
          <w:color w:val="auto"/>
          <w:szCs w:val="21"/>
          <w:highlight w:val="none"/>
        </w:rPr>
      </w:pPr>
    </w:p>
    <w:p w14:paraId="69D69DDD">
      <w:pPr>
        <w:spacing w:line="480" w:lineRule="auto"/>
        <w:rPr>
          <w:rFonts w:hAnsi="宋体"/>
          <w:color w:val="auto"/>
          <w:szCs w:val="21"/>
          <w:highlight w:val="none"/>
        </w:rPr>
      </w:pPr>
    </w:p>
    <w:p w14:paraId="245CE9FB">
      <w:pPr>
        <w:pStyle w:val="23"/>
        <w:rPr>
          <w:rFonts w:hAnsi="宋体"/>
          <w:color w:val="auto"/>
          <w:szCs w:val="21"/>
          <w:highlight w:val="none"/>
        </w:rPr>
      </w:pPr>
    </w:p>
    <w:p w14:paraId="4E386BE2">
      <w:pPr>
        <w:pStyle w:val="23"/>
        <w:rPr>
          <w:rFonts w:hAnsi="宋体"/>
          <w:color w:val="auto"/>
          <w:szCs w:val="21"/>
          <w:highlight w:val="none"/>
        </w:rPr>
      </w:pPr>
    </w:p>
    <w:p w14:paraId="596CAEE1">
      <w:pPr>
        <w:pStyle w:val="23"/>
        <w:rPr>
          <w:rFonts w:hAnsi="宋体"/>
          <w:color w:val="auto"/>
          <w:szCs w:val="21"/>
          <w:highlight w:val="none"/>
        </w:rPr>
      </w:pPr>
    </w:p>
    <w:p w14:paraId="102C4CA6">
      <w:pPr>
        <w:pStyle w:val="23"/>
        <w:rPr>
          <w:rFonts w:hAnsi="宋体"/>
          <w:color w:val="auto"/>
          <w:szCs w:val="21"/>
          <w:highlight w:val="none"/>
        </w:rPr>
      </w:pPr>
    </w:p>
    <w:p w14:paraId="46ED2B33">
      <w:pPr>
        <w:pStyle w:val="23"/>
        <w:rPr>
          <w:rFonts w:hAnsi="宋体"/>
          <w:color w:val="auto"/>
          <w:szCs w:val="21"/>
          <w:highlight w:val="none"/>
        </w:rPr>
      </w:pPr>
    </w:p>
    <w:p w14:paraId="0F063514">
      <w:pPr>
        <w:pStyle w:val="23"/>
        <w:rPr>
          <w:rFonts w:hAnsi="宋体"/>
          <w:color w:val="auto"/>
          <w:szCs w:val="21"/>
          <w:highlight w:val="none"/>
        </w:rPr>
      </w:pPr>
    </w:p>
    <w:p w14:paraId="2A283A56">
      <w:pPr>
        <w:spacing w:line="440" w:lineRule="exact"/>
        <w:rPr>
          <w:rFonts w:ascii="Calibri" w:hAnsi="Calibri"/>
          <w:color w:val="auto"/>
          <w:sz w:val="30"/>
          <w:szCs w:val="30"/>
          <w:highlight w:val="none"/>
        </w:rPr>
      </w:pPr>
      <w:r>
        <w:rPr>
          <w:rFonts w:hint="eastAsia" w:ascii="Calibri" w:hAnsi="宋体" w:cs="宋体"/>
          <w:color w:val="auto"/>
          <w:sz w:val="30"/>
          <w:szCs w:val="30"/>
          <w:highlight w:val="none"/>
        </w:rPr>
        <w:t>附件</w:t>
      </w:r>
      <w:r>
        <w:rPr>
          <w:rFonts w:hint="eastAsia" w:ascii="Calibri" w:hAnsi="Calibri"/>
          <w:color w:val="auto"/>
          <w:sz w:val="30"/>
          <w:szCs w:val="30"/>
          <w:highlight w:val="none"/>
          <w:lang w:val="en-US" w:eastAsia="zh-CN"/>
        </w:rPr>
        <w:t>6</w:t>
      </w:r>
      <w:r>
        <w:rPr>
          <w:rFonts w:hint="eastAsia" w:ascii="Calibri" w:hAnsi="宋体" w:cs="宋体"/>
          <w:color w:val="auto"/>
          <w:sz w:val="30"/>
          <w:szCs w:val="30"/>
          <w:highlight w:val="none"/>
        </w:rPr>
        <w:t>：</w:t>
      </w:r>
    </w:p>
    <w:p w14:paraId="465BB761">
      <w:pPr>
        <w:spacing w:before="120" w:beforeLines="50" w:after="120" w:afterLines="50" w:line="440" w:lineRule="exact"/>
        <w:jc w:val="center"/>
        <w:rPr>
          <w:rFonts w:ascii="黑体" w:hAnsi="Calibri" w:eastAsia="黑体"/>
          <w:color w:val="auto"/>
          <w:sz w:val="32"/>
          <w:szCs w:val="32"/>
          <w:highlight w:val="none"/>
        </w:rPr>
      </w:pPr>
      <w:r>
        <w:rPr>
          <w:rFonts w:hint="eastAsia" w:ascii="黑体" w:hAnsi="宋体" w:eastAsia="黑体"/>
          <w:color w:val="auto"/>
          <w:sz w:val="32"/>
          <w:szCs w:val="32"/>
          <w:highlight w:val="none"/>
        </w:rPr>
        <w:t>工程质量保修书</w:t>
      </w:r>
    </w:p>
    <w:p w14:paraId="256DB238">
      <w:pPr>
        <w:spacing w:line="360" w:lineRule="auto"/>
        <w:ind w:firstLine="420" w:firstLineChars="200"/>
        <w:rPr>
          <w:rFonts w:ascii="宋体" w:hAnsi="宋体"/>
          <w:color w:val="auto"/>
          <w:szCs w:val="22"/>
          <w:highlight w:val="none"/>
        </w:rPr>
      </w:pPr>
      <w:r>
        <w:rPr>
          <w:rFonts w:ascii="宋体" w:hAnsi="宋体"/>
          <w:color w:val="auto"/>
          <w:szCs w:val="22"/>
          <w:highlight w:val="none"/>
        </w:rPr>
        <w:t>发包人（全称）：</w:t>
      </w:r>
    </w:p>
    <w:p w14:paraId="1B16F719">
      <w:pPr>
        <w:spacing w:line="360" w:lineRule="auto"/>
        <w:ind w:firstLine="420" w:firstLineChars="200"/>
        <w:rPr>
          <w:rFonts w:ascii="宋体" w:hAnsi="宋体"/>
          <w:color w:val="auto"/>
          <w:szCs w:val="22"/>
          <w:highlight w:val="none"/>
        </w:rPr>
      </w:pPr>
      <w:r>
        <w:rPr>
          <w:rFonts w:ascii="宋体" w:hAnsi="宋体"/>
          <w:color w:val="auto"/>
          <w:szCs w:val="22"/>
          <w:highlight w:val="none"/>
        </w:rPr>
        <w:t>承包人（全称）：</w:t>
      </w:r>
    </w:p>
    <w:p w14:paraId="22F4F448">
      <w:pPr>
        <w:spacing w:line="360" w:lineRule="auto"/>
        <w:rPr>
          <w:rFonts w:ascii="宋体" w:hAnsi="宋体"/>
          <w:color w:val="auto"/>
          <w:szCs w:val="22"/>
          <w:highlight w:val="none"/>
        </w:rPr>
      </w:pPr>
    </w:p>
    <w:p w14:paraId="3F953DE5">
      <w:pPr>
        <w:spacing w:line="360" w:lineRule="auto"/>
        <w:ind w:firstLine="420"/>
        <w:rPr>
          <w:rFonts w:ascii="宋体" w:hAnsi="宋体"/>
          <w:color w:val="auto"/>
          <w:szCs w:val="22"/>
          <w:highlight w:val="none"/>
        </w:rPr>
      </w:pPr>
      <w:r>
        <w:rPr>
          <w:rFonts w:ascii="宋体" w:hAnsi="宋体"/>
          <w:color w:val="auto"/>
          <w:szCs w:val="22"/>
          <w:highlight w:val="none"/>
        </w:rPr>
        <w:t>发包人和承包人根据《中华人民共和国建筑法》和《建设工程质量管理条例》，经协商一致就</w:t>
      </w:r>
      <w:r>
        <w:rPr>
          <w:rFonts w:hint="eastAsia" w:ascii="宋体" w:hAnsi="宋体"/>
          <w:color w:val="auto"/>
          <w:szCs w:val="22"/>
          <w:highlight w:val="none"/>
          <w:u w:val="single"/>
        </w:rPr>
        <w:t>                              </w:t>
      </w:r>
      <w:r>
        <w:rPr>
          <w:rFonts w:ascii="宋体" w:hAnsi="宋体"/>
          <w:color w:val="auto"/>
          <w:szCs w:val="22"/>
          <w:highlight w:val="none"/>
        </w:rPr>
        <w:t>（工程全称）签订工程质量保修书。</w:t>
      </w:r>
    </w:p>
    <w:p w14:paraId="1CCCAF2D">
      <w:pPr>
        <w:spacing w:line="360" w:lineRule="auto"/>
        <w:ind w:firstLine="420" w:firstLineChars="200"/>
        <w:rPr>
          <w:rFonts w:ascii="黑体" w:hAnsi="宋体" w:eastAsia="黑体"/>
          <w:color w:val="auto"/>
          <w:szCs w:val="22"/>
          <w:highlight w:val="none"/>
        </w:rPr>
      </w:pPr>
      <w:r>
        <w:rPr>
          <w:rFonts w:hint="eastAsia" w:ascii="黑体" w:hAnsi="宋体" w:eastAsia="黑体"/>
          <w:color w:val="auto"/>
          <w:szCs w:val="22"/>
          <w:highlight w:val="none"/>
        </w:rPr>
        <w:t>一、工程质量保修范围和内容</w:t>
      </w:r>
    </w:p>
    <w:p w14:paraId="30FEB142">
      <w:pPr>
        <w:spacing w:line="360" w:lineRule="auto"/>
        <w:ind w:firstLine="420" w:firstLineChars="200"/>
        <w:rPr>
          <w:rFonts w:ascii="宋体" w:hAnsi="宋体"/>
          <w:color w:val="auto"/>
          <w:szCs w:val="22"/>
          <w:highlight w:val="none"/>
        </w:rPr>
      </w:pPr>
      <w:r>
        <w:rPr>
          <w:rFonts w:ascii="宋体" w:hAnsi="宋体"/>
          <w:color w:val="auto"/>
          <w:szCs w:val="22"/>
          <w:highlight w:val="none"/>
        </w:rPr>
        <w:t>承包人在质量保修期内，按照有关法律规定和合同约定，承担工程质量保修责任。</w:t>
      </w:r>
    </w:p>
    <w:p w14:paraId="00AB799C">
      <w:pPr>
        <w:spacing w:line="360" w:lineRule="auto"/>
        <w:ind w:firstLine="420" w:firstLineChars="200"/>
        <w:rPr>
          <w:rFonts w:ascii="宋体" w:hAnsi="宋体"/>
          <w:color w:val="auto"/>
          <w:szCs w:val="22"/>
          <w:highlight w:val="none"/>
        </w:rPr>
      </w:pPr>
      <w:r>
        <w:rPr>
          <w:rFonts w:ascii="宋体" w:hAnsi="宋体"/>
          <w:color w:val="auto"/>
          <w:szCs w:val="22"/>
          <w:highlight w:val="none"/>
        </w:rPr>
        <w:t>质量保修范围包括，以及双方约定的其他项目。具体保修的内容，双方约定如下：</w:t>
      </w:r>
    </w:p>
    <w:p w14:paraId="271F6ACF">
      <w:pPr>
        <w:spacing w:line="360" w:lineRule="auto"/>
        <w:ind w:firstLine="420" w:firstLineChars="200"/>
        <w:rPr>
          <w:rFonts w:ascii="宋体" w:hAnsi="宋体"/>
          <w:color w:val="auto"/>
          <w:szCs w:val="22"/>
          <w:highlight w:val="none"/>
        </w:rPr>
      </w:pPr>
      <w:r>
        <w:rPr>
          <w:rFonts w:ascii="宋体" w:hAnsi="宋体"/>
          <w:color w:val="auto"/>
          <w:szCs w:val="22"/>
          <w:highlight w:val="none"/>
        </w:rPr>
        <w:t>。</w:t>
      </w:r>
    </w:p>
    <w:p w14:paraId="187F6A4D">
      <w:pPr>
        <w:spacing w:line="360" w:lineRule="auto"/>
        <w:ind w:firstLine="420" w:firstLineChars="200"/>
        <w:rPr>
          <w:rFonts w:ascii="黑体" w:hAnsi="宋体" w:eastAsia="黑体"/>
          <w:color w:val="auto"/>
          <w:szCs w:val="22"/>
          <w:highlight w:val="none"/>
        </w:rPr>
      </w:pPr>
      <w:r>
        <w:rPr>
          <w:rFonts w:hint="eastAsia" w:ascii="黑体" w:hAnsi="宋体" w:eastAsia="黑体"/>
          <w:color w:val="auto"/>
          <w:szCs w:val="22"/>
          <w:highlight w:val="none"/>
        </w:rPr>
        <w:t>二、质量保修期</w:t>
      </w:r>
    </w:p>
    <w:p w14:paraId="1E313832">
      <w:pPr>
        <w:spacing w:line="360" w:lineRule="auto"/>
        <w:ind w:firstLine="420" w:firstLineChars="200"/>
        <w:rPr>
          <w:rFonts w:ascii="宋体" w:hAnsi="宋体"/>
          <w:color w:val="auto"/>
          <w:szCs w:val="22"/>
          <w:highlight w:val="none"/>
        </w:rPr>
      </w:pPr>
      <w:r>
        <w:rPr>
          <w:rFonts w:ascii="宋体" w:hAnsi="宋体"/>
          <w:color w:val="auto"/>
          <w:szCs w:val="22"/>
          <w:highlight w:val="none"/>
        </w:rPr>
        <w:t>根据《建设工程质量管理条例》及有关规定，工程的质量保修期如下：</w:t>
      </w:r>
    </w:p>
    <w:p w14:paraId="27EFC45A">
      <w:pPr>
        <w:spacing w:line="360" w:lineRule="exact"/>
        <w:ind w:firstLine="426"/>
        <w:rPr>
          <w:rFonts w:ascii="宋体" w:hAnsi="宋体"/>
          <w:color w:val="auto"/>
          <w:szCs w:val="22"/>
          <w:highlight w:val="none"/>
        </w:rPr>
      </w:pPr>
      <w:r>
        <w:rPr>
          <w:rFonts w:hint="eastAsia" w:ascii="宋体" w:hAnsi="宋体"/>
          <w:color w:val="auto"/>
          <w:szCs w:val="22"/>
          <w:highlight w:val="none"/>
        </w:rPr>
        <w:t>1．屋面防水工程、有防水要求的卫生间、房间和外墙 面的防渗为</w:t>
      </w:r>
      <w:r>
        <w:rPr>
          <w:rFonts w:hint="eastAsia" w:ascii="宋体" w:hAnsi="宋体"/>
          <w:color w:val="auto"/>
          <w:szCs w:val="22"/>
          <w:highlight w:val="none"/>
          <w:u w:val="single"/>
        </w:rPr>
        <w:t xml:space="preserve">  5   </w:t>
      </w:r>
      <w:r>
        <w:rPr>
          <w:rFonts w:hint="eastAsia" w:ascii="宋体" w:hAnsi="宋体"/>
          <w:color w:val="auto"/>
          <w:szCs w:val="22"/>
          <w:highlight w:val="none"/>
        </w:rPr>
        <w:t>年；</w:t>
      </w:r>
    </w:p>
    <w:p w14:paraId="0AC91BFC">
      <w:pPr>
        <w:spacing w:line="360" w:lineRule="exact"/>
        <w:ind w:firstLine="426"/>
        <w:rPr>
          <w:rFonts w:ascii="宋体" w:hAnsi="宋体"/>
          <w:color w:val="auto"/>
          <w:szCs w:val="22"/>
          <w:highlight w:val="none"/>
        </w:rPr>
      </w:pPr>
      <w:r>
        <w:rPr>
          <w:rFonts w:hint="eastAsia" w:ascii="宋体" w:hAnsi="宋体"/>
          <w:color w:val="auto"/>
          <w:szCs w:val="22"/>
          <w:highlight w:val="none"/>
        </w:rPr>
        <w:t>2．装修工程为</w:t>
      </w:r>
      <w:r>
        <w:rPr>
          <w:rFonts w:hint="eastAsia" w:ascii="宋体" w:hAnsi="宋体"/>
          <w:color w:val="auto"/>
          <w:szCs w:val="22"/>
          <w:highlight w:val="none"/>
          <w:u w:val="single"/>
        </w:rPr>
        <w:t xml:space="preserve">          2       </w:t>
      </w:r>
      <w:r>
        <w:rPr>
          <w:rFonts w:hint="eastAsia" w:ascii="宋体" w:hAnsi="宋体"/>
          <w:color w:val="auto"/>
          <w:szCs w:val="22"/>
          <w:highlight w:val="none"/>
        </w:rPr>
        <w:t>年；</w:t>
      </w:r>
    </w:p>
    <w:p w14:paraId="5DDCDA4C">
      <w:pPr>
        <w:spacing w:line="360" w:lineRule="exact"/>
        <w:ind w:firstLine="426"/>
        <w:rPr>
          <w:rFonts w:ascii="宋体" w:hAnsi="宋体"/>
          <w:color w:val="auto"/>
          <w:szCs w:val="22"/>
          <w:highlight w:val="none"/>
        </w:rPr>
      </w:pPr>
      <w:r>
        <w:rPr>
          <w:rFonts w:hint="eastAsia" w:ascii="宋体" w:hAnsi="宋体"/>
          <w:color w:val="auto"/>
          <w:szCs w:val="22"/>
          <w:highlight w:val="none"/>
        </w:rPr>
        <w:t>3．电气管线、给排水管道、设备安装工程为</w:t>
      </w:r>
      <w:r>
        <w:rPr>
          <w:rFonts w:hint="eastAsia" w:ascii="宋体" w:hAnsi="宋体"/>
          <w:color w:val="auto"/>
          <w:szCs w:val="22"/>
          <w:highlight w:val="none"/>
          <w:u w:val="single"/>
        </w:rPr>
        <w:t xml:space="preserve">     2    </w:t>
      </w:r>
      <w:r>
        <w:rPr>
          <w:rFonts w:hint="eastAsia" w:ascii="宋体" w:hAnsi="宋体"/>
          <w:color w:val="auto"/>
          <w:szCs w:val="22"/>
          <w:highlight w:val="none"/>
        </w:rPr>
        <w:t>年；</w:t>
      </w:r>
    </w:p>
    <w:p w14:paraId="6175C429">
      <w:pPr>
        <w:spacing w:line="360" w:lineRule="exact"/>
        <w:ind w:firstLine="426"/>
        <w:rPr>
          <w:rFonts w:ascii="宋体" w:hAnsi="宋体"/>
          <w:color w:val="auto"/>
          <w:szCs w:val="22"/>
          <w:highlight w:val="none"/>
        </w:rPr>
      </w:pPr>
      <w:r>
        <w:rPr>
          <w:rFonts w:hint="eastAsia" w:ascii="宋体" w:hAnsi="宋体"/>
          <w:color w:val="auto"/>
          <w:szCs w:val="22"/>
          <w:highlight w:val="none"/>
        </w:rPr>
        <w:t>4. 供热与供冷系统</w:t>
      </w:r>
      <w:r>
        <w:rPr>
          <w:rFonts w:hint="eastAsia" w:ascii="宋体" w:hAnsi="宋体"/>
          <w:color w:val="auto"/>
          <w:szCs w:val="22"/>
          <w:highlight w:val="none"/>
          <w:u w:val="single"/>
        </w:rPr>
        <w:t xml:space="preserve">      2    </w:t>
      </w:r>
      <w:r>
        <w:rPr>
          <w:rFonts w:hint="eastAsia" w:ascii="宋体" w:hAnsi="宋体"/>
          <w:color w:val="auto"/>
          <w:szCs w:val="22"/>
          <w:highlight w:val="none"/>
        </w:rPr>
        <w:t>个采暖期、供冷期；</w:t>
      </w:r>
    </w:p>
    <w:p w14:paraId="5F690B55">
      <w:pPr>
        <w:spacing w:line="360" w:lineRule="exact"/>
        <w:ind w:firstLine="426"/>
        <w:rPr>
          <w:rFonts w:ascii="宋体" w:hAnsi="宋体"/>
          <w:color w:val="auto"/>
          <w:szCs w:val="22"/>
          <w:highlight w:val="none"/>
        </w:rPr>
      </w:pPr>
      <w:r>
        <w:rPr>
          <w:rFonts w:hint="eastAsia" w:ascii="宋体" w:hAnsi="宋体"/>
          <w:color w:val="auto"/>
          <w:szCs w:val="22"/>
          <w:highlight w:val="none"/>
        </w:rPr>
        <w:t>5.住宅小区内的给排水设施、道路等配套工程为</w:t>
      </w:r>
      <w:r>
        <w:rPr>
          <w:rFonts w:hint="eastAsia" w:ascii="宋体" w:hAnsi="宋体"/>
          <w:color w:val="auto"/>
          <w:szCs w:val="22"/>
          <w:highlight w:val="none"/>
          <w:u w:val="single"/>
        </w:rPr>
        <w:t xml:space="preserve">    2     </w:t>
      </w:r>
      <w:r>
        <w:rPr>
          <w:rFonts w:hint="eastAsia" w:ascii="宋体" w:hAnsi="宋体"/>
          <w:color w:val="auto"/>
          <w:szCs w:val="22"/>
          <w:highlight w:val="none"/>
        </w:rPr>
        <w:t>年</w:t>
      </w:r>
    </w:p>
    <w:p w14:paraId="07282E45">
      <w:pPr>
        <w:spacing w:line="360" w:lineRule="exact"/>
        <w:ind w:firstLine="426"/>
        <w:rPr>
          <w:rFonts w:ascii="宋体" w:hAnsi="宋体"/>
          <w:color w:val="auto"/>
          <w:szCs w:val="22"/>
          <w:highlight w:val="none"/>
        </w:rPr>
      </w:pPr>
      <w:r>
        <w:rPr>
          <w:rFonts w:hint="eastAsia" w:ascii="宋体" w:hAnsi="宋体"/>
          <w:color w:val="auto"/>
          <w:szCs w:val="22"/>
          <w:highlight w:val="none"/>
        </w:rPr>
        <w:t>6．道路工程为</w:t>
      </w:r>
      <w:r>
        <w:rPr>
          <w:rFonts w:hint="eastAsia" w:ascii="宋体" w:hAnsi="宋体"/>
          <w:color w:val="auto"/>
          <w:szCs w:val="22"/>
          <w:highlight w:val="none"/>
          <w:u w:val="single"/>
        </w:rPr>
        <w:t xml:space="preserve">  2    </w:t>
      </w:r>
      <w:r>
        <w:rPr>
          <w:rFonts w:hint="eastAsia" w:ascii="宋体" w:hAnsi="宋体"/>
          <w:color w:val="auto"/>
          <w:szCs w:val="22"/>
          <w:highlight w:val="none"/>
        </w:rPr>
        <w:t>年；</w:t>
      </w:r>
    </w:p>
    <w:p w14:paraId="7B4CDF3A">
      <w:pPr>
        <w:spacing w:line="360" w:lineRule="exact"/>
        <w:ind w:firstLine="426"/>
        <w:rPr>
          <w:rFonts w:ascii="宋体" w:hAnsi="宋体"/>
          <w:color w:val="auto"/>
          <w:szCs w:val="22"/>
          <w:highlight w:val="none"/>
        </w:rPr>
      </w:pPr>
      <w:r>
        <w:rPr>
          <w:rFonts w:hint="eastAsia" w:ascii="宋体" w:hAnsi="宋体"/>
          <w:color w:val="auto"/>
          <w:szCs w:val="22"/>
          <w:highlight w:val="none"/>
        </w:rPr>
        <w:t>7．排水（雨水）工程为</w:t>
      </w:r>
      <w:r>
        <w:rPr>
          <w:rFonts w:hint="eastAsia" w:ascii="宋体" w:hAnsi="宋体"/>
          <w:color w:val="auto"/>
          <w:szCs w:val="22"/>
          <w:highlight w:val="none"/>
          <w:u w:val="single"/>
        </w:rPr>
        <w:t xml:space="preserve">  3   </w:t>
      </w:r>
      <w:r>
        <w:rPr>
          <w:rFonts w:hint="eastAsia" w:ascii="宋体" w:hAnsi="宋体"/>
          <w:color w:val="auto"/>
          <w:szCs w:val="22"/>
          <w:highlight w:val="none"/>
        </w:rPr>
        <w:t>年；</w:t>
      </w:r>
    </w:p>
    <w:p w14:paraId="7F25D33D">
      <w:pPr>
        <w:spacing w:line="360" w:lineRule="exact"/>
        <w:ind w:firstLine="426"/>
        <w:rPr>
          <w:rFonts w:ascii="宋体" w:hAnsi="宋体"/>
          <w:color w:val="auto"/>
          <w:szCs w:val="22"/>
          <w:highlight w:val="none"/>
        </w:rPr>
      </w:pPr>
      <w:r>
        <w:rPr>
          <w:rFonts w:hint="eastAsia" w:ascii="宋体" w:hAnsi="宋体"/>
          <w:color w:val="auto"/>
          <w:szCs w:val="22"/>
          <w:highlight w:val="none"/>
        </w:rPr>
        <w:t>8．绿化工程为</w:t>
      </w:r>
      <w:r>
        <w:rPr>
          <w:rFonts w:hint="eastAsia" w:ascii="宋体" w:hAnsi="宋体"/>
          <w:color w:val="auto"/>
          <w:szCs w:val="22"/>
          <w:highlight w:val="none"/>
          <w:u w:val="single"/>
        </w:rPr>
        <w:t xml:space="preserve">  单位工程竣工验收合格后 1 年     </w:t>
      </w:r>
      <w:r>
        <w:rPr>
          <w:rFonts w:hint="eastAsia" w:ascii="宋体" w:hAnsi="宋体"/>
          <w:color w:val="auto"/>
          <w:szCs w:val="22"/>
          <w:highlight w:val="none"/>
        </w:rPr>
        <w:t>；</w:t>
      </w:r>
    </w:p>
    <w:p w14:paraId="58EFC1E7">
      <w:pPr>
        <w:spacing w:line="360" w:lineRule="exact"/>
        <w:ind w:firstLine="426"/>
        <w:rPr>
          <w:rFonts w:ascii="宋体" w:hAnsi="宋体"/>
          <w:color w:val="auto"/>
          <w:szCs w:val="22"/>
          <w:highlight w:val="none"/>
        </w:rPr>
      </w:pPr>
      <w:r>
        <w:rPr>
          <w:rFonts w:hint="eastAsia" w:ascii="宋体" w:hAnsi="宋体"/>
          <w:color w:val="auto"/>
          <w:szCs w:val="22"/>
          <w:highlight w:val="none"/>
        </w:rPr>
        <w:t>9.  地下防水工程为</w:t>
      </w:r>
      <w:r>
        <w:rPr>
          <w:rFonts w:hint="eastAsia" w:ascii="宋体" w:hAnsi="宋体"/>
          <w:color w:val="auto"/>
          <w:szCs w:val="22"/>
          <w:highlight w:val="none"/>
          <w:u w:val="single"/>
        </w:rPr>
        <w:t xml:space="preserve">  5   </w:t>
      </w:r>
      <w:r>
        <w:rPr>
          <w:rFonts w:hint="eastAsia" w:ascii="宋体" w:hAnsi="宋体"/>
          <w:color w:val="auto"/>
          <w:szCs w:val="22"/>
          <w:highlight w:val="none"/>
        </w:rPr>
        <w:t>年；</w:t>
      </w:r>
    </w:p>
    <w:p w14:paraId="2E0B7678">
      <w:pPr>
        <w:spacing w:line="360" w:lineRule="exact"/>
        <w:ind w:firstLine="426"/>
        <w:rPr>
          <w:rFonts w:ascii="宋体" w:hAnsi="宋体"/>
          <w:color w:val="auto"/>
          <w:szCs w:val="22"/>
          <w:highlight w:val="none"/>
        </w:rPr>
      </w:pPr>
      <w:r>
        <w:rPr>
          <w:rFonts w:hint="eastAsia" w:ascii="宋体" w:hAnsi="宋体"/>
          <w:color w:val="auto"/>
          <w:szCs w:val="22"/>
          <w:highlight w:val="none"/>
        </w:rPr>
        <w:t>10.其它附属工程为</w:t>
      </w:r>
      <w:r>
        <w:rPr>
          <w:rFonts w:hint="eastAsia" w:ascii="宋体" w:hAnsi="宋体"/>
          <w:color w:val="auto"/>
          <w:szCs w:val="22"/>
          <w:highlight w:val="none"/>
          <w:u w:val="single"/>
        </w:rPr>
        <w:t xml:space="preserve">   2  </w:t>
      </w:r>
      <w:r>
        <w:rPr>
          <w:rFonts w:hint="eastAsia" w:ascii="宋体" w:hAnsi="宋体"/>
          <w:color w:val="auto"/>
          <w:szCs w:val="22"/>
          <w:highlight w:val="none"/>
        </w:rPr>
        <w:t>年</w:t>
      </w:r>
    </w:p>
    <w:p w14:paraId="176641B1">
      <w:pPr>
        <w:spacing w:line="360" w:lineRule="auto"/>
        <w:ind w:firstLine="420" w:firstLineChars="200"/>
        <w:rPr>
          <w:rFonts w:ascii="黑体" w:hAnsi="宋体" w:eastAsia="黑体"/>
          <w:color w:val="auto"/>
          <w:szCs w:val="22"/>
          <w:highlight w:val="none"/>
        </w:rPr>
      </w:pPr>
      <w:r>
        <w:rPr>
          <w:rFonts w:hint="eastAsia" w:ascii="黑体" w:hAnsi="宋体" w:eastAsia="黑体"/>
          <w:color w:val="auto"/>
          <w:szCs w:val="22"/>
          <w:highlight w:val="none"/>
        </w:rPr>
        <w:t>11.其他项目保修期限约定如下：无</w:t>
      </w:r>
    </w:p>
    <w:p w14:paraId="51E5951D">
      <w:pPr>
        <w:spacing w:line="360" w:lineRule="auto"/>
        <w:ind w:firstLine="420" w:firstLineChars="200"/>
        <w:rPr>
          <w:rFonts w:ascii="黑体" w:hAnsi="宋体" w:eastAsia="黑体"/>
          <w:color w:val="auto"/>
          <w:szCs w:val="22"/>
          <w:highlight w:val="none"/>
        </w:rPr>
      </w:pPr>
      <w:r>
        <w:rPr>
          <w:rFonts w:hint="eastAsia" w:ascii="黑体" w:hAnsi="宋体" w:eastAsia="黑体"/>
          <w:color w:val="auto"/>
          <w:szCs w:val="22"/>
          <w:highlight w:val="none"/>
        </w:rPr>
        <w:t>三、缺陷责任期</w:t>
      </w:r>
    </w:p>
    <w:p w14:paraId="4CBCA844">
      <w:pPr>
        <w:spacing w:line="360" w:lineRule="auto"/>
        <w:ind w:firstLine="420" w:firstLineChars="200"/>
        <w:rPr>
          <w:rFonts w:ascii="宋体" w:hAnsi="宋体"/>
          <w:color w:val="auto"/>
          <w:szCs w:val="22"/>
          <w:highlight w:val="none"/>
        </w:rPr>
      </w:pPr>
      <w:r>
        <w:rPr>
          <w:rFonts w:ascii="宋体" w:hAnsi="宋体"/>
          <w:color w:val="auto"/>
          <w:szCs w:val="22"/>
          <w:highlight w:val="none"/>
        </w:rPr>
        <w:t>工程缺陷责任期为</w:t>
      </w:r>
      <w:r>
        <w:rPr>
          <w:rFonts w:hint="eastAsia" w:hAnsi="宋体"/>
          <w:color w:val="auto"/>
          <w:szCs w:val="22"/>
          <w:highlight w:val="none"/>
          <w:lang w:val="en-US" w:eastAsia="zh-CN"/>
        </w:rPr>
        <w:t>12</w:t>
      </w:r>
      <w:r>
        <w:rPr>
          <w:rFonts w:ascii="宋体" w:hAnsi="宋体"/>
          <w:color w:val="auto"/>
          <w:szCs w:val="22"/>
          <w:highlight w:val="none"/>
        </w:rPr>
        <w:t>个月</w:t>
      </w:r>
      <w:r>
        <w:rPr>
          <w:rFonts w:hint="eastAsia" w:ascii="Calibri" w:hAnsi="宋体"/>
          <w:color w:val="auto"/>
          <w:szCs w:val="22"/>
          <w:highlight w:val="none"/>
        </w:rPr>
        <w:t>（最长不超过24个月）</w:t>
      </w:r>
      <w:r>
        <w:rPr>
          <w:rFonts w:ascii="宋体" w:hAnsi="宋体"/>
          <w:color w:val="auto"/>
          <w:szCs w:val="22"/>
          <w:highlight w:val="none"/>
        </w:rPr>
        <w:t>，缺陷责任期自工程竣工验收合格之日起计算。单位工程先于全部工程进行验收，单位工程缺陷责任期自单位工程验收合格之日起算。</w:t>
      </w:r>
    </w:p>
    <w:p w14:paraId="58FC8E18">
      <w:pPr>
        <w:spacing w:line="360" w:lineRule="auto"/>
        <w:ind w:firstLine="420" w:firstLineChars="200"/>
        <w:rPr>
          <w:rFonts w:ascii="宋体" w:hAnsi="宋体"/>
          <w:color w:val="auto"/>
          <w:szCs w:val="22"/>
          <w:highlight w:val="none"/>
        </w:rPr>
      </w:pPr>
      <w:r>
        <w:rPr>
          <w:rFonts w:ascii="宋体" w:hAnsi="宋体"/>
          <w:color w:val="auto"/>
          <w:szCs w:val="22"/>
          <w:highlight w:val="none"/>
        </w:rPr>
        <w:t>缺陷责任期终止后，发包人应退还剩余的质量保证金。</w:t>
      </w:r>
    </w:p>
    <w:p w14:paraId="65EB21B9">
      <w:pPr>
        <w:spacing w:line="360" w:lineRule="auto"/>
        <w:ind w:firstLine="420" w:firstLineChars="200"/>
        <w:rPr>
          <w:rFonts w:ascii="黑体" w:hAnsi="宋体" w:eastAsia="黑体"/>
          <w:color w:val="auto"/>
          <w:szCs w:val="22"/>
          <w:highlight w:val="none"/>
        </w:rPr>
      </w:pPr>
      <w:r>
        <w:rPr>
          <w:rFonts w:hint="eastAsia" w:ascii="黑体" w:hAnsi="宋体" w:eastAsia="黑体"/>
          <w:color w:val="auto"/>
          <w:szCs w:val="22"/>
          <w:highlight w:val="none"/>
        </w:rPr>
        <w:t>四、质量保修责任</w:t>
      </w:r>
    </w:p>
    <w:p w14:paraId="57F17FBD">
      <w:pPr>
        <w:spacing w:line="360" w:lineRule="auto"/>
        <w:ind w:firstLine="420" w:firstLineChars="200"/>
        <w:rPr>
          <w:rFonts w:ascii="宋体" w:hAnsi="宋体"/>
          <w:color w:val="auto"/>
          <w:szCs w:val="22"/>
          <w:highlight w:val="none"/>
        </w:rPr>
      </w:pPr>
      <w:r>
        <w:rPr>
          <w:rFonts w:hint="eastAsia" w:ascii="宋体" w:hAnsi="宋体"/>
          <w:color w:val="auto"/>
          <w:szCs w:val="22"/>
          <w:highlight w:val="none"/>
        </w:rPr>
        <w:t>1．</w:t>
      </w:r>
      <w:r>
        <w:rPr>
          <w:rFonts w:ascii="宋体" w:hAnsi="宋体"/>
          <w:color w:val="auto"/>
          <w:szCs w:val="22"/>
          <w:highlight w:val="none"/>
        </w:rPr>
        <w:t>属于保修范围、内容的项目，承包人应当在接到保修通知之日起</w:t>
      </w:r>
      <w:r>
        <w:rPr>
          <w:rFonts w:hint="eastAsia" w:ascii="宋体" w:hAnsi="宋体"/>
          <w:color w:val="auto"/>
          <w:szCs w:val="22"/>
          <w:highlight w:val="none"/>
          <w:u w:val="single"/>
        </w:rPr>
        <w:t xml:space="preserve"> 3 </w:t>
      </w:r>
      <w:r>
        <w:rPr>
          <w:rFonts w:ascii="宋体" w:hAnsi="宋体"/>
          <w:color w:val="auto"/>
          <w:szCs w:val="22"/>
          <w:highlight w:val="none"/>
        </w:rPr>
        <w:t>天内派人保修。承包人不在约定期限内派人保修的，发包人可以委托他人修理</w:t>
      </w:r>
      <w:r>
        <w:rPr>
          <w:rFonts w:hint="eastAsia" w:ascii="Calibri" w:hAnsi="宋体"/>
          <w:color w:val="auto"/>
          <w:szCs w:val="22"/>
          <w:highlight w:val="none"/>
        </w:rPr>
        <w:t>，修理费用从质量保修金内扣除</w:t>
      </w:r>
      <w:r>
        <w:rPr>
          <w:rFonts w:ascii="Calibri" w:hAnsi="宋体"/>
          <w:color w:val="auto"/>
          <w:szCs w:val="22"/>
          <w:highlight w:val="none"/>
        </w:rPr>
        <w:t>。</w:t>
      </w:r>
    </w:p>
    <w:p w14:paraId="4147A7E1">
      <w:pPr>
        <w:spacing w:line="360" w:lineRule="auto"/>
        <w:ind w:firstLine="420" w:firstLineChars="200"/>
        <w:rPr>
          <w:rFonts w:ascii="宋体" w:hAnsi="宋体"/>
          <w:color w:val="auto"/>
          <w:szCs w:val="22"/>
          <w:highlight w:val="none"/>
        </w:rPr>
      </w:pPr>
      <w:r>
        <w:rPr>
          <w:rFonts w:hint="eastAsia" w:ascii="宋体" w:hAnsi="宋体"/>
          <w:color w:val="auto"/>
          <w:szCs w:val="22"/>
          <w:highlight w:val="none"/>
        </w:rPr>
        <w:t>2．</w:t>
      </w:r>
      <w:r>
        <w:rPr>
          <w:rFonts w:ascii="宋体" w:hAnsi="宋体"/>
          <w:color w:val="auto"/>
          <w:szCs w:val="22"/>
          <w:highlight w:val="none"/>
        </w:rPr>
        <w:t>发生紧急事故需抢修的，承包人在接到事故通知后，应当立即到达事故现场抢修。</w:t>
      </w:r>
    </w:p>
    <w:p w14:paraId="3BA7AAE2">
      <w:pPr>
        <w:spacing w:line="360" w:lineRule="auto"/>
        <w:ind w:firstLine="420" w:firstLineChars="200"/>
        <w:rPr>
          <w:rFonts w:ascii="宋体" w:hAnsi="宋体"/>
          <w:color w:val="auto"/>
          <w:szCs w:val="22"/>
          <w:highlight w:val="none"/>
        </w:rPr>
      </w:pPr>
      <w:r>
        <w:rPr>
          <w:rFonts w:hint="eastAsia" w:ascii="宋体" w:hAnsi="宋体"/>
          <w:color w:val="auto"/>
          <w:szCs w:val="22"/>
          <w:highlight w:val="none"/>
        </w:rPr>
        <w:t>3．</w:t>
      </w:r>
      <w:r>
        <w:rPr>
          <w:rFonts w:ascii="宋体" w:hAnsi="宋体"/>
          <w:color w:val="auto"/>
          <w:szCs w:val="22"/>
          <w:highlight w:val="none"/>
        </w:rPr>
        <w:t>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27A89576">
      <w:pPr>
        <w:spacing w:line="360" w:lineRule="auto"/>
        <w:ind w:firstLine="420" w:firstLineChars="200"/>
        <w:rPr>
          <w:rFonts w:ascii="宋体" w:hAnsi="宋体"/>
          <w:color w:val="auto"/>
          <w:szCs w:val="22"/>
          <w:highlight w:val="none"/>
        </w:rPr>
      </w:pPr>
      <w:r>
        <w:rPr>
          <w:rFonts w:hint="eastAsia" w:ascii="宋体" w:hAnsi="宋体"/>
          <w:color w:val="auto"/>
          <w:szCs w:val="22"/>
          <w:highlight w:val="none"/>
        </w:rPr>
        <w:t>4．</w:t>
      </w:r>
      <w:r>
        <w:rPr>
          <w:rFonts w:ascii="宋体" w:hAnsi="宋体"/>
          <w:color w:val="auto"/>
          <w:szCs w:val="22"/>
          <w:highlight w:val="none"/>
        </w:rPr>
        <w:t>质量保修完成后，由发包人组织验收。</w:t>
      </w:r>
    </w:p>
    <w:p w14:paraId="1DA8299A">
      <w:pPr>
        <w:spacing w:line="360" w:lineRule="auto"/>
        <w:ind w:firstLine="420" w:firstLineChars="200"/>
        <w:rPr>
          <w:rFonts w:ascii="黑体" w:hAnsi="宋体" w:eastAsia="黑体"/>
          <w:color w:val="auto"/>
          <w:szCs w:val="22"/>
          <w:highlight w:val="none"/>
        </w:rPr>
      </w:pPr>
      <w:r>
        <w:rPr>
          <w:rFonts w:hint="eastAsia" w:ascii="黑体" w:hAnsi="宋体" w:eastAsia="黑体"/>
          <w:color w:val="auto"/>
          <w:szCs w:val="22"/>
          <w:highlight w:val="none"/>
        </w:rPr>
        <w:t>五、保修费用</w:t>
      </w:r>
    </w:p>
    <w:p w14:paraId="292D418A">
      <w:pPr>
        <w:spacing w:line="360" w:lineRule="auto"/>
        <w:ind w:firstLine="420" w:firstLineChars="200"/>
        <w:rPr>
          <w:rFonts w:ascii="宋体" w:hAnsi="宋体"/>
          <w:color w:val="auto"/>
          <w:szCs w:val="22"/>
          <w:highlight w:val="none"/>
        </w:rPr>
      </w:pPr>
      <w:r>
        <w:rPr>
          <w:rFonts w:ascii="宋体" w:hAnsi="宋体"/>
          <w:color w:val="auto"/>
          <w:szCs w:val="22"/>
          <w:highlight w:val="none"/>
        </w:rPr>
        <w:t>保修费用由造成质量缺陷的责任方承担。</w:t>
      </w:r>
    </w:p>
    <w:p w14:paraId="7165DAF2">
      <w:pPr>
        <w:spacing w:line="360" w:lineRule="auto"/>
        <w:ind w:firstLine="420" w:firstLineChars="200"/>
        <w:rPr>
          <w:rFonts w:ascii="黑体" w:hAnsi="宋体" w:eastAsia="黑体"/>
          <w:color w:val="auto"/>
          <w:szCs w:val="22"/>
          <w:highlight w:val="none"/>
          <w:u w:val="single"/>
        </w:rPr>
      </w:pPr>
      <w:r>
        <w:rPr>
          <w:rFonts w:hint="eastAsia" w:ascii="黑体" w:hAnsi="宋体" w:eastAsia="黑体"/>
          <w:color w:val="auto"/>
          <w:szCs w:val="22"/>
          <w:highlight w:val="none"/>
        </w:rPr>
        <w:t>六、双方约定的其他工程质量保修事项：</w:t>
      </w:r>
    </w:p>
    <w:p w14:paraId="0542D9F2">
      <w:pPr>
        <w:spacing w:line="360" w:lineRule="auto"/>
        <w:jc w:val="left"/>
        <w:rPr>
          <w:rFonts w:ascii="宋体" w:hAnsi="宋体"/>
          <w:color w:val="auto"/>
          <w:szCs w:val="22"/>
          <w:highlight w:val="none"/>
        </w:rPr>
      </w:pPr>
      <w:r>
        <w:rPr>
          <w:rFonts w:ascii="宋体" w:hAnsi="宋体"/>
          <w:color w:val="auto"/>
          <w:szCs w:val="22"/>
          <w:highlight w:val="none"/>
        </w:rPr>
        <w:t>。</w:t>
      </w:r>
    </w:p>
    <w:p w14:paraId="6948F8D5">
      <w:pPr>
        <w:spacing w:line="360" w:lineRule="auto"/>
        <w:ind w:firstLine="399" w:firstLineChars="190"/>
        <w:rPr>
          <w:rFonts w:ascii="宋体" w:hAnsi="宋体"/>
          <w:color w:val="auto"/>
          <w:szCs w:val="22"/>
          <w:highlight w:val="none"/>
        </w:rPr>
      </w:pPr>
      <w:r>
        <w:rPr>
          <w:rFonts w:ascii="宋体" w:hAnsi="宋体"/>
          <w:color w:val="auto"/>
          <w:szCs w:val="22"/>
          <w:highlight w:val="none"/>
        </w:rPr>
        <w:t>工程质量保修书由发包人、承包人在工程竣工验收前共同签署，作为施工合同附件，其有效期限至保修期满。</w:t>
      </w:r>
    </w:p>
    <w:p w14:paraId="71D64141">
      <w:pPr>
        <w:spacing w:line="360" w:lineRule="auto"/>
        <w:ind w:firstLine="420"/>
        <w:rPr>
          <w:rFonts w:ascii="宋体" w:hAnsi="宋体"/>
          <w:color w:val="auto"/>
          <w:szCs w:val="22"/>
          <w:highlight w:val="none"/>
        </w:rPr>
      </w:pPr>
    </w:p>
    <w:p w14:paraId="7DEFED10">
      <w:pPr>
        <w:spacing w:line="360" w:lineRule="auto"/>
        <w:ind w:firstLine="420"/>
        <w:rPr>
          <w:rFonts w:ascii="宋体" w:hAnsi="宋体"/>
          <w:color w:val="auto"/>
          <w:szCs w:val="22"/>
          <w:highlight w:val="none"/>
        </w:rPr>
      </w:pPr>
    </w:p>
    <w:p w14:paraId="7BE3889F">
      <w:pPr>
        <w:spacing w:line="360" w:lineRule="auto"/>
        <w:rPr>
          <w:rFonts w:ascii="Calibri" w:hAnsi="Calibri"/>
          <w:color w:val="auto"/>
          <w:szCs w:val="22"/>
          <w:highlight w:val="none"/>
        </w:rPr>
      </w:pPr>
      <w:r>
        <w:rPr>
          <w:rFonts w:ascii="Calibri" w:hAnsi="宋体"/>
          <w:color w:val="auto"/>
          <w:szCs w:val="22"/>
          <w:highlight w:val="none"/>
        </w:rPr>
        <w:t>发包人</w:t>
      </w:r>
      <w:r>
        <w:rPr>
          <w:rFonts w:hint="eastAsia" w:ascii="Calibri" w:hAnsi="Calibri"/>
          <w:color w:val="auto"/>
          <w:szCs w:val="22"/>
          <w:highlight w:val="none"/>
        </w:rPr>
        <w:t>（</w:t>
      </w:r>
      <w:r>
        <w:rPr>
          <w:rFonts w:ascii="Calibri" w:hAnsi="宋体"/>
          <w:color w:val="auto"/>
          <w:szCs w:val="22"/>
          <w:highlight w:val="none"/>
        </w:rPr>
        <w:t>公章</w:t>
      </w:r>
      <w:r>
        <w:rPr>
          <w:rFonts w:hint="eastAsia" w:ascii="Calibri" w:hAnsi="Calibri"/>
          <w:color w:val="auto"/>
          <w:szCs w:val="22"/>
          <w:highlight w:val="none"/>
        </w:rPr>
        <w:t>）</w:t>
      </w:r>
      <w:r>
        <w:rPr>
          <w:rFonts w:ascii="Calibri" w:hAnsi="宋体"/>
          <w:color w:val="auto"/>
          <w:szCs w:val="22"/>
          <w:highlight w:val="none"/>
        </w:rPr>
        <w:t>：</w:t>
      </w:r>
      <w:r>
        <w:rPr>
          <w:rFonts w:ascii="宋体" w:hAnsi="宋体"/>
          <w:color w:val="auto"/>
          <w:szCs w:val="22"/>
          <w:highlight w:val="none"/>
          <w:u w:val="single"/>
        </w:rPr>
        <w:t></w:t>
      </w:r>
      <w:r>
        <w:rPr>
          <w:rFonts w:ascii="Calibri" w:hAnsi="宋体"/>
          <w:color w:val="auto"/>
          <w:szCs w:val="22"/>
          <w:highlight w:val="none"/>
        </w:rPr>
        <w:t>承包人</w:t>
      </w:r>
      <w:r>
        <w:rPr>
          <w:rFonts w:hint="eastAsia" w:ascii="Calibri" w:hAnsi="Calibri"/>
          <w:color w:val="auto"/>
          <w:szCs w:val="22"/>
          <w:highlight w:val="none"/>
        </w:rPr>
        <w:t>（</w:t>
      </w:r>
      <w:r>
        <w:rPr>
          <w:rFonts w:ascii="Calibri" w:hAnsi="宋体"/>
          <w:color w:val="auto"/>
          <w:szCs w:val="22"/>
          <w:highlight w:val="none"/>
        </w:rPr>
        <w:t>公章</w:t>
      </w:r>
      <w:r>
        <w:rPr>
          <w:rFonts w:hint="eastAsia" w:ascii="Calibri" w:hAnsi="Calibri"/>
          <w:color w:val="auto"/>
          <w:szCs w:val="22"/>
          <w:highlight w:val="none"/>
        </w:rPr>
        <w:t>）</w:t>
      </w:r>
      <w:r>
        <w:rPr>
          <w:rFonts w:ascii="Calibri" w:hAnsi="宋体"/>
          <w:color w:val="auto"/>
          <w:szCs w:val="22"/>
          <w:highlight w:val="none"/>
        </w:rPr>
        <w:t>：</w:t>
      </w:r>
      <w:r>
        <w:rPr>
          <w:rFonts w:ascii="宋体" w:hAnsi="宋体"/>
          <w:color w:val="auto"/>
          <w:szCs w:val="22"/>
          <w:highlight w:val="none"/>
          <w:u w:val="single"/>
        </w:rPr>
        <w:t></w:t>
      </w:r>
    </w:p>
    <w:p w14:paraId="62C0E484">
      <w:pPr>
        <w:spacing w:line="360" w:lineRule="auto"/>
        <w:rPr>
          <w:rFonts w:ascii="Calibri" w:hAnsi="Calibri"/>
          <w:color w:val="auto"/>
          <w:szCs w:val="22"/>
          <w:highlight w:val="none"/>
        </w:rPr>
      </w:pPr>
      <w:r>
        <w:rPr>
          <w:rFonts w:ascii="Calibri" w:hAnsi="宋体"/>
          <w:color w:val="auto"/>
          <w:szCs w:val="22"/>
          <w:highlight w:val="none"/>
        </w:rPr>
        <w:t>地址：</w:t>
      </w:r>
      <w:r>
        <w:rPr>
          <w:rFonts w:ascii="宋体" w:hAnsi="宋体"/>
          <w:color w:val="auto"/>
          <w:szCs w:val="22"/>
          <w:highlight w:val="none"/>
          <w:u w:val="single"/>
        </w:rPr>
        <w:t></w:t>
      </w:r>
      <w:r>
        <w:rPr>
          <w:rFonts w:ascii="Calibri" w:hAnsi="宋体"/>
          <w:color w:val="auto"/>
          <w:szCs w:val="22"/>
          <w:highlight w:val="none"/>
        </w:rPr>
        <w:t>地址：</w:t>
      </w:r>
      <w:r>
        <w:rPr>
          <w:rFonts w:ascii="宋体" w:hAnsi="宋体"/>
          <w:color w:val="auto"/>
          <w:szCs w:val="22"/>
          <w:highlight w:val="none"/>
          <w:u w:val="single"/>
        </w:rPr>
        <w:t></w:t>
      </w:r>
    </w:p>
    <w:p w14:paraId="1B9DE508">
      <w:pPr>
        <w:spacing w:line="360" w:lineRule="auto"/>
        <w:rPr>
          <w:rFonts w:ascii="Calibri" w:hAnsi="Calibri"/>
          <w:color w:val="auto"/>
          <w:szCs w:val="22"/>
          <w:highlight w:val="none"/>
        </w:rPr>
      </w:pPr>
      <w:r>
        <w:rPr>
          <w:rFonts w:ascii="Calibri" w:hAnsi="宋体"/>
          <w:color w:val="auto"/>
          <w:szCs w:val="22"/>
          <w:highlight w:val="none"/>
        </w:rPr>
        <w:t>法定代表人</w:t>
      </w:r>
      <w:r>
        <w:rPr>
          <w:rFonts w:hint="eastAsia" w:ascii="Calibri" w:hAnsi="Calibri"/>
          <w:color w:val="auto"/>
          <w:szCs w:val="22"/>
          <w:highlight w:val="none"/>
        </w:rPr>
        <w:t>（</w:t>
      </w:r>
      <w:r>
        <w:rPr>
          <w:rFonts w:ascii="Calibri" w:hAnsi="宋体"/>
          <w:color w:val="auto"/>
          <w:szCs w:val="22"/>
          <w:highlight w:val="none"/>
        </w:rPr>
        <w:t>签字</w:t>
      </w:r>
      <w:r>
        <w:rPr>
          <w:rFonts w:hint="eastAsia" w:ascii="Calibri" w:hAnsi="Calibri"/>
          <w:color w:val="auto"/>
          <w:szCs w:val="22"/>
          <w:highlight w:val="none"/>
        </w:rPr>
        <w:t>）</w:t>
      </w:r>
      <w:r>
        <w:rPr>
          <w:rFonts w:ascii="Calibri" w:hAnsi="宋体"/>
          <w:color w:val="auto"/>
          <w:szCs w:val="22"/>
          <w:highlight w:val="none"/>
        </w:rPr>
        <w:t>：</w:t>
      </w:r>
      <w:r>
        <w:rPr>
          <w:rFonts w:ascii="宋体" w:hAnsi="宋体"/>
          <w:color w:val="auto"/>
          <w:szCs w:val="22"/>
          <w:highlight w:val="none"/>
          <w:u w:val="single"/>
        </w:rPr>
        <w:t></w:t>
      </w:r>
      <w:r>
        <w:rPr>
          <w:rFonts w:ascii="Calibri" w:hAnsi="宋体"/>
          <w:color w:val="auto"/>
          <w:szCs w:val="22"/>
          <w:highlight w:val="none"/>
        </w:rPr>
        <w:t>法定代表人</w:t>
      </w:r>
      <w:r>
        <w:rPr>
          <w:rFonts w:hint="eastAsia" w:ascii="Calibri" w:hAnsi="Calibri"/>
          <w:color w:val="auto"/>
          <w:szCs w:val="22"/>
          <w:highlight w:val="none"/>
        </w:rPr>
        <w:t>（</w:t>
      </w:r>
      <w:r>
        <w:rPr>
          <w:rFonts w:ascii="Calibri" w:hAnsi="宋体"/>
          <w:color w:val="auto"/>
          <w:szCs w:val="22"/>
          <w:highlight w:val="none"/>
        </w:rPr>
        <w:t>签字</w:t>
      </w:r>
      <w:r>
        <w:rPr>
          <w:rFonts w:hint="eastAsia" w:ascii="Calibri" w:hAnsi="Calibri"/>
          <w:color w:val="auto"/>
          <w:szCs w:val="22"/>
          <w:highlight w:val="none"/>
        </w:rPr>
        <w:t>）</w:t>
      </w:r>
      <w:r>
        <w:rPr>
          <w:rFonts w:ascii="Calibri" w:hAnsi="宋体"/>
          <w:color w:val="auto"/>
          <w:szCs w:val="22"/>
          <w:highlight w:val="none"/>
        </w:rPr>
        <w:t>：</w:t>
      </w:r>
      <w:r>
        <w:rPr>
          <w:rFonts w:ascii="宋体" w:hAnsi="宋体"/>
          <w:color w:val="auto"/>
          <w:szCs w:val="22"/>
          <w:highlight w:val="none"/>
          <w:u w:val="single"/>
        </w:rPr>
        <w:t></w:t>
      </w:r>
    </w:p>
    <w:p w14:paraId="22FB605F">
      <w:pPr>
        <w:spacing w:line="360" w:lineRule="auto"/>
        <w:rPr>
          <w:rFonts w:ascii="Calibri" w:hAnsi="Calibri"/>
          <w:color w:val="auto"/>
          <w:szCs w:val="22"/>
          <w:highlight w:val="none"/>
        </w:rPr>
      </w:pPr>
      <w:r>
        <w:rPr>
          <w:rFonts w:hint="eastAsia" w:ascii="Calibri" w:hAnsi="宋体"/>
          <w:color w:val="auto"/>
          <w:szCs w:val="22"/>
          <w:highlight w:val="none"/>
        </w:rPr>
        <w:t>或其授权代理人</w:t>
      </w:r>
      <w:r>
        <w:rPr>
          <w:rFonts w:hint="eastAsia" w:ascii="Calibri" w:hAnsi="Calibri"/>
          <w:color w:val="auto"/>
          <w:szCs w:val="22"/>
          <w:highlight w:val="none"/>
        </w:rPr>
        <w:t>（</w:t>
      </w:r>
      <w:r>
        <w:rPr>
          <w:rFonts w:ascii="Calibri" w:hAnsi="宋体"/>
          <w:color w:val="auto"/>
          <w:szCs w:val="22"/>
          <w:highlight w:val="none"/>
        </w:rPr>
        <w:t>签字</w:t>
      </w:r>
      <w:r>
        <w:rPr>
          <w:rFonts w:hint="eastAsia" w:ascii="Calibri" w:hAnsi="Calibri"/>
          <w:color w:val="auto"/>
          <w:szCs w:val="22"/>
          <w:highlight w:val="none"/>
        </w:rPr>
        <w:t>）</w:t>
      </w:r>
      <w:r>
        <w:rPr>
          <w:rFonts w:ascii="Calibri" w:hAnsi="宋体"/>
          <w:color w:val="auto"/>
          <w:szCs w:val="22"/>
          <w:highlight w:val="none"/>
        </w:rPr>
        <w:t>：</w:t>
      </w:r>
      <w:r>
        <w:rPr>
          <w:rFonts w:ascii="宋体" w:hAnsi="宋体"/>
          <w:color w:val="auto"/>
          <w:szCs w:val="22"/>
          <w:highlight w:val="none"/>
          <w:u w:val="single"/>
        </w:rPr>
        <w:t></w:t>
      </w:r>
      <w:r>
        <w:rPr>
          <w:rFonts w:hint="eastAsia" w:ascii="Calibri" w:hAnsi="宋体"/>
          <w:color w:val="auto"/>
          <w:szCs w:val="22"/>
          <w:highlight w:val="none"/>
        </w:rPr>
        <w:t>或其授权代理人</w:t>
      </w:r>
      <w:r>
        <w:rPr>
          <w:rFonts w:hint="eastAsia" w:ascii="Calibri" w:hAnsi="Calibri"/>
          <w:color w:val="auto"/>
          <w:szCs w:val="22"/>
          <w:highlight w:val="none"/>
        </w:rPr>
        <w:t>（</w:t>
      </w:r>
      <w:r>
        <w:rPr>
          <w:rFonts w:ascii="Calibri" w:hAnsi="宋体"/>
          <w:color w:val="auto"/>
          <w:szCs w:val="22"/>
          <w:highlight w:val="none"/>
        </w:rPr>
        <w:t>签字</w:t>
      </w:r>
      <w:r>
        <w:rPr>
          <w:rFonts w:hint="eastAsia" w:ascii="Calibri" w:hAnsi="Calibri"/>
          <w:color w:val="auto"/>
          <w:szCs w:val="22"/>
          <w:highlight w:val="none"/>
        </w:rPr>
        <w:t>）</w:t>
      </w:r>
      <w:r>
        <w:rPr>
          <w:rFonts w:ascii="Calibri" w:hAnsi="宋体"/>
          <w:color w:val="auto"/>
          <w:szCs w:val="22"/>
          <w:highlight w:val="none"/>
        </w:rPr>
        <w:t>：</w:t>
      </w:r>
      <w:r>
        <w:rPr>
          <w:rFonts w:ascii="宋体" w:hAnsi="宋体"/>
          <w:color w:val="auto"/>
          <w:szCs w:val="22"/>
          <w:highlight w:val="none"/>
          <w:u w:val="single"/>
        </w:rPr>
        <w:t></w:t>
      </w:r>
    </w:p>
    <w:p w14:paraId="252C82D7">
      <w:pPr>
        <w:spacing w:line="360" w:lineRule="auto"/>
        <w:rPr>
          <w:rFonts w:ascii="Calibri" w:hAnsi="Calibri"/>
          <w:color w:val="auto"/>
          <w:szCs w:val="22"/>
          <w:highlight w:val="none"/>
        </w:rPr>
      </w:pPr>
      <w:r>
        <w:rPr>
          <w:rFonts w:ascii="Calibri" w:hAnsi="宋体"/>
          <w:color w:val="auto"/>
          <w:szCs w:val="22"/>
          <w:highlight w:val="none"/>
        </w:rPr>
        <w:t>电话：</w:t>
      </w:r>
      <w:r>
        <w:rPr>
          <w:rFonts w:ascii="宋体" w:hAnsi="宋体"/>
          <w:color w:val="auto"/>
          <w:szCs w:val="22"/>
          <w:highlight w:val="none"/>
          <w:u w:val="single"/>
        </w:rPr>
        <w:t></w:t>
      </w:r>
      <w:r>
        <w:rPr>
          <w:rFonts w:ascii="Calibri" w:hAnsi="宋体"/>
          <w:color w:val="auto"/>
          <w:szCs w:val="22"/>
          <w:highlight w:val="none"/>
        </w:rPr>
        <w:t>电话：</w:t>
      </w:r>
      <w:r>
        <w:rPr>
          <w:rFonts w:ascii="宋体" w:hAnsi="宋体"/>
          <w:color w:val="auto"/>
          <w:szCs w:val="22"/>
          <w:highlight w:val="none"/>
          <w:u w:val="single"/>
        </w:rPr>
        <w:t></w:t>
      </w:r>
    </w:p>
    <w:p w14:paraId="3FAA74D3">
      <w:pPr>
        <w:spacing w:line="360" w:lineRule="auto"/>
        <w:rPr>
          <w:rFonts w:ascii="Calibri" w:hAnsi="Calibri"/>
          <w:color w:val="auto"/>
          <w:szCs w:val="22"/>
          <w:highlight w:val="none"/>
        </w:rPr>
      </w:pPr>
      <w:r>
        <w:rPr>
          <w:rFonts w:ascii="Calibri" w:hAnsi="宋体"/>
          <w:color w:val="auto"/>
          <w:szCs w:val="22"/>
          <w:highlight w:val="none"/>
        </w:rPr>
        <w:t>传真：</w:t>
      </w:r>
      <w:r>
        <w:rPr>
          <w:rFonts w:ascii="宋体" w:hAnsi="宋体"/>
          <w:color w:val="auto"/>
          <w:szCs w:val="22"/>
          <w:highlight w:val="none"/>
          <w:u w:val="single"/>
        </w:rPr>
        <w:t></w:t>
      </w:r>
      <w:r>
        <w:rPr>
          <w:rFonts w:ascii="Calibri" w:hAnsi="宋体"/>
          <w:color w:val="auto"/>
          <w:szCs w:val="22"/>
          <w:highlight w:val="none"/>
        </w:rPr>
        <w:t>传真：</w:t>
      </w:r>
      <w:r>
        <w:rPr>
          <w:rFonts w:ascii="宋体" w:hAnsi="宋体"/>
          <w:color w:val="auto"/>
          <w:szCs w:val="22"/>
          <w:highlight w:val="none"/>
          <w:u w:val="single"/>
        </w:rPr>
        <w:t></w:t>
      </w:r>
    </w:p>
    <w:p w14:paraId="39C25979">
      <w:pPr>
        <w:spacing w:line="360" w:lineRule="auto"/>
        <w:rPr>
          <w:rFonts w:ascii="Calibri" w:hAnsi="Calibri"/>
          <w:color w:val="auto"/>
          <w:szCs w:val="22"/>
          <w:highlight w:val="none"/>
        </w:rPr>
      </w:pPr>
      <w:r>
        <w:rPr>
          <w:rFonts w:ascii="Calibri" w:hAnsi="宋体"/>
          <w:color w:val="auto"/>
          <w:szCs w:val="22"/>
          <w:highlight w:val="none"/>
        </w:rPr>
        <w:t>开户银行：</w:t>
      </w:r>
      <w:r>
        <w:rPr>
          <w:rFonts w:ascii="宋体" w:hAnsi="宋体"/>
          <w:color w:val="auto"/>
          <w:szCs w:val="22"/>
          <w:highlight w:val="none"/>
          <w:u w:val="single"/>
        </w:rPr>
        <w:t></w:t>
      </w:r>
      <w:r>
        <w:rPr>
          <w:rFonts w:ascii="Calibri" w:hAnsi="宋体"/>
          <w:color w:val="auto"/>
          <w:szCs w:val="22"/>
          <w:highlight w:val="none"/>
        </w:rPr>
        <w:t>开户银行：</w:t>
      </w:r>
      <w:r>
        <w:rPr>
          <w:rFonts w:ascii="宋体" w:hAnsi="宋体"/>
          <w:color w:val="auto"/>
          <w:szCs w:val="22"/>
          <w:highlight w:val="none"/>
          <w:u w:val="single"/>
        </w:rPr>
        <w:t></w:t>
      </w:r>
    </w:p>
    <w:p w14:paraId="3C58A266">
      <w:pPr>
        <w:tabs>
          <w:tab w:val="left" w:pos="2880"/>
          <w:tab w:val="left" w:pos="3060"/>
          <w:tab w:val="left" w:pos="4500"/>
        </w:tabs>
        <w:spacing w:line="360" w:lineRule="auto"/>
        <w:rPr>
          <w:rFonts w:ascii="Calibri" w:hAnsi="Calibri"/>
          <w:color w:val="auto"/>
          <w:szCs w:val="22"/>
          <w:highlight w:val="none"/>
        </w:rPr>
      </w:pPr>
      <w:r>
        <w:rPr>
          <w:rFonts w:ascii="Calibri" w:hAnsi="宋体"/>
          <w:color w:val="auto"/>
          <w:szCs w:val="22"/>
          <w:highlight w:val="none"/>
        </w:rPr>
        <w:t>账号：</w:t>
      </w:r>
      <w:r>
        <w:rPr>
          <w:rFonts w:ascii="宋体" w:hAnsi="宋体"/>
          <w:color w:val="auto"/>
          <w:szCs w:val="22"/>
          <w:highlight w:val="none"/>
          <w:u w:val="single"/>
        </w:rPr>
        <w:t></w:t>
      </w:r>
      <w:r>
        <w:rPr>
          <w:rFonts w:ascii="Calibri" w:hAnsi="宋体"/>
          <w:color w:val="auto"/>
          <w:szCs w:val="22"/>
          <w:highlight w:val="none"/>
        </w:rPr>
        <w:t>账号：</w:t>
      </w:r>
      <w:r>
        <w:rPr>
          <w:rFonts w:ascii="宋体" w:hAnsi="宋体"/>
          <w:color w:val="auto"/>
          <w:szCs w:val="22"/>
          <w:highlight w:val="none"/>
          <w:u w:val="single"/>
        </w:rPr>
        <w:t></w:t>
      </w:r>
    </w:p>
    <w:p w14:paraId="726E704C">
      <w:pPr>
        <w:spacing w:line="540" w:lineRule="exact"/>
        <w:ind w:firstLine="420" w:firstLineChars="200"/>
        <w:rPr>
          <w:rFonts w:ascii="宋体" w:hAnsi="宋体" w:cs="宋体"/>
          <w:color w:val="auto"/>
          <w:sz w:val="24"/>
          <w:highlight w:val="none"/>
        </w:rPr>
      </w:pPr>
      <w:r>
        <w:rPr>
          <w:rFonts w:ascii="Calibri" w:hAnsi="宋体"/>
          <w:color w:val="auto"/>
          <w:szCs w:val="21"/>
          <w:highlight w:val="none"/>
        </w:rPr>
        <w:t>邮政编码：</w:t>
      </w:r>
      <w:r>
        <w:rPr>
          <w:rFonts w:ascii="宋体" w:hAnsi="宋体"/>
          <w:color w:val="auto"/>
          <w:szCs w:val="21"/>
          <w:highlight w:val="none"/>
          <w:u w:val="single"/>
        </w:rPr>
        <w:t></w:t>
      </w:r>
      <w:r>
        <w:rPr>
          <w:rFonts w:ascii="Calibri" w:hAnsi="宋体"/>
          <w:color w:val="auto"/>
          <w:szCs w:val="21"/>
          <w:highlight w:val="none"/>
        </w:rPr>
        <w:t>邮政编码：</w:t>
      </w:r>
      <w:r>
        <w:rPr>
          <w:rFonts w:ascii="宋体" w:hAnsi="宋体"/>
          <w:color w:val="auto"/>
          <w:szCs w:val="21"/>
          <w:highlight w:val="none"/>
          <w:u w:val="single"/>
        </w:rPr>
        <w:t></w:t>
      </w:r>
    </w:p>
    <w:p w14:paraId="1F8E1320">
      <w:pPr>
        <w:pStyle w:val="4"/>
        <w:spacing w:line="500" w:lineRule="exact"/>
        <w:rPr>
          <w:rFonts w:ascii="宋体" w:hAnsi="宋体" w:cs="宋体"/>
          <w:color w:val="auto"/>
          <w:sz w:val="24"/>
          <w:szCs w:val="24"/>
          <w:highlight w:val="none"/>
        </w:rPr>
      </w:pPr>
    </w:p>
    <w:p w14:paraId="686C503E">
      <w:pPr>
        <w:rPr>
          <w:color w:val="auto"/>
          <w:sz w:val="24"/>
          <w:highlight w:val="none"/>
        </w:rPr>
      </w:pPr>
    </w:p>
    <w:p w14:paraId="280F9138">
      <w:pPr>
        <w:pStyle w:val="5"/>
        <w:rPr>
          <w:color w:val="auto"/>
          <w:sz w:val="24"/>
          <w:szCs w:val="24"/>
          <w:highlight w:val="none"/>
        </w:rPr>
      </w:pPr>
    </w:p>
    <w:p w14:paraId="4845D962">
      <w:pPr>
        <w:rPr>
          <w:color w:val="auto"/>
          <w:sz w:val="24"/>
          <w:highlight w:val="none"/>
        </w:rPr>
      </w:pPr>
    </w:p>
    <w:p w14:paraId="6DE7953F">
      <w:pPr>
        <w:pStyle w:val="23"/>
        <w:rPr>
          <w:color w:val="auto"/>
          <w:szCs w:val="24"/>
          <w:highlight w:val="none"/>
        </w:rPr>
      </w:pPr>
    </w:p>
    <w:p w14:paraId="42628B52">
      <w:pPr>
        <w:pStyle w:val="23"/>
        <w:rPr>
          <w:color w:val="auto"/>
          <w:szCs w:val="24"/>
          <w:highlight w:val="none"/>
        </w:rPr>
      </w:pPr>
    </w:p>
    <w:p w14:paraId="091EF384">
      <w:pPr>
        <w:pStyle w:val="23"/>
        <w:rPr>
          <w:color w:val="auto"/>
          <w:szCs w:val="24"/>
          <w:highlight w:val="none"/>
        </w:rPr>
      </w:pPr>
    </w:p>
    <w:p w14:paraId="75D62386">
      <w:pPr>
        <w:pStyle w:val="23"/>
        <w:rPr>
          <w:color w:val="auto"/>
          <w:szCs w:val="24"/>
          <w:highlight w:val="none"/>
        </w:rPr>
      </w:pPr>
    </w:p>
    <w:p w14:paraId="797A4C93">
      <w:pPr>
        <w:pStyle w:val="23"/>
        <w:rPr>
          <w:color w:val="auto"/>
          <w:szCs w:val="24"/>
          <w:highlight w:val="none"/>
        </w:rPr>
      </w:pPr>
    </w:p>
    <w:p w14:paraId="7861D052">
      <w:pPr>
        <w:pStyle w:val="23"/>
        <w:rPr>
          <w:color w:val="auto"/>
          <w:szCs w:val="24"/>
          <w:highlight w:val="none"/>
        </w:rPr>
      </w:pPr>
    </w:p>
    <w:p w14:paraId="0E7A0511">
      <w:pPr>
        <w:rPr>
          <w:color w:val="auto"/>
          <w:sz w:val="24"/>
          <w:highlight w:val="none"/>
        </w:rPr>
      </w:pPr>
    </w:p>
    <w:p w14:paraId="34E05ED6">
      <w:pPr>
        <w:pStyle w:val="23"/>
        <w:rPr>
          <w:color w:val="auto"/>
          <w:szCs w:val="24"/>
          <w:highlight w:val="none"/>
        </w:rPr>
      </w:pPr>
    </w:p>
    <w:p w14:paraId="71464224">
      <w:pPr>
        <w:pStyle w:val="252"/>
        <w:pageBreakBefore/>
        <w:spacing w:before="60" w:after="60" w:line="360" w:lineRule="auto"/>
        <w:outlineLvl w:val="1"/>
        <w:rPr>
          <w:rFonts w:ascii="宋体" w:hAnsi="宋体"/>
          <w:b/>
          <w:bCs/>
          <w:color w:val="auto"/>
          <w:sz w:val="24"/>
          <w:szCs w:val="32"/>
          <w:highlight w:val="none"/>
        </w:rPr>
      </w:pPr>
      <w:bookmarkStart w:id="1758" w:name="_Toc21343"/>
      <w:r>
        <w:rPr>
          <w:rFonts w:hint="eastAsia" w:ascii="宋体" w:hAnsi="宋体"/>
          <w:b/>
          <w:bCs/>
          <w:color w:val="auto"/>
          <w:sz w:val="28"/>
          <w:szCs w:val="28"/>
          <w:highlight w:val="none"/>
        </w:rPr>
        <w:t>附件</w:t>
      </w:r>
      <w:r>
        <w:rPr>
          <w:rFonts w:hint="eastAsia" w:ascii="宋体" w:hAnsi="宋体"/>
          <w:b/>
          <w:bCs/>
          <w:color w:val="auto"/>
          <w:sz w:val="28"/>
          <w:szCs w:val="28"/>
          <w:highlight w:val="none"/>
          <w:lang w:val="en-US" w:eastAsia="zh-CN"/>
        </w:rPr>
        <w:t>7</w:t>
      </w:r>
      <w:r>
        <w:rPr>
          <w:rFonts w:hint="eastAsia" w:ascii="宋体" w:hAnsi="宋体"/>
          <w:b/>
          <w:bCs/>
          <w:color w:val="auto"/>
          <w:sz w:val="28"/>
          <w:szCs w:val="28"/>
          <w:highlight w:val="none"/>
        </w:rPr>
        <w:t>：廉政合同</w:t>
      </w:r>
      <w:bookmarkEnd w:id="1758"/>
    </w:p>
    <w:p w14:paraId="591D2EFB">
      <w:pPr>
        <w:pStyle w:val="252"/>
        <w:spacing w:line="360" w:lineRule="auto"/>
        <w:jc w:val="center"/>
        <w:rPr>
          <w:rFonts w:ascii="宋体" w:hAnsi="宋体"/>
          <w:color w:val="auto"/>
          <w:sz w:val="28"/>
          <w:szCs w:val="28"/>
          <w:highlight w:val="none"/>
        </w:rPr>
      </w:pPr>
      <w:r>
        <w:rPr>
          <w:rFonts w:hint="eastAsia" w:ascii="宋体" w:hAnsi="宋体"/>
          <w:color w:val="auto"/>
          <w:sz w:val="28"/>
          <w:szCs w:val="28"/>
          <w:highlight w:val="none"/>
        </w:rPr>
        <w:t>廉政合同</w:t>
      </w:r>
    </w:p>
    <w:p w14:paraId="5D9A5641">
      <w:pPr>
        <w:pStyle w:val="252"/>
        <w:spacing w:line="360" w:lineRule="auto"/>
        <w:jc w:val="center"/>
        <w:rPr>
          <w:rFonts w:ascii="宋体" w:hAnsi="宋体"/>
          <w:color w:val="auto"/>
          <w:sz w:val="28"/>
          <w:szCs w:val="28"/>
          <w:highlight w:val="none"/>
        </w:rPr>
      </w:pPr>
    </w:p>
    <w:p w14:paraId="2085D40D">
      <w:pPr>
        <w:pStyle w:val="252"/>
        <w:snapToGrid w:val="0"/>
        <w:spacing w:line="360" w:lineRule="auto"/>
        <w:ind w:firstLine="420" w:firstLineChars="200"/>
        <w:rPr>
          <w:rFonts w:ascii="宋体" w:hAnsi="宋体"/>
          <w:color w:val="auto"/>
          <w:szCs w:val="21"/>
          <w:highlight w:val="none"/>
          <w:u w:val="single"/>
        </w:rPr>
      </w:pPr>
      <w:r>
        <w:rPr>
          <w:rFonts w:hint="eastAsia" w:ascii="宋体" w:hAnsi="宋体"/>
          <w:color w:val="auto"/>
          <w:szCs w:val="21"/>
          <w:highlight w:val="none"/>
        </w:rPr>
        <w:t>根据国家有关工程建设、廉政建设的规定，为做好工程建设中的党风廉政建设，保证工程建设高效优质，保证建设资金的安全和有效使用以及投资效益，建设工程的项目法人（以下简称“发包人”）与总承包单位（以下简称“承包人”），特订立如下合同。</w:t>
      </w:r>
    </w:p>
    <w:p w14:paraId="0D5EEB0C">
      <w:pPr>
        <w:pStyle w:val="252"/>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 xml:space="preserve">  1.双方的权利和义务</w:t>
      </w:r>
    </w:p>
    <w:p w14:paraId="360B798A">
      <w:pPr>
        <w:pStyle w:val="252"/>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（1）严格遵守党和国家的有关法律法规及中纪委监察部的有关规定。</w:t>
      </w:r>
    </w:p>
    <w:p w14:paraId="6171596E">
      <w:pPr>
        <w:pStyle w:val="252"/>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（2）严格执行工程的合同文件，自觉按合同办事。</w:t>
      </w:r>
    </w:p>
    <w:p w14:paraId="1E1CB463">
      <w:pPr>
        <w:pStyle w:val="252"/>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（3）双方的业务活动坚持公开、公正、诚信、透明的原则（法律认定的商业秘密和合同文件另有规定除外），不得损害国家和集体利益，违反工程建设管理规章制度。</w:t>
      </w:r>
    </w:p>
    <w:p w14:paraId="17168FB7">
      <w:pPr>
        <w:pStyle w:val="252"/>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（4）建立健全廉政制度，开展廉政教育，设立廉政告示牌，公布举报电话，监督并认真查处违法违纪行为。</w:t>
      </w:r>
    </w:p>
    <w:p w14:paraId="3290C951">
      <w:pPr>
        <w:pStyle w:val="252"/>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（5）发现对方在业务活动中有违反廉政规定的行为，有及时提醒对方纠正的权利及义务。</w:t>
      </w:r>
    </w:p>
    <w:p w14:paraId="7C730F5A">
      <w:pPr>
        <w:pStyle w:val="252"/>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（6）发现对方严重违反本合同义务条款的行为，有向其上级有关部门举报、建议给予处理并要求告知处理结果的权利。</w:t>
      </w:r>
    </w:p>
    <w:p w14:paraId="3FBB6937">
      <w:pPr>
        <w:pStyle w:val="252"/>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 xml:space="preserve">    2.发包人的义务</w:t>
      </w:r>
    </w:p>
    <w:p w14:paraId="7EEFCFC0">
      <w:pPr>
        <w:pStyle w:val="252"/>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 xml:space="preserve">  （1）发包人及其工作人员不得索要或接受承包人的礼金、有价证券和贵重物品，不得在承包人报销任何应由发包人或发包人工作人员个人支付的费用等。</w:t>
      </w:r>
    </w:p>
    <w:p w14:paraId="5451EEC4">
      <w:pPr>
        <w:pStyle w:val="252"/>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 xml:space="preserve">  （2）发包人工作人员不得参加承包人安排的超标准宴请和娱乐活动；不得接受承包人提供的通讯工具、交通工具和高档办公用品等。</w:t>
      </w:r>
    </w:p>
    <w:p w14:paraId="190B6249">
      <w:pPr>
        <w:pStyle w:val="252"/>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 xml:space="preserve">  （3）发包人及其工作人员不得要求或者接受承包人为其住房装修、婚丧嫁娶活动、配偶子女的工作安排以及出国出境、旅游等提供方便等。</w:t>
      </w:r>
    </w:p>
    <w:p w14:paraId="40D873E3">
      <w:pPr>
        <w:pStyle w:val="252"/>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 xml:space="preserve">  （4）发包人工作人及其配偶、子女不得从事与发包人工程有关的材料设备供应、工程分包、劳务等经济活动等。</w:t>
      </w:r>
    </w:p>
    <w:p w14:paraId="14A9FD47">
      <w:pPr>
        <w:pStyle w:val="252"/>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 xml:space="preserve">  （5）发包人及其工作人员不得以任何理由向承包人推荐分包单位或推销材料，不得要求承包人购买合同规定外的材料和设备。</w:t>
      </w:r>
    </w:p>
    <w:p w14:paraId="76896380">
      <w:pPr>
        <w:pStyle w:val="252"/>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（6）发包人工作人员要秉公办事，不准营私舞弊，不准利用职权从事各种个人有偿中介活动和安排个人施工队伍。</w:t>
      </w:r>
    </w:p>
    <w:p w14:paraId="535CAE85">
      <w:pPr>
        <w:pStyle w:val="252"/>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 xml:space="preserve">    3.承包人义务</w:t>
      </w:r>
    </w:p>
    <w:p w14:paraId="24BD6C28">
      <w:pPr>
        <w:pStyle w:val="252"/>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（1）承包人不得以任何理由向发包人及其工作人员行贿或馈赠礼金、有价证券、贵重礼品。</w:t>
      </w:r>
    </w:p>
    <w:p w14:paraId="56151F07">
      <w:pPr>
        <w:pStyle w:val="252"/>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（2）承包人不得以任何名义为发包人及其工作人员报销应由发包人单位或个人支付的任何费用。</w:t>
      </w:r>
    </w:p>
    <w:p w14:paraId="56CF56C9">
      <w:pPr>
        <w:pStyle w:val="252"/>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 xml:space="preserve"> （3）承包人不得以任何理由安排发包人工作人员参加超标准宴请及娱乐活动。</w:t>
      </w:r>
    </w:p>
    <w:p w14:paraId="2024A3ED">
      <w:pPr>
        <w:pStyle w:val="252"/>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 xml:space="preserve"> （4）承包人不得为发包人单位和个人购置或提供通讯工具、交通工具和高档办公用品等。</w:t>
      </w:r>
    </w:p>
    <w:p w14:paraId="7CB15BFC">
      <w:pPr>
        <w:pStyle w:val="252"/>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 xml:space="preserve"> 4.违约责任</w:t>
      </w:r>
    </w:p>
    <w:p w14:paraId="0F593907">
      <w:pPr>
        <w:pStyle w:val="252"/>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 xml:space="preserve">    （1）发包人及其工作人员违反本合同第一、二条，按管理权限，依据有关规定给予党纪、政纪或组织处理；涉嫌犯罪的，移交司法机关追究刑事责任；给承包人单位造成经济损失的，应予以赔偿。</w:t>
      </w:r>
    </w:p>
    <w:p w14:paraId="1DF795A0">
      <w:pPr>
        <w:pStyle w:val="252"/>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 xml:space="preserve">    （2）承包人及其工作人员违反本合同第一、三条，按管理权限，依据有关规定给予党纪、政纪或组织处理；给发包人单位造成经济损失的，应予以赔偿；情节严重的，发包人建议工程建设主管部门给予承包人一至三年内不得进入其主管的工程建设市场的处罚。</w:t>
      </w:r>
    </w:p>
    <w:p w14:paraId="049C49D3">
      <w:pPr>
        <w:pStyle w:val="252"/>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双方约定：本合同由双方或双方上级单位的纪检监察机关负责监督执行。由发包人或发包人上级单位的纪检监察机关约请承包人或承包人上级单位纪检监察机关对本合同执行情况进行检查，提出在本合同规定范围内的裁定意见。</w:t>
      </w:r>
    </w:p>
    <w:p w14:paraId="24124DC4">
      <w:pPr>
        <w:pStyle w:val="252"/>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6.本合同有效期为双方签署之日起至该工程项目竣工验收后止。</w:t>
      </w:r>
    </w:p>
    <w:p w14:paraId="13E98234">
      <w:pPr>
        <w:pStyle w:val="252"/>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7.本合同作为工程总承包合同的附件，与工程施工合同具有同等的法律效力。</w:t>
      </w:r>
    </w:p>
    <w:p w14:paraId="40DA239D">
      <w:pPr>
        <w:pStyle w:val="252"/>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8.本合同作为主合同附件，正本和副本份数与本合同专用条款约定相同。由双方法定代表人或其授权的代理人签署与加盖公章后生效，全部工程竣工验收后失效。</w:t>
      </w:r>
    </w:p>
    <w:p w14:paraId="2B76C238">
      <w:pPr>
        <w:pStyle w:val="252"/>
        <w:snapToGrid w:val="0"/>
        <w:spacing w:line="360" w:lineRule="auto"/>
        <w:ind w:firstLine="420" w:firstLineChars="200"/>
        <w:rPr>
          <w:rFonts w:ascii="宋体" w:hAnsi="宋体"/>
          <w:color w:val="auto"/>
          <w:szCs w:val="21"/>
          <w:highlight w:val="none"/>
        </w:rPr>
      </w:pPr>
    </w:p>
    <w:p w14:paraId="2DAF7118">
      <w:pPr>
        <w:pStyle w:val="252"/>
        <w:snapToGrid w:val="0"/>
        <w:spacing w:line="360" w:lineRule="auto"/>
        <w:ind w:firstLine="420" w:firstLineChars="200"/>
        <w:rPr>
          <w:rFonts w:ascii="宋体" w:hAnsi="宋体"/>
          <w:color w:val="auto"/>
          <w:szCs w:val="21"/>
          <w:highlight w:val="none"/>
        </w:rPr>
      </w:pPr>
    </w:p>
    <w:p w14:paraId="3127FB44">
      <w:pPr>
        <w:pStyle w:val="252"/>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 xml:space="preserve">发包人：                                    承包人：   </w:t>
      </w:r>
    </w:p>
    <w:p w14:paraId="05D8278D">
      <w:pPr>
        <w:pStyle w:val="252"/>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（公章或合同专用章）                             （公章或合同专用章）</w:t>
      </w:r>
    </w:p>
    <w:p w14:paraId="4C9709D4">
      <w:pPr>
        <w:pStyle w:val="252"/>
        <w:snapToGrid w:val="0"/>
        <w:spacing w:line="360" w:lineRule="auto"/>
        <w:ind w:firstLine="420" w:firstLineChars="200"/>
        <w:rPr>
          <w:rFonts w:ascii="宋体" w:hAnsi="宋体"/>
          <w:color w:val="auto"/>
          <w:szCs w:val="21"/>
          <w:highlight w:val="none"/>
        </w:rPr>
      </w:pPr>
    </w:p>
    <w:p w14:paraId="3FFD6C85">
      <w:pPr>
        <w:pStyle w:val="252"/>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法定代表人：                               法定代表人：</w:t>
      </w:r>
    </w:p>
    <w:p w14:paraId="53674866">
      <w:pPr>
        <w:pStyle w:val="252"/>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（签字或盖章）                                （签字或盖章）</w:t>
      </w:r>
    </w:p>
    <w:p w14:paraId="31638275">
      <w:pPr>
        <w:pStyle w:val="252"/>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或授权代理人：                             或授权代理人：</w:t>
      </w:r>
    </w:p>
    <w:p w14:paraId="33B343BC">
      <w:pPr>
        <w:pStyle w:val="252"/>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 xml:space="preserve">  （签字或盖章）                              （签字或盖章）                　　</w:t>
      </w:r>
    </w:p>
    <w:p w14:paraId="597C2389">
      <w:pPr>
        <w:pStyle w:val="252"/>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地   址：                                  地址：</w:t>
      </w:r>
    </w:p>
    <w:p w14:paraId="1E0BAB31">
      <w:pPr>
        <w:pStyle w:val="252"/>
        <w:snapToGrid w:val="0"/>
        <w:spacing w:line="360" w:lineRule="auto"/>
        <w:ind w:firstLine="420" w:firstLineChars="200"/>
        <w:rPr>
          <w:rFonts w:ascii="宋体" w:hAnsi="宋体"/>
          <w:color w:val="auto"/>
          <w:szCs w:val="21"/>
          <w:highlight w:val="none"/>
        </w:rPr>
      </w:pPr>
    </w:p>
    <w:p w14:paraId="245CEA47">
      <w:pPr>
        <w:pStyle w:val="252"/>
        <w:keepNext/>
        <w:keepLines/>
        <w:pageBreakBefore/>
        <w:spacing w:before="60" w:after="60" w:line="360" w:lineRule="auto"/>
        <w:outlineLvl w:val="1"/>
        <w:rPr>
          <w:rFonts w:ascii="宋体" w:hAnsi="宋体"/>
          <w:b/>
          <w:bCs/>
          <w:color w:val="auto"/>
          <w:sz w:val="28"/>
          <w:szCs w:val="28"/>
          <w:highlight w:val="none"/>
        </w:rPr>
      </w:pPr>
      <w:bookmarkStart w:id="1759" w:name="_Toc17747"/>
      <w:r>
        <w:rPr>
          <w:rFonts w:hint="eastAsia" w:ascii="宋体" w:hAnsi="宋体"/>
          <w:b/>
          <w:bCs/>
          <w:color w:val="auto"/>
          <w:sz w:val="28"/>
          <w:szCs w:val="28"/>
          <w:highlight w:val="none"/>
        </w:rPr>
        <w:t>附件</w:t>
      </w:r>
      <w:r>
        <w:rPr>
          <w:rFonts w:hint="eastAsia" w:ascii="宋体" w:hAnsi="宋体"/>
          <w:b/>
          <w:bCs/>
          <w:color w:val="auto"/>
          <w:sz w:val="28"/>
          <w:szCs w:val="28"/>
          <w:highlight w:val="none"/>
          <w:lang w:val="en-US" w:eastAsia="zh-CN"/>
        </w:rPr>
        <w:t>8</w:t>
      </w:r>
      <w:r>
        <w:rPr>
          <w:rFonts w:hint="eastAsia" w:ascii="宋体" w:hAnsi="宋体"/>
          <w:b/>
          <w:bCs/>
          <w:color w:val="auto"/>
          <w:sz w:val="28"/>
          <w:szCs w:val="28"/>
          <w:highlight w:val="none"/>
        </w:rPr>
        <w:t>：安全生产合同</w:t>
      </w:r>
      <w:bookmarkEnd w:id="1759"/>
    </w:p>
    <w:p w14:paraId="143CF9F9">
      <w:pPr>
        <w:pStyle w:val="252"/>
        <w:spacing w:line="360" w:lineRule="auto"/>
        <w:jc w:val="center"/>
        <w:rPr>
          <w:rFonts w:ascii="宋体" w:hAnsi="宋体"/>
          <w:color w:val="auto"/>
          <w:sz w:val="28"/>
          <w:szCs w:val="28"/>
          <w:highlight w:val="none"/>
        </w:rPr>
      </w:pPr>
      <w:r>
        <w:rPr>
          <w:rFonts w:hint="eastAsia" w:ascii="宋体" w:hAnsi="宋体"/>
          <w:color w:val="auto"/>
          <w:sz w:val="28"/>
          <w:szCs w:val="28"/>
          <w:highlight w:val="none"/>
        </w:rPr>
        <w:t>安全生产合同</w:t>
      </w:r>
    </w:p>
    <w:p w14:paraId="71036A05">
      <w:pPr>
        <w:pStyle w:val="252"/>
        <w:spacing w:line="360" w:lineRule="auto"/>
        <w:jc w:val="center"/>
        <w:rPr>
          <w:rFonts w:ascii="宋体" w:hAnsi="宋体"/>
          <w:color w:val="auto"/>
          <w:sz w:val="28"/>
          <w:szCs w:val="28"/>
          <w:highlight w:val="none"/>
        </w:rPr>
      </w:pPr>
    </w:p>
    <w:p w14:paraId="6F14616A">
      <w:pPr>
        <w:pStyle w:val="252"/>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为在施工合同的实施过程中创造安全、高效的施工环境，切实搞好本项目的安全管理工作，本项目业主（以下简称“发包人”）与承包人（以下简称“承包人”）特此签订安全生产合同：</w:t>
      </w:r>
    </w:p>
    <w:p w14:paraId="54440023">
      <w:pPr>
        <w:pStyle w:val="252"/>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一、发包人职责</w:t>
      </w:r>
    </w:p>
    <w:p w14:paraId="2B6D10A0">
      <w:pPr>
        <w:pStyle w:val="252"/>
        <w:snapToGrid w:val="0"/>
        <w:spacing w:line="360" w:lineRule="auto"/>
        <w:ind w:firstLine="420" w:firstLineChars="200"/>
        <w:rPr>
          <w:rFonts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严格遵守国家有关安全生产的法律法规，认真执行工程承包合同中的有关安全要求。</w:t>
      </w:r>
    </w:p>
    <w:p w14:paraId="6248CD59">
      <w:pPr>
        <w:pStyle w:val="252"/>
        <w:snapToGrid w:val="0"/>
        <w:spacing w:line="360" w:lineRule="auto"/>
        <w:ind w:firstLine="420" w:firstLineChars="200"/>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按照“安全第一、预防为主”和坚持“管生产必须管安全”的原则进行安全生产管理，做到生产与安全工作同时计划、布置、检查、总结和评比。</w:t>
      </w:r>
    </w:p>
    <w:p w14:paraId="794F2142">
      <w:pPr>
        <w:pStyle w:val="252"/>
        <w:snapToGrid w:val="0"/>
        <w:spacing w:line="360" w:lineRule="auto"/>
        <w:ind w:firstLine="420" w:firstLineChars="200"/>
        <w:rPr>
          <w:rFonts w:ascii="宋体" w:hAnsi="宋体"/>
          <w:color w:val="auto"/>
          <w:szCs w:val="21"/>
          <w:highlight w:val="none"/>
        </w:rPr>
      </w:pPr>
      <w:r>
        <w:rPr>
          <w:rFonts w:ascii="宋体" w:hAnsi="宋体"/>
          <w:color w:val="auto"/>
          <w:szCs w:val="21"/>
          <w:highlight w:val="none"/>
        </w:rPr>
        <w:t>3.</w:t>
      </w:r>
      <w:r>
        <w:rPr>
          <w:rFonts w:hint="eastAsia" w:ascii="宋体" w:hAnsi="宋体"/>
          <w:color w:val="auto"/>
          <w:szCs w:val="21"/>
          <w:highlight w:val="none"/>
        </w:rPr>
        <w:t>重要的安全设施必须坚持与主体工程“三同时”的原则，即：同时设计、审批，同时施工，同时验收，投入使用。</w:t>
      </w:r>
    </w:p>
    <w:p w14:paraId="72AFBB30">
      <w:pPr>
        <w:pStyle w:val="252"/>
        <w:snapToGrid w:val="0"/>
        <w:spacing w:line="360" w:lineRule="auto"/>
        <w:ind w:firstLine="420" w:firstLineChars="200"/>
        <w:rPr>
          <w:rFonts w:ascii="宋体" w:hAnsi="宋体"/>
          <w:color w:val="auto"/>
          <w:szCs w:val="21"/>
          <w:highlight w:val="none"/>
        </w:rPr>
      </w:pPr>
      <w:r>
        <w:rPr>
          <w:rFonts w:ascii="宋体" w:hAnsi="宋体"/>
          <w:color w:val="auto"/>
          <w:szCs w:val="21"/>
          <w:highlight w:val="none"/>
        </w:rPr>
        <w:t>4.</w:t>
      </w:r>
      <w:r>
        <w:rPr>
          <w:rFonts w:hint="eastAsia" w:ascii="宋体" w:hAnsi="宋体"/>
          <w:color w:val="auto"/>
          <w:szCs w:val="21"/>
          <w:highlight w:val="none"/>
        </w:rPr>
        <w:t>定期召开安全生产调度会，及时传达中央及地方有关安全生产的精神。</w:t>
      </w:r>
    </w:p>
    <w:p w14:paraId="06995446">
      <w:pPr>
        <w:pStyle w:val="252"/>
        <w:snapToGrid w:val="0"/>
        <w:spacing w:line="360" w:lineRule="auto"/>
        <w:ind w:firstLine="420" w:firstLineChars="200"/>
        <w:rPr>
          <w:rFonts w:ascii="宋体" w:hAnsi="宋体"/>
          <w:color w:val="auto"/>
          <w:szCs w:val="21"/>
          <w:highlight w:val="none"/>
        </w:rPr>
      </w:pPr>
      <w:r>
        <w:rPr>
          <w:rFonts w:ascii="宋体" w:hAnsi="宋体"/>
          <w:color w:val="auto"/>
          <w:szCs w:val="21"/>
          <w:highlight w:val="none"/>
        </w:rPr>
        <w:t>5.</w:t>
      </w:r>
      <w:r>
        <w:rPr>
          <w:rFonts w:hint="eastAsia" w:ascii="宋体" w:hAnsi="宋体"/>
          <w:color w:val="auto"/>
          <w:szCs w:val="21"/>
          <w:highlight w:val="none"/>
        </w:rPr>
        <w:t>组织对承包人施工现场安全生产检查，监督承包人及时处理发现的各种安全隐患。</w:t>
      </w:r>
    </w:p>
    <w:p w14:paraId="06A3DB22">
      <w:pPr>
        <w:pStyle w:val="252"/>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二、承包人职责</w:t>
      </w:r>
    </w:p>
    <w:p w14:paraId="4931A1F9">
      <w:pPr>
        <w:pStyle w:val="252"/>
        <w:snapToGrid w:val="0"/>
        <w:spacing w:line="360" w:lineRule="auto"/>
        <w:ind w:firstLine="420" w:firstLineChars="200"/>
        <w:rPr>
          <w:rFonts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严格遵守国家有关安全生产的法律法规及建筑工程有关安全生产的规定，认真执行工程承包合同中的有关安全要求。</w:t>
      </w:r>
    </w:p>
    <w:p w14:paraId="01CE7FD7">
      <w:pPr>
        <w:pStyle w:val="252"/>
        <w:spacing w:line="360" w:lineRule="auto"/>
        <w:rPr>
          <w:rFonts w:ascii="宋体" w:hAnsi="宋体"/>
          <w:color w:val="auto"/>
          <w:szCs w:val="21"/>
          <w:highlight w:val="none"/>
        </w:rPr>
      </w:pPr>
      <w:r>
        <w:rPr>
          <w:rFonts w:ascii="宋体" w:hAnsi="宋体"/>
          <w:color w:val="auto"/>
          <w:szCs w:val="21"/>
          <w:highlight w:val="none"/>
        </w:rPr>
        <w:t xml:space="preserve">    2.</w:t>
      </w:r>
      <w:r>
        <w:rPr>
          <w:rFonts w:hint="eastAsia" w:ascii="宋体" w:hAnsi="宋体"/>
          <w:color w:val="auto"/>
          <w:szCs w:val="21"/>
          <w:highlight w:val="none"/>
        </w:rPr>
        <w:t>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条款的各项规定，做到生产与安全工作同时计划、布置、检查、总结和评比。</w:t>
      </w:r>
    </w:p>
    <w:p w14:paraId="3BEBABD8">
      <w:pPr>
        <w:pStyle w:val="252"/>
        <w:spacing w:line="360" w:lineRule="auto"/>
        <w:rPr>
          <w:rFonts w:ascii="宋体" w:hAnsi="宋体"/>
          <w:color w:val="auto"/>
          <w:szCs w:val="21"/>
          <w:highlight w:val="none"/>
        </w:rPr>
      </w:pPr>
      <w:r>
        <w:rPr>
          <w:rFonts w:ascii="宋体" w:hAnsi="宋体"/>
          <w:color w:val="auto"/>
          <w:szCs w:val="21"/>
          <w:highlight w:val="none"/>
        </w:rPr>
        <w:t xml:space="preserve">    3.</w:t>
      </w:r>
      <w:r>
        <w:rPr>
          <w:rFonts w:hint="eastAsia" w:ascii="宋体" w:hAnsi="宋体"/>
          <w:color w:val="auto"/>
          <w:szCs w:val="21"/>
          <w:highlight w:val="none"/>
        </w:rPr>
        <w:t>建立健全安全生产责任制。从派往项目实施的项目负责人到生产工人（包括临时雇请的民工）的安全生产管理系统必须做到纵向到底，一环不漏；各职能部门、人员的安全生产责任制做到横向到边，人人有责。项目负责人是安全生产的第一责任人。现场设置的安全机构，应按施工人员的</w:t>
      </w:r>
      <w:r>
        <w:rPr>
          <w:rFonts w:ascii="宋体" w:hAnsi="宋体"/>
          <w:color w:val="auto"/>
          <w:szCs w:val="21"/>
          <w:highlight w:val="none"/>
        </w:rPr>
        <w:t>1%~3%</w:t>
      </w:r>
      <w:r>
        <w:rPr>
          <w:rFonts w:hint="eastAsia" w:ascii="宋体" w:hAnsi="宋体"/>
          <w:color w:val="auto"/>
          <w:szCs w:val="21"/>
          <w:highlight w:val="none"/>
        </w:rPr>
        <w:t>配备安全员，专职负责所有员工的安全和治安保卫工作及预防事故的发生。安全机构人员，有权按有关规定发布指令，并采取保护性措施防止事故发生。</w:t>
      </w:r>
    </w:p>
    <w:p w14:paraId="3AB7DEAA">
      <w:pPr>
        <w:pStyle w:val="252"/>
        <w:spacing w:line="360" w:lineRule="auto"/>
        <w:rPr>
          <w:rFonts w:ascii="宋体" w:hAnsi="宋体"/>
          <w:color w:val="auto"/>
          <w:szCs w:val="21"/>
          <w:highlight w:val="none"/>
        </w:rPr>
      </w:pPr>
      <w:r>
        <w:rPr>
          <w:rFonts w:ascii="宋体" w:hAnsi="宋体"/>
          <w:color w:val="auto"/>
          <w:szCs w:val="21"/>
          <w:highlight w:val="none"/>
        </w:rPr>
        <w:t xml:space="preserve">    4.</w:t>
      </w:r>
      <w:r>
        <w:rPr>
          <w:rFonts w:hint="eastAsia" w:ascii="宋体" w:hAnsi="宋体"/>
          <w:color w:val="auto"/>
          <w:szCs w:val="21"/>
          <w:highlight w:val="none"/>
        </w:rPr>
        <w:t>承包人在任何时候都应采取各种合理的预防措施，防止其员工发生任何违法、违禁、暴力或妨碍治安的行为。</w:t>
      </w:r>
    </w:p>
    <w:p w14:paraId="34149888">
      <w:pPr>
        <w:pStyle w:val="252"/>
        <w:spacing w:line="360" w:lineRule="auto"/>
        <w:rPr>
          <w:rFonts w:ascii="宋体" w:hAnsi="宋体"/>
          <w:color w:val="auto"/>
          <w:szCs w:val="21"/>
          <w:highlight w:val="none"/>
        </w:rPr>
      </w:pPr>
      <w:r>
        <w:rPr>
          <w:rFonts w:ascii="宋体" w:hAnsi="宋体"/>
          <w:color w:val="auto"/>
          <w:szCs w:val="21"/>
          <w:highlight w:val="none"/>
        </w:rPr>
        <w:t xml:space="preserve">    5.</w:t>
      </w:r>
      <w:r>
        <w:rPr>
          <w:rFonts w:hint="eastAsia" w:ascii="宋体" w:hAnsi="宋体"/>
          <w:color w:val="auto"/>
          <w:szCs w:val="21"/>
          <w:highlight w:val="none"/>
        </w:rPr>
        <w:t>承包人必须具有劳动安全管理部门颁发的安全生产证书，参加施工的人员，必须接受安全技术教育，熟知和遵守本工种的各项安全技术操作规程，定期进行安全技术考核，合格者方准上岗操作。对于从事电气、起重、建筑登高架设作业、锅炉、压力容器、焊接、机动车船艇驾驶、爆破、潜水、瓦斯检验等特殊工种的人员，经过专业培训，获得《安全操作合格证》后，方准持证上岗。施工现场如出现特种作业无证操作现象，项目负责人必须承担管理责任。</w:t>
      </w:r>
    </w:p>
    <w:p w14:paraId="3225BF92">
      <w:pPr>
        <w:pStyle w:val="252"/>
        <w:spacing w:line="360" w:lineRule="auto"/>
        <w:rPr>
          <w:rFonts w:ascii="宋体" w:hAnsi="宋体"/>
          <w:color w:val="auto"/>
          <w:szCs w:val="21"/>
          <w:highlight w:val="none"/>
        </w:rPr>
      </w:pPr>
      <w:r>
        <w:rPr>
          <w:rFonts w:ascii="宋体" w:hAnsi="宋体"/>
          <w:color w:val="auto"/>
          <w:szCs w:val="21"/>
          <w:highlight w:val="none"/>
        </w:rPr>
        <w:t xml:space="preserve">    6.</w:t>
      </w:r>
      <w:r>
        <w:rPr>
          <w:rFonts w:hint="eastAsia" w:ascii="宋体" w:hAnsi="宋体"/>
          <w:color w:val="auto"/>
          <w:szCs w:val="21"/>
          <w:highlight w:val="none"/>
        </w:rPr>
        <w:t>对于易燃易爆的材料除应专门妥善保管之外，还应配备有足够的消防设施，所有施工人员都应熟悉消防设备的性能和使用方法；承包人不得将任何种类的爆炸物给予、易货或以其他方式转让给任何其他人，或允许、容忍上述同样行为。</w:t>
      </w:r>
    </w:p>
    <w:p w14:paraId="2B97737C">
      <w:pPr>
        <w:pStyle w:val="252"/>
        <w:spacing w:line="360" w:lineRule="auto"/>
        <w:rPr>
          <w:rFonts w:ascii="宋体" w:hAnsi="宋体"/>
          <w:color w:val="auto"/>
          <w:szCs w:val="21"/>
          <w:highlight w:val="none"/>
        </w:rPr>
      </w:pPr>
      <w:r>
        <w:rPr>
          <w:rFonts w:ascii="宋体" w:hAnsi="宋体"/>
          <w:color w:val="auto"/>
          <w:szCs w:val="21"/>
          <w:highlight w:val="none"/>
        </w:rPr>
        <w:t xml:space="preserve">    7.</w:t>
      </w:r>
      <w:r>
        <w:rPr>
          <w:rFonts w:hint="eastAsia" w:ascii="宋体" w:hAnsi="宋体"/>
          <w:color w:val="auto"/>
          <w:szCs w:val="21"/>
          <w:highlight w:val="none"/>
        </w:rPr>
        <w:t>操作人员上岗，必须按规定穿戴防护用品。项目经理和安全检查员应随时检查劳动防护用品的穿戴情况，不按规定穿戴防护用品的人员不得上岗。</w:t>
      </w:r>
    </w:p>
    <w:p w14:paraId="6500F43B">
      <w:pPr>
        <w:pStyle w:val="252"/>
        <w:spacing w:line="360" w:lineRule="auto"/>
        <w:rPr>
          <w:rFonts w:ascii="宋体" w:hAnsi="宋体"/>
          <w:color w:val="auto"/>
          <w:szCs w:val="21"/>
          <w:highlight w:val="none"/>
        </w:rPr>
      </w:pPr>
      <w:r>
        <w:rPr>
          <w:rFonts w:ascii="宋体" w:hAnsi="宋体"/>
          <w:color w:val="auto"/>
          <w:szCs w:val="21"/>
          <w:highlight w:val="none"/>
        </w:rPr>
        <w:t xml:space="preserve">    8.</w:t>
      </w:r>
      <w:r>
        <w:rPr>
          <w:rFonts w:hint="eastAsia" w:ascii="宋体" w:hAnsi="宋体"/>
          <w:color w:val="auto"/>
          <w:szCs w:val="21"/>
          <w:highlight w:val="none"/>
        </w:rPr>
        <w:t>所有施工机械设备和高空作业的设备均应定期检查，并有安全员的签字记录，保证其经常处于完好状态；不合格的机具、设备和劳动保护用品严禁使用。</w:t>
      </w:r>
    </w:p>
    <w:p w14:paraId="5BEB6C4B">
      <w:pPr>
        <w:pStyle w:val="252"/>
        <w:spacing w:line="360" w:lineRule="auto"/>
        <w:rPr>
          <w:rFonts w:ascii="宋体" w:hAnsi="宋体"/>
          <w:color w:val="auto"/>
          <w:szCs w:val="21"/>
          <w:highlight w:val="none"/>
        </w:rPr>
      </w:pPr>
      <w:r>
        <w:rPr>
          <w:rFonts w:ascii="宋体" w:hAnsi="宋体"/>
          <w:color w:val="auto"/>
          <w:szCs w:val="21"/>
          <w:highlight w:val="none"/>
        </w:rPr>
        <w:t xml:space="preserve">    9.</w:t>
      </w:r>
      <w:r>
        <w:rPr>
          <w:rFonts w:hint="eastAsia" w:ascii="宋体" w:hAnsi="宋体"/>
          <w:color w:val="auto"/>
          <w:szCs w:val="21"/>
          <w:highlight w:val="none"/>
        </w:rPr>
        <w:t>施工中采用新技术、新工艺、新设备、新材料时，必须制定相应的安全技术措施，施工现场必须具有相关的安全标志牌。</w:t>
      </w:r>
    </w:p>
    <w:p w14:paraId="362FC76D">
      <w:pPr>
        <w:pStyle w:val="252"/>
        <w:spacing w:line="360" w:lineRule="auto"/>
        <w:rPr>
          <w:rFonts w:ascii="宋体" w:hAnsi="宋体"/>
          <w:color w:val="auto"/>
          <w:szCs w:val="21"/>
          <w:highlight w:val="none"/>
        </w:rPr>
      </w:pPr>
      <w:r>
        <w:rPr>
          <w:rFonts w:ascii="宋体" w:hAnsi="宋体"/>
          <w:color w:val="auto"/>
          <w:szCs w:val="21"/>
          <w:highlight w:val="none"/>
        </w:rPr>
        <w:t xml:space="preserve">    10.</w:t>
      </w:r>
      <w:r>
        <w:rPr>
          <w:rFonts w:hint="eastAsia" w:ascii="宋体" w:hAnsi="宋体"/>
          <w:color w:val="auto"/>
          <w:szCs w:val="21"/>
          <w:highlight w:val="none"/>
        </w:rPr>
        <w:t>承包人必须按照本工程项目特点，组织制定本工程实施中的生产安全事故应急救援预案；如果发生安全事故，应按照《国务院关于特大安全事故行政责任追究的规定》以及其它有关规定，及时上报有关部门，并坚持“四不放过”的原则，严肃处理相关责任人。</w:t>
      </w:r>
    </w:p>
    <w:p w14:paraId="5CE15235">
      <w:pPr>
        <w:pStyle w:val="252"/>
        <w:spacing w:line="360" w:lineRule="auto"/>
        <w:rPr>
          <w:rFonts w:ascii="宋体" w:hAnsi="宋体"/>
          <w:b/>
          <w:color w:val="auto"/>
          <w:szCs w:val="21"/>
          <w:highlight w:val="none"/>
        </w:rPr>
      </w:pPr>
      <w:r>
        <w:rPr>
          <w:rFonts w:hint="eastAsia" w:ascii="宋体" w:hAnsi="宋体"/>
          <w:b/>
          <w:color w:val="auto"/>
          <w:szCs w:val="21"/>
          <w:highlight w:val="none"/>
        </w:rPr>
        <w:t>三、违约责任</w:t>
      </w:r>
    </w:p>
    <w:p w14:paraId="18392B3B">
      <w:pPr>
        <w:pStyle w:val="252"/>
        <w:spacing w:line="360" w:lineRule="auto"/>
        <w:rPr>
          <w:rFonts w:ascii="宋体" w:hAnsi="宋体"/>
          <w:color w:val="auto"/>
          <w:szCs w:val="21"/>
          <w:highlight w:val="none"/>
        </w:rPr>
      </w:pPr>
      <w:r>
        <w:rPr>
          <w:rFonts w:hint="eastAsia" w:ascii="宋体" w:hAnsi="宋体"/>
          <w:color w:val="auto"/>
          <w:szCs w:val="21"/>
          <w:highlight w:val="none"/>
        </w:rPr>
        <w:t>如因发包人或承包人违约造成安全事故，将依法追究责任。</w:t>
      </w:r>
    </w:p>
    <w:p w14:paraId="53A4852D">
      <w:pPr>
        <w:pStyle w:val="252"/>
        <w:spacing w:line="360" w:lineRule="auto"/>
        <w:rPr>
          <w:rFonts w:ascii="宋体" w:hAnsi="宋体"/>
          <w:color w:val="auto"/>
          <w:szCs w:val="21"/>
          <w:highlight w:val="none"/>
        </w:rPr>
      </w:pPr>
      <w:r>
        <w:rPr>
          <w:rFonts w:hint="eastAsia" w:ascii="宋体" w:hAnsi="宋体"/>
          <w:color w:val="auto"/>
          <w:szCs w:val="21"/>
          <w:highlight w:val="none"/>
        </w:rPr>
        <w:t>本合同作为主合同附件，正本和副本份数与本合同专用条款定相同。由双方法定代表人或其授权的代理人签署与加盖公章后生效，全部工程竣工验收后失效。</w:t>
      </w:r>
    </w:p>
    <w:p w14:paraId="0F48F0F7">
      <w:pPr>
        <w:pStyle w:val="252"/>
        <w:spacing w:line="360" w:lineRule="auto"/>
        <w:rPr>
          <w:rFonts w:ascii="宋体" w:hAnsi="宋体"/>
          <w:color w:val="auto"/>
          <w:szCs w:val="21"/>
          <w:highlight w:val="none"/>
        </w:rPr>
      </w:pPr>
    </w:p>
    <w:p w14:paraId="1BEDC7B0">
      <w:pPr>
        <w:pStyle w:val="252"/>
        <w:spacing w:line="360" w:lineRule="auto"/>
        <w:rPr>
          <w:rFonts w:ascii="宋体" w:hAnsi="宋体"/>
          <w:color w:val="auto"/>
          <w:szCs w:val="21"/>
          <w:highlight w:val="none"/>
        </w:rPr>
      </w:pPr>
      <w:r>
        <w:rPr>
          <w:rFonts w:hint="eastAsia" w:ascii="宋体" w:hAnsi="宋体"/>
          <w:color w:val="auto"/>
          <w:szCs w:val="21"/>
          <w:highlight w:val="none"/>
        </w:rPr>
        <w:t xml:space="preserve">发包人：                                  承包人：    </w:t>
      </w:r>
    </w:p>
    <w:p w14:paraId="1CA94B1F">
      <w:pPr>
        <w:pStyle w:val="252"/>
        <w:spacing w:line="360" w:lineRule="auto"/>
        <w:ind w:firstLine="840" w:firstLineChars="400"/>
        <w:rPr>
          <w:rFonts w:ascii="宋体" w:hAnsi="宋体"/>
          <w:color w:val="auto"/>
          <w:szCs w:val="21"/>
          <w:highlight w:val="none"/>
        </w:rPr>
      </w:pPr>
    </w:p>
    <w:p w14:paraId="7685FAD0">
      <w:pPr>
        <w:pStyle w:val="252"/>
        <w:spacing w:line="360" w:lineRule="auto"/>
        <w:rPr>
          <w:rFonts w:ascii="宋体" w:hAnsi="宋体"/>
          <w:color w:val="auto"/>
          <w:szCs w:val="21"/>
          <w:highlight w:val="none"/>
        </w:rPr>
      </w:pPr>
      <w:r>
        <w:rPr>
          <w:rFonts w:hint="eastAsia" w:ascii="宋体" w:hAnsi="宋体"/>
          <w:color w:val="auto"/>
          <w:szCs w:val="21"/>
          <w:highlight w:val="none"/>
        </w:rPr>
        <w:t>（公章或合同专用章）                   （公章或合同专用章）</w:t>
      </w:r>
    </w:p>
    <w:p w14:paraId="106FCA0D">
      <w:pPr>
        <w:pStyle w:val="252"/>
        <w:spacing w:line="360" w:lineRule="auto"/>
        <w:rPr>
          <w:rFonts w:ascii="宋体" w:hAnsi="宋体"/>
          <w:color w:val="auto"/>
          <w:szCs w:val="21"/>
          <w:highlight w:val="none"/>
        </w:rPr>
      </w:pPr>
      <w:r>
        <w:rPr>
          <w:rFonts w:hint="eastAsia" w:ascii="宋体" w:hAnsi="宋体"/>
          <w:color w:val="auto"/>
          <w:szCs w:val="21"/>
          <w:highlight w:val="none"/>
        </w:rPr>
        <w:t>法定代表人：                       法定代表人：</w:t>
      </w:r>
    </w:p>
    <w:p w14:paraId="04E6F3FA">
      <w:pPr>
        <w:pStyle w:val="252"/>
        <w:spacing w:line="360" w:lineRule="auto"/>
        <w:rPr>
          <w:rFonts w:ascii="宋体" w:hAnsi="宋体"/>
          <w:color w:val="auto"/>
          <w:szCs w:val="21"/>
          <w:highlight w:val="none"/>
        </w:rPr>
      </w:pPr>
      <w:r>
        <w:rPr>
          <w:rFonts w:hint="eastAsia" w:ascii="宋体" w:hAnsi="宋体"/>
          <w:color w:val="auto"/>
          <w:szCs w:val="21"/>
          <w:highlight w:val="none"/>
        </w:rPr>
        <w:t>（签字或盖章）                                （签字或盖章）</w:t>
      </w:r>
    </w:p>
    <w:p w14:paraId="1824140A">
      <w:pPr>
        <w:pStyle w:val="252"/>
        <w:spacing w:line="360" w:lineRule="auto"/>
        <w:rPr>
          <w:rFonts w:ascii="宋体" w:hAnsi="宋体"/>
          <w:color w:val="auto"/>
          <w:szCs w:val="21"/>
          <w:highlight w:val="none"/>
        </w:rPr>
      </w:pPr>
      <w:r>
        <w:rPr>
          <w:rFonts w:hint="eastAsia" w:ascii="宋体" w:hAnsi="宋体"/>
          <w:color w:val="auto"/>
          <w:szCs w:val="21"/>
          <w:highlight w:val="none"/>
        </w:rPr>
        <w:t>或授权代理人：                             或授权代理人：</w:t>
      </w:r>
    </w:p>
    <w:p w14:paraId="30A7A18A">
      <w:pPr>
        <w:pStyle w:val="252"/>
        <w:spacing w:line="360" w:lineRule="auto"/>
        <w:rPr>
          <w:rFonts w:ascii="宋体" w:hAnsi="宋体"/>
          <w:color w:val="auto"/>
          <w:szCs w:val="21"/>
          <w:highlight w:val="none"/>
        </w:rPr>
      </w:pPr>
      <w:r>
        <w:rPr>
          <w:rFonts w:hint="eastAsia" w:ascii="宋体" w:hAnsi="宋体"/>
          <w:color w:val="auto"/>
          <w:szCs w:val="21"/>
          <w:highlight w:val="none"/>
        </w:rPr>
        <w:t>（签字或盖章）                           （签字或盖章）　　</w:t>
      </w:r>
    </w:p>
    <w:p w14:paraId="505BC5A3">
      <w:pPr>
        <w:rPr>
          <w:rFonts w:ascii="Calibri" w:hAnsi="Calibri"/>
          <w:color w:val="auto"/>
          <w:sz w:val="20"/>
          <w:szCs w:val="22"/>
          <w:highlight w:val="none"/>
        </w:rPr>
      </w:pPr>
      <w:r>
        <w:rPr>
          <w:rFonts w:hint="eastAsia" w:ascii="宋体" w:hAnsi="宋体"/>
          <w:color w:val="auto"/>
          <w:szCs w:val="21"/>
          <w:highlight w:val="none"/>
        </w:rPr>
        <w:t>地   址：                                  地址：</w:t>
      </w:r>
      <w:r>
        <w:rPr>
          <w:rFonts w:hint="eastAsia" w:ascii="Calibri" w:hAnsi="Calibri"/>
          <w:color w:val="auto"/>
          <w:sz w:val="20"/>
          <w:szCs w:val="22"/>
          <w:highlight w:val="none"/>
        </w:rPr>
        <w:t xml:space="preserve"> </w:t>
      </w:r>
      <w:bookmarkEnd w:id="56"/>
    </w:p>
    <w:p w14:paraId="4E0FCD8C">
      <w:pPr>
        <w:pStyle w:val="70"/>
        <w:rPr>
          <w:color w:val="auto"/>
          <w:highlight w:val="none"/>
        </w:rPr>
        <w:sectPr>
          <w:footerReference r:id="rId10" w:type="first"/>
          <w:pgSz w:w="11907" w:h="16840"/>
          <w:pgMar w:top="1440" w:right="1440" w:bottom="1440" w:left="1418" w:header="851" w:footer="851" w:gutter="0"/>
          <w:cols w:space="720" w:num="1"/>
          <w:docGrid w:linePitch="312" w:charSpace="0"/>
        </w:sectPr>
      </w:pPr>
    </w:p>
    <w:p w14:paraId="09EB7005">
      <w:pPr>
        <w:pStyle w:val="3"/>
        <w:spacing w:line="360" w:lineRule="auto"/>
        <w:ind w:right="384" w:rightChars="183"/>
        <w:jc w:val="center"/>
        <w:rPr>
          <w:rFonts w:asciiTheme="minorEastAsia" w:hAnsiTheme="minorEastAsia" w:eastAsiaTheme="minorEastAsia"/>
          <w:color w:val="auto"/>
          <w:highlight w:val="none"/>
        </w:rPr>
      </w:pPr>
      <w:bookmarkStart w:id="1760" w:name="_Toc25752"/>
      <w:r>
        <w:rPr>
          <w:rFonts w:hint="eastAsia" w:asciiTheme="minorEastAsia" w:hAnsiTheme="minorEastAsia" w:eastAsiaTheme="minorEastAsia"/>
          <w:color w:val="auto"/>
          <w:highlight w:val="none"/>
        </w:rPr>
        <w:t>第七章  磋商响应文件格式</w:t>
      </w:r>
      <w:bookmarkEnd w:id="39"/>
      <w:bookmarkEnd w:id="1760"/>
    </w:p>
    <w:bookmarkEnd w:id="40"/>
    <w:bookmarkEnd w:id="41"/>
    <w:p w14:paraId="150D954D">
      <w:pPr>
        <w:spacing w:line="500" w:lineRule="exact"/>
        <w:jc w:val="center"/>
        <w:rPr>
          <w:rFonts w:hAnsi="宋体"/>
          <w:color w:val="auto"/>
          <w:sz w:val="28"/>
          <w:szCs w:val="28"/>
          <w:highlight w:val="none"/>
        </w:rPr>
      </w:pPr>
      <w:r>
        <w:rPr>
          <w:rFonts w:hint="eastAsia" w:hAnsi="宋体"/>
          <w:color w:val="auto"/>
          <w:sz w:val="28"/>
          <w:szCs w:val="28"/>
          <w:highlight w:val="none"/>
        </w:rPr>
        <w:t>全流程电子标</w:t>
      </w:r>
    </w:p>
    <w:p w14:paraId="5FC80D43">
      <w:pPr>
        <w:spacing w:line="500" w:lineRule="exact"/>
        <w:jc w:val="center"/>
        <w:rPr>
          <w:rFonts w:hAnsi="宋体"/>
          <w:b/>
          <w:color w:val="auto"/>
          <w:sz w:val="44"/>
          <w:szCs w:val="32"/>
          <w:highlight w:val="none"/>
        </w:rPr>
      </w:pPr>
    </w:p>
    <w:p w14:paraId="648CEDED">
      <w:pPr>
        <w:spacing w:line="500" w:lineRule="exact"/>
        <w:jc w:val="center"/>
        <w:rPr>
          <w:rFonts w:hAnsi="宋体"/>
          <w:b/>
          <w:color w:val="auto"/>
          <w:sz w:val="40"/>
          <w:szCs w:val="32"/>
          <w:highlight w:val="none"/>
        </w:rPr>
        <w:sectPr>
          <w:pgSz w:w="11906" w:h="16838"/>
          <w:pgMar w:top="1304" w:right="1304" w:bottom="1304" w:left="1304" w:header="720" w:footer="720" w:gutter="0"/>
          <w:cols w:space="720" w:num="1"/>
          <w:docGrid w:type="lines" w:linePitch="312" w:charSpace="0"/>
        </w:sectPr>
      </w:pPr>
    </w:p>
    <w:p w14:paraId="5652702F">
      <w:pPr>
        <w:spacing w:line="500" w:lineRule="exact"/>
        <w:jc w:val="center"/>
        <w:rPr>
          <w:rFonts w:hAnsi="宋体"/>
          <w:b/>
          <w:color w:val="auto"/>
          <w:sz w:val="40"/>
          <w:szCs w:val="32"/>
          <w:highlight w:val="none"/>
        </w:rPr>
      </w:pPr>
    </w:p>
    <w:p w14:paraId="4386B4B0">
      <w:pPr>
        <w:spacing w:line="500" w:lineRule="exact"/>
        <w:jc w:val="center"/>
        <w:rPr>
          <w:rFonts w:hAnsi="宋体"/>
          <w:b/>
          <w:color w:val="auto"/>
          <w:sz w:val="44"/>
          <w:szCs w:val="44"/>
          <w:highlight w:val="none"/>
        </w:rPr>
      </w:pPr>
      <w:r>
        <w:rPr>
          <w:rFonts w:hint="eastAsia" w:hAnsi="宋体"/>
          <w:b/>
          <w:color w:val="auto"/>
          <w:sz w:val="44"/>
          <w:szCs w:val="44"/>
          <w:highlight w:val="none"/>
        </w:rPr>
        <w:t>磋商响应文件</w:t>
      </w:r>
    </w:p>
    <w:p w14:paraId="55AD3085">
      <w:pPr>
        <w:spacing w:line="500" w:lineRule="exact"/>
        <w:jc w:val="center"/>
        <w:rPr>
          <w:rFonts w:hAnsi="宋体"/>
          <w:color w:val="auto"/>
          <w:sz w:val="28"/>
          <w:szCs w:val="28"/>
          <w:highlight w:val="none"/>
        </w:rPr>
      </w:pPr>
    </w:p>
    <w:p w14:paraId="190E40F0">
      <w:pPr>
        <w:spacing w:line="500" w:lineRule="exact"/>
        <w:jc w:val="center"/>
        <w:rPr>
          <w:rFonts w:hAnsi="宋体"/>
          <w:color w:val="auto"/>
          <w:sz w:val="28"/>
          <w:szCs w:val="28"/>
          <w:highlight w:val="none"/>
        </w:rPr>
      </w:pPr>
    </w:p>
    <w:p w14:paraId="20F81B72">
      <w:pPr>
        <w:spacing w:line="500" w:lineRule="exact"/>
        <w:ind w:firstLine="2125" w:firstLineChars="759"/>
        <w:rPr>
          <w:rFonts w:hAnsi="宋体"/>
          <w:color w:val="auto"/>
          <w:sz w:val="28"/>
          <w:szCs w:val="28"/>
          <w:highlight w:val="none"/>
          <w:u w:val="single"/>
        </w:rPr>
      </w:pPr>
      <w:r>
        <w:rPr>
          <w:rFonts w:hint="eastAsia" w:hAnsi="宋体"/>
          <w:color w:val="auto"/>
          <w:sz w:val="28"/>
          <w:szCs w:val="28"/>
          <w:highlight w:val="none"/>
        </w:rPr>
        <w:t>项目编号：</w:t>
      </w:r>
      <w:r>
        <w:rPr>
          <w:rFonts w:hint="eastAsia" w:hAnsi="宋体"/>
          <w:color w:val="auto"/>
          <w:sz w:val="28"/>
          <w:szCs w:val="28"/>
          <w:highlight w:val="none"/>
          <w:u w:val="single"/>
        </w:rPr>
        <w:t xml:space="preserve">                       </w:t>
      </w:r>
    </w:p>
    <w:p w14:paraId="447BB60E">
      <w:pPr>
        <w:tabs>
          <w:tab w:val="left" w:pos="3240"/>
        </w:tabs>
        <w:spacing w:line="500" w:lineRule="exact"/>
        <w:ind w:firstLine="2125" w:firstLineChars="759"/>
        <w:rPr>
          <w:rFonts w:hAnsi="宋体"/>
          <w:color w:val="auto"/>
          <w:sz w:val="28"/>
          <w:szCs w:val="28"/>
          <w:highlight w:val="none"/>
          <w:u w:val="single"/>
        </w:rPr>
      </w:pPr>
      <w:r>
        <w:rPr>
          <w:rFonts w:hint="eastAsia" w:hAnsi="宋体"/>
          <w:color w:val="auto"/>
          <w:sz w:val="28"/>
          <w:szCs w:val="28"/>
          <w:highlight w:val="none"/>
        </w:rPr>
        <w:t>项目名称：</w:t>
      </w:r>
      <w:r>
        <w:rPr>
          <w:rFonts w:hint="eastAsia" w:hAnsi="宋体"/>
          <w:color w:val="auto"/>
          <w:sz w:val="28"/>
          <w:szCs w:val="28"/>
          <w:highlight w:val="none"/>
          <w:u w:val="single"/>
        </w:rPr>
        <w:t xml:space="preserve">                       </w:t>
      </w:r>
    </w:p>
    <w:p w14:paraId="179E664C">
      <w:pPr>
        <w:tabs>
          <w:tab w:val="left" w:pos="2625"/>
        </w:tabs>
        <w:spacing w:line="500" w:lineRule="exact"/>
        <w:ind w:firstLine="2125" w:firstLineChars="759"/>
        <w:jc w:val="left"/>
        <w:rPr>
          <w:rFonts w:hAnsi="宋体"/>
          <w:color w:val="auto"/>
          <w:sz w:val="28"/>
          <w:szCs w:val="28"/>
          <w:highlight w:val="none"/>
          <w:u w:val="single"/>
        </w:rPr>
      </w:pPr>
      <w:r>
        <w:rPr>
          <w:rFonts w:hint="eastAsia" w:hAnsi="宋体"/>
          <w:color w:val="auto"/>
          <w:sz w:val="28"/>
          <w:szCs w:val="28"/>
          <w:highlight w:val="none"/>
        </w:rPr>
        <w:t>供应商名称：</w:t>
      </w:r>
      <w:r>
        <w:rPr>
          <w:rFonts w:hint="eastAsia" w:hAnsi="宋体"/>
          <w:color w:val="auto"/>
          <w:sz w:val="28"/>
          <w:szCs w:val="28"/>
          <w:highlight w:val="none"/>
          <w:u w:val="single"/>
        </w:rPr>
        <w:t xml:space="preserve">                     </w:t>
      </w:r>
    </w:p>
    <w:p w14:paraId="33A5B65D">
      <w:pPr>
        <w:tabs>
          <w:tab w:val="left" w:pos="2625"/>
        </w:tabs>
        <w:spacing w:line="500" w:lineRule="exact"/>
        <w:ind w:firstLine="2125" w:firstLineChars="759"/>
        <w:jc w:val="left"/>
        <w:rPr>
          <w:rFonts w:hAnsi="宋体"/>
          <w:color w:val="auto"/>
          <w:sz w:val="28"/>
          <w:szCs w:val="28"/>
          <w:highlight w:val="none"/>
          <w:u w:val="single"/>
        </w:rPr>
      </w:pPr>
      <w:r>
        <w:rPr>
          <w:rFonts w:hint="eastAsia" w:hAnsi="宋体"/>
          <w:color w:val="auto"/>
          <w:sz w:val="28"/>
          <w:szCs w:val="28"/>
          <w:highlight w:val="none"/>
        </w:rPr>
        <w:t>供应商地址：</w:t>
      </w:r>
      <w:r>
        <w:rPr>
          <w:rFonts w:hint="eastAsia" w:hAnsi="宋体"/>
          <w:color w:val="auto"/>
          <w:sz w:val="28"/>
          <w:szCs w:val="28"/>
          <w:highlight w:val="none"/>
          <w:u w:val="single"/>
        </w:rPr>
        <w:t xml:space="preserve">                     </w:t>
      </w:r>
    </w:p>
    <w:p w14:paraId="2DF3D4C3">
      <w:pPr>
        <w:tabs>
          <w:tab w:val="left" w:pos="2625"/>
        </w:tabs>
        <w:spacing w:line="500" w:lineRule="exact"/>
        <w:jc w:val="center"/>
        <w:rPr>
          <w:rFonts w:hAnsi="宋体"/>
          <w:color w:val="auto"/>
          <w:sz w:val="28"/>
          <w:szCs w:val="28"/>
          <w:highlight w:val="none"/>
        </w:rPr>
      </w:pPr>
    </w:p>
    <w:p w14:paraId="289211A1">
      <w:pPr>
        <w:tabs>
          <w:tab w:val="left" w:pos="2625"/>
        </w:tabs>
        <w:spacing w:line="500" w:lineRule="exact"/>
        <w:jc w:val="center"/>
        <w:rPr>
          <w:rFonts w:hAnsi="宋体"/>
          <w:color w:val="auto"/>
          <w:sz w:val="28"/>
          <w:szCs w:val="28"/>
          <w:highlight w:val="none"/>
        </w:rPr>
      </w:pPr>
    </w:p>
    <w:p w14:paraId="0FCD2A49">
      <w:pPr>
        <w:tabs>
          <w:tab w:val="left" w:pos="2625"/>
        </w:tabs>
        <w:spacing w:line="500" w:lineRule="exact"/>
        <w:jc w:val="center"/>
        <w:rPr>
          <w:rFonts w:hAnsi="宋体"/>
          <w:color w:val="auto"/>
          <w:sz w:val="28"/>
          <w:szCs w:val="28"/>
          <w:highlight w:val="none"/>
        </w:rPr>
      </w:pPr>
      <w:r>
        <w:rPr>
          <w:rFonts w:hint="eastAsia" w:hAnsi="宋体"/>
          <w:color w:val="auto"/>
          <w:sz w:val="28"/>
          <w:szCs w:val="28"/>
          <w:highlight w:val="none"/>
        </w:rPr>
        <w:t>首次响应文件提交截止时间前不得解密</w:t>
      </w:r>
    </w:p>
    <w:p w14:paraId="4695DA52">
      <w:pPr>
        <w:spacing w:line="500" w:lineRule="exact"/>
        <w:jc w:val="center"/>
        <w:rPr>
          <w:rFonts w:hAnsi="宋体"/>
          <w:color w:val="auto"/>
          <w:sz w:val="28"/>
          <w:szCs w:val="28"/>
          <w:highlight w:val="none"/>
        </w:rPr>
      </w:pPr>
      <w:r>
        <w:rPr>
          <w:rFonts w:hint="eastAsia" w:hAnsi="宋体"/>
          <w:color w:val="auto"/>
          <w:sz w:val="28"/>
          <w:szCs w:val="28"/>
          <w:highlight w:val="none"/>
        </w:rPr>
        <w:t xml:space="preserve">                                    </w:t>
      </w:r>
    </w:p>
    <w:p w14:paraId="164BCBE5">
      <w:pPr>
        <w:spacing w:line="500" w:lineRule="exact"/>
        <w:jc w:val="center"/>
        <w:rPr>
          <w:rFonts w:hAnsi="宋体"/>
          <w:color w:val="auto"/>
          <w:sz w:val="28"/>
          <w:szCs w:val="28"/>
          <w:highlight w:val="none"/>
        </w:rPr>
      </w:pPr>
      <w:r>
        <w:rPr>
          <w:rFonts w:hint="eastAsia" w:hAnsi="宋体"/>
          <w:color w:val="auto"/>
          <w:sz w:val="28"/>
          <w:szCs w:val="28"/>
          <w:highlight w:val="none"/>
        </w:rPr>
        <w:t>年</w:t>
      </w:r>
      <w:r>
        <w:rPr>
          <w:rFonts w:hint="eastAsia" w:hAnsi="宋体" w:cs="宋体"/>
          <w:color w:val="auto"/>
          <w:sz w:val="28"/>
          <w:szCs w:val="28"/>
          <w:highlight w:val="none"/>
        </w:rPr>
        <w:t xml:space="preserve">    </w:t>
      </w:r>
      <w:r>
        <w:rPr>
          <w:rFonts w:hint="eastAsia" w:hAnsi="宋体"/>
          <w:color w:val="auto"/>
          <w:sz w:val="28"/>
          <w:szCs w:val="28"/>
          <w:highlight w:val="none"/>
        </w:rPr>
        <w:t>月    日</w:t>
      </w:r>
    </w:p>
    <w:p w14:paraId="14345ED0">
      <w:pPr>
        <w:spacing w:line="500" w:lineRule="exact"/>
        <w:jc w:val="center"/>
        <w:rPr>
          <w:rFonts w:hAnsi="宋体"/>
          <w:b/>
          <w:color w:val="auto"/>
          <w:sz w:val="32"/>
          <w:szCs w:val="32"/>
          <w:highlight w:val="none"/>
        </w:rPr>
      </w:pPr>
    </w:p>
    <w:p w14:paraId="48F29BE5">
      <w:pPr>
        <w:spacing w:after="120"/>
        <w:ind w:firstLine="210" w:firstLineChars="100"/>
        <w:rPr>
          <w:rFonts w:ascii="Calibri" w:hAnsi="Calibri"/>
          <w:color w:val="auto"/>
          <w:szCs w:val="24"/>
          <w:highlight w:val="none"/>
        </w:rPr>
        <w:sectPr>
          <w:pgSz w:w="11906" w:h="16838"/>
          <w:pgMar w:top="1304" w:right="1304" w:bottom="1304" w:left="1304" w:header="720" w:footer="720" w:gutter="0"/>
          <w:cols w:space="720" w:num="1"/>
          <w:docGrid w:type="lines" w:linePitch="312" w:charSpace="0"/>
        </w:sectPr>
      </w:pPr>
    </w:p>
    <w:p w14:paraId="7EA0B57A">
      <w:pPr>
        <w:spacing w:line="500" w:lineRule="exact"/>
        <w:jc w:val="center"/>
        <w:rPr>
          <w:rFonts w:hAnsi="宋体"/>
          <w:color w:val="auto"/>
          <w:sz w:val="28"/>
          <w:szCs w:val="28"/>
          <w:highlight w:val="none"/>
        </w:rPr>
      </w:pPr>
    </w:p>
    <w:p w14:paraId="01D6AE23">
      <w:pPr>
        <w:spacing w:line="500" w:lineRule="exact"/>
        <w:jc w:val="center"/>
        <w:rPr>
          <w:rFonts w:hAnsi="宋体"/>
          <w:color w:val="auto"/>
          <w:sz w:val="28"/>
          <w:szCs w:val="28"/>
          <w:highlight w:val="none"/>
        </w:rPr>
      </w:pPr>
    </w:p>
    <w:p w14:paraId="2DB07A4A">
      <w:pPr>
        <w:spacing w:line="0" w:lineRule="atLeast"/>
        <w:rPr>
          <w:rFonts w:ascii="Times New Roman" w:hAnsi="Times New Roman"/>
          <w:color w:val="auto"/>
          <w:sz w:val="30"/>
          <w:highlight w:val="none"/>
        </w:rPr>
      </w:pPr>
    </w:p>
    <w:p w14:paraId="18067BC4">
      <w:pPr>
        <w:spacing w:line="0" w:lineRule="atLeast"/>
        <w:rPr>
          <w:rFonts w:ascii="Times New Roman" w:hAnsi="Times New Roman"/>
          <w:color w:val="auto"/>
          <w:sz w:val="30"/>
          <w:highlight w:val="none"/>
        </w:rPr>
      </w:pPr>
    </w:p>
    <w:p w14:paraId="323F8442">
      <w:pPr>
        <w:spacing w:line="500" w:lineRule="exact"/>
        <w:jc w:val="center"/>
        <w:rPr>
          <w:rFonts w:hAnsi="宋体"/>
          <w:color w:val="auto"/>
          <w:sz w:val="28"/>
          <w:szCs w:val="28"/>
          <w:highlight w:val="none"/>
        </w:rPr>
      </w:pPr>
    </w:p>
    <w:p w14:paraId="693AEADF">
      <w:pPr>
        <w:spacing w:line="500" w:lineRule="exact"/>
        <w:jc w:val="center"/>
        <w:rPr>
          <w:rFonts w:hAnsi="宋体"/>
          <w:color w:val="auto"/>
          <w:sz w:val="28"/>
          <w:szCs w:val="28"/>
          <w:highlight w:val="none"/>
        </w:rPr>
      </w:pPr>
    </w:p>
    <w:p w14:paraId="3E5BDD8E">
      <w:pPr>
        <w:spacing w:line="500" w:lineRule="exact"/>
        <w:jc w:val="center"/>
        <w:outlineLvl w:val="1"/>
        <w:rPr>
          <w:rFonts w:hAnsi="宋体"/>
          <w:b/>
          <w:color w:val="auto"/>
          <w:sz w:val="44"/>
          <w:szCs w:val="32"/>
          <w:highlight w:val="none"/>
        </w:rPr>
      </w:pPr>
      <w:bookmarkStart w:id="1761" w:name="_Toc6637"/>
      <w:r>
        <w:rPr>
          <w:rFonts w:hint="eastAsia" w:hAnsi="宋体"/>
          <w:b/>
          <w:color w:val="auto"/>
          <w:sz w:val="44"/>
          <w:szCs w:val="32"/>
          <w:highlight w:val="none"/>
        </w:rPr>
        <w:t>资格文件（封面）</w:t>
      </w:r>
      <w:bookmarkEnd w:id="1761"/>
    </w:p>
    <w:p w14:paraId="27948A0F">
      <w:pPr>
        <w:spacing w:line="500" w:lineRule="exact"/>
        <w:jc w:val="center"/>
        <w:rPr>
          <w:rFonts w:hAnsi="宋体"/>
          <w:color w:val="auto"/>
          <w:sz w:val="28"/>
          <w:szCs w:val="28"/>
          <w:highlight w:val="none"/>
        </w:rPr>
      </w:pPr>
    </w:p>
    <w:p w14:paraId="60BDC0DE">
      <w:pPr>
        <w:spacing w:line="500" w:lineRule="exact"/>
        <w:jc w:val="center"/>
        <w:rPr>
          <w:rFonts w:hAnsi="宋体"/>
          <w:color w:val="auto"/>
          <w:sz w:val="28"/>
          <w:szCs w:val="28"/>
          <w:highlight w:val="none"/>
        </w:rPr>
      </w:pPr>
    </w:p>
    <w:p w14:paraId="5DE2B674">
      <w:pPr>
        <w:spacing w:line="500" w:lineRule="exact"/>
        <w:ind w:firstLine="2550" w:firstLineChars="911"/>
        <w:rPr>
          <w:rFonts w:hAnsi="宋体"/>
          <w:color w:val="auto"/>
          <w:sz w:val="28"/>
          <w:szCs w:val="28"/>
          <w:highlight w:val="none"/>
          <w:u w:val="single"/>
        </w:rPr>
      </w:pPr>
      <w:r>
        <w:rPr>
          <w:rFonts w:hint="eastAsia" w:hAnsi="宋体"/>
          <w:color w:val="auto"/>
          <w:sz w:val="28"/>
          <w:szCs w:val="28"/>
          <w:highlight w:val="none"/>
        </w:rPr>
        <w:t>项目编号：</w:t>
      </w:r>
      <w:r>
        <w:rPr>
          <w:rFonts w:hint="eastAsia" w:hAnsi="宋体"/>
          <w:color w:val="auto"/>
          <w:sz w:val="28"/>
          <w:szCs w:val="28"/>
          <w:highlight w:val="none"/>
          <w:u w:val="single"/>
        </w:rPr>
        <w:t xml:space="preserve">                       </w:t>
      </w:r>
    </w:p>
    <w:p w14:paraId="33054A3A">
      <w:pPr>
        <w:tabs>
          <w:tab w:val="left" w:pos="3240"/>
        </w:tabs>
        <w:spacing w:line="500" w:lineRule="exact"/>
        <w:ind w:firstLine="2550" w:firstLineChars="911"/>
        <w:rPr>
          <w:rFonts w:hAnsi="宋体"/>
          <w:color w:val="auto"/>
          <w:sz w:val="28"/>
          <w:szCs w:val="28"/>
          <w:highlight w:val="none"/>
          <w:u w:val="single"/>
        </w:rPr>
      </w:pPr>
      <w:r>
        <w:rPr>
          <w:rFonts w:hint="eastAsia" w:hAnsi="宋体"/>
          <w:color w:val="auto"/>
          <w:sz w:val="28"/>
          <w:szCs w:val="28"/>
          <w:highlight w:val="none"/>
        </w:rPr>
        <w:t>项目名称：</w:t>
      </w:r>
      <w:r>
        <w:rPr>
          <w:rFonts w:hint="eastAsia" w:hAnsi="宋体"/>
          <w:color w:val="auto"/>
          <w:sz w:val="28"/>
          <w:szCs w:val="28"/>
          <w:highlight w:val="none"/>
          <w:u w:val="single"/>
        </w:rPr>
        <w:t xml:space="preserve">                       </w:t>
      </w:r>
    </w:p>
    <w:p w14:paraId="3EE3E6CB">
      <w:pPr>
        <w:tabs>
          <w:tab w:val="left" w:pos="2625"/>
        </w:tabs>
        <w:spacing w:line="500" w:lineRule="exact"/>
        <w:ind w:firstLine="2550" w:firstLineChars="911"/>
        <w:jc w:val="left"/>
        <w:rPr>
          <w:rFonts w:hAnsi="宋体"/>
          <w:color w:val="auto"/>
          <w:sz w:val="28"/>
          <w:szCs w:val="28"/>
          <w:highlight w:val="none"/>
          <w:u w:val="single"/>
        </w:rPr>
      </w:pPr>
      <w:r>
        <w:rPr>
          <w:rFonts w:hint="eastAsia" w:hAnsi="宋体"/>
          <w:color w:val="auto"/>
          <w:sz w:val="28"/>
          <w:szCs w:val="28"/>
          <w:highlight w:val="none"/>
        </w:rPr>
        <w:t>供应商名称：</w:t>
      </w:r>
      <w:r>
        <w:rPr>
          <w:rFonts w:hint="eastAsia" w:hAnsi="宋体"/>
          <w:color w:val="auto"/>
          <w:sz w:val="28"/>
          <w:szCs w:val="28"/>
          <w:highlight w:val="none"/>
          <w:u w:val="single"/>
        </w:rPr>
        <w:t xml:space="preserve">                     </w:t>
      </w:r>
    </w:p>
    <w:p w14:paraId="00629556">
      <w:pPr>
        <w:tabs>
          <w:tab w:val="left" w:pos="2625"/>
        </w:tabs>
        <w:spacing w:line="500" w:lineRule="exact"/>
        <w:ind w:firstLine="2550" w:firstLineChars="911"/>
        <w:jc w:val="left"/>
        <w:rPr>
          <w:rFonts w:hAnsi="宋体"/>
          <w:color w:val="auto"/>
          <w:sz w:val="28"/>
          <w:szCs w:val="28"/>
          <w:highlight w:val="none"/>
          <w:u w:val="single"/>
        </w:rPr>
      </w:pPr>
      <w:r>
        <w:rPr>
          <w:rFonts w:hint="eastAsia" w:hAnsi="宋体"/>
          <w:color w:val="auto"/>
          <w:sz w:val="28"/>
          <w:szCs w:val="28"/>
          <w:highlight w:val="none"/>
        </w:rPr>
        <w:t>供应商地址：</w:t>
      </w:r>
      <w:r>
        <w:rPr>
          <w:rFonts w:hint="eastAsia" w:hAnsi="宋体"/>
          <w:color w:val="auto"/>
          <w:sz w:val="28"/>
          <w:szCs w:val="28"/>
          <w:highlight w:val="none"/>
          <w:u w:val="single"/>
        </w:rPr>
        <w:t xml:space="preserve">                     </w:t>
      </w:r>
    </w:p>
    <w:p w14:paraId="4E4B9B90">
      <w:pPr>
        <w:spacing w:line="500" w:lineRule="exact"/>
        <w:rPr>
          <w:rFonts w:hAnsi="宋体"/>
          <w:color w:val="auto"/>
          <w:sz w:val="28"/>
          <w:szCs w:val="28"/>
          <w:highlight w:val="none"/>
        </w:rPr>
      </w:pPr>
    </w:p>
    <w:p w14:paraId="1DA1502D">
      <w:pPr>
        <w:spacing w:line="500" w:lineRule="exact"/>
        <w:jc w:val="center"/>
        <w:rPr>
          <w:rFonts w:hAnsi="宋体"/>
          <w:color w:val="auto"/>
          <w:sz w:val="28"/>
          <w:szCs w:val="28"/>
          <w:highlight w:val="none"/>
        </w:rPr>
      </w:pPr>
      <w:r>
        <w:rPr>
          <w:rFonts w:hint="eastAsia" w:hAnsi="宋体"/>
          <w:color w:val="auto"/>
          <w:sz w:val="28"/>
          <w:szCs w:val="28"/>
          <w:highlight w:val="none"/>
        </w:rPr>
        <w:t>年</w:t>
      </w:r>
      <w:r>
        <w:rPr>
          <w:rFonts w:hint="eastAsia" w:hAnsi="宋体" w:cs="宋体"/>
          <w:color w:val="auto"/>
          <w:sz w:val="28"/>
          <w:szCs w:val="28"/>
          <w:highlight w:val="none"/>
        </w:rPr>
        <w:t xml:space="preserve">    </w:t>
      </w:r>
      <w:r>
        <w:rPr>
          <w:rFonts w:hint="eastAsia" w:hAnsi="宋体"/>
          <w:color w:val="auto"/>
          <w:sz w:val="28"/>
          <w:szCs w:val="28"/>
          <w:highlight w:val="none"/>
        </w:rPr>
        <w:t>月    日</w:t>
      </w:r>
    </w:p>
    <w:p w14:paraId="629158B1">
      <w:pPr>
        <w:spacing w:line="320" w:lineRule="exact"/>
        <w:jc w:val="center"/>
        <w:rPr>
          <w:rFonts w:hAnsi="宋体"/>
          <w:color w:val="auto"/>
          <w:szCs w:val="21"/>
          <w:highlight w:val="none"/>
        </w:rPr>
        <w:sectPr>
          <w:pgSz w:w="11906" w:h="16838"/>
          <w:pgMar w:top="1304" w:right="1304" w:bottom="1304" w:left="1304" w:header="720" w:footer="720" w:gutter="0"/>
          <w:cols w:space="720" w:num="1"/>
          <w:docGrid w:type="lines" w:linePitch="312" w:charSpace="0"/>
        </w:sectPr>
      </w:pPr>
    </w:p>
    <w:p w14:paraId="331EF266">
      <w:pPr>
        <w:spacing w:line="440" w:lineRule="exact"/>
        <w:ind w:left="-27" w:leftChars="-13" w:firstLine="420" w:firstLineChars="200"/>
        <w:jc w:val="center"/>
        <w:rPr>
          <w:rFonts w:hAnsi="宋体"/>
          <w:color w:val="auto"/>
          <w:szCs w:val="21"/>
          <w:highlight w:val="none"/>
        </w:rPr>
      </w:pPr>
      <w:r>
        <w:rPr>
          <w:rFonts w:hint="eastAsia" w:hAnsi="宋体"/>
          <w:color w:val="auto"/>
          <w:szCs w:val="21"/>
          <w:highlight w:val="none"/>
        </w:rPr>
        <w:t>目录（页码自行编制）</w:t>
      </w:r>
    </w:p>
    <w:p w14:paraId="65F67FB2">
      <w:pPr>
        <w:spacing w:line="440" w:lineRule="exact"/>
        <w:ind w:left="-27" w:leftChars="-13" w:firstLine="420" w:firstLineChars="200"/>
        <w:rPr>
          <w:rFonts w:ascii="Calibri" w:hAnsi="宋体"/>
          <w:b/>
          <w:color w:val="auto"/>
          <w:szCs w:val="21"/>
          <w:highlight w:val="none"/>
        </w:rPr>
      </w:pPr>
      <w:r>
        <w:rPr>
          <w:rFonts w:hint="eastAsia" w:hAnsi="宋体"/>
          <w:color w:val="auto"/>
          <w:szCs w:val="21"/>
          <w:highlight w:val="none"/>
        </w:rPr>
        <w:t>1、</w:t>
      </w:r>
      <w:r>
        <w:rPr>
          <w:rFonts w:hint="eastAsia" w:hAnsi="宋体" w:cs="Arial"/>
          <w:color w:val="auto"/>
          <w:szCs w:val="21"/>
          <w:highlight w:val="none"/>
        </w:rPr>
        <w:t>提供相关注册或登记等证明材料，其中：供应商是企业（包括合伙企业）的，应提供其在工商部门注册的有效“企业法人营业执照”或“营业执照”的复印件；供应商是事业单位的，应提供其有效的“事业单位法人证书”复印件；供应商是非企业专业服务机构的，应提供其有效的执业许可证复印件；供应商是个体工商户的，应提供其有效的“个体工商户营业执照”复印件。</w:t>
      </w:r>
      <w:r>
        <w:rPr>
          <w:rFonts w:hint="eastAsia" w:ascii="Calibri" w:hAnsi="宋体"/>
          <w:b/>
          <w:color w:val="auto"/>
          <w:szCs w:val="21"/>
          <w:highlight w:val="none"/>
        </w:rPr>
        <w:t>（必须提供，并加盖电子公章，否则磋商无效。）</w:t>
      </w:r>
    </w:p>
    <w:p w14:paraId="57E3A238">
      <w:pPr>
        <w:spacing w:line="440" w:lineRule="exact"/>
        <w:ind w:left="-27" w:leftChars="-13" w:firstLine="420" w:firstLineChars="200"/>
        <w:rPr>
          <w:rFonts w:hAnsi="宋体"/>
          <w:color w:val="auto"/>
          <w:szCs w:val="21"/>
          <w:highlight w:val="none"/>
        </w:rPr>
      </w:pPr>
      <w:r>
        <w:rPr>
          <w:rFonts w:hint="eastAsia" w:hAnsi="宋体"/>
          <w:color w:val="auto"/>
          <w:szCs w:val="21"/>
          <w:highlight w:val="none"/>
        </w:rPr>
        <w:t>2、</w:t>
      </w:r>
      <w:r>
        <w:rPr>
          <w:rFonts w:hint="eastAsia" w:hAnsi="宋体" w:cs="宋体"/>
          <w:color w:val="auto"/>
          <w:szCs w:val="21"/>
          <w:highlight w:val="none"/>
        </w:rPr>
        <w:t>①</w:t>
      </w:r>
      <w:r>
        <w:rPr>
          <w:rFonts w:hint="eastAsia" w:hAnsi="宋体" w:cs="宋体"/>
          <w:color w:val="auto"/>
          <w:szCs w:val="21"/>
          <w:highlight w:val="none"/>
          <w:lang w:eastAsia="zh-CN"/>
        </w:rPr>
        <w:t>具有市政公用工程施工总承包叁级以上(含叁级)资质</w:t>
      </w:r>
      <w:r>
        <w:rPr>
          <w:rFonts w:hint="eastAsia" w:hAnsi="宋体" w:cs="宋体"/>
          <w:color w:val="auto"/>
          <w:szCs w:val="21"/>
          <w:highlight w:val="none"/>
        </w:rPr>
        <w:t>，并在人员、设备、资金等方面具有相应能力的施工企业。</w:t>
      </w:r>
      <w:r>
        <w:rPr>
          <w:rFonts w:hint="default" w:hAnsi="宋体" w:cs="宋体"/>
          <w:color w:val="auto"/>
          <w:szCs w:val="21"/>
          <w:highlight w:val="none"/>
        </w:rPr>
        <w:t>②</w:t>
      </w:r>
      <w:r>
        <w:rPr>
          <w:rFonts w:hint="eastAsia" w:hAnsi="宋体" w:cs="宋体"/>
          <w:color w:val="auto"/>
          <w:szCs w:val="21"/>
          <w:highlight w:val="none"/>
        </w:rPr>
        <w:t>拟投入本项目的项目经理必须是具备[</w:t>
      </w:r>
      <w:r>
        <w:rPr>
          <w:rFonts w:hint="eastAsia" w:hAnsi="宋体" w:cs="宋体"/>
          <w:color w:val="auto"/>
          <w:szCs w:val="21"/>
          <w:highlight w:val="none"/>
          <w:lang w:eastAsia="zh-CN"/>
        </w:rPr>
        <w:t>市政公用工程</w:t>
      </w:r>
      <w:r>
        <w:rPr>
          <w:rFonts w:hint="eastAsia" w:hAnsi="宋体" w:cs="宋体"/>
          <w:color w:val="auto"/>
          <w:szCs w:val="21"/>
          <w:highlight w:val="none"/>
        </w:rPr>
        <w:t>专业贰级]及以上专业注册建造师执业资格，具备有效的安全生产考核合格证书（B类），并为本单位员工。本项目不接受有在建、已中标未开工或已列为其他项目中标候选人第一名的建造师作为项目经理。</w:t>
      </w:r>
      <w:r>
        <w:rPr>
          <w:rFonts w:hint="eastAsia" w:hAnsi="宋体"/>
          <w:color w:val="auto"/>
          <w:szCs w:val="21"/>
          <w:highlight w:val="none"/>
        </w:rPr>
        <w:t>（</w:t>
      </w:r>
      <w:r>
        <w:rPr>
          <w:rFonts w:hint="eastAsia" w:ascii="Calibri" w:hAnsi="宋体"/>
          <w:b/>
          <w:color w:val="auto"/>
          <w:szCs w:val="21"/>
          <w:highlight w:val="none"/>
        </w:rPr>
        <w:t>必须提供相关资质证明材料，并加盖电子公章，否则磋商无效。）</w:t>
      </w:r>
    </w:p>
    <w:p w14:paraId="637B7863">
      <w:pPr>
        <w:spacing w:line="440" w:lineRule="exact"/>
        <w:ind w:left="-27" w:leftChars="-13" w:firstLine="420" w:firstLineChars="200"/>
        <w:rPr>
          <w:rFonts w:hAnsi="宋体"/>
          <w:color w:val="auto"/>
          <w:szCs w:val="21"/>
          <w:highlight w:val="none"/>
        </w:rPr>
      </w:pPr>
      <w:r>
        <w:rPr>
          <w:rFonts w:hint="eastAsia" w:hAnsi="宋体"/>
          <w:color w:val="auto"/>
          <w:szCs w:val="21"/>
          <w:highlight w:val="none"/>
        </w:rPr>
        <w:t>3、防城港市政府采购供应商信用承诺函（格式）。</w:t>
      </w:r>
      <w:r>
        <w:rPr>
          <w:rFonts w:hint="eastAsia" w:hAnsi="宋体"/>
          <w:b/>
          <w:color w:val="auto"/>
          <w:szCs w:val="21"/>
          <w:highlight w:val="none"/>
        </w:rPr>
        <w:t>（必须提供，</w:t>
      </w:r>
      <w:r>
        <w:rPr>
          <w:rFonts w:hint="eastAsia" w:ascii="Calibri" w:hAnsi="宋体"/>
          <w:b/>
          <w:color w:val="auto"/>
          <w:szCs w:val="21"/>
          <w:highlight w:val="none"/>
        </w:rPr>
        <w:t>并加盖电子公章，</w:t>
      </w:r>
      <w:r>
        <w:rPr>
          <w:rFonts w:hint="eastAsia" w:hAnsi="宋体"/>
          <w:b/>
          <w:color w:val="auto"/>
          <w:szCs w:val="21"/>
          <w:highlight w:val="none"/>
        </w:rPr>
        <w:t>否则</w:t>
      </w:r>
      <w:r>
        <w:rPr>
          <w:rFonts w:hint="eastAsia" w:ascii="Calibri" w:hAnsi="宋体"/>
          <w:b/>
          <w:color w:val="auto"/>
          <w:szCs w:val="21"/>
          <w:highlight w:val="none"/>
        </w:rPr>
        <w:t>磋商</w:t>
      </w:r>
      <w:r>
        <w:rPr>
          <w:rFonts w:hint="eastAsia" w:hAnsi="宋体"/>
          <w:b/>
          <w:color w:val="auto"/>
          <w:szCs w:val="21"/>
          <w:highlight w:val="none"/>
        </w:rPr>
        <w:t>无效）</w:t>
      </w:r>
    </w:p>
    <w:p w14:paraId="27059C55">
      <w:pPr>
        <w:spacing w:line="440" w:lineRule="exact"/>
        <w:ind w:firstLine="420" w:firstLineChars="200"/>
        <w:rPr>
          <w:rFonts w:hAnsi="宋体"/>
          <w:color w:val="auto"/>
          <w:szCs w:val="21"/>
          <w:highlight w:val="none"/>
        </w:rPr>
      </w:pPr>
      <w:r>
        <w:rPr>
          <w:rFonts w:hint="eastAsia" w:hAnsi="宋体"/>
          <w:color w:val="auto"/>
          <w:szCs w:val="21"/>
          <w:highlight w:val="none"/>
          <w:lang w:val="en-US" w:eastAsia="zh-CN"/>
        </w:rPr>
        <w:t>4</w:t>
      </w:r>
      <w:r>
        <w:rPr>
          <w:rFonts w:hint="eastAsia" w:hAnsi="宋体"/>
          <w:color w:val="auto"/>
          <w:szCs w:val="21"/>
          <w:highlight w:val="none"/>
        </w:rPr>
        <w:t>、供应商直接控股股东信息（格式见第</w:t>
      </w:r>
      <w:r>
        <w:rPr>
          <w:rFonts w:hint="eastAsia" w:asciiTheme="minorEastAsia" w:hAnsiTheme="minorEastAsia" w:eastAsiaTheme="minorEastAsia"/>
          <w:color w:val="auto"/>
          <w:szCs w:val="21"/>
          <w:highlight w:val="none"/>
        </w:rPr>
        <w:t>七</w:t>
      </w:r>
      <w:r>
        <w:rPr>
          <w:rFonts w:hint="eastAsia" w:hAnsi="宋体"/>
          <w:color w:val="auto"/>
          <w:szCs w:val="21"/>
          <w:highlight w:val="none"/>
        </w:rPr>
        <w:t>章）。</w:t>
      </w:r>
      <w:r>
        <w:rPr>
          <w:rFonts w:hint="eastAsia" w:ascii="Calibri" w:hAnsi="宋体"/>
          <w:b/>
          <w:color w:val="auto"/>
          <w:szCs w:val="21"/>
          <w:highlight w:val="none"/>
        </w:rPr>
        <w:t>（必须提供，并加盖电子公章，否则磋商无效。）</w:t>
      </w:r>
    </w:p>
    <w:p w14:paraId="290FFC74">
      <w:pPr>
        <w:spacing w:line="440" w:lineRule="exact"/>
        <w:ind w:firstLine="420" w:firstLineChars="200"/>
        <w:rPr>
          <w:rFonts w:hAnsi="宋体"/>
          <w:color w:val="auto"/>
          <w:szCs w:val="21"/>
          <w:highlight w:val="none"/>
        </w:rPr>
      </w:pPr>
      <w:r>
        <w:rPr>
          <w:rFonts w:hint="eastAsia" w:hAnsi="宋体"/>
          <w:color w:val="auto"/>
          <w:szCs w:val="21"/>
          <w:highlight w:val="none"/>
          <w:lang w:val="en-US" w:eastAsia="zh-CN"/>
        </w:rPr>
        <w:t>5</w:t>
      </w:r>
      <w:r>
        <w:rPr>
          <w:rFonts w:hint="eastAsia" w:hAnsi="宋体"/>
          <w:color w:val="auto"/>
          <w:szCs w:val="21"/>
          <w:highlight w:val="none"/>
        </w:rPr>
        <w:t>、供应商直接管理关系信息表（格式见第</w:t>
      </w:r>
      <w:r>
        <w:rPr>
          <w:rFonts w:hint="eastAsia" w:asciiTheme="minorEastAsia" w:hAnsiTheme="minorEastAsia" w:eastAsiaTheme="minorEastAsia"/>
          <w:color w:val="auto"/>
          <w:szCs w:val="21"/>
          <w:highlight w:val="none"/>
        </w:rPr>
        <w:t>七</w:t>
      </w:r>
      <w:r>
        <w:rPr>
          <w:rFonts w:hint="eastAsia" w:hAnsi="宋体"/>
          <w:color w:val="auto"/>
          <w:szCs w:val="21"/>
          <w:highlight w:val="none"/>
        </w:rPr>
        <w:t>章）。</w:t>
      </w:r>
      <w:r>
        <w:rPr>
          <w:rFonts w:hint="eastAsia" w:ascii="Calibri" w:hAnsi="宋体"/>
          <w:b/>
          <w:color w:val="auto"/>
          <w:szCs w:val="21"/>
          <w:highlight w:val="none"/>
        </w:rPr>
        <w:t>（必须提供，并加盖电子公章，否则磋商无效。）</w:t>
      </w:r>
    </w:p>
    <w:p w14:paraId="5678FC05">
      <w:pPr>
        <w:spacing w:line="400" w:lineRule="exact"/>
        <w:ind w:firstLine="420" w:firstLineChars="200"/>
        <w:rPr>
          <w:rFonts w:ascii="Calibri" w:hAnsi="宋体"/>
          <w:b/>
          <w:color w:val="auto"/>
          <w:szCs w:val="21"/>
          <w:highlight w:val="none"/>
        </w:rPr>
      </w:pPr>
      <w:r>
        <w:rPr>
          <w:rFonts w:hint="eastAsia" w:hAnsi="宋体"/>
          <w:color w:val="auto"/>
          <w:szCs w:val="21"/>
          <w:highlight w:val="none"/>
          <w:lang w:val="en-US" w:eastAsia="zh-CN"/>
        </w:rPr>
        <w:t>6</w:t>
      </w:r>
      <w:r>
        <w:rPr>
          <w:rFonts w:hint="eastAsia" w:hAnsi="宋体"/>
          <w:color w:val="auto"/>
          <w:szCs w:val="21"/>
          <w:highlight w:val="none"/>
        </w:rPr>
        <w:t>、资格声明函（格式见第</w:t>
      </w:r>
      <w:r>
        <w:rPr>
          <w:rFonts w:hint="eastAsia" w:asciiTheme="minorEastAsia" w:hAnsiTheme="minorEastAsia" w:eastAsiaTheme="minorEastAsia"/>
          <w:color w:val="auto"/>
          <w:szCs w:val="21"/>
          <w:highlight w:val="none"/>
        </w:rPr>
        <w:t>七</w:t>
      </w:r>
      <w:r>
        <w:rPr>
          <w:rFonts w:hint="eastAsia" w:hAnsi="宋体"/>
          <w:color w:val="auto"/>
          <w:szCs w:val="21"/>
          <w:highlight w:val="none"/>
        </w:rPr>
        <w:t>章）。</w:t>
      </w:r>
      <w:r>
        <w:rPr>
          <w:rFonts w:hint="eastAsia" w:ascii="Calibri" w:hAnsi="宋体"/>
          <w:b/>
          <w:color w:val="auto"/>
          <w:szCs w:val="21"/>
          <w:highlight w:val="none"/>
        </w:rPr>
        <w:t>（必须提供，并加盖电子公章，否则磋商无效。）</w:t>
      </w:r>
    </w:p>
    <w:p w14:paraId="70880573">
      <w:pPr>
        <w:spacing w:line="440" w:lineRule="exact"/>
        <w:ind w:left="-27" w:leftChars="-13" w:firstLine="420" w:firstLineChars="200"/>
        <w:rPr>
          <w:rFonts w:ascii="Calibri" w:hAnsi="宋体"/>
          <w:b/>
          <w:color w:val="auto"/>
          <w:szCs w:val="21"/>
          <w:highlight w:val="none"/>
        </w:rPr>
      </w:pPr>
      <w:r>
        <w:rPr>
          <w:rFonts w:hint="eastAsia" w:hAnsi="宋体"/>
          <w:color w:val="auto"/>
          <w:szCs w:val="21"/>
          <w:highlight w:val="none"/>
          <w:lang w:val="en-US" w:eastAsia="zh-CN"/>
        </w:rPr>
        <w:t>7</w:t>
      </w:r>
      <w:r>
        <w:rPr>
          <w:rFonts w:hint="eastAsia" w:hAnsi="宋体"/>
          <w:color w:val="auto"/>
          <w:szCs w:val="21"/>
          <w:highlight w:val="none"/>
        </w:rPr>
        <w:t>、中小</w:t>
      </w:r>
      <w:r>
        <w:rPr>
          <w:rFonts w:hint="eastAsia" w:hAnsi="宋体"/>
          <w:color w:val="auto"/>
          <w:szCs w:val="21"/>
          <w:highlight w:val="none"/>
          <w:lang w:val="en-US" w:eastAsia="zh-CN"/>
        </w:rPr>
        <w:t>微</w:t>
      </w:r>
      <w:r>
        <w:rPr>
          <w:rFonts w:hint="eastAsia" w:hAnsi="宋体"/>
          <w:color w:val="auto"/>
          <w:szCs w:val="21"/>
          <w:highlight w:val="none"/>
        </w:rPr>
        <w:t>企业声明函或监狱企业证明文件或残疾人福利性单位声明函。</w:t>
      </w:r>
      <w:r>
        <w:rPr>
          <w:rFonts w:hint="eastAsia" w:hAnsi="宋体"/>
          <w:b/>
          <w:color w:val="auto"/>
          <w:szCs w:val="21"/>
          <w:highlight w:val="none"/>
        </w:rPr>
        <w:t>（必须提供，并加盖电子公章，否则磋商无效。）</w:t>
      </w:r>
    </w:p>
    <w:p w14:paraId="4CCAE80F">
      <w:pPr>
        <w:spacing w:line="440" w:lineRule="exact"/>
        <w:ind w:firstLine="420" w:firstLineChars="200"/>
        <w:rPr>
          <w:rFonts w:hAnsi="宋体"/>
          <w:color w:val="auto"/>
          <w:szCs w:val="21"/>
          <w:highlight w:val="none"/>
        </w:rPr>
        <w:sectPr>
          <w:pgSz w:w="11906" w:h="16838"/>
          <w:pgMar w:top="1304" w:right="1304" w:bottom="1304" w:left="1304" w:header="720" w:footer="720" w:gutter="0"/>
          <w:cols w:space="720" w:num="1"/>
          <w:docGrid w:type="lines" w:linePitch="312" w:charSpace="0"/>
        </w:sectPr>
      </w:pPr>
    </w:p>
    <w:p w14:paraId="154F2DEC">
      <w:pPr>
        <w:spacing w:line="440" w:lineRule="exact"/>
        <w:ind w:left="-27" w:leftChars="-13" w:firstLine="420" w:firstLineChars="200"/>
        <w:jc w:val="left"/>
        <w:rPr>
          <w:rFonts w:ascii="Calibri" w:hAnsi="宋体"/>
          <w:b/>
          <w:color w:val="auto"/>
          <w:szCs w:val="21"/>
          <w:highlight w:val="none"/>
        </w:rPr>
      </w:pPr>
      <w:r>
        <w:rPr>
          <w:rFonts w:hint="eastAsia" w:hAnsi="宋体"/>
          <w:color w:val="auto"/>
          <w:szCs w:val="21"/>
          <w:highlight w:val="none"/>
        </w:rPr>
        <w:t>1、</w:t>
      </w:r>
      <w:r>
        <w:rPr>
          <w:rFonts w:hint="eastAsia" w:hAnsi="宋体" w:cs="Arial"/>
          <w:color w:val="auto"/>
          <w:szCs w:val="21"/>
          <w:highlight w:val="none"/>
        </w:rPr>
        <w:t>提供相关注册或登记等证明材料，其中：供应商是企业（包括合伙企业）的，应提供其在工商部门注册的有效“企业法人营业执照”或“营业执照”的复印件；供应商是事业单位的，应提供其有效的“事业单位法人证书”复印件；供应商是非企业专业服务机构的，应提供其有效的执业许可证复印件；供应商是个体工商户的 ，应提供其有效的“个体工商户营业执照”复印件。</w:t>
      </w:r>
    </w:p>
    <w:p w14:paraId="6361AF80">
      <w:pPr>
        <w:spacing w:line="440" w:lineRule="exact"/>
        <w:ind w:firstLine="420" w:firstLineChars="200"/>
        <w:jc w:val="left"/>
        <w:rPr>
          <w:rFonts w:hAnsi="宋体"/>
          <w:color w:val="auto"/>
          <w:szCs w:val="21"/>
          <w:highlight w:val="none"/>
        </w:rPr>
      </w:pPr>
      <w:r>
        <w:rPr>
          <w:rFonts w:hint="eastAsia" w:hAnsi="宋体"/>
          <w:color w:val="auto"/>
          <w:szCs w:val="21"/>
          <w:highlight w:val="none"/>
        </w:rPr>
        <w:t>供应商自行提供，格式自拟</w:t>
      </w:r>
    </w:p>
    <w:p w14:paraId="2F1B1803">
      <w:pPr>
        <w:spacing w:after="120"/>
        <w:jc w:val="left"/>
        <w:rPr>
          <w:rFonts w:hAnsi="宋体"/>
          <w:color w:val="auto"/>
          <w:szCs w:val="21"/>
          <w:highlight w:val="none"/>
        </w:rPr>
      </w:pPr>
    </w:p>
    <w:p w14:paraId="61136120">
      <w:pPr>
        <w:spacing w:after="120"/>
        <w:jc w:val="left"/>
        <w:rPr>
          <w:rFonts w:hAnsi="宋体"/>
          <w:color w:val="auto"/>
          <w:szCs w:val="21"/>
          <w:highlight w:val="none"/>
        </w:rPr>
      </w:pPr>
    </w:p>
    <w:p w14:paraId="7422EA50">
      <w:pPr>
        <w:spacing w:after="120"/>
        <w:jc w:val="left"/>
        <w:rPr>
          <w:rFonts w:hAnsi="宋体"/>
          <w:color w:val="auto"/>
          <w:szCs w:val="21"/>
          <w:highlight w:val="none"/>
        </w:rPr>
      </w:pPr>
    </w:p>
    <w:p w14:paraId="06DF0EAD">
      <w:pPr>
        <w:pStyle w:val="68"/>
        <w:rPr>
          <w:rFonts w:hAnsi="宋体"/>
          <w:color w:val="auto"/>
          <w:szCs w:val="21"/>
          <w:highlight w:val="none"/>
        </w:rPr>
      </w:pPr>
    </w:p>
    <w:p w14:paraId="528A8492">
      <w:pPr>
        <w:pStyle w:val="68"/>
        <w:rPr>
          <w:rFonts w:hAnsi="宋体"/>
          <w:color w:val="auto"/>
          <w:szCs w:val="21"/>
          <w:highlight w:val="none"/>
        </w:rPr>
      </w:pPr>
    </w:p>
    <w:p w14:paraId="485CF9CC">
      <w:pPr>
        <w:pStyle w:val="68"/>
        <w:rPr>
          <w:rFonts w:hAnsi="宋体"/>
          <w:color w:val="auto"/>
          <w:szCs w:val="21"/>
          <w:highlight w:val="none"/>
        </w:rPr>
      </w:pPr>
    </w:p>
    <w:p w14:paraId="0620E4C0">
      <w:pPr>
        <w:pStyle w:val="68"/>
        <w:rPr>
          <w:rFonts w:hAnsi="宋体"/>
          <w:color w:val="auto"/>
          <w:szCs w:val="21"/>
          <w:highlight w:val="none"/>
        </w:rPr>
      </w:pPr>
    </w:p>
    <w:p w14:paraId="43E7499B">
      <w:pPr>
        <w:spacing w:after="120"/>
        <w:jc w:val="left"/>
        <w:rPr>
          <w:rFonts w:ascii="Calibri" w:hAnsi="Calibri"/>
          <w:color w:val="auto"/>
          <w:szCs w:val="24"/>
          <w:highlight w:val="none"/>
        </w:rPr>
      </w:pPr>
    </w:p>
    <w:p w14:paraId="1078B708">
      <w:pPr>
        <w:spacing w:line="440" w:lineRule="exact"/>
        <w:ind w:firstLine="420" w:firstLineChars="200"/>
        <w:jc w:val="left"/>
        <w:rPr>
          <w:rFonts w:hint="eastAsia" w:hAnsi="宋体" w:eastAsia="宋体"/>
          <w:color w:val="auto"/>
          <w:szCs w:val="21"/>
          <w:highlight w:val="none"/>
          <w:lang w:eastAsia="zh-CN"/>
        </w:rPr>
      </w:pPr>
      <w:r>
        <w:rPr>
          <w:rFonts w:hint="eastAsia" w:hAnsi="宋体"/>
          <w:color w:val="auto"/>
          <w:szCs w:val="21"/>
          <w:highlight w:val="none"/>
        </w:rPr>
        <w:t>2、</w:t>
      </w:r>
      <w:r>
        <w:rPr>
          <w:rFonts w:hint="eastAsia" w:hAnsi="宋体" w:cs="宋体"/>
          <w:color w:val="auto"/>
          <w:szCs w:val="21"/>
          <w:highlight w:val="none"/>
        </w:rPr>
        <w:t>①</w:t>
      </w:r>
      <w:r>
        <w:rPr>
          <w:rFonts w:hint="eastAsia" w:hAnsi="宋体" w:cs="宋体"/>
          <w:color w:val="auto"/>
          <w:szCs w:val="21"/>
          <w:highlight w:val="none"/>
          <w:lang w:eastAsia="zh-CN"/>
        </w:rPr>
        <w:t>具有市政公用工程施工总承包叁级以上(含叁级)资质</w:t>
      </w:r>
      <w:r>
        <w:rPr>
          <w:rFonts w:hint="eastAsia" w:hAnsi="宋体" w:cs="宋体"/>
          <w:color w:val="auto"/>
          <w:szCs w:val="21"/>
          <w:highlight w:val="none"/>
        </w:rPr>
        <w:t>，并在人员、设备、资金等方面具有相应能力的施工企业。</w:t>
      </w:r>
      <w:r>
        <w:rPr>
          <w:rFonts w:hint="default" w:hAnsi="宋体" w:cs="宋体"/>
          <w:color w:val="auto"/>
          <w:szCs w:val="21"/>
          <w:highlight w:val="none"/>
        </w:rPr>
        <w:t>②</w:t>
      </w:r>
      <w:r>
        <w:rPr>
          <w:rFonts w:hint="eastAsia" w:hAnsi="宋体" w:cs="宋体"/>
          <w:color w:val="auto"/>
          <w:szCs w:val="21"/>
          <w:highlight w:val="none"/>
        </w:rPr>
        <w:t>拟投入本项目的项目经理必须是具备[</w:t>
      </w:r>
      <w:r>
        <w:rPr>
          <w:rFonts w:hint="eastAsia" w:hAnsi="宋体" w:cs="宋体"/>
          <w:color w:val="auto"/>
          <w:szCs w:val="21"/>
          <w:highlight w:val="none"/>
          <w:lang w:eastAsia="zh-CN"/>
        </w:rPr>
        <w:t>市政公用工程</w:t>
      </w:r>
      <w:r>
        <w:rPr>
          <w:rFonts w:hint="eastAsia" w:hAnsi="宋体" w:cs="宋体"/>
          <w:color w:val="auto"/>
          <w:szCs w:val="21"/>
          <w:highlight w:val="none"/>
        </w:rPr>
        <w:t>专业贰级]及以上专业注册建造师执业资格，具备有效的安全生产考核合格证书（B类），并为本单位员工。本项目不接受有在建、已中标未开工或已列为其他项目中标候选人第一名的建造师作为项目经理。</w:t>
      </w:r>
    </w:p>
    <w:p w14:paraId="17B37B24">
      <w:pPr>
        <w:spacing w:line="440" w:lineRule="exact"/>
        <w:ind w:firstLine="420" w:firstLineChars="200"/>
        <w:jc w:val="left"/>
        <w:rPr>
          <w:rFonts w:ascii="Calibri" w:hAnsi="Calibri"/>
          <w:color w:val="auto"/>
          <w:kern w:val="0"/>
          <w:sz w:val="34"/>
          <w:highlight w:val="none"/>
        </w:rPr>
      </w:pPr>
      <w:r>
        <w:rPr>
          <w:rFonts w:hint="eastAsia" w:hAnsi="宋体"/>
          <w:color w:val="auto"/>
          <w:szCs w:val="21"/>
          <w:highlight w:val="none"/>
        </w:rPr>
        <w:t>供应商自行提供相关资质证明材料，格式自拟</w:t>
      </w:r>
    </w:p>
    <w:p w14:paraId="3966DA6B">
      <w:pPr>
        <w:jc w:val="left"/>
        <w:rPr>
          <w:rFonts w:ascii="Calibri" w:hAnsi="Calibri"/>
          <w:color w:val="auto"/>
          <w:szCs w:val="24"/>
          <w:highlight w:val="none"/>
        </w:rPr>
      </w:pPr>
    </w:p>
    <w:p w14:paraId="6FB23E45">
      <w:pPr>
        <w:pStyle w:val="68"/>
        <w:rPr>
          <w:rFonts w:ascii="Calibri" w:hAnsi="Calibri"/>
          <w:color w:val="auto"/>
          <w:szCs w:val="24"/>
          <w:highlight w:val="none"/>
        </w:rPr>
      </w:pPr>
    </w:p>
    <w:p w14:paraId="28572D20">
      <w:pPr>
        <w:pStyle w:val="68"/>
        <w:rPr>
          <w:rFonts w:ascii="Calibri" w:hAnsi="Calibri"/>
          <w:color w:val="auto"/>
          <w:szCs w:val="24"/>
          <w:highlight w:val="none"/>
        </w:rPr>
      </w:pPr>
    </w:p>
    <w:p w14:paraId="0987544E">
      <w:pPr>
        <w:pStyle w:val="68"/>
        <w:rPr>
          <w:rFonts w:ascii="Calibri" w:hAnsi="Calibri"/>
          <w:color w:val="auto"/>
          <w:szCs w:val="24"/>
          <w:highlight w:val="none"/>
        </w:rPr>
      </w:pPr>
    </w:p>
    <w:p w14:paraId="79468AC2">
      <w:pPr>
        <w:pStyle w:val="68"/>
        <w:rPr>
          <w:rFonts w:ascii="Calibri" w:hAnsi="Calibri"/>
          <w:color w:val="auto"/>
          <w:szCs w:val="24"/>
          <w:highlight w:val="none"/>
        </w:rPr>
      </w:pPr>
    </w:p>
    <w:p w14:paraId="14F5B62E">
      <w:pPr>
        <w:pStyle w:val="68"/>
        <w:rPr>
          <w:rFonts w:ascii="Calibri" w:hAnsi="Calibri"/>
          <w:color w:val="auto"/>
          <w:szCs w:val="24"/>
          <w:highlight w:val="none"/>
        </w:rPr>
      </w:pPr>
    </w:p>
    <w:p w14:paraId="65088C74">
      <w:pPr>
        <w:pStyle w:val="68"/>
        <w:rPr>
          <w:rFonts w:ascii="Calibri" w:hAnsi="Calibri"/>
          <w:color w:val="auto"/>
          <w:szCs w:val="24"/>
          <w:highlight w:val="none"/>
        </w:rPr>
      </w:pPr>
    </w:p>
    <w:p w14:paraId="14F03F3F">
      <w:pPr>
        <w:pStyle w:val="68"/>
        <w:rPr>
          <w:rFonts w:ascii="Calibri" w:hAnsi="Calibri"/>
          <w:color w:val="auto"/>
          <w:szCs w:val="24"/>
          <w:highlight w:val="none"/>
        </w:rPr>
      </w:pPr>
    </w:p>
    <w:p w14:paraId="0E5A74D3">
      <w:pPr>
        <w:pStyle w:val="68"/>
        <w:rPr>
          <w:rFonts w:ascii="Calibri" w:hAnsi="Calibri"/>
          <w:color w:val="auto"/>
          <w:szCs w:val="24"/>
          <w:highlight w:val="none"/>
        </w:rPr>
      </w:pPr>
    </w:p>
    <w:p w14:paraId="26C28658">
      <w:pPr>
        <w:pStyle w:val="68"/>
        <w:rPr>
          <w:rFonts w:ascii="Calibri" w:hAnsi="Calibri"/>
          <w:color w:val="auto"/>
          <w:szCs w:val="24"/>
          <w:highlight w:val="none"/>
        </w:rPr>
      </w:pPr>
    </w:p>
    <w:p w14:paraId="09824957">
      <w:pPr>
        <w:pStyle w:val="68"/>
        <w:rPr>
          <w:rFonts w:ascii="Calibri" w:hAnsi="Calibri"/>
          <w:color w:val="auto"/>
          <w:szCs w:val="24"/>
          <w:highlight w:val="none"/>
        </w:rPr>
      </w:pPr>
    </w:p>
    <w:p w14:paraId="189EB270">
      <w:pPr>
        <w:pStyle w:val="68"/>
        <w:rPr>
          <w:rFonts w:ascii="Calibri" w:hAnsi="Calibri"/>
          <w:color w:val="auto"/>
          <w:szCs w:val="24"/>
          <w:highlight w:val="none"/>
        </w:rPr>
      </w:pPr>
    </w:p>
    <w:p w14:paraId="08BF9F52">
      <w:pPr>
        <w:pStyle w:val="68"/>
        <w:rPr>
          <w:rFonts w:ascii="Calibri" w:hAnsi="Calibri"/>
          <w:color w:val="auto"/>
          <w:szCs w:val="24"/>
          <w:highlight w:val="none"/>
        </w:rPr>
      </w:pPr>
    </w:p>
    <w:p w14:paraId="33ED9C93">
      <w:pPr>
        <w:pStyle w:val="68"/>
        <w:rPr>
          <w:rFonts w:ascii="Calibri" w:hAnsi="Calibri"/>
          <w:color w:val="auto"/>
          <w:szCs w:val="24"/>
          <w:highlight w:val="none"/>
        </w:rPr>
      </w:pPr>
    </w:p>
    <w:p w14:paraId="5E0D3BFF">
      <w:pPr>
        <w:spacing w:line="440" w:lineRule="exact"/>
        <w:ind w:firstLine="420" w:firstLineChars="200"/>
        <w:jc w:val="left"/>
        <w:rPr>
          <w:rFonts w:hint="eastAsia" w:hAnsi="宋体"/>
          <w:color w:val="auto"/>
          <w:szCs w:val="21"/>
          <w:highlight w:val="none"/>
          <w:lang w:eastAsia="zh-CN"/>
        </w:rPr>
      </w:pPr>
      <w:r>
        <w:rPr>
          <w:rFonts w:hint="eastAsia" w:hAnsi="宋体"/>
          <w:color w:val="auto"/>
          <w:szCs w:val="21"/>
          <w:highlight w:val="none"/>
        </w:rPr>
        <w:t>3、</w:t>
      </w:r>
      <w:r>
        <w:rPr>
          <w:rFonts w:hint="eastAsia" w:hAnsi="宋体"/>
          <w:color w:val="auto"/>
          <w:szCs w:val="21"/>
          <w:highlight w:val="none"/>
          <w:lang w:eastAsia="zh-CN"/>
        </w:rPr>
        <w:t>防城港市政府采购供应商信用承诺函（格式）</w:t>
      </w:r>
    </w:p>
    <w:p w14:paraId="0F2F05A9">
      <w:pPr>
        <w:spacing w:line="440" w:lineRule="exact"/>
        <w:ind w:firstLine="640" w:firstLineChars="200"/>
        <w:jc w:val="left"/>
        <w:rPr>
          <w:rFonts w:hint="eastAsia" w:ascii="宋体" w:hAnsi="宋体" w:eastAsia="宋体" w:cs="宋体"/>
          <w:color w:val="auto"/>
          <w:sz w:val="32"/>
          <w:szCs w:val="32"/>
          <w:highlight w:val="none"/>
        </w:rPr>
      </w:pPr>
    </w:p>
    <w:p w14:paraId="15494D69">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致（采购人或采购代理机构） ：</w:t>
      </w:r>
    </w:p>
    <w:p w14:paraId="5863AE18">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我方自愿参加</w:t>
      </w:r>
      <w:r>
        <w:rPr>
          <w:rFonts w:hint="eastAsia" w:ascii="宋体" w:hAnsi="宋体" w:eastAsia="宋体" w:cs="宋体"/>
          <w:color w:val="auto"/>
          <w:sz w:val="21"/>
          <w:szCs w:val="21"/>
          <w:highlight w:val="none"/>
          <w:u w:val="single"/>
          <w:lang w:val="en-US" w:eastAsia="zh-CN"/>
        </w:rPr>
        <w:t xml:space="preserve"> （项目名称） </w:t>
      </w:r>
      <w:r>
        <w:rPr>
          <w:rFonts w:hint="eastAsia" w:ascii="宋体" w:hAnsi="宋体" w:eastAsia="宋体" w:cs="宋体"/>
          <w:color w:val="auto"/>
          <w:sz w:val="21"/>
          <w:szCs w:val="21"/>
          <w:highlight w:val="none"/>
          <w:lang w:val="en-US" w:eastAsia="zh-CN"/>
        </w:rPr>
        <w:t>项目</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项目编号：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 xml:space="preserve">的政府采购活动，严格遵守《中华人民共和国政府采购法》及相关法律法规，依法诚信经营，无条件遵守本次政府采购活动的各项规定，并郑重承诺： </w:t>
      </w:r>
    </w:p>
    <w:p w14:paraId="38882465">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1.我方具有符合采购文件资格要求的财务状况报告。 </w:t>
      </w:r>
    </w:p>
    <w:p w14:paraId="0E3A39BB">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2.我方具有符合采购文件资格要求的依法缴纳税收和社会保障资金的良好记录。 </w:t>
      </w:r>
    </w:p>
    <w:p w14:paraId="470418F2">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3.我方参加政府采购活动前三年内在经营活动中没有重大违法记录。 </w:t>
      </w:r>
    </w:p>
    <w:p w14:paraId="304A76C5">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我方对以上承诺内容的真实性负责。如有虚假，将依法承担相应责任。</w:t>
      </w:r>
    </w:p>
    <w:p w14:paraId="573D093D">
      <w:pPr>
        <w:keepNext w:val="0"/>
        <w:keepLines w:val="0"/>
        <w:pageBreakBefore w:val="0"/>
        <w:widowControl w:val="0"/>
        <w:kinsoku/>
        <w:wordWrap/>
        <w:overflowPunct/>
        <w:topLinePunct w:val="0"/>
        <w:autoSpaceDE/>
        <w:autoSpaceDN/>
        <w:bidi w:val="0"/>
        <w:adjustRightInd/>
        <w:snapToGrid/>
        <w:spacing w:line="520" w:lineRule="exact"/>
        <w:ind w:firstLine="2415" w:firstLineChars="1150"/>
        <w:textAlignment w:val="auto"/>
        <w:rPr>
          <w:rFonts w:hint="eastAsia" w:ascii="宋体" w:hAnsi="宋体" w:eastAsia="宋体" w:cs="宋体"/>
          <w:color w:val="auto"/>
          <w:sz w:val="21"/>
          <w:szCs w:val="21"/>
          <w:highlight w:val="none"/>
        </w:rPr>
      </w:pPr>
    </w:p>
    <w:p w14:paraId="7F9C3A06">
      <w:pPr>
        <w:keepNext w:val="0"/>
        <w:keepLines w:val="0"/>
        <w:pageBreakBefore w:val="0"/>
        <w:widowControl w:val="0"/>
        <w:kinsoku/>
        <w:wordWrap/>
        <w:overflowPunct/>
        <w:topLinePunct w:val="0"/>
        <w:autoSpaceDE/>
        <w:autoSpaceDN/>
        <w:bidi w:val="0"/>
        <w:adjustRightInd/>
        <w:snapToGrid/>
        <w:spacing w:line="520" w:lineRule="exact"/>
        <w:ind w:firstLine="2415" w:firstLineChars="1150"/>
        <w:textAlignment w:val="auto"/>
        <w:rPr>
          <w:rFonts w:hint="eastAsia" w:ascii="宋体" w:hAnsi="宋体" w:eastAsia="宋体" w:cs="宋体"/>
          <w:color w:val="auto"/>
          <w:sz w:val="21"/>
          <w:szCs w:val="21"/>
          <w:highlight w:val="none"/>
        </w:rPr>
      </w:pPr>
    </w:p>
    <w:p w14:paraId="10E9F93E">
      <w:pPr>
        <w:keepNext w:val="0"/>
        <w:keepLines w:val="0"/>
        <w:pageBreakBefore w:val="0"/>
        <w:widowControl w:val="0"/>
        <w:kinsoku/>
        <w:wordWrap/>
        <w:overflowPunct/>
        <w:topLinePunct w:val="0"/>
        <w:autoSpaceDE/>
        <w:autoSpaceDN/>
        <w:bidi w:val="0"/>
        <w:adjustRightInd/>
        <w:snapToGrid/>
        <w:spacing w:line="520" w:lineRule="exact"/>
        <w:ind w:firstLine="2415" w:firstLineChars="115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供应商名称（公章）：</w:t>
      </w:r>
    </w:p>
    <w:p w14:paraId="70960339">
      <w:pPr>
        <w:keepNext w:val="0"/>
        <w:keepLines w:val="0"/>
        <w:pageBreakBefore w:val="0"/>
        <w:widowControl w:val="0"/>
        <w:kinsoku/>
        <w:wordWrap/>
        <w:overflowPunct/>
        <w:topLinePunct w:val="0"/>
        <w:autoSpaceDE/>
        <w:autoSpaceDN/>
        <w:bidi w:val="0"/>
        <w:adjustRightInd/>
        <w:snapToGrid/>
        <w:spacing w:line="600" w:lineRule="exact"/>
        <w:ind w:firstLine="2310" w:firstLineChars="1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统一社会信用代码：</w:t>
      </w:r>
    </w:p>
    <w:p w14:paraId="123A0D67">
      <w:pPr>
        <w:keepNext w:val="0"/>
        <w:keepLines w:val="0"/>
        <w:pageBreakBefore w:val="0"/>
        <w:widowControl w:val="0"/>
        <w:kinsoku/>
        <w:wordWrap/>
        <w:overflowPunct/>
        <w:topLinePunct w:val="0"/>
        <w:autoSpaceDE/>
        <w:autoSpaceDN/>
        <w:bidi w:val="0"/>
        <w:adjustRightInd/>
        <w:snapToGrid/>
        <w:spacing w:line="520" w:lineRule="exact"/>
        <w:ind w:firstLine="1470" w:firstLineChars="7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法定代表人或授权代表(签名)：</w:t>
      </w:r>
    </w:p>
    <w:p w14:paraId="45F75993">
      <w:pPr>
        <w:keepNext w:val="0"/>
        <w:keepLines w:val="0"/>
        <w:pageBreakBefore w:val="0"/>
        <w:widowControl w:val="0"/>
        <w:kinsoku/>
        <w:wordWrap/>
        <w:overflowPunct/>
        <w:topLinePunct w:val="0"/>
        <w:autoSpaceDE/>
        <w:autoSpaceDN/>
        <w:bidi w:val="0"/>
        <w:adjustRightInd/>
        <w:snapToGrid/>
        <w:spacing w:line="520" w:lineRule="exact"/>
        <w:ind w:firstLine="2730" w:firstLineChars="13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日期： 年 月 日</w:t>
      </w:r>
    </w:p>
    <w:p w14:paraId="0EDDF78D">
      <w:pPr>
        <w:pStyle w:val="35"/>
        <w:rPr>
          <w:rFonts w:hint="eastAsia" w:ascii="宋体" w:hAnsi="宋体" w:eastAsia="宋体" w:cs="宋体"/>
          <w:color w:val="auto"/>
          <w:sz w:val="21"/>
          <w:szCs w:val="21"/>
          <w:highlight w:val="none"/>
        </w:rPr>
      </w:pPr>
    </w:p>
    <w:p w14:paraId="31C1F520">
      <w:pPr>
        <w:pStyle w:val="35"/>
        <w:rPr>
          <w:rFonts w:hint="eastAsia" w:ascii="宋体" w:hAnsi="宋体" w:eastAsia="宋体" w:cs="宋体"/>
          <w:color w:val="auto"/>
          <w:sz w:val="21"/>
          <w:szCs w:val="21"/>
          <w:highlight w:val="none"/>
        </w:rPr>
      </w:pPr>
    </w:p>
    <w:p w14:paraId="46381825">
      <w:pPr>
        <w:pStyle w:val="35"/>
        <w:rPr>
          <w:rFonts w:hint="eastAsia" w:ascii="宋体" w:hAnsi="宋体" w:eastAsia="宋体" w:cs="宋体"/>
          <w:color w:val="auto"/>
          <w:sz w:val="21"/>
          <w:szCs w:val="21"/>
          <w:highlight w:val="none"/>
        </w:rPr>
      </w:pPr>
    </w:p>
    <w:p w14:paraId="3771BF96">
      <w:pPr>
        <w:keepNext w:val="0"/>
        <w:keepLines w:val="0"/>
        <w:pageBreakBefore w:val="0"/>
        <w:widowControl w:val="0"/>
        <w:kinsoku/>
        <w:wordWrap/>
        <w:overflowPunct/>
        <w:topLinePunct w:val="0"/>
        <w:autoSpaceDE/>
        <w:autoSpaceDN/>
        <w:bidi w:val="0"/>
        <w:adjustRightInd/>
        <w:snapToGrid/>
        <w:spacing w:line="6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注：1.供应商须在</w:t>
      </w:r>
      <w:r>
        <w:rPr>
          <w:rFonts w:hint="eastAsia" w:hAnsi="宋体" w:cs="宋体"/>
          <w:color w:val="auto"/>
          <w:sz w:val="21"/>
          <w:szCs w:val="21"/>
          <w:highlight w:val="none"/>
          <w:lang w:eastAsia="zh-CN"/>
        </w:rPr>
        <w:t>响应</w:t>
      </w:r>
      <w:r>
        <w:rPr>
          <w:rFonts w:hint="eastAsia" w:ascii="宋体" w:hAnsi="宋体" w:eastAsia="宋体" w:cs="宋体"/>
          <w:color w:val="auto"/>
          <w:sz w:val="21"/>
          <w:szCs w:val="21"/>
          <w:highlight w:val="none"/>
        </w:rPr>
        <w:t>文件中按此模板提供承诺函，未提供视为未实质性响应招标（采购）文件要求，按无效</w:t>
      </w:r>
      <w:r>
        <w:rPr>
          <w:rFonts w:hint="eastAsia" w:hAnsi="宋体" w:cs="宋体"/>
          <w:color w:val="auto"/>
          <w:sz w:val="21"/>
          <w:szCs w:val="21"/>
          <w:highlight w:val="none"/>
          <w:lang w:eastAsia="zh-CN"/>
        </w:rPr>
        <w:t>响应</w:t>
      </w:r>
      <w:r>
        <w:rPr>
          <w:rFonts w:hint="eastAsia" w:ascii="宋体" w:hAnsi="宋体" w:eastAsia="宋体" w:cs="宋体"/>
          <w:color w:val="auto"/>
          <w:sz w:val="21"/>
          <w:szCs w:val="21"/>
          <w:highlight w:val="none"/>
        </w:rPr>
        <w:t>处理。</w:t>
      </w:r>
    </w:p>
    <w:p w14:paraId="4C8797A7">
      <w:pPr>
        <w:spacing w:line="440" w:lineRule="exact"/>
        <w:ind w:firstLine="420" w:firstLineChars="200"/>
        <w:jc w:val="left"/>
        <w:rPr>
          <w:rFonts w:hAnsi="宋体"/>
          <w:color w:val="auto"/>
          <w:sz w:val="21"/>
          <w:szCs w:val="21"/>
          <w:highlight w:val="none"/>
        </w:rPr>
      </w:pPr>
      <w:r>
        <w:rPr>
          <w:rFonts w:hint="eastAsia" w:ascii="宋体" w:hAnsi="宋体" w:eastAsia="宋体" w:cs="宋体"/>
          <w:color w:val="auto"/>
          <w:sz w:val="21"/>
          <w:szCs w:val="21"/>
          <w:highlight w:val="none"/>
        </w:rPr>
        <w:t>供应商的法定代表人（其他组织的为负责人）或者授权代表的签名或盖章应真实、有效，如由授权代表签名或盖章的，应提供“法定代表人授权书”。</w:t>
      </w:r>
    </w:p>
    <w:p w14:paraId="1C2D61F4">
      <w:pPr>
        <w:spacing w:line="440" w:lineRule="exact"/>
        <w:ind w:left="-27" w:leftChars="-13" w:firstLine="420" w:firstLineChars="200"/>
        <w:rPr>
          <w:rFonts w:hAnsi="宋体"/>
          <w:color w:val="auto"/>
          <w:szCs w:val="21"/>
          <w:highlight w:val="none"/>
        </w:rPr>
      </w:pPr>
    </w:p>
    <w:p w14:paraId="48C9E548">
      <w:pPr>
        <w:pStyle w:val="2"/>
        <w:rPr>
          <w:color w:val="auto"/>
          <w:highlight w:val="none"/>
        </w:rPr>
      </w:pPr>
    </w:p>
    <w:p w14:paraId="29D0A7F2">
      <w:pPr>
        <w:pStyle w:val="2"/>
        <w:rPr>
          <w:color w:val="auto"/>
          <w:highlight w:val="none"/>
        </w:rPr>
      </w:pPr>
    </w:p>
    <w:p w14:paraId="5673CE1E">
      <w:pPr>
        <w:pStyle w:val="56"/>
        <w:rPr>
          <w:color w:val="auto"/>
          <w:highlight w:val="none"/>
        </w:rPr>
      </w:pPr>
    </w:p>
    <w:p w14:paraId="1BBA84CC">
      <w:pPr>
        <w:pStyle w:val="56"/>
        <w:rPr>
          <w:color w:val="auto"/>
          <w:highlight w:val="none"/>
        </w:rPr>
      </w:pPr>
    </w:p>
    <w:p w14:paraId="78A9B856">
      <w:pPr>
        <w:pStyle w:val="2"/>
        <w:rPr>
          <w:color w:val="auto"/>
          <w:highlight w:val="none"/>
        </w:rPr>
      </w:pPr>
    </w:p>
    <w:p w14:paraId="0358156A">
      <w:pPr>
        <w:spacing w:line="440" w:lineRule="exact"/>
        <w:ind w:left="-27" w:leftChars="-13" w:firstLine="420" w:firstLineChars="200"/>
        <w:rPr>
          <w:rFonts w:hAnsi="宋体"/>
          <w:color w:val="auto"/>
          <w:szCs w:val="21"/>
          <w:highlight w:val="none"/>
        </w:rPr>
      </w:pPr>
      <w:r>
        <w:rPr>
          <w:rFonts w:hint="eastAsia" w:hAnsi="宋体"/>
          <w:color w:val="auto"/>
          <w:szCs w:val="21"/>
          <w:highlight w:val="none"/>
          <w:lang w:val="en-US" w:eastAsia="zh-CN"/>
        </w:rPr>
        <w:t>4</w:t>
      </w:r>
      <w:r>
        <w:rPr>
          <w:rFonts w:hint="eastAsia" w:hAnsi="宋体"/>
          <w:color w:val="auto"/>
          <w:szCs w:val="21"/>
          <w:highlight w:val="none"/>
        </w:rPr>
        <w:t>、供应商直接控股股东信息。</w:t>
      </w:r>
    </w:p>
    <w:tbl>
      <w:tblPr>
        <w:tblStyle w:val="57"/>
        <w:tblW w:w="0" w:type="auto"/>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2457"/>
        <w:gridCol w:w="1576"/>
        <w:gridCol w:w="2369"/>
        <w:gridCol w:w="1077"/>
      </w:tblGrid>
      <w:tr w14:paraId="5E890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trPr>
        <w:tc>
          <w:tcPr>
            <w:tcW w:w="818" w:type="dxa"/>
            <w:vAlign w:val="center"/>
          </w:tcPr>
          <w:p w14:paraId="0D0AA74F">
            <w:pPr>
              <w:autoSpaceDE w:val="0"/>
              <w:autoSpaceDN w:val="0"/>
              <w:adjustRightInd w:val="0"/>
              <w:jc w:val="center"/>
              <w:rPr>
                <w:rFonts w:hAnsi="Calibri" w:cs="宋体"/>
                <w:color w:val="auto"/>
                <w:kern w:val="0"/>
                <w:szCs w:val="24"/>
                <w:highlight w:val="none"/>
              </w:rPr>
            </w:pPr>
            <w:r>
              <w:rPr>
                <w:rFonts w:hint="eastAsia" w:hAnsi="Calibri" w:cs="宋体"/>
                <w:color w:val="auto"/>
                <w:kern w:val="0"/>
                <w:szCs w:val="24"/>
                <w:highlight w:val="none"/>
              </w:rPr>
              <w:t>序号</w:t>
            </w:r>
          </w:p>
        </w:tc>
        <w:tc>
          <w:tcPr>
            <w:tcW w:w="2457" w:type="dxa"/>
            <w:vAlign w:val="center"/>
          </w:tcPr>
          <w:p w14:paraId="415C9ADC">
            <w:pPr>
              <w:autoSpaceDE w:val="0"/>
              <w:autoSpaceDN w:val="0"/>
              <w:adjustRightInd w:val="0"/>
              <w:jc w:val="center"/>
              <w:rPr>
                <w:rFonts w:hAnsi="Calibri" w:cs="宋体"/>
                <w:color w:val="auto"/>
                <w:kern w:val="0"/>
                <w:szCs w:val="24"/>
                <w:highlight w:val="none"/>
              </w:rPr>
            </w:pPr>
            <w:r>
              <w:rPr>
                <w:rFonts w:hint="eastAsia" w:hAnsi="Calibri" w:cs="宋体"/>
                <w:color w:val="auto"/>
                <w:kern w:val="0"/>
                <w:szCs w:val="24"/>
                <w:highlight w:val="none"/>
              </w:rPr>
              <w:t>直接控股股东名称</w:t>
            </w:r>
          </w:p>
        </w:tc>
        <w:tc>
          <w:tcPr>
            <w:tcW w:w="1576" w:type="dxa"/>
            <w:vAlign w:val="center"/>
          </w:tcPr>
          <w:p w14:paraId="209C5D86">
            <w:pPr>
              <w:autoSpaceDE w:val="0"/>
              <w:autoSpaceDN w:val="0"/>
              <w:adjustRightInd w:val="0"/>
              <w:jc w:val="center"/>
              <w:rPr>
                <w:rFonts w:hAnsi="Calibri" w:cs="宋体"/>
                <w:color w:val="auto"/>
                <w:kern w:val="0"/>
                <w:szCs w:val="24"/>
                <w:highlight w:val="none"/>
              </w:rPr>
            </w:pPr>
            <w:r>
              <w:rPr>
                <w:rFonts w:hint="eastAsia" w:hAnsi="Calibri" w:cs="宋体"/>
                <w:color w:val="auto"/>
                <w:kern w:val="0"/>
                <w:szCs w:val="24"/>
                <w:highlight w:val="none"/>
              </w:rPr>
              <w:t>出资比例</w:t>
            </w:r>
          </w:p>
        </w:tc>
        <w:tc>
          <w:tcPr>
            <w:tcW w:w="2369" w:type="dxa"/>
            <w:vAlign w:val="center"/>
          </w:tcPr>
          <w:p w14:paraId="00B42837">
            <w:pPr>
              <w:autoSpaceDE w:val="0"/>
              <w:autoSpaceDN w:val="0"/>
              <w:adjustRightInd w:val="0"/>
              <w:jc w:val="center"/>
              <w:rPr>
                <w:rFonts w:hAnsi="Calibri" w:cs="宋体"/>
                <w:color w:val="auto"/>
                <w:kern w:val="0"/>
                <w:szCs w:val="24"/>
                <w:highlight w:val="none"/>
              </w:rPr>
            </w:pPr>
            <w:r>
              <w:rPr>
                <w:rFonts w:hint="eastAsia" w:hAnsi="Calibri" w:cs="宋体"/>
                <w:color w:val="auto"/>
                <w:kern w:val="0"/>
                <w:szCs w:val="24"/>
                <w:highlight w:val="none"/>
              </w:rPr>
              <w:t>身份证号码或者统一社会信用代码</w:t>
            </w:r>
          </w:p>
        </w:tc>
        <w:tc>
          <w:tcPr>
            <w:tcW w:w="1077" w:type="dxa"/>
            <w:vAlign w:val="center"/>
          </w:tcPr>
          <w:p w14:paraId="3E643F5A">
            <w:pPr>
              <w:autoSpaceDE w:val="0"/>
              <w:autoSpaceDN w:val="0"/>
              <w:adjustRightInd w:val="0"/>
              <w:jc w:val="center"/>
              <w:rPr>
                <w:rFonts w:hAnsi="Calibri" w:cs="宋体"/>
                <w:color w:val="auto"/>
                <w:kern w:val="0"/>
                <w:szCs w:val="24"/>
                <w:highlight w:val="none"/>
              </w:rPr>
            </w:pPr>
            <w:r>
              <w:rPr>
                <w:rFonts w:hint="eastAsia" w:hAnsi="Calibri" w:cs="宋体"/>
                <w:color w:val="auto"/>
                <w:kern w:val="0"/>
                <w:szCs w:val="24"/>
                <w:highlight w:val="none"/>
              </w:rPr>
              <w:t>备注</w:t>
            </w:r>
          </w:p>
        </w:tc>
      </w:tr>
      <w:tr w14:paraId="05B37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818" w:type="dxa"/>
            <w:vAlign w:val="center"/>
          </w:tcPr>
          <w:p w14:paraId="053BA922">
            <w:pPr>
              <w:autoSpaceDE w:val="0"/>
              <w:autoSpaceDN w:val="0"/>
              <w:adjustRightInd w:val="0"/>
              <w:jc w:val="center"/>
              <w:rPr>
                <w:rFonts w:hAnsi="Calibri" w:cs="宋体"/>
                <w:color w:val="auto"/>
                <w:kern w:val="0"/>
                <w:szCs w:val="24"/>
                <w:highlight w:val="none"/>
              </w:rPr>
            </w:pPr>
            <w:r>
              <w:rPr>
                <w:rFonts w:hAnsi="Calibri" w:cs="宋体"/>
                <w:color w:val="auto"/>
                <w:kern w:val="0"/>
                <w:szCs w:val="24"/>
                <w:highlight w:val="none"/>
              </w:rPr>
              <w:t>1</w:t>
            </w:r>
          </w:p>
        </w:tc>
        <w:tc>
          <w:tcPr>
            <w:tcW w:w="2457" w:type="dxa"/>
          </w:tcPr>
          <w:p w14:paraId="3E891C55">
            <w:pPr>
              <w:autoSpaceDE w:val="0"/>
              <w:autoSpaceDN w:val="0"/>
              <w:adjustRightInd w:val="0"/>
              <w:jc w:val="left"/>
              <w:rPr>
                <w:rFonts w:hAnsi="Calibri" w:cs="宋体"/>
                <w:color w:val="auto"/>
                <w:kern w:val="0"/>
                <w:szCs w:val="24"/>
                <w:highlight w:val="none"/>
              </w:rPr>
            </w:pPr>
          </w:p>
        </w:tc>
        <w:tc>
          <w:tcPr>
            <w:tcW w:w="1576" w:type="dxa"/>
          </w:tcPr>
          <w:p w14:paraId="62312739">
            <w:pPr>
              <w:autoSpaceDE w:val="0"/>
              <w:autoSpaceDN w:val="0"/>
              <w:adjustRightInd w:val="0"/>
              <w:jc w:val="left"/>
              <w:rPr>
                <w:rFonts w:hAnsi="Calibri" w:cs="宋体"/>
                <w:color w:val="auto"/>
                <w:kern w:val="0"/>
                <w:szCs w:val="24"/>
                <w:highlight w:val="none"/>
              </w:rPr>
            </w:pPr>
          </w:p>
        </w:tc>
        <w:tc>
          <w:tcPr>
            <w:tcW w:w="2369" w:type="dxa"/>
          </w:tcPr>
          <w:p w14:paraId="279F235A">
            <w:pPr>
              <w:autoSpaceDE w:val="0"/>
              <w:autoSpaceDN w:val="0"/>
              <w:adjustRightInd w:val="0"/>
              <w:jc w:val="left"/>
              <w:rPr>
                <w:rFonts w:hAnsi="Calibri" w:cs="宋体"/>
                <w:color w:val="auto"/>
                <w:kern w:val="0"/>
                <w:szCs w:val="24"/>
                <w:highlight w:val="none"/>
              </w:rPr>
            </w:pPr>
          </w:p>
        </w:tc>
        <w:tc>
          <w:tcPr>
            <w:tcW w:w="1077" w:type="dxa"/>
          </w:tcPr>
          <w:p w14:paraId="3004C7C6">
            <w:pPr>
              <w:autoSpaceDE w:val="0"/>
              <w:autoSpaceDN w:val="0"/>
              <w:adjustRightInd w:val="0"/>
              <w:jc w:val="left"/>
              <w:rPr>
                <w:rFonts w:hAnsi="Calibri" w:cs="宋体"/>
                <w:color w:val="auto"/>
                <w:kern w:val="0"/>
                <w:szCs w:val="24"/>
                <w:highlight w:val="none"/>
              </w:rPr>
            </w:pPr>
          </w:p>
        </w:tc>
      </w:tr>
      <w:tr w14:paraId="6360D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818" w:type="dxa"/>
            <w:vAlign w:val="center"/>
          </w:tcPr>
          <w:p w14:paraId="3B9CA995">
            <w:pPr>
              <w:autoSpaceDE w:val="0"/>
              <w:autoSpaceDN w:val="0"/>
              <w:adjustRightInd w:val="0"/>
              <w:jc w:val="center"/>
              <w:rPr>
                <w:rFonts w:hAnsi="Calibri" w:cs="宋体"/>
                <w:color w:val="auto"/>
                <w:kern w:val="0"/>
                <w:szCs w:val="24"/>
                <w:highlight w:val="none"/>
              </w:rPr>
            </w:pPr>
            <w:r>
              <w:rPr>
                <w:rFonts w:hAnsi="Calibri" w:cs="宋体"/>
                <w:color w:val="auto"/>
                <w:kern w:val="0"/>
                <w:szCs w:val="24"/>
                <w:highlight w:val="none"/>
              </w:rPr>
              <w:t>2</w:t>
            </w:r>
          </w:p>
        </w:tc>
        <w:tc>
          <w:tcPr>
            <w:tcW w:w="2457" w:type="dxa"/>
          </w:tcPr>
          <w:p w14:paraId="48A9EA84">
            <w:pPr>
              <w:autoSpaceDE w:val="0"/>
              <w:autoSpaceDN w:val="0"/>
              <w:adjustRightInd w:val="0"/>
              <w:jc w:val="left"/>
              <w:rPr>
                <w:rFonts w:hAnsi="Calibri" w:cs="宋体"/>
                <w:color w:val="auto"/>
                <w:kern w:val="0"/>
                <w:szCs w:val="24"/>
                <w:highlight w:val="none"/>
              </w:rPr>
            </w:pPr>
          </w:p>
        </w:tc>
        <w:tc>
          <w:tcPr>
            <w:tcW w:w="1576" w:type="dxa"/>
          </w:tcPr>
          <w:p w14:paraId="75494B58">
            <w:pPr>
              <w:autoSpaceDE w:val="0"/>
              <w:autoSpaceDN w:val="0"/>
              <w:adjustRightInd w:val="0"/>
              <w:jc w:val="left"/>
              <w:rPr>
                <w:rFonts w:hAnsi="Calibri" w:cs="宋体"/>
                <w:color w:val="auto"/>
                <w:kern w:val="0"/>
                <w:szCs w:val="24"/>
                <w:highlight w:val="none"/>
              </w:rPr>
            </w:pPr>
          </w:p>
        </w:tc>
        <w:tc>
          <w:tcPr>
            <w:tcW w:w="2369" w:type="dxa"/>
          </w:tcPr>
          <w:p w14:paraId="50636011">
            <w:pPr>
              <w:autoSpaceDE w:val="0"/>
              <w:autoSpaceDN w:val="0"/>
              <w:adjustRightInd w:val="0"/>
              <w:jc w:val="left"/>
              <w:rPr>
                <w:rFonts w:hAnsi="Calibri" w:cs="宋体"/>
                <w:color w:val="auto"/>
                <w:kern w:val="0"/>
                <w:szCs w:val="24"/>
                <w:highlight w:val="none"/>
              </w:rPr>
            </w:pPr>
          </w:p>
        </w:tc>
        <w:tc>
          <w:tcPr>
            <w:tcW w:w="1077" w:type="dxa"/>
          </w:tcPr>
          <w:p w14:paraId="22879CA6">
            <w:pPr>
              <w:autoSpaceDE w:val="0"/>
              <w:autoSpaceDN w:val="0"/>
              <w:adjustRightInd w:val="0"/>
              <w:jc w:val="left"/>
              <w:rPr>
                <w:rFonts w:hAnsi="Calibri" w:cs="宋体"/>
                <w:color w:val="auto"/>
                <w:kern w:val="0"/>
                <w:szCs w:val="24"/>
                <w:highlight w:val="none"/>
              </w:rPr>
            </w:pPr>
          </w:p>
        </w:tc>
      </w:tr>
      <w:tr w14:paraId="349BA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818" w:type="dxa"/>
            <w:vAlign w:val="center"/>
          </w:tcPr>
          <w:p w14:paraId="184466D2">
            <w:pPr>
              <w:autoSpaceDE w:val="0"/>
              <w:autoSpaceDN w:val="0"/>
              <w:adjustRightInd w:val="0"/>
              <w:jc w:val="center"/>
              <w:rPr>
                <w:rFonts w:hAnsi="Calibri" w:cs="宋体"/>
                <w:color w:val="auto"/>
                <w:kern w:val="0"/>
                <w:szCs w:val="24"/>
                <w:highlight w:val="none"/>
              </w:rPr>
            </w:pPr>
            <w:r>
              <w:rPr>
                <w:rFonts w:hAnsi="Calibri" w:cs="宋体"/>
                <w:color w:val="auto"/>
                <w:kern w:val="0"/>
                <w:szCs w:val="24"/>
                <w:highlight w:val="none"/>
              </w:rPr>
              <w:t>3</w:t>
            </w:r>
          </w:p>
        </w:tc>
        <w:tc>
          <w:tcPr>
            <w:tcW w:w="2457" w:type="dxa"/>
          </w:tcPr>
          <w:p w14:paraId="436F0D6A">
            <w:pPr>
              <w:autoSpaceDE w:val="0"/>
              <w:autoSpaceDN w:val="0"/>
              <w:adjustRightInd w:val="0"/>
              <w:jc w:val="left"/>
              <w:rPr>
                <w:rFonts w:hAnsi="Calibri" w:cs="宋体"/>
                <w:color w:val="auto"/>
                <w:kern w:val="0"/>
                <w:szCs w:val="24"/>
                <w:highlight w:val="none"/>
              </w:rPr>
            </w:pPr>
          </w:p>
        </w:tc>
        <w:tc>
          <w:tcPr>
            <w:tcW w:w="1576" w:type="dxa"/>
          </w:tcPr>
          <w:p w14:paraId="50EC21F5">
            <w:pPr>
              <w:autoSpaceDE w:val="0"/>
              <w:autoSpaceDN w:val="0"/>
              <w:adjustRightInd w:val="0"/>
              <w:jc w:val="left"/>
              <w:rPr>
                <w:rFonts w:hAnsi="Calibri" w:cs="宋体"/>
                <w:color w:val="auto"/>
                <w:kern w:val="0"/>
                <w:szCs w:val="24"/>
                <w:highlight w:val="none"/>
              </w:rPr>
            </w:pPr>
          </w:p>
        </w:tc>
        <w:tc>
          <w:tcPr>
            <w:tcW w:w="2369" w:type="dxa"/>
          </w:tcPr>
          <w:p w14:paraId="383223C5">
            <w:pPr>
              <w:autoSpaceDE w:val="0"/>
              <w:autoSpaceDN w:val="0"/>
              <w:adjustRightInd w:val="0"/>
              <w:jc w:val="left"/>
              <w:rPr>
                <w:rFonts w:hAnsi="Calibri" w:cs="宋体"/>
                <w:color w:val="auto"/>
                <w:kern w:val="0"/>
                <w:szCs w:val="24"/>
                <w:highlight w:val="none"/>
              </w:rPr>
            </w:pPr>
          </w:p>
        </w:tc>
        <w:tc>
          <w:tcPr>
            <w:tcW w:w="1077" w:type="dxa"/>
          </w:tcPr>
          <w:p w14:paraId="3C736418">
            <w:pPr>
              <w:autoSpaceDE w:val="0"/>
              <w:autoSpaceDN w:val="0"/>
              <w:adjustRightInd w:val="0"/>
              <w:jc w:val="left"/>
              <w:rPr>
                <w:rFonts w:hAnsi="Calibri" w:cs="宋体"/>
                <w:color w:val="auto"/>
                <w:kern w:val="0"/>
                <w:szCs w:val="24"/>
                <w:highlight w:val="none"/>
              </w:rPr>
            </w:pPr>
          </w:p>
        </w:tc>
      </w:tr>
      <w:tr w14:paraId="7ED47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rPr>
        <w:tc>
          <w:tcPr>
            <w:tcW w:w="818" w:type="dxa"/>
            <w:vAlign w:val="center"/>
          </w:tcPr>
          <w:p w14:paraId="4AE21778">
            <w:pPr>
              <w:autoSpaceDE w:val="0"/>
              <w:autoSpaceDN w:val="0"/>
              <w:adjustRightInd w:val="0"/>
              <w:jc w:val="center"/>
              <w:rPr>
                <w:rFonts w:hAnsi="Calibri" w:cs="宋体"/>
                <w:color w:val="auto"/>
                <w:kern w:val="0"/>
                <w:szCs w:val="24"/>
                <w:highlight w:val="none"/>
              </w:rPr>
            </w:pPr>
            <w:r>
              <w:rPr>
                <w:rFonts w:hint="eastAsia" w:hAnsi="Calibri" w:cs="宋体"/>
                <w:color w:val="auto"/>
                <w:kern w:val="0"/>
                <w:szCs w:val="24"/>
                <w:highlight w:val="none"/>
              </w:rPr>
              <w:t>……</w:t>
            </w:r>
          </w:p>
        </w:tc>
        <w:tc>
          <w:tcPr>
            <w:tcW w:w="2457" w:type="dxa"/>
          </w:tcPr>
          <w:p w14:paraId="57F59BAA">
            <w:pPr>
              <w:autoSpaceDE w:val="0"/>
              <w:autoSpaceDN w:val="0"/>
              <w:adjustRightInd w:val="0"/>
              <w:jc w:val="left"/>
              <w:rPr>
                <w:rFonts w:hAnsi="Calibri" w:cs="宋体"/>
                <w:color w:val="auto"/>
                <w:kern w:val="0"/>
                <w:szCs w:val="24"/>
                <w:highlight w:val="none"/>
              </w:rPr>
            </w:pPr>
          </w:p>
        </w:tc>
        <w:tc>
          <w:tcPr>
            <w:tcW w:w="1576" w:type="dxa"/>
          </w:tcPr>
          <w:p w14:paraId="2BF3C7FC">
            <w:pPr>
              <w:autoSpaceDE w:val="0"/>
              <w:autoSpaceDN w:val="0"/>
              <w:adjustRightInd w:val="0"/>
              <w:jc w:val="left"/>
              <w:rPr>
                <w:rFonts w:hAnsi="Calibri" w:cs="宋体"/>
                <w:color w:val="auto"/>
                <w:kern w:val="0"/>
                <w:szCs w:val="24"/>
                <w:highlight w:val="none"/>
              </w:rPr>
            </w:pPr>
          </w:p>
        </w:tc>
        <w:tc>
          <w:tcPr>
            <w:tcW w:w="2369" w:type="dxa"/>
          </w:tcPr>
          <w:p w14:paraId="04DF4799">
            <w:pPr>
              <w:autoSpaceDE w:val="0"/>
              <w:autoSpaceDN w:val="0"/>
              <w:adjustRightInd w:val="0"/>
              <w:jc w:val="left"/>
              <w:rPr>
                <w:rFonts w:hAnsi="Calibri" w:cs="宋体"/>
                <w:color w:val="auto"/>
                <w:kern w:val="0"/>
                <w:szCs w:val="24"/>
                <w:highlight w:val="none"/>
              </w:rPr>
            </w:pPr>
          </w:p>
        </w:tc>
        <w:tc>
          <w:tcPr>
            <w:tcW w:w="1077" w:type="dxa"/>
          </w:tcPr>
          <w:p w14:paraId="1B94FA69">
            <w:pPr>
              <w:autoSpaceDE w:val="0"/>
              <w:autoSpaceDN w:val="0"/>
              <w:adjustRightInd w:val="0"/>
              <w:jc w:val="left"/>
              <w:rPr>
                <w:rFonts w:hAnsi="Calibri" w:cs="宋体"/>
                <w:color w:val="auto"/>
                <w:kern w:val="0"/>
                <w:szCs w:val="24"/>
                <w:highlight w:val="none"/>
              </w:rPr>
            </w:pPr>
          </w:p>
        </w:tc>
      </w:tr>
    </w:tbl>
    <w:p w14:paraId="298E0F39">
      <w:pPr>
        <w:autoSpaceDE w:val="0"/>
        <w:autoSpaceDN w:val="0"/>
        <w:adjustRightInd w:val="0"/>
        <w:ind w:firstLine="420" w:firstLineChars="200"/>
        <w:jc w:val="left"/>
        <w:rPr>
          <w:rFonts w:ascii="仿宋" w:hAnsi="Calibri" w:eastAsia="仿宋" w:cs="仿宋"/>
          <w:color w:val="auto"/>
          <w:kern w:val="0"/>
          <w:szCs w:val="21"/>
          <w:highlight w:val="none"/>
        </w:rPr>
      </w:pPr>
      <w:r>
        <w:rPr>
          <w:rFonts w:hint="eastAsia" w:hAnsi="宋体" w:cs="宋体"/>
          <w:color w:val="auto"/>
          <w:kern w:val="0"/>
          <w:szCs w:val="21"/>
          <w:highlight w:val="none"/>
        </w:rPr>
        <w:t>注：</w:t>
      </w:r>
    </w:p>
    <w:p w14:paraId="793B29DE">
      <w:pPr>
        <w:autoSpaceDE w:val="0"/>
        <w:autoSpaceDN w:val="0"/>
        <w:adjustRightInd w:val="0"/>
        <w:ind w:firstLine="420" w:firstLineChars="200"/>
        <w:jc w:val="left"/>
        <w:rPr>
          <w:rFonts w:ascii="仿宋" w:hAnsi="Calibri" w:eastAsia="仿宋" w:cs="仿宋"/>
          <w:color w:val="auto"/>
          <w:kern w:val="0"/>
          <w:szCs w:val="21"/>
          <w:highlight w:val="none"/>
        </w:rPr>
      </w:pPr>
      <w:r>
        <w:rPr>
          <w:rFonts w:ascii="仿宋" w:hAnsi="Calibri" w:eastAsia="仿宋" w:cs="仿宋"/>
          <w:color w:val="auto"/>
          <w:kern w:val="0"/>
          <w:szCs w:val="21"/>
          <w:highlight w:val="none"/>
        </w:rPr>
        <w:t>1.</w:t>
      </w:r>
      <w:r>
        <w:rPr>
          <w:rFonts w:hint="eastAsia" w:hAnsi="宋体" w:cs="宋体"/>
          <w:color w:val="auto"/>
          <w:kern w:val="0"/>
          <w:szCs w:val="21"/>
          <w:highlight w:val="none"/>
        </w:rPr>
        <w:t>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4901F5B3">
      <w:pPr>
        <w:autoSpaceDE w:val="0"/>
        <w:autoSpaceDN w:val="0"/>
        <w:adjustRightInd w:val="0"/>
        <w:ind w:firstLine="420" w:firstLineChars="200"/>
        <w:jc w:val="left"/>
        <w:rPr>
          <w:rFonts w:ascii="仿宋" w:hAnsi="Calibri" w:eastAsia="仿宋" w:cs="仿宋"/>
          <w:color w:val="auto"/>
          <w:kern w:val="0"/>
          <w:szCs w:val="21"/>
          <w:highlight w:val="none"/>
        </w:rPr>
      </w:pPr>
      <w:r>
        <w:rPr>
          <w:rFonts w:ascii="仿宋" w:hAnsi="Calibri" w:eastAsia="仿宋" w:cs="仿宋"/>
          <w:color w:val="auto"/>
          <w:kern w:val="0"/>
          <w:szCs w:val="21"/>
          <w:highlight w:val="none"/>
        </w:rPr>
        <w:t>2.</w:t>
      </w:r>
      <w:r>
        <w:rPr>
          <w:rFonts w:hint="eastAsia" w:hAnsi="宋体" w:cs="宋体"/>
          <w:color w:val="auto"/>
          <w:kern w:val="0"/>
          <w:szCs w:val="21"/>
          <w:highlight w:val="none"/>
        </w:rPr>
        <w:t>本表所指的控股关系仅限于直接控股关系，不包括间接的控股关系。公司实际控制人与公司之间的关系不属于本表所指的直接控股关系。</w:t>
      </w:r>
    </w:p>
    <w:p w14:paraId="0B933415">
      <w:pPr>
        <w:autoSpaceDE w:val="0"/>
        <w:autoSpaceDN w:val="0"/>
        <w:adjustRightInd w:val="0"/>
        <w:ind w:firstLine="420" w:firstLineChars="200"/>
        <w:jc w:val="left"/>
        <w:rPr>
          <w:rFonts w:ascii="仿宋" w:hAnsi="Calibri" w:eastAsia="仿宋" w:cs="仿宋"/>
          <w:color w:val="auto"/>
          <w:kern w:val="0"/>
          <w:szCs w:val="21"/>
          <w:highlight w:val="none"/>
        </w:rPr>
      </w:pPr>
      <w:r>
        <w:rPr>
          <w:rFonts w:ascii="仿宋" w:hAnsi="Calibri" w:eastAsia="仿宋" w:cs="仿宋"/>
          <w:color w:val="auto"/>
          <w:kern w:val="0"/>
          <w:szCs w:val="21"/>
          <w:highlight w:val="none"/>
        </w:rPr>
        <w:t>3.</w:t>
      </w:r>
      <w:r>
        <w:rPr>
          <w:rFonts w:hint="eastAsia" w:hAnsi="宋体" w:cs="宋体"/>
          <w:color w:val="auto"/>
          <w:kern w:val="0"/>
          <w:szCs w:val="21"/>
          <w:highlight w:val="none"/>
        </w:rPr>
        <w:t>供应商不存在直接控股股东的，则填</w:t>
      </w:r>
      <w:r>
        <w:rPr>
          <w:rFonts w:ascii="Times New Roman" w:hAnsi="Times New Roman" w:eastAsia="仿宋"/>
          <w:color w:val="auto"/>
          <w:kern w:val="0"/>
          <w:szCs w:val="21"/>
          <w:highlight w:val="none"/>
        </w:rPr>
        <w:t>“</w:t>
      </w:r>
      <w:r>
        <w:rPr>
          <w:rFonts w:hint="eastAsia" w:hAnsi="宋体" w:cs="宋体"/>
          <w:color w:val="auto"/>
          <w:kern w:val="0"/>
          <w:szCs w:val="21"/>
          <w:highlight w:val="none"/>
        </w:rPr>
        <w:t>无</w:t>
      </w:r>
      <w:r>
        <w:rPr>
          <w:rFonts w:ascii="Times New Roman" w:hAnsi="Times New Roman" w:eastAsia="仿宋"/>
          <w:color w:val="auto"/>
          <w:kern w:val="0"/>
          <w:szCs w:val="21"/>
          <w:highlight w:val="none"/>
        </w:rPr>
        <w:t>”</w:t>
      </w:r>
      <w:r>
        <w:rPr>
          <w:rFonts w:hint="eastAsia" w:hAnsi="宋体" w:cs="宋体"/>
          <w:color w:val="auto"/>
          <w:kern w:val="0"/>
          <w:szCs w:val="21"/>
          <w:highlight w:val="none"/>
        </w:rPr>
        <w:t>。</w:t>
      </w:r>
    </w:p>
    <w:p w14:paraId="39059FB0">
      <w:pPr>
        <w:wordWrap w:val="0"/>
        <w:autoSpaceDE w:val="0"/>
        <w:autoSpaceDN w:val="0"/>
        <w:adjustRightInd w:val="0"/>
        <w:jc w:val="right"/>
        <w:rPr>
          <w:rFonts w:ascii="仿宋" w:hAnsi="Calibri" w:eastAsia="仿宋" w:cs="仿宋"/>
          <w:color w:val="auto"/>
          <w:kern w:val="0"/>
          <w:szCs w:val="21"/>
          <w:highlight w:val="none"/>
        </w:rPr>
      </w:pPr>
      <w:r>
        <w:rPr>
          <w:rFonts w:hint="eastAsia" w:hAnsi="宋体" w:cs="宋体"/>
          <w:color w:val="auto"/>
          <w:kern w:val="0"/>
          <w:szCs w:val="21"/>
          <w:highlight w:val="none"/>
        </w:rPr>
        <w:t>供应商名称（盖章）：</w:t>
      </w:r>
      <w:r>
        <w:rPr>
          <w:rFonts w:hint="eastAsia" w:ascii="仿宋" w:hAnsi="Calibri" w:eastAsia="仿宋" w:cs="仿宋"/>
          <w:color w:val="auto"/>
          <w:kern w:val="0"/>
          <w:szCs w:val="21"/>
          <w:highlight w:val="none"/>
          <w:u w:val="single"/>
        </w:rPr>
        <w:t xml:space="preserve">       </w:t>
      </w:r>
    </w:p>
    <w:p w14:paraId="632018BF">
      <w:pPr>
        <w:wordWrap w:val="0"/>
        <w:spacing w:line="440" w:lineRule="exact"/>
        <w:ind w:firstLine="420" w:firstLineChars="200"/>
        <w:jc w:val="right"/>
        <w:rPr>
          <w:rFonts w:ascii="Calibri" w:hAnsi="宋体"/>
          <w:b/>
          <w:color w:val="auto"/>
          <w:szCs w:val="21"/>
          <w:highlight w:val="none"/>
        </w:rPr>
      </w:pPr>
      <w:r>
        <w:rPr>
          <w:rFonts w:hint="eastAsia" w:hAnsi="宋体" w:cs="宋体"/>
          <w:color w:val="auto"/>
          <w:kern w:val="0"/>
          <w:szCs w:val="21"/>
          <w:highlight w:val="none"/>
        </w:rPr>
        <w:t>日期：</w:t>
      </w:r>
      <w:r>
        <w:rPr>
          <w:rFonts w:ascii="仿宋" w:hAnsi="Calibri" w:eastAsia="仿宋" w:cs="仿宋"/>
          <w:color w:val="auto"/>
          <w:kern w:val="0"/>
          <w:szCs w:val="21"/>
          <w:highlight w:val="none"/>
        </w:rPr>
        <w:t xml:space="preserve"> </w:t>
      </w:r>
      <w:r>
        <w:rPr>
          <w:rFonts w:hint="eastAsia" w:ascii="仿宋" w:hAnsi="Calibri" w:eastAsia="仿宋" w:cs="仿宋"/>
          <w:color w:val="auto"/>
          <w:kern w:val="0"/>
          <w:szCs w:val="21"/>
          <w:highlight w:val="none"/>
        </w:rPr>
        <w:t xml:space="preserve">  </w:t>
      </w:r>
      <w:r>
        <w:rPr>
          <w:rFonts w:hint="eastAsia" w:hAnsi="宋体" w:cs="宋体"/>
          <w:color w:val="auto"/>
          <w:kern w:val="0"/>
          <w:szCs w:val="21"/>
          <w:highlight w:val="none"/>
        </w:rPr>
        <w:t>年</w:t>
      </w:r>
      <w:r>
        <w:rPr>
          <w:rFonts w:hint="eastAsia" w:ascii="仿宋" w:hAnsi="Calibri" w:eastAsia="仿宋" w:cs="仿宋"/>
          <w:color w:val="auto"/>
          <w:kern w:val="0"/>
          <w:szCs w:val="21"/>
          <w:highlight w:val="none"/>
        </w:rPr>
        <w:t xml:space="preserve">   </w:t>
      </w:r>
      <w:r>
        <w:rPr>
          <w:rFonts w:hint="eastAsia" w:hAnsi="宋体" w:cs="宋体"/>
          <w:color w:val="auto"/>
          <w:kern w:val="0"/>
          <w:szCs w:val="21"/>
          <w:highlight w:val="none"/>
        </w:rPr>
        <w:t>月</w:t>
      </w:r>
      <w:r>
        <w:rPr>
          <w:rFonts w:hint="eastAsia" w:ascii="仿宋" w:hAnsi="Calibri" w:eastAsia="仿宋" w:cs="仿宋"/>
          <w:color w:val="auto"/>
          <w:kern w:val="0"/>
          <w:szCs w:val="21"/>
          <w:highlight w:val="none"/>
        </w:rPr>
        <w:t xml:space="preserve">   </w:t>
      </w:r>
      <w:r>
        <w:rPr>
          <w:rFonts w:hint="eastAsia" w:hAnsi="宋体" w:cs="宋体"/>
          <w:color w:val="auto"/>
          <w:kern w:val="0"/>
          <w:szCs w:val="21"/>
          <w:highlight w:val="none"/>
        </w:rPr>
        <w:t>日</w:t>
      </w:r>
    </w:p>
    <w:p w14:paraId="6191A732">
      <w:pPr>
        <w:spacing w:line="440" w:lineRule="exact"/>
        <w:ind w:firstLine="420" w:firstLineChars="200"/>
        <w:rPr>
          <w:rFonts w:hAnsi="宋体"/>
          <w:color w:val="auto"/>
          <w:szCs w:val="21"/>
          <w:highlight w:val="none"/>
        </w:rPr>
      </w:pPr>
    </w:p>
    <w:p w14:paraId="72D822C2">
      <w:pPr>
        <w:spacing w:line="440" w:lineRule="exact"/>
        <w:ind w:left="-27" w:leftChars="-13" w:firstLine="420" w:firstLineChars="200"/>
        <w:rPr>
          <w:rFonts w:hAnsi="宋体"/>
          <w:color w:val="auto"/>
          <w:szCs w:val="21"/>
          <w:highlight w:val="none"/>
        </w:rPr>
        <w:sectPr>
          <w:pgSz w:w="11906" w:h="16838"/>
          <w:pgMar w:top="1304" w:right="1304" w:bottom="1304" w:left="1304" w:header="720" w:footer="720" w:gutter="0"/>
          <w:cols w:space="720" w:num="1"/>
          <w:docGrid w:type="lines" w:linePitch="312" w:charSpace="0"/>
        </w:sectPr>
      </w:pPr>
    </w:p>
    <w:p w14:paraId="6AEC4883">
      <w:pPr>
        <w:spacing w:line="440" w:lineRule="exact"/>
        <w:ind w:left="-27" w:leftChars="-13" w:firstLine="420" w:firstLineChars="200"/>
        <w:rPr>
          <w:rFonts w:hAnsi="宋体"/>
          <w:b/>
          <w:color w:val="auto"/>
          <w:szCs w:val="21"/>
          <w:highlight w:val="none"/>
        </w:rPr>
      </w:pPr>
      <w:r>
        <w:rPr>
          <w:rFonts w:hint="eastAsia" w:hAnsi="宋体"/>
          <w:color w:val="auto"/>
          <w:szCs w:val="21"/>
          <w:highlight w:val="none"/>
          <w:lang w:val="en-US" w:eastAsia="zh-CN"/>
        </w:rPr>
        <w:t>5</w:t>
      </w:r>
      <w:r>
        <w:rPr>
          <w:rFonts w:hint="eastAsia" w:hAnsi="宋体"/>
          <w:color w:val="auto"/>
          <w:szCs w:val="21"/>
          <w:highlight w:val="none"/>
        </w:rPr>
        <w:t>、供应商直接管理关系信息表。</w:t>
      </w:r>
    </w:p>
    <w:tbl>
      <w:tblPr>
        <w:tblStyle w:val="57"/>
        <w:tblW w:w="0" w:type="auto"/>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2457"/>
        <w:gridCol w:w="1576"/>
        <w:gridCol w:w="2369"/>
        <w:gridCol w:w="1077"/>
      </w:tblGrid>
      <w:tr w14:paraId="63718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trPr>
        <w:tc>
          <w:tcPr>
            <w:tcW w:w="818" w:type="dxa"/>
            <w:vAlign w:val="center"/>
          </w:tcPr>
          <w:p w14:paraId="6545EE33">
            <w:pPr>
              <w:autoSpaceDE w:val="0"/>
              <w:autoSpaceDN w:val="0"/>
              <w:adjustRightInd w:val="0"/>
              <w:jc w:val="center"/>
              <w:rPr>
                <w:rFonts w:hAnsi="Calibri" w:cs="宋体"/>
                <w:color w:val="auto"/>
                <w:kern w:val="0"/>
                <w:szCs w:val="24"/>
                <w:highlight w:val="none"/>
              </w:rPr>
            </w:pPr>
            <w:r>
              <w:rPr>
                <w:rFonts w:hint="eastAsia" w:hAnsi="Calibri" w:cs="宋体"/>
                <w:color w:val="auto"/>
                <w:kern w:val="0"/>
                <w:szCs w:val="24"/>
                <w:highlight w:val="none"/>
              </w:rPr>
              <w:t>序号</w:t>
            </w:r>
          </w:p>
        </w:tc>
        <w:tc>
          <w:tcPr>
            <w:tcW w:w="2457" w:type="dxa"/>
            <w:vAlign w:val="center"/>
          </w:tcPr>
          <w:p w14:paraId="705B05AA">
            <w:pPr>
              <w:autoSpaceDE w:val="0"/>
              <w:autoSpaceDN w:val="0"/>
              <w:adjustRightInd w:val="0"/>
              <w:jc w:val="center"/>
              <w:rPr>
                <w:rFonts w:hAnsi="Calibri" w:cs="宋体"/>
                <w:color w:val="auto"/>
                <w:kern w:val="0"/>
                <w:szCs w:val="24"/>
                <w:highlight w:val="none"/>
              </w:rPr>
            </w:pPr>
            <w:r>
              <w:rPr>
                <w:rFonts w:hint="eastAsia" w:hAnsi="Calibri" w:cs="宋体"/>
                <w:color w:val="auto"/>
                <w:kern w:val="0"/>
                <w:szCs w:val="24"/>
                <w:highlight w:val="none"/>
              </w:rPr>
              <w:t>直接管理关系单位名称</w:t>
            </w:r>
          </w:p>
        </w:tc>
        <w:tc>
          <w:tcPr>
            <w:tcW w:w="1576" w:type="dxa"/>
            <w:vAlign w:val="center"/>
          </w:tcPr>
          <w:p w14:paraId="5D16C2DF">
            <w:pPr>
              <w:autoSpaceDE w:val="0"/>
              <w:autoSpaceDN w:val="0"/>
              <w:adjustRightInd w:val="0"/>
              <w:jc w:val="center"/>
              <w:rPr>
                <w:rFonts w:hAnsi="Calibri" w:cs="宋体"/>
                <w:color w:val="auto"/>
                <w:kern w:val="0"/>
                <w:szCs w:val="24"/>
                <w:highlight w:val="none"/>
              </w:rPr>
            </w:pPr>
            <w:r>
              <w:rPr>
                <w:rFonts w:hint="eastAsia" w:hAnsi="Calibri" w:cs="宋体"/>
                <w:color w:val="auto"/>
                <w:kern w:val="0"/>
                <w:szCs w:val="24"/>
                <w:highlight w:val="none"/>
              </w:rPr>
              <w:t>出资比例</w:t>
            </w:r>
          </w:p>
        </w:tc>
        <w:tc>
          <w:tcPr>
            <w:tcW w:w="2369" w:type="dxa"/>
            <w:vAlign w:val="center"/>
          </w:tcPr>
          <w:p w14:paraId="01D89E7E">
            <w:pPr>
              <w:autoSpaceDE w:val="0"/>
              <w:autoSpaceDN w:val="0"/>
              <w:adjustRightInd w:val="0"/>
              <w:jc w:val="center"/>
              <w:rPr>
                <w:rFonts w:hAnsi="Calibri" w:cs="宋体"/>
                <w:color w:val="auto"/>
                <w:kern w:val="0"/>
                <w:szCs w:val="24"/>
                <w:highlight w:val="none"/>
              </w:rPr>
            </w:pPr>
            <w:r>
              <w:rPr>
                <w:rFonts w:hint="eastAsia" w:hAnsi="Calibri" w:cs="宋体"/>
                <w:color w:val="auto"/>
                <w:kern w:val="0"/>
                <w:szCs w:val="24"/>
                <w:highlight w:val="none"/>
              </w:rPr>
              <w:t>统一社会信用代码</w:t>
            </w:r>
          </w:p>
        </w:tc>
        <w:tc>
          <w:tcPr>
            <w:tcW w:w="1077" w:type="dxa"/>
            <w:vAlign w:val="center"/>
          </w:tcPr>
          <w:p w14:paraId="7D1E8EC0">
            <w:pPr>
              <w:autoSpaceDE w:val="0"/>
              <w:autoSpaceDN w:val="0"/>
              <w:adjustRightInd w:val="0"/>
              <w:jc w:val="center"/>
              <w:rPr>
                <w:rFonts w:hAnsi="Calibri" w:cs="宋体"/>
                <w:color w:val="auto"/>
                <w:kern w:val="0"/>
                <w:szCs w:val="24"/>
                <w:highlight w:val="none"/>
              </w:rPr>
            </w:pPr>
            <w:r>
              <w:rPr>
                <w:rFonts w:hint="eastAsia" w:hAnsi="Calibri" w:cs="宋体"/>
                <w:color w:val="auto"/>
                <w:kern w:val="0"/>
                <w:szCs w:val="24"/>
                <w:highlight w:val="none"/>
              </w:rPr>
              <w:t>备注</w:t>
            </w:r>
          </w:p>
        </w:tc>
      </w:tr>
      <w:tr w14:paraId="68FAD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818" w:type="dxa"/>
            <w:vAlign w:val="center"/>
          </w:tcPr>
          <w:p w14:paraId="6C58BD89">
            <w:pPr>
              <w:autoSpaceDE w:val="0"/>
              <w:autoSpaceDN w:val="0"/>
              <w:adjustRightInd w:val="0"/>
              <w:jc w:val="center"/>
              <w:rPr>
                <w:rFonts w:hAnsi="Calibri" w:cs="宋体"/>
                <w:color w:val="auto"/>
                <w:kern w:val="0"/>
                <w:szCs w:val="24"/>
                <w:highlight w:val="none"/>
              </w:rPr>
            </w:pPr>
            <w:r>
              <w:rPr>
                <w:rFonts w:hAnsi="Calibri" w:cs="宋体"/>
                <w:color w:val="auto"/>
                <w:kern w:val="0"/>
                <w:szCs w:val="24"/>
                <w:highlight w:val="none"/>
              </w:rPr>
              <w:t>1</w:t>
            </w:r>
          </w:p>
        </w:tc>
        <w:tc>
          <w:tcPr>
            <w:tcW w:w="2457" w:type="dxa"/>
          </w:tcPr>
          <w:p w14:paraId="4C7CA859">
            <w:pPr>
              <w:autoSpaceDE w:val="0"/>
              <w:autoSpaceDN w:val="0"/>
              <w:adjustRightInd w:val="0"/>
              <w:jc w:val="left"/>
              <w:rPr>
                <w:rFonts w:hAnsi="Calibri" w:cs="宋体"/>
                <w:color w:val="auto"/>
                <w:kern w:val="0"/>
                <w:szCs w:val="24"/>
                <w:highlight w:val="none"/>
              </w:rPr>
            </w:pPr>
          </w:p>
        </w:tc>
        <w:tc>
          <w:tcPr>
            <w:tcW w:w="1576" w:type="dxa"/>
          </w:tcPr>
          <w:p w14:paraId="17E0B27D">
            <w:pPr>
              <w:autoSpaceDE w:val="0"/>
              <w:autoSpaceDN w:val="0"/>
              <w:adjustRightInd w:val="0"/>
              <w:jc w:val="left"/>
              <w:rPr>
                <w:rFonts w:hAnsi="Calibri" w:cs="宋体"/>
                <w:color w:val="auto"/>
                <w:kern w:val="0"/>
                <w:szCs w:val="24"/>
                <w:highlight w:val="none"/>
              </w:rPr>
            </w:pPr>
          </w:p>
        </w:tc>
        <w:tc>
          <w:tcPr>
            <w:tcW w:w="2369" w:type="dxa"/>
          </w:tcPr>
          <w:p w14:paraId="402960F6">
            <w:pPr>
              <w:autoSpaceDE w:val="0"/>
              <w:autoSpaceDN w:val="0"/>
              <w:adjustRightInd w:val="0"/>
              <w:jc w:val="left"/>
              <w:rPr>
                <w:rFonts w:hAnsi="Calibri" w:cs="宋体"/>
                <w:color w:val="auto"/>
                <w:kern w:val="0"/>
                <w:szCs w:val="24"/>
                <w:highlight w:val="none"/>
              </w:rPr>
            </w:pPr>
          </w:p>
        </w:tc>
        <w:tc>
          <w:tcPr>
            <w:tcW w:w="1077" w:type="dxa"/>
          </w:tcPr>
          <w:p w14:paraId="6CEFCD9D">
            <w:pPr>
              <w:autoSpaceDE w:val="0"/>
              <w:autoSpaceDN w:val="0"/>
              <w:adjustRightInd w:val="0"/>
              <w:jc w:val="left"/>
              <w:rPr>
                <w:rFonts w:hAnsi="Calibri" w:cs="宋体"/>
                <w:color w:val="auto"/>
                <w:kern w:val="0"/>
                <w:szCs w:val="24"/>
                <w:highlight w:val="none"/>
              </w:rPr>
            </w:pPr>
          </w:p>
        </w:tc>
      </w:tr>
      <w:tr w14:paraId="7A64E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818" w:type="dxa"/>
            <w:vAlign w:val="center"/>
          </w:tcPr>
          <w:p w14:paraId="07F7698D">
            <w:pPr>
              <w:autoSpaceDE w:val="0"/>
              <w:autoSpaceDN w:val="0"/>
              <w:adjustRightInd w:val="0"/>
              <w:jc w:val="center"/>
              <w:rPr>
                <w:rFonts w:hAnsi="Calibri" w:cs="宋体"/>
                <w:color w:val="auto"/>
                <w:kern w:val="0"/>
                <w:szCs w:val="24"/>
                <w:highlight w:val="none"/>
              </w:rPr>
            </w:pPr>
            <w:r>
              <w:rPr>
                <w:rFonts w:hAnsi="Calibri" w:cs="宋体"/>
                <w:color w:val="auto"/>
                <w:kern w:val="0"/>
                <w:szCs w:val="24"/>
                <w:highlight w:val="none"/>
              </w:rPr>
              <w:t>2</w:t>
            </w:r>
          </w:p>
        </w:tc>
        <w:tc>
          <w:tcPr>
            <w:tcW w:w="2457" w:type="dxa"/>
          </w:tcPr>
          <w:p w14:paraId="59E1A889">
            <w:pPr>
              <w:autoSpaceDE w:val="0"/>
              <w:autoSpaceDN w:val="0"/>
              <w:adjustRightInd w:val="0"/>
              <w:jc w:val="left"/>
              <w:rPr>
                <w:rFonts w:hAnsi="Calibri" w:cs="宋体"/>
                <w:color w:val="auto"/>
                <w:kern w:val="0"/>
                <w:szCs w:val="24"/>
                <w:highlight w:val="none"/>
              </w:rPr>
            </w:pPr>
          </w:p>
        </w:tc>
        <w:tc>
          <w:tcPr>
            <w:tcW w:w="1576" w:type="dxa"/>
          </w:tcPr>
          <w:p w14:paraId="6C89646B">
            <w:pPr>
              <w:autoSpaceDE w:val="0"/>
              <w:autoSpaceDN w:val="0"/>
              <w:adjustRightInd w:val="0"/>
              <w:jc w:val="left"/>
              <w:rPr>
                <w:rFonts w:hAnsi="Calibri" w:cs="宋体"/>
                <w:color w:val="auto"/>
                <w:kern w:val="0"/>
                <w:szCs w:val="24"/>
                <w:highlight w:val="none"/>
              </w:rPr>
            </w:pPr>
          </w:p>
        </w:tc>
        <w:tc>
          <w:tcPr>
            <w:tcW w:w="2369" w:type="dxa"/>
          </w:tcPr>
          <w:p w14:paraId="176B2264">
            <w:pPr>
              <w:autoSpaceDE w:val="0"/>
              <w:autoSpaceDN w:val="0"/>
              <w:adjustRightInd w:val="0"/>
              <w:jc w:val="left"/>
              <w:rPr>
                <w:rFonts w:hAnsi="Calibri" w:cs="宋体"/>
                <w:color w:val="auto"/>
                <w:kern w:val="0"/>
                <w:szCs w:val="24"/>
                <w:highlight w:val="none"/>
              </w:rPr>
            </w:pPr>
          </w:p>
        </w:tc>
        <w:tc>
          <w:tcPr>
            <w:tcW w:w="1077" w:type="dxa"/>
          </w:tcPr>
          <w:p w14:paraId="49B8545F">
            <w:pPr>
              <w:autoSpaceDE w:val="0"/>
              <w:autoSpaceDN w:val="0"/>
              <w:adjustRightInd w:val="0"/>
              <w:jc w:val="left"/>
              <w:rPr>
                <w:rFonts w:hAnsi="Calibri" w:cs="宋体"/>
                <w:color w:val="auto"/>
                <w:kern w:val="0"/>
                <w:szCs w:val="24"/>
                <w:highlight w:val="none"/>
              </w:rPr>
            </w:pPr>
          </w:p>
        </w:tc>
      </w:tr>
      <w:tr w14:paraId="19583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818" w:type="dxa"/>
            <w:vAlign w:val="center"/>
          </w:tcPr>
          <w:p w14:paraId="61BFD9A4">
            <w:pPr>
              <w:autoSpaceDE w:val="0"/>
              <w:autoSpaceDN w:val="0"/>
              <w:adjustRightInd w:val="0"/>
              <w:jc w:val="center"/>
              <w:rPr>
                <w:rFonts w:hAnsi="Calibri" w:cs="宋体"/>
                <w:color w:val="auto"/>
                <w:kern w:val="0"/>
                <w:szCs w:val="24"/>
                <w:highlight w:val="none"/>
              </w:rPr>
            </w:pPr>
            <w:r>
              <w:rPr>
                <w:rFonts w:hAnsi="Calibri" w:cs="宋体"/>
                <w:color w:val="auto"/>
                <w:kern w:val="0"/>
                <w:szCs w:val="24"/>
                <w:highlight w:val="none"/>
              </w:rPr>
              <w:t>3</w:t>
            </w:r>
          </w:p>
        </w:tc>
        <w:tc>
          <w:tcPr>
            <w:tcW w:w="2457" w:type="dxa"/>
          </w:tcPr>
          <w:p w14:paraId="3CD1C166">
            <w:pPr>
              <w:autoSpaceDE w:val="0"/>
              <w:autoSpaceDN w:val="0"/>
              <w:adjustRightInd w:val="0"/>
              <w:jc w:val="left"/>
              <w:rPr>
                <w:rFonts w:hAnsi="Calibri" w:cs="宋体"/>
                <w:color w:val="auto"/>
                <w:kern w:val="0"/>
                <w:szCs w:val="24"/>
                <w:highlight w:val="none"/>
              </w:rPr>
            </w:pPr>
          </w:p>
        </w:tc>
        <w:tc>
          <w:tcPr>
            <w:tcW w:w="1576" w:type="dxa"/>
          </w:tcPr>
          <w:p w14:paraId="31EEB66C">
            <w:pPr>
              <w:autoSpaceDE w:val="0"/>
              <w:autoSpaceDN w:val="0"/>
              <w:adjustRightInd w:val="0"/>
              <w:jc w:val="left"/>
              <w:rPr>
                <w:rFonts w:hAnsi="Calibri" w:cs="宋体"/>
                <w:color w:val="auto"/>
                <w:kern w:val="0"/>
                <w:szCs w:val="24"/>
                <w:highlight w:val="none"/>
              </w:rPr>
            </w:pPr>
          </w:p>
        </w:tc>
        <w:tc>
          <w:tcPr>
            <w:tcW w:w="2369" w:type="dxa"/>
          </w:tcPr>
          <w:p w14:paraId="3F963F91">
            <w:pPr>
              <w:autoSpaceDE w:val="0"/>
              <w:autoSpaceDN w:val="0"/>
              <w:adjustRightInd w:val="0"/>
              <w:jc w:val="left"/>
              <w:rPr>
                <w:rFonts w:hAnsi="Calibri" w:cs="宋体"/>
                <w:color w:val="auto"/>
                <w:kern w:val="0"/>
                <w:szCs w:val="24"/>
                <w:highlight w:val="none"/>
              </w:rPr>
            </w:pPr>
          </w:p>
        </w:tc>
        <w:tc>
          <w:tcPr>
            <w:tcW w:w="1077" w:type="dxa"/>
          </w:tcPr>
          <w:p w14:paraId="39A3EA88">
            <w:pPr>
              <w:autoSpaceDE w:val="0"/>
              <w:autoSpaceDN w:val="0"/>
              <w:adjustRightInd w:val="0"/>
              <w:jc w:val="left"/>
              <w:rPr>
                <w:rFonts w:hAnsi="Calibri" w:cs="宋体"/>
                <w:color w:val="auto"/>
                <w:kern w:val="0"/>
                <w:szCs w:val="24"/>
                <w:highlight w:val="none"/>
              </w:rPr>
            </w:pPr>
          </w:p>
        </w:tc>
      </w:tr>
      <w:tr w14:paraId="02EE5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rPr>
        <w:tc>
          <w:tcPr>
            <w:tcW w:w="818" w:type="dxa"/>
            <w:vAlign w:val="center"/>
          </w:tcPr>
          <w:p w14:paraId="10F11766">
            <w:pPr>
              <w:autoSpaceDE w:val="0"/>
              <w:autoSpaceDN w:val="0"/>
              <w:adjustRightInd w:val="0"/>
              <w:jc w:val="center"/>
              <w:rPr>
                <w:rFonts w:hAnsi="Calibri" w:cs="宋体"/>
                <w:color w:val="auto"/>
                <w:kern w:val="0"/>
                <w:szCs w:val="24"/>
                <w:highlight w:val="none"/>
              </w:rPr>
            </w:pPr>
            <w:r>
              <w:rPr>
                <w:rFonts w:hint="eastAsia" w:hAnsi="Calibri" w:cs="宋体"/>
                <w:color w:val="auto"/>
                <w:kern w:val="0"/>
                <w:szCs w:val="24"/>
                <w:highlight w:val="none"/>
              </w:rPr>
              <w:t>……</w:t>
            </w:r>
          </w:p>
        </w:tc>
        <w:tc>
          <w:tcPr>
            <w:tcW w:w="2457" w:type="dxa"/>
          </w:tcPr>
          <w:p w14:paraId="241ACCA0">
            <w:pPr>
              <w:autoSpaceDE w:val="0"/>
              <w:autoSpaceDN w:val="0"/>
              <w:adjustRightInd w:val="0"/>
              <w:jc w:val="left"/>
              <w:rPr>
                <w:rFonts w:hAnsi="Calibri" w:cs="宋体"/>
                <w:color w:val="auto"/>
                <w:kern w:val="0"/>
                <w:szCs w:val="24"/>
                <w:highlight w:val="none"/>
              </w:rPr>
            </w:pPr>
          </w:p>
        </w:tc>
        <w:tc>
          <w:tcPr>
            <w:tcW w:w="1576" w:type="dxa"/>
          </w:tcPr>
          <w:p w14:paraId="61FED016">
            <w:pPr>
              <w:autoSpaceDE w:val="0"/>
              <w:autoSpaceDN w:val="0"/>
              <w:adjustRightInd w:val="0"/>
              <w:jc w:val="left"/>
              <w:rPr>
                <w:rFonts w:hAnsi="Calibri" w:cs="宋体"/>
                <w:color w:val="auto"/>
                <w:kern w:val="0"/>
                <w:szCs w:val="24"/>
                <w:highlight w:val="none"/>
              </w:rPr>
            </w:pPr>
          </w:p>
        </w:tc>
        <w:tc>
          <w:tcPr>
            <w:tcW w:w="2369" w:type="dxa"/>
          </w:tcPr>
          <w:p w14:paraId="75272BB8">
            <w:pPr>
              <w:autoSpaceDE w:val="0"/>
              <w:autoSpaceDN w:val="0"/>
              <w:adjustRightInd w:val="0"/>
              <w:jc w:val="left"/>
              <w:rPr>
                <w:rFonts w:hAnsi="Calibri" w:cs="宋体"/>
                <w:color w:val="auto"/>
                <w:kern w:val="0"/>
                <w:szCs w:val="24"/>
                <w:highlight w:val="none"/>
              </w:rPr>
            </w:pPr>
          </w:p>
        </w:tc>
        <w:tc>
          <w:tcPr>
            <w:tcW w:w="1077" w:type="dxa"/>
          </w:tcPr>
          <w:p w14:paraId="2E088741">
            <w:pPr>
              <w:autoSpaceDE w:val="0"/>
              <w:autoSpaceDN w:val="0"/>
              <w:adjustRightInd w:val="0"/>
              <w:jc w:val="left"/>
              <w:rPr>
                <w:rFonts w:hAnsi="Calibri" w:cs="宋体"/>
                <w:color w:val="auto"/>
                <w:kern w:val="0"/>
                <w:szCs w:val="24"/>
                <w:highlight w:val="none"/>
              </w:rPr>
            </w:pPr>
          </w:p>
        </w:tc>
      </w:tr>
    </w:tbl>
    <w:p w14:paraId="469643BD">
      <w:pPr>
        <w:autoSpaceDE w:val="0"/>
        <w:autoSpaceDN w:val="0"/>
        <w:adjustRightInd w:val="0"/>
        <w:ind w:firstLine="420" w:firstLineChars="200"/>
        <w:jc w:val="left"/>
        <w:rPr>
          <w:rFonts w:ascii="仿宋" w:hAnsi="Calibri" w:eastAsia="仿宋" w:cs="仿宋"/>
          <w:color w:val="auto"/>
          <w:kern w:val="0"/>
          <w:szCs w:val="21"/>
          <w:highlight w:val="none"/>
        </w:rPr>
      </w:pPr>
      <w:r>
        <w:rPr>
          <w:rFonts w:hint="eastAsia" w:hAnsi="宋体" w:cs="宋体"/>
          <w:color w:val="auto"/>
          <w:kern w:val="0"/>
          <w:szCs w:val="21"/>
          <w:highlight w:val="none"/>
        </w:rPr>
        <w:t>注：</w:t>
      </w:r>
    </w:p>
    <w:p w14:paraId="728617A9">
      <w:pPr>
        <w:autoSpaceDE w:val="0"/>
        <w:autoSpaceDN w:val="0"/>
        <w:adjustRightInd w:val="0"/>
        <w:ind w:firstLine="420" w:firstLineChars="200"/>
        <w:jc w:val="left"/>
        <w:rPr>
          <w:rFonts w:ascii="仿宋" w:hAnsi="Calibri" w:eastAsia="仿宋" w:cs="仿宋"/>
          <w:color w:val="auto"/>
          <w:kern w:val="0"/>
          <w:szCs w:val="21"/>
          <w:highlight w:val="none"/>
        </w:rPr>
      </w:pPr>
      <w:r>
        <w:rPr>
          <w:rFonts w:hint="eastAsia" w:ascii="仿宋" w:hAnsi="Calibri" w:eastAsia="仿宋" w:cs="仿宋"/>
          <w:color w:val="auto"/>
          <w:kern w:val="0"/>
          <w:szCs w:val="21"/>
          <w:highlight w:val="none"/>
        </w:rPr>
        <w:t>1.</w:t>
      </w:r>
      <w:r>
        <w:rPr>
          <w:rFonts w:hint="eastAsia" w:hAnsi="宋体" w:cs="宋体"/>
          <w:color w:val="auto"/>
          <w:kern w:val="0"/>
          <w:szCs w:val="21"/>
          <w:highlight w:val="none"/>
        </w:rPr>
        <w:t>管理关系：是指不具有出资持股关系的其他单位之间存在的管理与被管理关系，如一些上下级关系的事业单位和团体组织。</w:t>
      </w:r>
    </w:p>
    <w:p w14:paraId="0D1D052C">
      <w:pPr>
        <w:autoSpaceDE w:val="0"/>
        <w:autoSpaceDN w:val="0"/>
        <w:adjustRightInd w:val="0"/>
        <w:ind w:firstLine="420" w:firstLineChars="200"/>
        <w:jc w:val="left"/>
        <w:rPr>
          <w:rFonts w:ascii="仿宋" w:hAnsi="Calibri" w:eastAsia="仿宋" w:cs="仿宋"/>
          <w:color w:val="auto"/>
          <w:kern w:val="0"/>
          <w:szCs w:val="21"/>
          <w:highlight w:val="none"/>
        </w:rPr>
      </w:pPr>
      <w:r>
        <w:rPr>
          <w:rFonts w:hint="eastAsia" w:ascii="仿宋" w:hAnsi="Calibri" w:eastAsia="仿宋" w:cs="仿宋"/>
          <w:color w:val="auto"/>
          <w:kern w:val="0"/>
          <w:szCs w:val="21"/>
          <w:highlight w:val="none"/>
        </w:rPr>
        <w:t>2.</w:t>
      </w:r>
      <w:r>
        <w:rPr>
          <w:rFonts w:hint="eastAsia" w:hAnsi="宋体" w:cs="宋体"/>
          <w:color w:val="auto"/>
          <w:kern w:val="0"/>
          <w:szCs w:val="21"/>
          <w:highlight w:val="none"/>
        </w:rPr>
        <w:t>本表所指的管理关系仅限于直接管理关系，不包括间接的管理关系。</w:t>
      </w:r>
    </w:p>
    <w:p w14:paraId="0CA23B3C">
      <w:pPr>
        <w:autoSpaceDE w:val="0"/>
        <w:autoSpaceDN w:val="0"/>
        <w:adjustRightInd w:val="0"/>
        <w:ind w:firstLine="420" w:firstLineChars="200"/>
        <w:jc w:val="left"/>
        <w:rPr>
          <w:rFonts w:ascii="仿宋" w:hAnsi="Calibri" w:eastAsia="仿宋" w:cs="仿宋"/>
          <w:color w:val="auto"/>
          <w:kern w:val="0"/>
          <w:szCs w:val="21"/>
          <w:highlight w:val="none"/>
        </w:rPr>
      </w:pPr>
      <w:r>
        <w:rPr>
          <w:rFonts w:hint="eastAsia" w:ascii="仿宋" w:hAnsi="Calibri" w:eastAsia="仿宋" w:cs="仿宋"/>
          <w:color w:val="auto"/>
          <w:kern w:val="0"/>
          <w:szCs w:val="21"/>
          <w:highlight w:val="none"/>
        </w:rPr>
        <w:t>3.</w:t>
      </w:r>
      <w:r>
        <w:rPr>
          <w:rFonts w:hint="eastAsia" w:hAnsi="宋体" w:cs="宋体"/>
          <w:color w:val="auto"/>
          <w:kern w:val="0"/>
          <w:szCs w:val="21"/>
          <w:highlight w:val="none"/>
        </w:rPr>
        <w:t>供应商不存在直接管理关系的，则填</w:t>
      </w:r>
      <w:r>
        <w:rPr>
          <w:rFonts w:ascii="Times New Roman" w:hAnsi="Times New Roman" w:eastAsia="仿宋"/>
          <w:color w:val="auto"/>
          <w:kern w:val="0"/>
          <w:szCs w:val="21"/>
          <w:highlight w:val="none"/>
        </w:rPr>
        <w:t>“</w:t>
      </w:r>
      <w:r>
        <w:rPr>
          <w:rFonts w:hint="eastAsia" w:hAnsi="宋体" w:cs="宋体"/>
          <w:color w:val="auto"/>
          <w:kern w:val="0"/>
          <w:szCs w:val="21"/>
          <w:highlight w:val="none"/>
        </w:rPr>
        <w:t>无</w:t>
      </w:r>
      <w:r>
        <w:rPr>
          <w:rFonts w:ascii="Times New Roman" w:hAnsi="Times New Roman" w:eastAsia="仿宋"/>
          <w:color w:val="auto"/>
          <w:kern w:val="0"/>
          <w:szCs w:val="21"/>
          <w:highlight w:val="none"/>
        </w:rPr>
        <w:t>”</w:t>
      </w:r>
      <w:r>
        <w:rPr>
          <w:rFonts w:hint="eastAsia" w:hAnsi="宋体" w:cs="宋体"/>
          <w:color w:val="auto"/>
          <w:kern w:val="0"/>
          <w:szCs w:val="21"/>
          <w:highlight w:val="none"/>
        </w:rPr>
        <w:t>。</w:t>
      </w:r>
    </w:p>
    <w:p w14:paraId="03CD28B7">
      <w:pPr>
        <w:wordWrap w:val="0"/>
        <w:autoSpaceDE w:val="0"/>
        <w:autoSpaceDN w:val="0"/>
        <w:adjustRightInd w:val="0"/>
        <w:jc w:val="right"/>
        <w:rPr>
          <w:rFonts w:ascii="仿宋" w:hAnsi="Calibri" w:eastAsia="仿宋" w:cs="仿宋"/>
          <w:color w:val="auto"/>
          <w:kern w:val="0"/>
          <w:szCs w:val="21"/>
          <w:highlight w:val="none"/>
        </w:rPr>
      </w:pPr>
      <w:r>
        <w:rPr>
          <w:rFonts w:hint="eastAsia" w:hAnsi="宋体" w:cs="宋体"/>
          <w:color w:val="auto"/>
          <w:kern w:val="0"/>
          <w:szCs w:val="21"/>
          <w:highlight w:val="none"/>
        </w:rPr>
        <w:t>供应商名称（盖章）：</w:t>
      </w:r>
      <w:r>
        <w:rPr>
          <w:rFonts w:hint="eastAsia" w:ascii="仿宋" w:hAnsi="Calibri" w:eastAsia="仿宋" w:cs="仿宋"/>
          <w:color w:val="auto"/>
          <w:kern w:val="0"/>
          <w:szCs w:val="21"/>
          <w:highlight w:val="none"/>
          <w:u w:val="single"/>
        </w:rPr>
        <w:t xml:space="preserve">       </w:t>
      </w:r>
    </w:p>
    <w:p w14:paraId="7C490AF1">
      <w:pPr>
        <w:wordWrap w:val="0"/>
        <w:spacing w:line="440" w:lineRule="exact"/>
        <w:ind w:firstLine="420" w:firstLineChars="200"/>
        <w:jc w:val="right"/>
        <w:rPr>
          <w:rFonts w:ascii="Calibri" w:hAnsi="宋体"/>
          <w:b/>
          <w:color w:val="auto"/>
          <w:szCs w:val="21"/>
          <w:highlight w:val="none"/>
        </w:rPr>
      </w:pPr>
      <w:r>
        <w:rPr>
          <w:rFonts w:hint="eastAsia" w:hAnsi="宋体" w:cs="宋体"/>
          <w:color w:val="auto"/>
          <w:kern w:val="0"/>
          <w:szCs w:val="21"/>
          <w:highlight w:val="none"/>
        </w:rPr>
        <w:t>日期：</w:t>
      </w:r>
      <w:r>
        <w:rPr>
          <w:rFonts w:ascii="仿宋" w:hAnsi="Calibri" w:eastAsia="仿宋" w:cs="仿宋"/>
          <w:color w:val="auto"/>
          <w:kern w:val="0"/>
          <w:szCs w:val="21"/>
          <w:highlight w:val="none"/>
        </w:rPr>
        <w:t xml:space="preserve"> </w:t>
      </w:r>
      <w:r>
        <w:rPr>
          <w:rFonts w:hint="eastAsia" w:ascii="仿宋" w:hAnsi="Calibri" w:eastAsia="仿宋" w:cs="仿宋"/>
          <w:color w:val="auto"/>
          <w:kern w:val="0"/>
          <w:szCs w:val="21"/>
          <w:highlight w:val="none"/>
        </w:rPr>
        <w:t xml:space="preserve">  </w:t>
      </w:r>
      <w:r>
        <w:rPr>
          <w:rFonts w:hint="eastAsia" w:hAnsi="宋体" w:cs="宋体"/>
          <w:color w:val="auto"/>
          <w:kern w:val="0"/>
          <w:szCs w:val="21"/>
          <w:highlight w:val="none"/>
        </w:rPr>
        <w:t>年</w:t>
      </w:r>
      <w:r>
        <w:rPr>
          <w:rFonts w:hint="eastAsia" w:ascii="仿宋" w:hAnsi="Calibri" w:eastAsia="仿宋" w:cs="仿宋"/>
          <w:color w:val="auto"/>
          <w:kern w:val="0"/>
          <w:szCs w:val="21"/>
          <w:highlight w:val="none"/>
        </w:rPr>
        <w:t xml:space="preserve">   </w:t>
      </w:r>
      <w:r>
        <w:rPr>
          <w:rFonts w:hint="eastAsia" w:hAnsi="宋体" w:cs="宋体"/>
          <w:color w:val="auto"/>
          <w:kern w:val="0"/>
          <w:szCs w:val="21"/>
          <w:highlight w:val="none"/>
        </w:rPr>
        <w:t>月</w:t>
      </w:r>
      <w:r>
        <w:rPr>
          <w:rFonts w:hint="eastAsia" w:ascii="仿宋" w:hAnsi="Calibri" w:eastAsia="仿宋" w:cs="仿宋"/>
          <w:color w:val="auto"/>
          <w:kern w:val="0"/>
          <w:szCs w:val="21"/>
          <w:highlight w:val="none"/>
        </w:rPr>
        <w:t xml:space="preserve">   </w:t>
      </w:r>
      <w:r>
        <w:rPr>
          <w:rFonts w:hint="eastAsia" w:hAnsi="宋体" w:cs="宋体"/>
          <w:color w:val="auto"/>
          <w:kern w:val="0"/>
          <w:szCs w:val="21"/>
          <w:highlight w:val="none"/>
        </w:rPr>
        <w:t>日</w:t>
      </w:r>
    </w:p>
    <w:p w14:paraId="350645FD">
      <w:pPr>
        <w:spacing w:line="440" w:lineRule="exact"/>
        <w:ind w:firstLine="420" w:firstLineChars="200"/>
        <w:rPr>
          <w:rFonts w:hAnsi="宋体"/>
          <w:color w:val="auto"/>
          <w:szCs w:val="21"/>
          <w:highlight w:val="none"/>
        </w:rPr>
        <w:sectPr>
          <w:pgSz w:w="11906" w:h="16838"/>
          <w:pgMar w:top="1304" w:right="1304" w:bottom="1304" w:left="1304" w:header="720" w:footer="720" w:gutter="0"/>
          <w:cols w:space="720" w:num="1"/>
          <w:docGrid w:type="lines" w:linePitch="312" w:charSpace="0"/>
        </w:sectPr>
      </w:pPr>
    </w:p>
    <w:p w14:paraId="4D917411">
      <w:pPr>
        <w:spacing w:line="440" w:lineRule="exact"/>
        <w:ind w:firstLine="420" w:firstLineChars="200"/>
        <w:rPr>
          <w:rFonts w:ascii="Calibri" w:hAnsi="宋体"/>
          <w:b/>
          <w:color w:val="auto"/>
          <w:szCs w:val="21"/>
          <w:highlight w:val="none"/>
        </w:rPr>
      </w:pPr>
      <w:r>
        <w:rPr>
          <w:rFonts w:hint="eastAsia" w:hAnsi="宋体"/>
          <w:color w:val="auto"/>
          <w:szCs w:val="21"/>
          <w:highlight w:val="none"/>
          <w:lang w:val="en-US" w:eastAsia="zh-CN"/>
        </w:rPr>
        <w:t>6</w:t>
      </w:r>
      <w:r>
        <w:rPr>
          <w:rFonts w:hint="eastAsia" w:hAnsi="宋体"/>
          <w:color w:val="auto"/>
          <w:szCs w:val="21"/>
          <w:highlight w:val="none"/>
        </w:rPr>
        <w:t>、资格声明函</w:t>
      </w:r>
    </w:p>
    <w:p w14:paraId="66F617A8">
      <w:pPr>
        <w:spacing w:line="440" w:lineRule="exact"/>
        <w:ind w:firstLine="420" w:firstLineChars="200"/>
        <w:jc w:val="center"/>
        <w:rPr>
          <w:rFonts w:hAnsi="宋体"/>
          <w:color w:val="auto"/>
          <w:szCs w:val="21"/>
          <w:highlight w:val="none"/>
        </w:rPr>
      </w:pPr>
      <w:r>
        <w:rPr>
          <w:rFonts w:hint="eastAsia" w:hAnsi="宋体"/>
          <w:color w:val="auto"/>
          <w:szCs w:val="21"/>
          <w:highlight w:val="none"/>
        </w:rPr>
        <w:t>资格声明函</w:t>
      </w:r>
    </w:p>
    <w:p w14:paraId="281128FD">
      <w:pPr>
        <w:spacing w:line="340" w:lineRule="exact"/>
        <w:jc w:val="left"/>
        <w:rPr>
          <w:rFonts w:hAnsi="宋体"/>
          <w:color w:val="auto"/>
          <w:szCs w:val="21"/>
          <w:highlight w:val="none"/>
        </w:rPr>
      </w:pPr>
      <w:r>
        <w:rPr>
          <w:rFonts w:hint="eastAsia" w:hAnsi="宋体"/>
          <w:color w:val="auto"/>
          <w:szCs w:val="21"/>
          <w:highlight w:val="none"/>
        </w:rPr>
        <w:t>致：</w:t>
      </w:r>
      <w:r>
        <w:rPr>
          <w:rFonts w:hint="eastAsia" w:hAnsi="宋体"/>
          <w:color w:val="auto"/>
          <w:szCs w:val="21"/>
          <w:highlight w:val="none"/>
          <w:u w:val="single"/>
        </w:rPr>
        <w:t xml:space="preserve">  </w:t>
      </w:r>
      <w:r>
        <w:rPr>
          <w:rFonts w:cs="Arial" w:asciiTheme="minorEastAsia" w:hAnsiTheme="minorEastAsia" w:eastAsiaTheme="minorEastAsia"/>
          <w:color w:val="auto"/>
          <w:szCs w:val="21"/>
          <w:highlight w:val="none"/>
          <w:u w:val="single"/>
        </w:rPr>
        <w:t>（采购人名称）</w:t>
      </w:r>
      <w:r>
        <w:rPr>
          <w:rFonts w:hint="eastAsia" w:hAnsi="宋体"/>
          <w:color w:val="auto"/>
          <w:szCs w:val="21"/>
          <w:highlight w:val="none"/>
          <w:u w:val="single"/>
        </w:rPr>
        <w:t xml:space="preserve">     </w:t>
      </w:r>
      <w:r>
        <w:rPr>
          <w:rFonts w:hint="eastAsia" w:hAnsi="宋体"/>
          <w:color w:val="auto"/>
          <w:szCs w:val="21"/>
          <w:highlight w:val="none"/>
        </w:rPr>
        <w:t>：</w:t>
      </w:r>
    </w:p>
    <w:p w14:paraId="5483DF84">
      <w:pPr>
        <w:spacing w:line="340" w:lineRule="exact"/>
        <w:ind w:firstLine="420" w:firstLineChars="200"/>
        <w:rPr>
          <w:rFonts w:hAnsi="宋体"/>
          <w:color w:val="auto"/>
          <w:szCs w:val="21"/>
          <w:highlight w:val="none"/>
        </w:rPr>
      </w:pPr>
      <w:r>
        <w:rPr>
          <w:rFonts w:hint="eastAsia" w:hAnsi="宋体"/>
          <w:color w:val="auto"/>
          <w:szCs w:val="21"/>
          <w:highlight w:val="none"/>
          <w:u w:val="single"/>
        </w:rPr>
        <w:t xml:space="preserve">   （供应商名称）   </w:t>
      </w:r>
      <w:r>
        <w:rPr>
          <w:rFonts w:hint="eastAsia" w:hAnsi="宋体"/>
          <w:color w:val="auto"/>
          <w:szCs w:val="21"/>
          <w:highlight w:val="none"/>
        </w:rPr>
        <w:t>系中华人民共和国合法供应商， 经营地址</w:t>
      </w:r>
      <w:r>
        <w:rPr>
          <w:rFonts w:hint="eastAsia" w:hAnsi="宋体"/>
          <w:color w:val="auto"/>
          <w:szCs w:val="21"/>
          <w:highlight w:val="none"/>
          <w:u w:val="single"/>
        </w:rPr>
        <w:t xml:space="preserve">               </w:t>
      </w:r>
      <w:r>
        <w:rPr>
          <w:rFonts w:hint="eastAsia" w:hAnsi="宋体"/>
          <w:color w:val="auto"/>
          <w:szCs w:val="21"/>
          <w:highlight w:val="none"/>
        </w:rPr>
        <w:t>。</w:t>
      </w:r>
    </w:p>
    <w:p w14:paraId="617A410E">
      <w:pPr>
        <w:spacing w:line="340" w:lineRule="exact"/>
        <w:ind w:firstLine="420" w:firstLineChars="200"/>
        <w:rPr>
          <w:rFonts w:hAnsi="宋体"/>
          <w:color w:val="auto"/>
          <w:szCs w:val="21"/>
          <w:highlight w:val="none"/>
        </w:rPr>
      </w:pPr>
      <w:r>
        <w:rPr>
          <w:rFonts w:hint="eastAsia" w:hAnsi="宋体"/>
          <w:color w:val="auto"/>
          <w:szCs w:val="21"/>
          <w:highlight w:val="none"/>
        </w:rPr>
        <w:t>我方愿意参加贵方组织的</w:t>
      </w:r>
      <w:r>
        <w:rPr>
          <w:rFonts w:hint="eastAsia" w:hAnsi="宋体"/>
          <w:color w:val="auto"/>
          <w:szCs w:val="21"/>
          <w:highlight w:val="none"/>
          <w:u w:val="single"/>
        </w:rPr>
        <w:t xml:space="preserve">  （项目名称）  </w:t>
      </w:r>
      <w:r>
        <w:rPr>
          <w:rFonts w:hint="eastAsia" w:hAnsi="宋体"/>
          <w:color w:val="auto"/>
          <w:szCs w:val="21"/>
          <w:highlight w:val="none"/>
        </w:rPr>
        <w:t>项目的磋商，为便于贵方公正、择优地确定成交供应商及其磋商产品和服务，我方就本次磋商有关事项郑重声明如下：</w:t>
      </w:r>
    </w:p>
    <w:p w14:paraId="03247594">
      <w:pPr>
        <w:spacing w:line="340" w:lineRule="exact"/>
        <w:ind w:firstLine="420" w:firstLineChars="200"/>
        <w:rPr>
          <w:rFonts w:hAnsi="宋体"/>
          <w:color w:val="auto"/>
          <w:szCs w:val="21"/>
          <w:highlight w:val="none"/>
        </w:rPr>
      </w:pPr>
      <w:r>
        <w:rPr>
          <w:rFonts w:hint="eastAsia" w:hAnsi="宋体"/>
          <w:color w:val="auto"/>
          <w:szCs w:val="21"/>
          <w:highlight w:val="none"/>
        </w:rPr>
        <w:t>1.我方向贵方提交的所有响应文件、资料都是准确的和真实的。</w:t>
      </w:r>
    </w:p>
    <w:p w14:paraId="2F4E8119">
      <w:pPr>
        <w:spacing w:line="340" w:lineRule="exact"/>
        <w:ind w:firstLine="420" w:firstLineChars="200"/>
        <w:rPr>
          <w:rFonts w:hAnsi="宋体"/>
          <w:color w:val="auto"/>
          <w:szCs w:val="21"/>
          <w:highlight w:val="none"/>
        </w:rPr>
      </w:pPr>
      <w:r>
        <w:rPr>
          <w:rFonts w:hint="eastAsia" w:hAnsi="宋体"/>
          <w:color w:val="auto"/>
          <w:szCs w:val="21"/>
          <w:highlight w:val="none"/>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6970EB29">
      <w:pPr>
        <w:spacing w:line="340" w:lineRule="exact"/>
        <w:ind w:firstLine="420" w:firstLineChars="200"/>
        <w:rPr>
          <w:rFonts w:hAnsi="宋体"/>
          <w:color w:val="auto"/>
          <w:szCs w:val="21"/>
          <w:highlight w:val="none"/>
        </w:rPr>
      </w:pPr>
      <w:r>
        <w:rPr>
          <w:rFonts w:hint="eastAsia" w:hAnsi="宋体"/>
          <w:color w:val="auto"/>
          <w:szCs w:val="21"/>
          <w:highlight w:val="none"/>
        </w:rPr>
        <w:t>3.在此，我方宣布同意如下：</w:t>
      </w:r>
    </w:p>
    <w:p w14:paraId="5DE71031">
      <w:pPr>
        <w:spacing w:line="340" w:lineRule="exact"/>
        <w:ind w:firstLine="420" w:firstLineChars="200"/>
        <w:rPr>
          <w:rFonts w:hAnsi="宋体"/>
          <w:color w:val="auto"/>
          <w:szCs w:val="21"/>
          <w:highlight w:val="none"/>
        </w:rPr>
      </w:pPr>
      <w:r>
        <w:rPr>
          <w:rFonts w:hint="eastAsia" w:hAnsi="宋体"/>
          <w:color w:val="auto"/>
          <w:szCs w:val="21"/>
          <w:highlight w:val="none"/>
        </w:rPr>
        <w:t>（1）将按竞争性磋商文件的约定履行合同责任和义务；</w:t>
      </w:r>
    </w:p>
    <w:p w14:paraId="6616804A">
      <w:pPr>
        <w:spacing w:line="340" w:lineRule="exact"/>
        <w:ind w:firstLine="420" w:firstLineChars="200"/>
        <w:rPr>
          <w:rFonts w:hAnsi="宋体"/>
          <w:color w:val="auto"/>
          <w:szCs w:val="21"/>
          <w:highlight w:val="none"/>
        </w:rPr>
      </w:pPr>
      <w:r>
        <w:rPr>
          <w:rFonts w:hint="eastAsia" w:hAnsi="宋体"/>
          <w:color w:val="auto"/>
          <w:szCs w:val="21"/>
          <w:highlight w:val="none"/>
        </w:rPr>
        <w:t>（2）已详细审查全部竞争性磋商文件，包括澄清或者更正公告（如有）；</w:t>
      </w:r>
    </w:p>
    <w:p w14:paraId="49BF5720">
      <w:pPr>
        <w:spacing w:line="340" w:lineRule="exact"/>
        <w:ind w:firstLine="420" w:firstLineChars="200"/>
        <w:rPr>
          <w:rFonts w:hAnsi="宋体"/>
          <w:color w:val="auto"/>
          <w:szCs w:val="21"/>
          <w:highlight w:val="none"/>
        </w:rPr>
      </w:pPr>
      <w:r>
        <w:rPr>
          <w:rFonts w:hint="eastAsia" w:hAnsi="宋体"/>
          <w:color w:val="auto"/>
          <w:szCs w:val="21"/>
          <w:highlight w:val="none"/>
        </w:rPr>
        <w:t>（3）同意提供按照贵方可能要求的与磋商有关的一切数据或者资料；</w:t>
      </w:r>
    </w:p>
    <w:p w14:paraId="7A735F6E">
      <w:pPr>
        <w:spacing w:line="340" w:lineRule="exact"/>
        <w:ind w:firstLine="420" w:firstLineChars="200"/>
        <w:rPr>
          <w:rFonts w:hAnsi="宋体"/>
          <w:color w:val="auto"/>
          <w:szCs w:val="21"/>
          <w:highlight w:val="none"/>
        </w:rPr>
      </w:pPr>
      <w:r>
        <w:rPr>
          <w:rFonts w:hint="eastAsia" w:hAnsi="宋体"/>
          <w:color w:val="auto"/>
          <w:szCs w:val="21"/>
          <w:highlight w:val="none"/>
        </w:rPr>
        <w:t>（4）响应竞争性磋商文件规定的磋商有效期。</w:t>
      </w:r>
    </w:p>
    <w:p w14:paraId="7272E927">
      <w:pPr>
        <w:spacing w:line="340" w:lineRule="exact"/>
        <w:ind w:firstLine="420" w:firstLineChars="200"/>
        <w:rPr>
          <w:rFonts w:hAnsi="宋体"/>
          <w:color w:val="auto"/>
          <w:szCs w:val="21"/>
          <w:highlight w:val="none"/>
        </w:rPr>
      </w:pPr>
      <w:r>
        <w:rPr>
          <w:rFonts w:hint="eastAsia" w:hAnsi="宋体"/>
          <w:color w:val="auto"/>
          <w:szCs w:val="21"/>
          <w:highlight w:val="none"/>
        </w:rPr>
        <w:t>4.我方承诺符合《中华人民共和国政府采购法》第二十二条规定：</w:t>
      </w:r>
    </w:p>
    <w:p w14:paraId="046FCB78">
      <w:pPr>
        <w:spacing w:line="340" w:lineRule="exact"/>
        <w:ind w:firstLine="420" w:firstLineChars="200"/>
        <w:rPr>
          <w:rFonts w:hAnsi="宋体"/>
          <w:color w:val="auto"/>
          <w:szCs w:val="21"/>
          <w:highlight w:val="none"/>
        </w:rPr>
      </w:pPr>
      <w:r>
        <w:rPr>
          <w:rFonts w:hint="eastAsia" w:hAnsi="宋体"/>
          <w:color w:val="auto"/>
          <w:szCs w:val="21"/>
          <w:highlight w:val="none"/>
        </w:rPr>
        <w:t>（1）具有独立承担民事责任的能力；</w:t>
      </w:r>
    </w:p>
    <w:p w14:paraId="52CDBC44">
      <w:pPr>
        <w:spacing w:line="340" w:lineRule="exact"/>
        <w:ind w:firstLine="420" w:firstLineChars="200"/>
        <w:rPr>
          <w:rFonts w:hAnsi="宋体"/>
          <w:color w:val="auto"/>
          <w:szCs w:val="21"/>
          <w:highlight w:val="none"/>
        </w:rPr>
      </w:pPr>
      <w:r>
        <w:rPr>
          <w:rFonts w:hint="eastAsia" w:hAnsi="宋体"/>
          <w:color w:val="auto"/>
          <w:szCs w:val="21"/>
          <w:highlight w:val="none"/>
        </w:rPr>
        <w:t>（2）具有良好的商业信誉和健全的财务会计制度；</w:t>
      </w:r>
    </w:p>
    <w:p w14:paraId="6D319EA0">
      <w:pPr>
        <w:spacing w:line="340" w:lineRule="exact"/>
        <w:ind w:firstLine="420" w:firstLineChars="200"/>
        <w:rPr>
          <w:rFonts w:hAnsi="宋体"/>
          <w:color w:val="auto"/>
          <w:szCs w:val="21"/>
          <w:highlight w:val="none"/>
        </w:rPr>
      </w:pPr>
      <w:r>
        <w:rPr>
          <w:rFonts w:hint="eastAsia" w:hAnsi="宋体"/>
          <w:color w:val="auto"/>
          <w:szCs w:val="21"/>
          <w:highlight w:val="none"/>
        </w:rPr>
        <w:t>（3）具有履行合同所必需的设备和专业技术能力；</w:t>
      </w:r>
    </w:p>
    <w:p w14:paraId="4E4035BA">
      <w:pPr>
        <w:spacing w:line="340" w:lineRule="exact"/>
        <w:ind w:firstLine="420" w:firstLineChars="200"/>
        <w:rPr>
          <w:rFonts w:hAnsi="宋体"/>
          <w:color w:val="auto"/>
          <w:szCs w:val="21"/>
          <w:highlight w:val="none"/>
        </w:rPr>
      </w:pPr>
      <w:r>
        <w:rPr>
          <w:rFonts w:hint="eastAsia" w:hAnsi="宋体"/>
          <w:color w:val="auto"/>
          <w:szCs w:val="21"/>
          <w:highlight w:val="none"/>
        </w:rPr>
        <w:t>（4）有依法缴纳税收和社会保障资金的良好记录；</w:t>
      </w:r>
    </w:p>
    <w:p w14:paraId="5C4AD87D">
      <w:pPr>
        <w:spacing w:line="340" w:lineRule="exact"/>
        <w:ind w:firstLine="420" w:firstLineChars="200"/>
        <w:rPr>
          <w:rFonts w:hAnsi="宋体"/>
          <w:color w:val="auto"/>
          <w:szCs w:val="21"/>
          <w:highlight w:val="none"/>
        </w:rPr>
      </w:pPr>
      <w:r>
        <w:rPr>
          <w:rFonts w:hint="eastAsia" w:hAnsi="宋体"/>
          <w:color w:val="auto"/>
          <w:szCs w:val="21"/>
          <w:highlight w:val="none"/>
        </w:rPr>
        <w:t>（5）参加政府采购活动前三年内，在经营活动中没有重大违法记录；</w:t>
      </w:r>
    </w:p>
    <w:p w14:paraId="0998C31D">
      <w:pPr>
        <w:spacing w:line="340" w:lineRule="exact"/>
        <w:ind w:firstLine="420" w:firstLineChars="200"/>
        <w:rPr>
          <w:rFonts w:hAnsi="宋体"/>
          <w:color w:val="auto"/>
          <w:szCs w:val="21"/>
          <w:highlight w:val="none"/>
        </w:rPr>
      </w:pPr>
      <w:r>
        <w:rPr>
          <w:rFonts w:hint="eastAsia" w:hAnsi="宋体"/>
          <w:color w:val="auto"/>
          <w:szCs w:val="21"/>
          <w:highlight w:val="none"/>
        </w:rPr>
        <w:t>（6）法律、行政法规规定的其他条件。</w:t>
      </w:r>
    </w:p>
    <w:p w14:paraId="4B28D6D1">
      <w:pPr>
        <w:spacing w:line="340" w:lineRule="exact"/>
        <w:ind w:firstLine="420" w:firstLineChars="200"/>
        <w:rPr>
          <w:rFonts w:hAnsi="宋体"/>
          <w:color w:val="auto"/>
          <w:szCs w:val="21"/>
          <w:highlight w:val="none"/>
        </w:rPr>
      </w:pPr>
      <w:r>
        <w:rPr>
          <w:rFonts w:hint="eastAsia" w:hAnsi="宋体"/>
          <w:color w:val="auto"/>
          <w:szCs w:val="21"/>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48D6BA13">
      <w:pPr>
        <w:spacing w:line="340" w:lineRule="exact"/>
        <w:ind w:firstLine="420" w:firstLineChars="200"/>
        <w:rPr>
          <w:rFonts w:hAnsi="宋体"/>
          <w:color w:val="auto"/>
          <w:szCs w:val="21"/>
          <w:highlight w:val="none"/>
        </w:rPr>
      </w:pPr>
      <w:r>
        <w:rPr>
          <w:rFonts w:hint="eastAsia" w:hAnsi="宋体"/>
          <w:color w:val="auto"/>
          <w:szCs w:val="21"/>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138E25D4">
      <w:pPr>
        <w:spacing w:line="340" w:lineRule="exact"/>
        <w:ind w:firstLine="420" w:firstLineChars="200"/>
        <w:rPr>
          <w:rFonts w:hAnsi="宋体"/>
          <w:color w:val="auto"/>
          <w:szCs w:val="21"/>
          <w:highlight w:val="none"/>
        </w:rPr>
      </w:pPr>
      <w:r>
        <w:rPr>
          <w:rFonts w:hint="eastAsia" w:hAnsi="宋体"/>
          <w:color w:val="auto"/>
          <w:szCs w:val="21"/>
          <w:highlight w:val="none"/>
        </w:rPr>
        <w:t>□我方本次响应文件内容中未涉及商业秘密；</w:t>
      </w:r>
    </w:p>
    <w:p w14:paraId="582B1625">
      <w:pPr>
        <w:spacing w:line="340" w:lineRule="exact"/>
        <w:ind w:firstLine="420" w:firstLineChars="200"/>
        <w:rPr>
          <w:rFonts w:hAnsi="宋体"/>
          <w:color w:val="auto"/>
          <w:szCs w:val="21"/>
          <w:highlight w:val="none"/>
        </w:rPr>
      </w:pPr>
      <w:r>
        <w:rPr>
          <w:rFonts w:hint="eastAsia" w:hAnsi="宋体"/>
          <w:color w:val="auto"/>
          <w:szCs w:val="21"/>
          <w:highlight w:val="none"/>
        </w:rPr>
        <w:t>□我方本次响应文件涉及商业秘密的内容有：</w:t>
      </w:r>
      <w:r>
        <w:rPr>
          <w:rFonts w:hint="eastAsia" w:hAnsi="宋体"/>
          <w:color w:val="auto"/>
          <w:szCs w:val="21"/>
          <w:highlight w:val="none"/>
          <w:u w:val="single"/>
        </w:rPr>
        <w:t xml:space="preserve">                 </w:t>
      </w:r>
      <w:r>
        <w:rPr>
          <w:rFonts w:hint="eastAsia" w:hAnsi="宋体"/>
          <w:color w:val="auto"/>
          <w:szCs w:val="21"/>
          <w:highlight w:val="none"/>
        </w:rPr>
        <w:t>；</w:t>
      </w:r>
    </w:p>
    <w:p w14:paraId="5C3C05B8">
      <w:pPr>
        <w:wordWrap w:val="0"/>
        <w:spacing w:line="340" w:lineRule="exact"/>
        <w:ind w:firstLine="420" w:firstLineChars="200"/>
        <w:rPr>
          <w:rFonts w:hAnsi="宋体"/>
          <w:color w:val="auto"/>
          <w:szCs w:val="21"/>
          <w:highlight w:val="none"/>
        </w:rPr>
      </w:pPr>
      <w:r>
        <w:rPr>
          <w:rFonts w:hint="eastAsia" w:hAnsi="宋体"/>
          <w:color w:val="auto"/>
          <w:szCs w:val="21"/>
          <w:highlight w:val="none"/>
        </w:rPr>
        <w:t>7.与本磋商有关的一切正式往来信函请寄：</w:t>
      </w:r>
      <w:r>
        <w:rPr>
          <w:rFonts w:hint="eastAsia" w:hAnsi="宋体"/>
          <w:color w:val="auto"/>
          <w:szCs w:val="21"/>
          <w:highlight w:val="none"/>
          <w:u w:val="single"/>
        </w:rPr>
        <w:t xml:space="preserve">          </w:t>
      </w:r>
      <w:r>
        <w:rPr>
          <w:rFonts w:hint="eastAsia" w:hAnsi="宋体"/>
          <w:color w:val="auto"/>
          <w:szCs w:val="21"/>
          <w:highlight w:val="none"/>
        </w:rPr>
        <w:t>邮政编号：</w:t>
      </w:r>
      <w:r>
        <w:rPr>
          <w:rFonts w:hint="eastAsia" w:hAnsi="宋体"/>
          <w:color w:val="auto"/>
          <w:szCs w:val="21"/>
          <w:highlight w:val="none"/>
          <w:u w:val="single"/>
        </w:rPr>
        <w:t xml:space="preserve">         </w:t>
      </w:r>
    </w:p>
    <w:p w14:paraId="0BDFC0F4">
      <w:pPr>
        <w:wordWrap w:val="0"/>
        <w:spacing w:line="340" w:lineRule="exact"/>
        <w:ind w:firstLine="420" w:firstLineChars="200"/>
        <w:rPr>
          <w:rFonts w:hAnsi="宋体"/>
          <w:color w:val="auto"/>
          <w:szCs w:val="21"/>
          <w:highlight w:val="none"/>
        </w:rPr>
      </w:pPr>
      <w:r>
        <w:rPr>
          <w:rFonts w:hint="eastAsia" w:hAnsi="宋体"/>
          <w:color w:val="auto"/>
          <w:szCs w:val="21"/>
          <w:highlight w:val="none"/>
        </w:rPr>
        <w:t>电话/传真：</w:t>
      </w:r>
      <w:r>
        <w:rPr>
          <w:rFonts w:hint="eastAsia" w:hAnsi="宋体"/>
          <w:color w:val="auto"/>
          <w:szCs w:val="21"/>
          <w:highlight w:val="none"/>
          <w:u w:val="single"/>
        </w:rPr>
        <w:t xml:space="preserve">          </w:t>
      </w:r>
      <w:r>
        <w:rPr>
          <w:rFonts w:hint="eastAsia" w:hAnsi="宋体"/>
          <w:color w:val="auto"/>
          <w:szCs w:val="21"/>
          <w:highlight w:val="none"/>
        </w:rPr>
        <w:t>电子函件：</w:t>
      </w:r>
      <w:r>
        <w:rPr>
          <w:rFonts w:hint="eastAsia" w:hAnsi="宋体"/>
          <w:color w:val="auto"/>
          <w:szCs w:val="21"/>
          <w:highlight w:val="none"/>
          <w:u w:val="single"/>
        </w:rPr>
        <w:t xml:space="preserve">          </w:t>
      </w:r>
    </w:p>
    <w:p w14:paraId="288A6ECE">
      <w:pPr>
        <w:wordWrap w:val="0"/>
        <w:spacing w:line="340" w:lineRule="exact"/>
        <w:ind w:firstLine="420" w:firstLineChars="200"/>
        <w:rPr>
          <w:rFonts w:hAnsi="宋体"/>
          <w:color w:val="auto"/>
          <w:szCs w:val="21"/>
          <w:highlight w:val="none"/>
        </w:rPr>
      </w:pPr>
      <w:r>
        <w:rPr>
          <w:rFonts w:hint="eastAsia" w:hAnsi="宋体"/>
          <w:color w:val="auto"/>
          <w:szCs w:val="21"/>
          <w:highlight w:val="none"/>
        </w:rPr>
        <w:t>开户银行：</w:t>
      </w:r>
      <w:r>
        <w:rPr>
          <w:rFonts w:hint="eastAsia" w:hAnsi="宋体"/>
          <w:color w:val="auto"/>
          <w:szCs w:val="21"/>
          <w:highlight w:val="none"/>
          <w:u w:val="single"/>
        </w:rPr>
        <w:t xml:space="preserve">          </w:t>
      </w:r>
      <w:r>
        <w:rPr>
          <w:rFonts w:hint="eastAsia" w:hAnsi="宋体"/>
          <w:color w:val="auto"/>
          <w:szCs w:val="21"/>
          <w:highlight w:val="none"/>
          <w:lang w:eastAsia="zh-CN"/>
        </w:rPr>
        <w:t>账号</w:t>
      </w:r>
      <w:r>
        <w:rPr>
          <w:rFonts w:hint="eastAsia" w:hAnsi="宋体"/>
          <w:color w:val="auto"/>
          <w:szCs w:val="21"/>
          <w:highlight w:val="none"/>
        </w:rPr>
        <w:t>：</w:t>
      </w:r>
      <w:r>
        <w:rPr>
          <w:rFonts w:hint="eastAsia" w:hAnsi="宋体"/>
          <w:color w:val="auto"/>
          <w:szCs w:val="21"/>
          <w:highlight w:val="none"/>
          <w:u w:val="single"/>
        </w:rPr>
        <w:t xml:space="preserve">          </w:t>
      </w:r>
    </w:p>
    <w:p w14:paraId="2672BBF8">
      <w:pPr>
        <w:spacing w:line="340" w:lineRule="exact"/>
        <w:ind w:firstLine="420" w:firstLineChars="200"/>
        <w:rPr>
          <w:rFonts w:hAnsi="宋体"/>
          <w:color w:val="auto"/>
          <w:szCs w:val="21"/>
          <w:highlight w:val="none"/>
        </w:rPr>
      </w:pPr>
      <w:r>
        <w:rPr>
          <w:rFonts w:hint="eastAsia" w:hAnsi="宋体"/>
          <w:color w:val="auto"/>
          <w:szCs w:val="21"/>
          <w:highlight w:val="none"/>
        </w:rPr>
        <w:t>8.以上事项如有虚假或者隐瞒，我方愿意承担一切后果，并不再寻求任何旨在减轻或者免除法律责任的辩解。</w:t>
      </w:r>
    </w:p>
    <w:p w14:paraId="6A78BBCE">
      <w:pPr>
        <w:spacing w:line="340" w:lineRule="exact"/>
        <w:ind w:firstLine="420" w:firstLineChars="200"/>
        <w:rPr>
          <w:rFonts w:hAnsi="宋体"/>
          <w:color w:val="auto"/>
          <w:szCs w:val="21"/>
          <w:highlight w:val="none"/>
        </w:rPr>
      </w:pPr>
      <w:r>
        <w:rPr>
          <w:rFonts w:hint="eastAsia" w:hAnsi="宋体"/>
          <w:color w:val="auto"/>
          <w:szCs w:val="21"/>
          <w:highlight w:val="none"/>
        </w:rPr>
        <w:t>特此承诺。</w:t>
      </w:r>
    </w:p>
    <w:p w14:paraId="4DDFDB0C">
      <w:pPr>
        <w:wordWrap w:val="0"/>
        <w:spacing w:line="340" w:lineRule="exact"/>
        <w:ind w:firstLine="5953" w:firstLineChars="2835"/>
        <w:rPr>
          <w:rFonts w:hAnsi="宋体"/>
          <w:color w:val="auto"/>
          <w:szCs w:val="21"/>
          <w:highlight w:val="none"/>
        </w:rPr>
      </w:pPr>
      <w:r>
        <w:rPr>
          <w:rFonts w:hint="eastAsia" w:hAnsi="宋体"/>
          <w:color w:val="auto"/>
          <w:szCs w:val="21"/>
          <w:highlight w:val="none"/>
        </w:rPr>
        <w:t>供应商名称（</w:t>
      </w:r>
      <w:r>
        <w:rPr>
          <w:rFonts w:hint="eastAsia" w:hAnsi="宋体" w:cs="宋体"/>
          <w:color w:val="auto"/>
          <w:kern w:val="0"/>
          <w:szCs w:val="21"/>
          <w:highlight w:val="none"/>
        </w:rPr>
        <w:t>盖章</w:t>
      </w:r>
      <w:r>
        <w:rPr>
          <w:rFonts w:hint="eastAsia" w:hAnsi="宋体"/>
          <w:color w:val="auto"/>
          <w:szCs w:val="21"/>
          <w:highlight w:val="none"/>
        </w:rPr>
        <w:t>）：</w:t>
      </w:r>
      <w:r>
        <w:rPr>
          <w:rFonts w:hint="eastAsia" w:hAnsi="宋体"/>
          <w:color w:val="auto"/>
          <w:szCs w:val="21"/>
          <w:highlight w:val="none"/>
          <w:u w:val="single"/>
        </w:rPr>
        <w:t xml:space="preserve">          </w:t>
      </w:r>
    </w:p>
    <w:p w14:paraId="2F1AE044">
      <w:pPr>
        <w:spacing w:line="340" w:lineRule="exact"/>
        <w:ind w:firstLine="5953" w:firstLineChars="2835"/>
        <w:rPr>
          <w:rFonts w:hAnsi="宋体"/>
          <w:color w:val="auto"/>
          <w:szCs w:val="21"/>
          <w:highlight w:val="none"/>
        </w:rPr>
      </w:pPr>
      <w:r>
        <w:rPr>
          <w:rFonts w:hint="eastAsia" w:hAnsi="宋体"/>
          <w:color w:val="auto"/>
          <w:szCs w:val="21"/>
          <w:highlight w:val="none"/>
        </w:rPr>
        <w:t>日期：   年   月   日</w:t>
      </w:r>
    </w:p>
    <w:p w14:paraId="06F1AAC8">
      <w:pPr>
        <w:spacing w:line="520" w:lineRule="exact"/>
        <w:rPr>
          <w:rFonts w:hAnsi="宋体"/>
          <w:color w:val="auto"/>
          <w:szCs w:val="21"/>
          <w:highlight w:val="none"/>
        </w:rPr>
        <w:sectPr>
          <w:pgSz w:w="11906" w:h="16838"/>
          <w:pgMar w:top="1304" w:right="1304" w:bottom="1304" w:left="1304" w:header="720" w:footer="720" w:gutter="0"/>
          <w:cols w:space="720" w:num="1"/>
          <w:docGrid w:type="lines" w:linePitch="312" w:charSpace="0"/>
        </w:sectPr>
      </w:pPr>
    </w:p>
    <w:p w14:paraId="318C164D">
      <w:pPr>
        <w:spacing w:line="440" w:lineRule="exact"/>
        <w:ind w:firstLine="420" w:firstLineChars="200"/>
        <w:jc w:val="left"/>
        <w:rPr>
          <w:rFonts w:hAnsi="宋体"/>
          <w:color w:val="auto"/>
          <w:szCs w:val="21"/>
          <w:highlight w:val="none"/>
        </w:rPr>
      </w:pPr>
      <w:r>
        <w:rPr>
          <w:rFonts w:hint="eastAsia" w:hAnsi="宋体"/>
          <w:color w:val="auto"/>
          <w:szCs w:val="21"/>
          <w:highlight w:val="none"/>
          <w:lang w:val="en-US" w:eastAsia="zh-CN"/>
        </w:rPr>
        <w:t>7</w:t>
      </w:r>
      <w:r>
        <w:rPr>
          <w:rFonts w:hint="eastAsia" w:hAnsi="宋体"/>
          <w:color w:val="auto"/>
          <w:szCs w:val="21"/>
          <w:highlight w:val="none"/>
        </w:rPr>
        <w:t>、中小企业声明函或监狱企业证明文件或残疾人福利性单位声明函</w:t>
      </w:r>
    </w:p>
    <w:p w14:paraId="6AD15046">
      <w:pPr>
        <w:spacing w:line="500" w:lineRule="exact"/>
        <w:jc w:val="center"/>
        <w:rPr>
          <w:b/>
          <w:color w:val="auto"/>
          <w:highlight w:val="none"/>
        </w:rPr>
      </w:pPr>
      <w:r>
        <w:rPr>
          <w:b/>
          <w:color w:val="auto"/>
          <w:sz w:val="24"/>
          <w:highlight w:val="none"/>
        </w:rPr>
        <w:t>中小企业声明函</w:t>
      </w:r>
    </w:p>
    <w:p w14:paraId="6EE072C9">
      <w:pPr>
        <w:spacing w:line="500" w:lineRule="exact"/>
        <w:ind w:firstLine="420" w:firstLineChars="200"/>
        <w:jc w:val="left"/>
        <w:rPr>
          <w:color w:val="auto"/>
          <w:highlight w:val="none"/>
        </w:rPr>
      </w:pPr>
      <w:r>
        <w:rPr>
          <w:rFonts w:hint="eastAsia"/>
          <w:color w:val="auto"/>
          <w:highlight w:val="none"/>
        </w:rPr>
        <w:t>本公司（联合体）郑重声明，根据《政府采购促进中小企业发展管理办法》（财库﹝2020﹞46 号）的规定，本公司（联合体）参加</w:t>
      </w:r>
      <w:r>
        <w:rPr>
          <w:rFonts w:hint="eastAsia"/>
          <w:color w:val="auto"/>
          <w:highlight w:val="none"/>
          <w:u w:val="single"/>
        </w:rPr>
        <w:t xml:space="preserve">           </w:t>
      </w:r>
      <w:r>
        <w:rPr>
          <w:rFonts w:hint="eastAsia"/>
          <w:color w:val="auto"/>
          <w:highlight w:val="none"/>
        </w:rPr>
        <w:t>（单位名称）的</w:t>
      </w:r>
      <w:r>
        <w:rPr>
          <w:rFonts w:hint="eastAsia"/>
          <w:color w:val="auto"/>
          <w:highlight w:val="none"/>
          <w:u w:val="single"/>
        </w:rPr>
        <w:t xml:space="preserve">            </w:t>
      </w:r>
      <w:r>
        <w:rPr>
          <w:rFonts w:hint="eastAsia"/>
          <w:color w:val="auto"/>
          <w:highlight w:val="none"/>
        </w:rPr>
        <w:t>（项目名称）采购活动，服务全部由符合政策要求的中小企业承接。相关企业（含联合体中的中小企业、签订分包意向协议的中小企业）的具体情况如下：</w:t>
      </w:r>
    </w:p>
    <w:p w14:paraId="727DA74F">
      <w:pPr>
        <w:spacing w:line="500" w:lineRule="exact"/>
        <w:ind w:firstLine="420" w:firstLineChars="200"/>
        <w:rPr>
          <w:color w:val="auto"/>
          <w:highlight w:val="none"/>
        </w:rPr>
      </w:pPr>
      <w:r>
        <w:rPr>
          <w:rFonts w:hint="eastAsia"/>
          <w:color w:val="auto"/>
          <w:highlight w:val="none"/>
        </w:rPr>
        <w:t xml:space="preserve">1. </w:t>
      </w:r>
      <w:r>
        <w:rPr>
          <w:rFonts w:hint="eastAsia"/>
          <w:color w:val="auto"/>
          <w:highlight w:val="none"/>
          <w:u w:val="single"/>
        </w:rPr>
        <w:t xml:space="preserve">  （标的名称）  </w:t>
      </w:r>
      <w:r>
        <w:rPr>
          <w:rFonts w:hint="eastAsia"/>
          <w:color w:val="auto"/>
          <w:highlight w:val="none"/>
        </w:rPr>
        <w:t>，属于</w:t>
      </w:r>
      <w:r>
        <w:rPr>
          <w:rFonts w:hint="eastAsia"/>
          <w:color w:val="auto"/>
          <w:highlight w:val="none"/>
          <w:u w:val="single"/>
        </w:rPr>
        <w:t xml:space="preserve">  （采购文件中明确的所属行业）  </w:t>
      </w:r>
      <w:r>
        <w:rPr>
          <w:rFonts w:hint="eastAsia"/>
          <w:color w:val="auto"/>
          <w:highlight w:val="none"/>
        </w:rPr>
        <w:t>；承建（承接）企业为</w:t>
      </w:r>
      <w:r>
        <w:rPr>
          <w:rFonts w:hint="eastAsia"/>
          <w:color w:val="auto"/>
          <w:highlight w:val="none"/>
          <w:u w:val="single"/>
        </w:rPr>
        <w:t xml:space="preserve"> （企业名称）   </w:t>
      </w:r>
      <w:r>
        <w:rPr>
          <w:rFonts w:hint="eastAsia"/>
          <w:color w:val="auto"/>
          <w:highlight w:val="none"/>
        </w:rPr>
        <w:t>，从业人员</w:t>
      </w:r>
      <w:r>
        <w:rPr>
          <w:rFonts w:hint="eastAsia"/>
          <w:color w:val="auto"/>
          <w:highlight w:val="none"/>
          <w:u w:val="single"/>
        </w:rPr>
        <w:t xml:space="preserve">    </w:t>
      </w:r>
      <w:r>
        <w:rPr>
          <w:rFonts w:hint="eastAsia"/>
          <w:color w:val="auto"/>
          <w:highlight w:val="none"/>
        </w:rPr>
        <w:t>人，营业收入为</w:t>
      </w:r>
      <w:r>
        <w:rPr>
          <w:rFonts w:hint="eastAsia"/>
          <w:color w:val="auto"/>
          <w:highlight w:val="none"/>
          <w:u w:val="single"/>
        </w:rPr>
        <w:t xml:space="preserve">    </w:t>
      </w:r>
      <w:r>
        <w:rPr>
          <w:rFonts w:hint="eastAsia"/>
          <w:color w:val="auto"/>
          <w:highlight w:val="none"/>
        </w:rPr>
        <w:t>万元，资产总额为</w:t>
      </w:r>
      <w:r>
        <w:rPr>
          <w:rFonts w:hint="eastAsia"/>
          <w:color w:val="auto"/>
          <w:highlight w:val="none"/>
          <w:u w:val="single"/>
        </w:rPr>
        <w:t xml:space="preserve">    </w:t>
      </w:r>
      <w:r>
        <w:rPr>
          <w:rFonts w:hint="eastAsia"/>
          <w:color w:val="auto"/>
          <w:highlight w:val="none"/>
        </w:rPr>
        <w:t>万元</w:t>
      </w:r>
      <w:r>
        <w:rPr>
          <w:rFonts w:hint="eastAsia"/>
          <w:color w:val="auto"/>
          <w:highlight w:val="none"/>
          <w:vertAlign w:val="superscript"/>
        </w:rPr>
        <w:t>1</w:t>
      </w:r>
      <w:r>
        <w:rPr>
          <w:rFonts w:hint="eastAsia"/>
          <w:color w:val="auto"/>
          <w:highlight w:val="none"/>
        </w:rPr>
        <w:t>，属于</w:t>
      </w:r>
      <w:r>
        <w:rPr>
          <w:rFonts w:hint="eastAsia"/>
          <w:color w:val="auto"/>
          <w:highlight w:val="none"/>
          <w:u w:val="single"/>
        </w:rPr>
        <w:t xml:space="preserve">  （中型企业、小型企业、微型企业）   </w:t>
      </w:r>
      <w:r>
        <w:rPr>
          <w:rFonts w:hint="eastAsia"/>
          <w:color w:val="auto"/>
          <w:highlight w:val="none"/>
        </w:rPr>
        <w:t>；</w:t>
      </w:r>
    </w:p>
    <w:p w14:paraId="0ED64515">
      <w:pPr>
        <w:spacing w:line="500" w:lineRule="exact"/>
        <w:ind w:firstLine="420" w:firstLineChars="200"/>
        <w:rPr>
          <w:color w:val="auto"/>
          <w:highlight w:val="none"/>
        </w:rPr>
      </w:pPr>
      <w:r>
        <w:rPr>
          <w:rFonts w:hint="eastAsia"/>
          <w:color w:val="auto"/>
          <w:highlight w:val="none"/>
        </w:rPr>
        <w:t>2.</w:t>
      </w:r>
      <w:r>
        <w:rPr>
          <w:rFonts w:hint="eastAsia"/>
          <w:color w:val="auto"/>
          <w:highlight w:val="none"/>
          <w:u w:val="single"/>
        </w:rPr>
        <w:t xml:space="preserve">  （标的名称）  </w:t>
      </w:r>
      <w:r>
        <w:rPr>
          <w:rFonts w:hint="eastAsia"/>
          <w:color w:val="auto"/>
          <w:highlight w:val="none"/>
        </w:rPr>
        <w:t>，属于</w:t>
      </w:r>
      <w:r>
        <w:rPr>
          <w:rFonts w:hint="eastAsia"/>
          <w:color w:val="auto"/>
          <w:highlight w:val="none"/>
          <w:u w:val="single"/>
        </w:rPr>
        <w:t xml:space="preserve">  （采购文件中明确的所属行业）  </w:t>
      </w:r>
      <w:r>
        <w:rPr>
          <w:rFonts w:hint="eastAsia"/>
          <w:color w:val="auto"/>
          <w:highlight w:val="none"/>
        </w:rPr>
        <w:t>；承建（承接）企业为</w:t>
      </w:r>
      <w:r>
        <w:rPr>
          <w:rFonts w:hint="eastAsia"/>
          <w:color w:val="auto"/>
          <w:highlight w:val="none"/>
          <w:u w:val="single"/>
        </w:rPr>
        <w:t xml:space="preserve"> （企业名称）   </w:t>
      </w:r>
      <w:r>
        <w:rPr>
          <w:rFonts w:hint="eastAsia"/>
          <w:color w:val="auto"/>
          <w:highlight w:val="none"/>
        </w:rPr>
        <w:t>，从业人员</w:t>
      </w:r>
      <w:r>
        <w:rPr>
          <w:rFonts w:hint="eastAsia"/>
          <w:color w:val="auto"/>
          <w:highlight w:val="none"/>
          <w:u w:val="single"/>
        </w:rPr>
        <w:t xml:space="preserve">    </w:t>
      </w:r>
      <w:r>
        <w:rPr>
          <w:rFonts w:hint="eastAsia"/>
          <w:color w:val="auto"/>
          <w:highlight w:val="none"/>
        </w:rPr>
        <w:t>人，营业收入为</w:t>
      </w:r>
      <w:r>
        <w:rPr>
          <w:rFonts w:hint="eastAsia"/>
          <w:color w:val="auto"/>
          <w:highlight w:val="none"/>
          <w:u w:val="single"/>
        </w:rPr>
        <w:t xml:space="preserve">    </w:t>
      </w:r>
      <w:r>
        <w:rPr>
          <w:rFonts w:hint="eastAsia"/>
          <w:color w:val="auto"/>
          <w:highlight w:val="none"/>
        </w:rPr>
        <w:t>万元，资产总额为</w:t>
      </w:r>
      <w:r>
        <w:rPr>
          <w:rFonts w:hint="eastAsia"/>
          <w:color w:val="auto"/>
          <w:highlight w:val="none"/>
          <w:u w:val="single"/>
        </w:rPr>
        <w:t xml:space="preserve">    </w:t>
      </w:r>
      <w:r>
        <w:rPr>
          <w:rFonts w:hint="eastAsia"/>
          <w:color w:val="auto"/>
          <w:highlight w:val="none"/>
        </w:rPr>
        <w:t>万元</w:t>
      </w:r>
      <w:r>
        <w:rPr>
          <w:rFonts w:hint="eastAsia"/>
          <w:color w:val="auto"/>
          <w:highlight w:val="none"/>
          <w:vertAlign w:val="superscript"/>
        </w:rPr>
        <w:t>1</w:t>
      </w:r>
      <w:r>
        <w:rPr>
          <w:rFonts w:hint="eastAsia"/>
          <w:color w:val="auto"/>
          <w:highlight w:val="none"/>
        </w:rPr>
        <w:t>，属于</w:t>
      </w:r>
      <w:r>
        <w:rPr>
          <w:rFonts w:hint="eastAsia"/>
          <w:color w:val="auto"/>
          <w:highlight w:val="none"/>
          <w:u w:val="single"/>
        </w:rPr>
        <w:t xml:space="preserve">  （中型企业、小型企业、微型企业）   </w:t>
      </w:r>
      <w:r>
        <w:rPr>
          <w:rFonts w:hint="eastAsia"/>
          <w:color w:val="auto"/>
          <w:highlight w:val="none"/>
        </w:rPr>
        <w:t>；</w:t>
      </w:r>
    </w:p>
    <w:p w14:paraId="3503C511">
      <w:pPr>
        <w:spacing w:line="500" w:lineRule="exact"/>
        <w:ind w:left="210" w:leftChars="100" w:firstLine="210" w:firstLineChars="100"/>
        <w:rPr>
          <w:color w:val="auto"/>
          <w:highlight w:val="none"/>
        </w:rPr>
      </w:pPr>
      <w:r>
        <w:rPr>
          <w:color w:val="auto"/>
          <w:highlight w:val="none"/>
        </w:rPr>
        <w:t xml:space="preserve"> ……</w:t>
      </w:r>
    </w:p>
    <w:p w14:paraId="7A14E348">
      <w:pPr>
        <w:spacing w:line="500" w:lineRule="exact"/>
        <w:ind w:left="210" w:leftChars="100" w:firstLine="210" w:firstLineChars="100"/>
        <w:rPr>
          <w:color w:val="auto"/>
          <w:highlight w:val="none"/>
        </w:rPr>
      </w:pPr>
      <w:r>
        <w:rPr>
          <w:color w:val="auto"/>
          <w:highlight w:val="none"/>
        </w:rPr>
        <w:t xml:space="preserve"> </w:t>
      </w:r>
      <w:r>
        <w:rPr>
          <w:rFonts w:hint="eastAsia"/>
          <w:color w:val="auto"/>
          <w:highlight w:val="none"/>
        </w:rPr>
        <w:t>以上企业，不属于大企业的分支机构，不存在控股股东为大企业的情形，也不存在与大企业的负责人为同一人的情形。</w:t>
      </w:r>
    </w:p>
    <w:p w14:paraId="714A84DA">
      <w:pPr>
        <w:spacing w:line="500" w:lineRule="exact"/>
        <w:ind w:left="210" w:leftChars="100" w:firstLine="210" w:firstLineChars="100"/>
        <w:rPr>
          <w:color w:val="auto"/>
          <w:highlight w:val="none"/>
        </w:rPr>
      </w:pPr>
      <w:r>
        <w:rPr>
          <w:rFonts w:hint="eastAsia"/>
          <w:color w:val="auto"/>
          <w:highlight w:val="none"/>
        </w:rPr>
        <w:t>本企业对上述声明内容的真实性负责。如有虚假，将依法承担相应责任。</w:t>
      </w:r>
      <w:r>
        <w:rPr>
          <w:color w:val="auto"/>
          <w:highlight w:val="none"/>
        </w:rPr>
        <w:t xml:space="preserve"> </w:t>
      </w:r>
    </w:p>
    <w:p w14:paraId="3D281E6D">
      <w:pPr>
        <w:wordWrap w:val="0"/>
        <w:spacing w:line="500" w:lineRule="exact"/>
        <w:jc w:val="right"/>
        <w:rPr>
          <w:color w:val="auto"/>
          <w:highlight w:val="none"/>
        </w:rPr>
      </w:pPr>
      <w:r>
        <w:rPr>
          <w:color w:val="auto"/>
          <w:highlight w:val="none"/>
        </w:rPr>
        <w:t>企业名称（</w:t>
      </w:r>
      <w:r>
        <w:rPr>
          <w:rFonts w:hint="eastAsia" w:hAnsi="宋体"/>
          <w:color w:val="auto"/>
          <w:szCs w:val="21"/>
          <w:highlight w:val="none"/>
        </w:rPr>
        <w:t>盖</w:t>
      </w:r>
      <w:r>
        <w:rPr>
          <w:color w:val="auto"/>
          <w:highlight w:val="none"/>
        </w:rPr>
        <w:t>章）：</w:t>
      </w:r>
      <w:r>
        <w:rPr>
          <w:color w:val="auto"/>
          <w:highlight w:val="none"/>
          <w:u w:val="single"/>
        </w:rPr>
        <w:t xml:space="preserve">         </w:t>
      </w:r>
      <w:r>
        <w:rPr>
          <w:color w:val="auto"/>
          <w:highlight w:val="none"/>
        </w:rPr>
        <w:t xml:space="preserve"> </w:t>
      </w:r>
    </w:p>
    <w:p w14:paraId="36F96301">
      <w:pPr>
        <w:wordWrap w:val="0"/>
        <w:spacing w:line="500" w:lineRule="exact"/>
        <w:jc w:val="right"/>
        <w:rPr>
          <w:rFonts w:hAnsi="宋体"/>
          <w:color w:val="auto"/>
          <w:highlight w:val="none"/>
        </w:rPr>
      </w:pPr>
      <w:r>
        <w:rPr>
          <w:color w:val="auto"/>
          <w:highlight w:val="none"/>
        </w:rPr>
        <w:t>日 期：</w:t>
      </w:r>
      <w:r>
        <w:rPr>
          <w:color w:val="auto"/>
          <w:highlight w:val="none"/>
          <w:u w:val="single"/>
        </w:rPr>
        <w:t xml:space="preserve">          </w:t>
      </w:r>
    </w:p>
    <w:p w14:paraId="47291CD9">
      <w:pPr>
        <w:spacing w:line="500" w:lineRule="exact"/>
        <w:jc w:val="right"/>
        <w:rPr>
          <w:rFonts w:hAnsi="宋体"/>
          <w:color w:val="auto"/>
          <w:szCs w:val="21"/>
          <w:highlight w:val="none"/>
        </w:rPr>
      </w:pPr>
    </w:p>
    <w:p w14:paraId="6DCBC68A">
      <w:pPr>
        <w:tabs>
          <w:tab w:val="left" w:pos="3870"/>
          <w:tab w:val="left" w:pos="4085"/>
        </w:tabs>
        <w:snapToGrid w:val="0"/>
        <w:spacing w:line="420" w:lineRule="exact"/>
        <w:ind w:firstLine="420" w:firstLineChars="200"/>
        <w:jc w:val="left"/>
        <w:rPr>
          <w:rFonts w:hAnsi="宋体"/>
          <w:color w:val="auto"/>
          <w:szCs w:val="21"/>
          <w:highlight w:val="none"/>
        </w:rPr>
      </w:pPr>
      <w:r>
        <w:rPr>
          <w:rFonts w:hint="eastAsia" w:hAnsi="宋体"/>
          <w:color w:val="auto"/>
          <w:szCs w:val="21"/>
          <w:highlight w:val="none"/>
        </w:rPr>
        <w:t>备注：1、依据《工业和信息化部、国家统计局、国家发展和改革委员会、财政部关于印发中小企业划型标准规定的通知》（ 工信部联企业 [2011]300号），中小企业划分为中型、小型、微型三种类型，具体标准根据企业从业人员、营业收入、资产总额等指标，结合行业特点制定。2、小型、微型企业提供的货物由大型或中型企业生产的，视同为大型、中型企业，其报价不能进行折扣。3、采购单位将在成交公告中公布成交人《中小企业声明函》中的声明信息，接受社会监督，投标人如有虚假，将依法承担相应责任。</w:t>
      </w:r>
    </w:p>
    <w:p w14:paraId="61AB8BDB">
      <w:pPr>
        <w:tabs>
          <w:tab w:val="left" w:pos="3870"/>
          <w:tab w:val="left" w:pos="4085"/>
        </w:tabs>
        <w:wordWrap w:val="0"/>
        <w:snapToGrid w:val="0"/>
        <w:spacing w:line="420" w:lineRule="exact"/>
        <w:ind w:firstLine="420" w:firstLineChars="200"/>
        <w:jc w:val="left"/>
        <w:rPr>
          <w:rFonts w:hAnsi="宋体"/>
          <w:color w:val="auto"/>
          <w:szCs w:val="21"/>
          <w:highlight w:val="none"/>
          <w:u w:val="single"/>
        </w:rPr>
      </w:pPr>
      <w:r>
        <w:rPr>
          <w:rFonts w:hAnsi="宋体"/>
          <w:color w:val="auto"/>
          <w:szCs w:val="21"/>
          <w:highlight w:val="none"/>
          <w:u w:val="single"/>
        </w:rPr>
        <w:t xml:space="preserve">                  </w:t>
      </w:r>
      <w:r>
        <w:rPr>
          <w:rFonts w:hint="eastAsia" w:hAnsi="宋体"/>
          <w:color w:val="auto"/>
          <w:szCs w:val="21"/>
          <w:highlight w:val="none"/>
          <w:u w:val="single"/>
        </w:rPr>
        <w:t xml:space="preserve">   </w:t>
      </w:r>
      <w:r>
        <w:rPr>
          <w:rFonts w:hAnsi="宋体"/>
          <w:color w:val="auto"/>
          <w:szCs w:val="21"/>
          <w:highlight w:val="none"/>
          <w:u w:val="single"/>
        </w:rPr>
        <w:t xml:space="preserve">            </w:t>
      </w:r>
    </w:p>
    <w:p w14:paraId="38A96296">
      <w:pPr>
        <w:tabs>
          <w:tab w:val="left" w:pos="3870"/>
          <w:tab w:val="left" w:pos="4085"/>
        </w:tabs>
        <w:snapToGrid w:val="0"/>
        <w:spacing w:line="420" w:lineRule="exact"/>
        <w:ind w:firstLine="360" w:firstLineChars="200"/>
        <w:jc w:val="left"/>
        <w:rPr>
          <w:rFonts w:hAnsi="宋体"/>
          <w:color w:val="auto"/>
          <w:szCs w:val="21"/>
          <w:highlight w:val="none"/>
        </w:rPr>
      </w:pPr>
      <w:r>
        <w:rPr>
          <w:color w:val="auto"/>
          <w:sz w:val="18"/>
          <w:highlight w:val="none"/>
        </w:rPr>
        <w:t>1从业人员、营业收入、资产总额填报上一年度数据，无上一年度数据的新成立企业可不填报。</w:t>
      </w:r>
    </w:p>
    <w:p w14:paraId="311329FA">
      <w:pPr>
        <w:spacing w:line="520" w:lineRule="exact"/>
        <w:rPr>
          <w:rFonts w:hAnsi="宋体"/>
          <w:color w:val="auto"/>
          <w:szCs w:val="21"/>
          <w:highlight w:val="none"/>
        </w:rPr>
        <w:sectPr>
          <w:pgSz w:w="11906" w:h="16838"/>
          <w:pgMar w:top="1304" w:right="1304" w:bottom="1304" w:left="1304" w:header="720" w:footer="720" w:gutter="0"/>
          <w:cols w:space="720" w:num="1"/>
          <w:docGrid w:type="lines" w:linePitch="312" w:charSpace="0"/>
        </w:sectPr>
      </w:pPr>
    </w:p>
    <w:p w14:paraId="2DA19097">
      <w:pPr>
        <w:spacing w:line="440" w:lineRule="exact"/>
        <w:ind w:firstLine="420" w:firstLineChars="200"/>
        <w:rPr>
          <w:rFonts w:hAnsi="宋体"/>
          <w:color w:val="auto"/>
          <w:szCs w:val="21"/>
          <w:highlight w:val="none"/>
        </w:rPr>
      </w:pPr>
      <w:r>
        <w:rPr>
          <w:rFonts w:hint="eastAsia" w:hAnsi="宋体"/>
          <w:color w:val="auto"/>
          <w:szCs w:val="21"/>
          <w:highlight w:val="none"/>
        </w:rPr>
        <w:t>监狱企业证明文件</w:t>
      </w:r>
    </w:p>
    <w:p w14:paraId="0969A2E4">
      <w:pPr>
        <w:spacing w:line="440" w:lineRule="exact"/>
        <w:ind w:firstLine="420" w:firstLineChars="200"/>
        <w:jc w:val="center"/>
        <w:rPr>
          <w:rFonts w:hAnsi="宋体"/>
          <w:color w:val="auto"/>
          <w:szCs w:val="21"/>
          <w:highlight w:val="none"/>
        </w:rPr>
      </w:pPr>
      <w:r>
        <w:rPr>
          <w:rFonts w:hint="eastAsia" w:hAnsi="宋体"/>
          <w:color w:val="auto"/>
          <w:szCs w:val="21"/>
          <w:highlight w:val="none"/>
        </w:rPr>
        <w:t>格式自拟</w:t>
      </w:r>
    </w:p>
    <w:p w14:paraId="4E1502DA">
      <w:pPr>
        <w:spacing w:line="440" w:lineRule="exact"/>
        <w:ind w:firstLine="420" w:firstLineChars="200"/>
        <w:rPr>
          <w:rFonts w:hAnsi="宋体"/>
          <w:color w:val="auto"/>
          <w:szCs w:val="21"/>
          <w:highlight w:val="none"/>
        </w:rPr>
      </w:pPr>
    </w:p>
    <w:p w14:paraId="753CC955">
      <w:pPr>
        <w:spacing w:line="440" w:lineRule="exact"/>
        <w:ind w:firstLine="420" w:firstLineChars="200"/>
        <w:rPr>
          <w:rFonts w:hAnsi="宋体"/>
          <w:color w:val="auto"/>
          <w:szCs w:val="21"/>
          <w:highlight w:val="none"/>
        </w:rPr>
      </w:pPr>
    </w:p>
    <w:p w14:paraId="3A9FF4C1">
      <w:pPr>
        <w:spacing w:line="440" w:lineRule="exact"/>
        <w:ind w:firstLine="420" w:firstLineChars="200"/>
        <w:rPr>
          <w:rFonts w:hAnsi="宋体"/>
          <w:color w:val="auto"/>
          <w:szCs w:val="21"/>
          <w:highlight w:val="none"/>
        </w:rPr>
      </w:pPr>
    </w:p>
    <w:p w14:paraId="08D0850C">
      <w:pPr>
        <w:spacing w:line="588" w:lineRule="exact"/>
        <w:jc w:val="center"/>
        <w:rPr>
          <w:rFonts w:hAnsi="宋体"/>
          <w:b/>
          <w:color w:val="auto"/>
          <w:sz w:val="28"/>
          <w:szCs w:val="28"/>
          <w:highlight w:val="none"/>
        </w:rPr>
      </w:pPr>
      <w:r>
        <w:rPr>
          <w:rFonts w:hint="eastAsia" w:hAnsi="宋体"/>
          <w:b/>
          <w:color w:val="auto"/>
          <w:sz w:val="28"/>
          <w:szCs w:val="28"/>
          <w:highlight w:val="none"/>
        </w:rPr>
        <w:t>残疾人福利性单位声明函</w:t>
      </w:r>
    </w:p>
    <w:p w14:paraId="763C2412">
      <w:pPr>
        <w:spacing w:line="588" w:lineRule="exact"/>
        <w:rPr>
          <w:rFonts w:ascii="仿宋_GB2312" w:hAnsi="Calibri" w:eastAsia="仿宋_GB2312"/>
          <w:b/>
          <w:color w:val="auto"/>
          <w:spacing w:val="6"/>
          <w:sz w:val="28"/>
          <w:szCs w:val="28"/>
          <w:highlight w:val="none"/>
        </w:rPr>
      </w:pPr>
    </w:p>
    <w:p w14:paraId="146E03A2">
      <w:pPr>
        <w:spacing w:line="588" w:lineRule="exact"/>
        <w:ind w:firstLine="420" w:firstLineChars="200"/>
        <w:rPr>
          <w:rFonts w:hAnsi="宋体"/>
          <w:color w:val="auto"/>
          <w:szCs w:val="21"/>
          <w:highlight w:val="none"/>
        </w:rPr>
      </w:pPr>
      <w:r>
        <w:rPr>
          <w:rFonts w:hint="eastAsia" w:hAnsi="宋体"/>
          <w:color w:val="auto"/>
          <w:szCs w:val="21"/>
          <w:highlight w:val="none"/>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6258C9E4">
      <w:pPr>
        <w:spacing w:line="588" w:lineRule="exact"/>
        <w:ind w:firstLine="420" w:firstLineChars="200"/>
        <w:rPr>
          <w:rFonts w:hAnsi="宋体"/>
          <w:color w:val="auto"/>
          <w:szCs w:val="21"/>
          <w:highlight w:val="none"/>
        </w:rPr>
      </w:pPr>
      <w:r>
        <w:rPr>
          <w:rFonts w:hint="eastAsia" w:hAnsi="宋体"/>
          <w:color w:val="auto"/>
          <w:szCs w:val="21"/>
          <w:highlight w:val="none"/>
        </w:rPr>
        <w:t>本单位对上述声明的真实性负责。如有虚假，将依法承担相应责任。</w:t>
      </w:r>
    </w:p>
    <w:p w14:paraId="60819A73">
      <w:pPr>
        <w:spacing w:line="440" w:lineRule="exact"/>
        <w:ind w:firstLine="5953" w:firstLineChars="2835"/>
        <w:rPr>
          <w:rFonts w:hAnsi="宋体"/>
          <w:color w:val="auto"/>
          <w:szCs w:val="21"/>
          <w:highlight w:val="none"/>
        </w:rPr>
      </w:pPr>
      <w:r>
        <w:rPr>
          <w:rFonts w:hint="eastAsia" w:hAnsi="宋体"/>
          <w:color w:val="auto"/>
          <w:szCs w:val="21"/>
          <w:highlight w:val="none"/>
        </w:rPr>
        <w:t>供应商名称（盖章）：</w:t>
      </w:r>
      <w:r>
        <w:rPr>
          <w:rFonts w:hint="eastAsia" w:hAnsi="宋体"/>
          <w:color w:val="auto"/>
          <w:szCs w:val="21"/>
          <w:highlight w:val="none"/>
          <w:u w:val="single"/>
        </w:rPr>
        <w:t xml:space="preserve">             </w:t>
      </w:r>
    </w:p>
    <w:p w14:paraId="7511C6D3">
      <w:pPr>
        <w:spacing w:line="440" w:lineRule="exact"/>
        <w:ind w:firstLine="5953" w:firstLineChars="2835"/>
        <w:rPr>
          <w:rFonts w:hAnsi="宋体"/>
          <w:color w:val="auto"/>
          <w:szCs w:val="21"/>
          <w:highlight w:val="none"/>
        </w:rPr>
      </w:pPr>
      <w:r>
        <w:rPr>
          <w:rFonts w:hint="eastAsia" w:hAnsi="宋体"/>
          <w:color w:val="auto"/>
          <w:szCs w:val="21"/>
          <w:highlight w:val="none"/>
        </w:rPr>
        <w:t>日期：   年   月  日</w:t>
      </w:r>
    </w:p>
    <w:p w14:paraId="1727C1D8">
      <w:pPr>
        <w:spacing w:line="440" w:lineRule="exact"/>
        <w:ind w:firstLine="317" w:firstLineChars="151"/>
        <w:rPr>
          <w:rFonts w:hAnsi="宋体"/>
          <w:color w:val="auto"/>
          <w:szCs w:val="21"/>
          <w:highlight w:val="none"/>
        </w:rPr>
      </w:pPr>
    </w:p>
    <w:p w14:paraId="2ADFC7DF">
      <w:pPr>
        <w:spacing w:line="440" w:lineRule="exact"/>
        <w:ind w:firstLine="420" w:firstLineChars="200"/>
        <w:rPr>
          <w:rFonts w:hAnsi="宋体"/>
          <w:color w:val="auto"/>
          <w:szCs w:val="21"/>
          <w:highlight w:val="none"/>
        </w:rPr>
      </w:pPr>
      <w:r>
        <w:rPr>
          <w:rFonts w:hint="eastAsia" w:hAnsi="宋体"/>
          <w:color w:val="auto"/>
          <w:szCs w:val="21"/>
          <w:highlight w:val="none"/>
        </w:rPr>
        <w:t>备注：招标采购单位将在成交公告中公布成交人《残疾人福利性单位声明函》中的声明信息，接受社会监督，投标人如有虚假，将依法承担相应责任。</w:t>
      </w:r>
    </w:p>
    <w:p w14:paraId="38D007CF">
      <w:pPr>
        <w:spacing w:line="520" w:lineRule="exact"/>
        <w:rPr>
          <w:rFonts w:hAnsi="宋体"/>
          <w:color w:val="auto"/>
          <w:szCs w:val="21"/>
          <w:highlight w:val="none"/>
        </w:rPr>
      </w:pPr>
    </w:p>
    <w:p w14:paraId="26206C60">
      <w:pPr>
        <w:autoSpaceDE w:val="0"/>
        <w:autoSpaceDN w:val="0"/>
        <w:adjustRightInd w:val="0"/>
        <w:spacing w:after="120"/>
        <w:jc w:val="left"/>
        <w:rPr>
          <w:rFonts w:ascii="Calibri" w:hAnsi="Calibri"/>
          <w:color w:val="auto"/>
          <w:kern w:val="0"/>
          <w:sz w:val="34"/>
          <w:highlight w:val="none"/>
        </w:rPr>
        <w:sectPr>
          <w:pgSz w:w="11906" w:h="16838"/>
          <w:pgMar w:top="1304" w:right="1304" w:bottom="1304" w:left="1304" w:header="720" w:footer="720" w:gutter="0"/>
          <w:cols w:space="720" w:num="1"/>
          <w:docGrid w:type="lines" w:linePitch="312" w:charSpace="0"/>
        </w:sectPr>
      </w:pPr>
    </w:p>
    <w:p w14:paraId="3DFEA4F5">
      <w:pPr>
        <w:spacing w:line="500" w:lineRule="exact"/>
        <w:jc w:val="center"/>
        <w:rPr>
          <w:rFonts w:hAnsi="宋体"/>
          <w:b/>
          <w:color w:val="auto"/>
          <w:sz w:val="44"/>
          <w:szCs w:val="32"/>
          <w:highlight w:val="none"/>
        </w:rPr>
      </w:pPr>
    </w:p>
    <w:p w14:paraId="77E2C237">
      <w:pPr>
        <w:spacing w:line="500" w:lineRule="exact"/>
        <w:jc w:val="center"/>
        <w:rPr>
          <w:rFonts w:hAnsi="宋体"/>
          <w:b/>
          <w:color w:val="auto"/>
          <w:sz w:val="44"/>
          <w:szCs w:val="32"/>
          <w:highlight w:val="none"/>
        </w:rPr>
      </w:pPr>
    </w:p>
    <w:p w14:paraId="66E96CC9">
      <w:pPr>
        <w:spacing w:line="500" w:lineRule="exact"/>
        <w:jc w:val="center"/>
        <w:rPr>
          <w:rFonts w:hAnsi="宋体"/>
          <w:b/>
          <w:color w:val="auto"/>
          <w:sz w:val="44"/>
          <w:szCs w:val="32"/>
          <w:highlight w:val="none"/>
        </w:rPr>
      </w:pPr>
    </w:p>
    <w:p w14:paraId="67171DAB">
      <w:pPr>
        <w:spacing w:line="0" w:lineRule="atLeast"/>
        <w:rPr>
          <w:rFonts w:ascii="Times New Roman" w:hAnsi="Times New Roman"/>
          <w:color w:val="auto"/>
          <w:sz w:val="30"/>
          <w:highlight w:val="none"/>
        </w:rPr>
      </w:pPr>
    </w:p>
    <w:p w14:paraId="0F5E38C0">
      <w:pPr>
        <w:spacing w:line="0" w:lineRule="atLeast"/>
        <w:rPr>
          <w:rFonts w:ascii="Times New Roman" w:hAnsi="Times New Roman"/>
          <w:color w:val="auto"/>
          <w:sz w:val="30"/>
          <w:highlight w:val="none"/>
        </w:rPr>
      </w:pPr>
    </w:p>
    <w:p w14:paraId="778AC1DF">
      <w:pPr>
        <w:spacing w:line="0" w:lineRule="atLeast"/>
        <w:rPr>
          <w:rFonts w:ascii="Times New Roman" w:hAnsi="Times New Roman"/>
          <w:color w:val="auto"/>
          <w:sz w:val="30"/>
          <w:highlight w:val="none"/>
        </w:rPr>
      </w:pPr>
    </w:p>
    <w:p w14:paraId="5348F434">
      <w:pPr>
        <w:spacing w:line="500" w:lineRule="exact"/>
        <w:jc w:val="center"/>
        <w:outlineLvl w:val="1"/>
        <w:rPr>
          <w:rFonts w:hAnsi="宋体"/>
          <w:b/>
          <w:color w:val="auto"/>
          <w:sz w:val="44"/>
          <w:szCs w:val="32"/>
          <w:highlight w:val="none"/>
        </w:rPr>
      </w:pPr>
      <w:bookmarkStart w:id="1762" w:name="_Toc18898"/>
      <w:r>
        <w:rPr>
          <w:rFonts w:hint="eastAsia" w:hAnsi="宋体"/>
          <w:b/>
          <w:color w:val="auto"/>
          <w:sz w:val="44"/>
          <w:szCs w:val="32"/>
          <w:highlight w:val="none"/>
        </w:rPr>
        <w:t>商务和技术文件（封面）</w:t>
      </w:r>
      <w:bookmarkEnd w:id="1762"/>
    </w:p>
    <w:p w14:paraId="2DEE990B">
      <w:pPr>
        <w:spacing w:line="500" w:lineRule="exact"/>
        <w:jc w:val="center"/>
        <w:rPr>
          <w:rFonts w:hAnsi="宋体"/>
          <w:color w:val="auto"/>
          <w:sz w:val="28"/>
          <w:szCs w:val="28"/>
          <w:highlight w:val="none"/>
        </w:rPr>
      </w:pPr>
    </w:p>
    <w:p w14:paraId="2190B9EB">
      <w:pPr>
        <w:spacing w:line="500" w:lineRule="exact"/>
        <w:jc w:val="center"/>
        <w:rPr>
          <w:rFonts w:hAnsi="宋体"/>
          <w:color w:val="auto"/>
          <w:sz w:val="28"/>
          <w:szCs w:val="28"/>
          <w:highlight w:val="none"/>
        </w:rPr>
      </w:pPr>
    </w:p>
    <w:p w14:paraId="7DAB3064">
      <w:pPr>
        <w:spacing w:line="500" w:lineRule="exact"/>
        <w:ind w:firstLine="2550" w:firstLineChars="911"/>
        <w:rPr>
          <w:rFonts w:hAnsi="宋体"/>
          <w:color w:val="auto"/>
          <w:sz w:val="28"/>
          <w:szCs w:val="28"/>
          <w:highlight w:val="none"/>
          <w:u w:val="single"/>
        </w:rPr>
      </w:pPr>
      <w:r>
        <w:rPr>
          <w:rFonts w:hint="eastAsia" w:hAnsi="宋体"/>
          <w:color w:val="auto"/>
          <w:sz w:val="28"/>
          <w:szCs w:val="28"/>
          <w:highlight w:val="none"/>
        </w:rPr>
        <w:t>项目编号：</w:t>
      </w:r>
      <w:r>
        <w:rPr>
          <w:rFonts w:hint="eastAsia" w:hAnsi="宋体"/>
          <w:color w:val="auto"/>
          <w:sz w:val="28"/>
          <w:szCs w:val="28"/>
          <w:highlight w:val="none"/>
          <w:u w:val="single"/>
        </w:rPr>
        <w:t xml:space="preserve">                       </w:t>
      </w:r>
    </w:p>
    <w:p w14:paraId="6041FC7E">
      <w:pPr>
        <w:tabs>
          <w:tab w:val="left" w:pos="3240"/>
        </w:tabs>
        <w:spacing w:line="500" w:lineRule="exact"/>
        <w:ind w:firstLine="2550" w:firstLineChars="911"/>
        <w:rPr>
          <w:rFonts w:hAnsi="宋体"/>
          <w:color w:val="auto"/>
          <w:sz w:val="28"/>
          <w:szCs w:val="28"/>
          <w:highlight w:val="none"/>
          <w:u w:val="single"/>
        </w:rPr>
      </w:pPr>
      <w:r>
        <w:rPr>
          <w:rFonts w:hint="eastAsia" w:hAnsi="宋体"/>
          <w:color w:val="auto"/>
          <w:sz w:val="28"/>
          <w:szCs w:val="28"/>
          <w:highlight w:val="none"/>
        </w:rPr>
        <w:t>项目名称：</w:t>
      </w:r>
      <w:r>
        <w:rPr>
          <w:rFonts w:hint="eastAsia" w:hAnsi="宋体"/>
          <w:color w:val="auto"/>
          <w:sz w:val="28"/>
          <w:szCs w:val="28"/>
          <w:highlight w:val="none"/>
          <w:u w:val="single"/>
        </w:rPr>
        <w:t xml:space="preserve">                       </w:t>
      </w:r>
    </w:p>
    <w:p w14:paraId="566E58EA">
      <w:pPr>
        <w:tabs>
          <w:tab w:val="left" w:pos="2625"/>
        </w:tabs>
        <w:spacing w:line="500" w:lineRule="exact"/>
        <w:ind w:firstLine="2550" w:firstLineChars="911"/>
        <w:jc w:val="left"/>
        <w:rPr>
          <w:rFonts w:hAnsi="宋体"/>
          <w:color w:val="auto"/>
          <w:sz w:val="28"/>
          <w:szCs w:val="28"/>
          <w:highlight w:val="none"/>
          <w:u w:val="single"/>
        </w:rPr>
      </w:pPr>
      <w:r>
        <w:rPr>
          <w:rFonts w:hint="eastAsia" w:hAnsi="宋体"/>
          <w:color w:val="auto"/>
          <w:sz w:val="28"/>
          <w:szCs w:val="28"/>
          <w:highlight w:val="none"/>
        </w:rPr>
        <w:t>供应商名称：</w:t>
      </w:r>
      <w:r>
        <w:rPr>
          <w:rFonts w:hint="eastAsia" w:hAnsi="宋体"/>
          <w:color w:val="auto"/>
          <w:sz w:val="28"/>
          <w:szCs w:val="28"/>
          <w:highlight w:val="none"/>
          <w:u w:val="single"/>
        </w:rPr>
        <w:t xml:space="preserve">                     </w:t>
      </w:r>
    </w:p>
    <w:p w14:paraId="7F0A9741">
      <w:pPr>
        <w:tabs>
          <w:tab w:val="left" w:pos="2625"/>
        </w:tabs>
        <w:spacing w:line="500" w:lineRule="exact"/>
        <w:ind w:firstLine="2550" w:firstLineChars="911"/>
        <w:jc w:val="left"/>
        <w:rPr>
          <w:rFonts w:hAnsi="宋体"/>
          <w:color w:val="auto"/>
          <w:sz w:val="28"/>
          <w:szCs w:val="28"/>
          <w:highlight w:val="none"/>
          <w:u w:val="single"/>
        </w:rPr>
      </w:pPr>
      <w:r>
        <w:rPr>
          <w:rFonts w:hint="eastAsia" w:hAnsi="宋体"/>
          <w:color w:val="auto"/>
          <w:sz w:val="28"/>
          <w:szCs w:val="28"/>
          <w:highlight w:val="none"/>
        </w:rPr>
        <w:t>供应商地址：</w:t>
      </w:r>
      <w:r>
        <w:rPr>
          <w:rFonts w:hint="eastAsia" w:hAnsi="宋体"/>
          <w:color w:val="auto"/>
          <w:sz w:val="28"/>
          <w:szCs w:val="28"/>
          <w:highlight w:val="none"/>
          <w:u w:val="single"/>
        </w:rPr>
        <w:t xml:space="preserve">                     </w:t>
      </w:r>
    </w:p>
    <w:p w14:paraId="77E765A7">
      <w:pPr>
        <w:spacing w:line="500" w:lineRule="exact"/>
        <w:rPr>
          <w:rFonts w:hAnsi="宋体"/>
          <w:color w:val="auto"/>
          <w:sz w:val="28"/>
          <w:szCs w:val="28"/>
          <w:highlight w:val="none"/>
        </w:rPr>
      </w:pPr>
    </w:p>
    <w:p w14:paraId="30EA4DAA">
      <w:pPr>
        <w:spacing w:line="500" w:lineRule="exact"/>
        <w:jc w:val="center"/>
        <w:rPr>
          <w:rFonts w:hAnsi="宋体"/>
          <w:color w:val="auto"/>
          <w:sz w:val="28"/>
          <w:szCs w:val="28"/>
          <w:highlight w:val="none"/>
        </w:rPr>
      </w:pPr>
      <w:r>
        <w:rPr>
          <w:rFonts w:hint="eastAsia" w:hAnsi="宋体"/>
          <w:color w:val="auto"/>
          <w:sz w:val="28"/>
          <w:szCs w:val="28"/>
          <w:highlight w:val="none"/>
        </w:rPr>
        <w:t>年</w:t>
      </w:r>
      <w:r>
        <w:rPr>
          <w:rFonts w:hint="eastAsia" w:hAnsi="宋体" w:cs="宋体"/>
          <w:color w:val="auto"/>
          <w:sz w:val="28"/>
          <w:szCs w:val="28"/>
          <w:highlight w:val="none"/>
        </w:rPr>
        <w:t xml:space="preserve">    </w:t>
      </w:r>
      <w:r>
        <w:rPr>
          <w:rFonts w:hint="eastAsia" w:hAnsi="宋体"/>
          <w:color w:val="auto"/>
          <w:sz w:val="28"/>
          <w:szCs w:val="28"/>
          <w:highlight w:val="none"/>
        </w:rPr>
        <w:t>月    日</w:t>
      </w:r>
    </w:p>
    <w:p w14:paraId="753A0B73">
      <w:pPr>
        <w:ind w:right="384" w:rightChars="183"/>
        <w:jc w:val="left"/>
        <w:rPr>
          <w:rFonts w:hAnsi="宋体"/>
          <w:bCs/>
          <w:color w:val="auto"/>
          <w:szCs w:val="21"/>
          <w:highlight w:val="none"/>
        </w:rPr>
        <w:sectPr>
          <w:pgSz w:w="11907" w:h="16840"/>
          <w:pgMar w:top="1440" w:right="1440" w:bottom="1440" w:left="1418" w:header="851" w:footer="851" w:gutter="0"/>
          <w:cols w:space="720" w:num="1"/>
          <w:docGrid w:linePitch="312" w:charSpace="0"/>
        </w:sectPr>
      </w:pPr>
    </w:p>
    <w:p w14:paraId="074B887A">
      <w:pPr>
        <w:spacing w:line="400" w:lineRule="exact"/>
        <w:ind w:left="-27" w:leftChars="-13" w:firstLine="317" w:firstLineChars="151"/>
        <w:rPr>
          <w:rFonts w:hAnsi="宋体"/>
          <w:color w:val="auto"/>
          <w:szCs w:val="21"/>
          <w:highlight w:val="none"/>
        </w:rPr>
      </w:pPr>
    </w:p>
    <w:p w14:paraId="5B979893">
      <w:pPr>
        <w:spacing w:line="400" w:lineRule="exact"/>
        <w:ind w:firstLine="317" w:firstLineChars="151"/>
        <w:jc w:val="center"/>
        <w:rPr>
          <w:rFonts w:hAnsi="宋体"/>
          <w:color w:val="auto"/>
          <w:szCs w:val="21"/>
          <w:highlight w:val="none"/>
        </w:rPr>
      </w:pPr>
      <w:r>
        <w:rPr>
          <w:rFonts w:hint="eastAsia" w:hAnsi="宋体"/>
          <w:color w:val="auto"/>
          <w:szCs w:val="21"/>
          <w:highlight w:val="none"/>
        </w:rPr>
        <w:t>目录（页码自行编制）</w:t>
      </w:r>
    </w:p>
    <w:p w14:paraId="0CB949E1">
      <w:pPr>
        <w:spacing w:line="400" w:lineRule="exact"/>
        <w:ind w:left="-27" w:leftChars="-13" w:firstLine="317" w:firstLineChars="151"/>
        <w:rPr>
          <w:rFonts w:hAnsi="宋体"/>
          <w:color w:val="auto"/>
          <w:szCs w:val="21"/>
          <w:highlight w:val="none"/>
        </w:rPr>
      </w:pPr>
    </w:p>
    <w:p w14:paraId="37966E0C">
      <w:pPr>
        <w:autoSpaceDE w:val="0"/>
        <w:autoSpaceDN w:val="0"/>
        <w:adjustRightInd w:val="0"/>
        <w:spacing w:line="400" w:lineRule="exact"/>
        <w:ind w:firstLine="420" w:firstLineChars="200"/>
        <w:jc w:val="left"/>
        <w:rPr>
          <w:rFonts w:hAnsi="宋体"/>
          <w:color w:val="auto"/>
          <w:szCs w:val="21"/>
          <w:highlight w:val="none"/>
        </w:rPr>
      </w:pPr>
      <w:r>
        <w:rPr>
          <w:rFonts w:hint="eastAsia" w:hAnsi="宋体"/>
          <w:color w:val="auto"/>
          <w:szCs w:val="21"/>
          <w:highlight w:val="none"/>
        </w:rPr>
        <w:t>1、无串通磋商行为的承诺函。</w:t>
      </w:r>
      <w:r>
        <w:rPr>
          <w:rFonts w:hint="eastAsia" w:hAnsi="宋体"/>
          <w:b/>
          <w:color w:val="auto"/>
          <w:szCs w:val="21"/>
          <w:highlight w:val="none"/>
        </w:rPr>
        <w:t>（</w:t>
      </w:r>
      <w:r>
        <w:rPr>
          <w:rFonts w:hint="eastAsia" w:ascii="Calibri" w:hAnsi="宋体"/>
          <w:b/>
          <w:color w:val="auto"/>
          <w:szCs w:val="21"/>
          <w:highlight w:val="none"/>
        </w:rPr>
        <w:t>必须提供，并加盖电子公章，否则磋商无效。</w:t>
      </w:r>
      <w:r>
        <w:rPr>
          <w:rFonts w:hint="eastAsia" w:hAnsi="宋体"/>
          <w:b/>
          <w:color w:val="auto"/>
          <w:szCs w:val="21"/>
          <w:highlight w:val="none"/>
        </w:rPr>
        <w:t>）</w:t>
      </w:r>
    </w:p>
    <w:p w14:paraId="72677597">
      <w:pPr>
        <w:spacing w:line="400" w:lineRule="exact"/>
        <w:ind w:left="-27" w:leftChars="-13" w:firstLine="420" w:firstLineChars="200"/>
        <w:rPr>
          <w:rFonts w:hAnsi="宋体"/>
          <w:b/>
          <w:color w:val="auto"/>
          <w:szCs w:val="21"/>
          <w:highlight w:val="none"/>
        </w:rPr>
      </w:pPr>
      <w:r>
        <w:rPr>
          <w:rFonts w:hint="eastAsia" w:hAnsi="宋体"/>
          <w:color w:val="auto"/>
          <w:szCs w:val="21"/>
          <w:highlight w:val="none"/>
        </w:rPr>
        <w:t>2、法定代表人（负责人）身份证明原件及身份证复印件（法定代表人（负责人）签署响应文件时提供）或者法定代表人（负责人）授权书原件（格式见第</w:t>
      </w:r>
      <w:r>
        <w:rPr>
          <w:rFonts w:hint="eastAsia" w:asciiTheme="minorEastAsia" w:hAnsiTheme="minorEastAsia" w:eastAsiaTheme="minorEastAsia"/>
          <w:color w:val="auto"/>
          <w:szCs w:val="21"/>
          <w:highlight w:val="none"/>
        </w:rPr>
        <w:t>七</w:t>
      </w:r>
      <w:r>
        <w:rPr>
          <w:rFonts w:hint="eastAsia" w:hAnsi="宋体"/>
          <w:color w:val="auto"/>
          <w:szCs w:val="21"/>
          <w:highlight w:val="none"/>
        </w:rPr>
        <w:t>章）和委托代理人身份证复印件及法定代表人（负责人）身份证复印件（委托代理人签署响应文件时提供）。</w:t>
      </w:r>
      <w:r>
        <w:rPr>
          <w:rFonts w:hint="eastAsia" w:hAnsi="宋体"/>
          <w:b/>
          <w:color w:val="auto"/>
          <w:szCs w:val="21"/>
          <w:highlight w:val="none"/>
        </w:rPr>
        <w:t>（</w:t>
      </w:r>
      <w:r>
        <w:rPr>
          <w:rFonts w:hint="eastAsia" w:ascii="Calibri" w:hAnsi="宋体"/>
          <w:b/>
          <w:color w:val="auto"/>
          <w:szCs w:val="21"/>
          <w:highlight w:val="none"/>
        </w:rPr>
        <w:t>必须提供，并加盖电子公章，否则磋商无效。</w:t>
      </w:r>
      <w:r>
        <w:rPr>
          <w:rFonts w:hint="eastAsia" w:hAnsi="宋体"/>
          <w:b/>
          <w:color w:val="auto"/>
          <w:szCs w:val="21"/>
          <w:highlight w:val="none"/>
        </w:rPr>
        <w:t>）</w:t>
      </w:r>
    </w:p>
    <w:p w14:paraId="723C9222">
      <w:pPr>
        <w:spacing w:line="400" w:lineRule="exact"/>
        <w:ind w:left="-27" w:leftChars="-13" w:firstLine="420" w:firstLineChars="200"/>
        <w:rPr>
          <w:rFonts w:hAnsi="宋体" w:cs="宋体"/>
          <w:color w:val="auto"/>
          <w:highlight w:val="none"/>
        </w:rPr>
      </w:pPr>
      <w:r>
        <w:rPr>
          <w:rFonts w:hint="eastAsia" w:hAnsi="宋体" w:cs="宋体"/>
          <w:color w:val="auto"/>
          <w:highlight w:val="none"/>
        </w:rPr>
        <w:t>3、农民工工资保证金的交纳与使用承诺书（格式见第七章）；</w:t>
      </w:r>
      <w:r>
        <w:rPr>
          <w:rFonts w:hint="eastAsia" w:hAnsi="宋体" w:cs="宋体"/>
          <w:b/>
          <w:color w:val="auto"/>
          <w:highlight w:val="none"/>
        </w:rPr>
        <w:t>（必须提供，</w:t>
      </w:r>
      <w:r>
        <w:rPr>
          <w:rFonts w:hint="eastAsia" w:ascii="Calibri" w:hAnsi="宋体"/>
          <w:b/>
          <w:color w:val="auto"/>
          <w:szCs w:val="21"/>
          <w:highlight w:val="none"/>
        </w:rPr>
        <w:t>并加盖电子公章，</w:t>
      </w:r>
      <w:r>
        <w:rPr>
          <w:rFonts w:hint="eastAsia" w:hAnsi="宋体" w:cs="宋体"/>
          <w:b/>
          <w:color w:val="auto"/>
          <w:highlight w:val="none"/>
        </w:rPr>
        <w:t>否则磋商无效。）</w:t>
      </w:r>
    </w:p>
    <w:p w14:paraId="4A0F4B47">
      <w:pPr>
        <w:spacing w:line="400" w:lineRule="exact"/>
        <w:ind w:left="-27" w:leftChars="-13" w:firstLine="420" w:firstLineChars="200"/>
        <w:rPr>
          <w:rFonts w:hAnsi="宋体" w:cs="宋体"/>
          <w:color w:val="auto"/>
          <w:highlight w:val="none"/>
        </w:rPr>
      </w:pPr>
      <w:r>
        <w:rPr>
          <w:rFonts w:hint="eastAsia" w:hAnsi="宋体" w:cs="宋体"/>
          <w:color w:val="auto"/>
          <w:highlight w:val="none"/>
        </w:rPr>
        <w:t>4、</w:t>
      </w:r>
      <w:r>
        <w:rPr>
          <w:rFonts w:hint="eastAsia" w:hAnsi="宋体" w:cs="宋体"/>
          <w:color w:val="auto"/>
          <w:szCs w:val="21"/>
          <w:highlight w:val="none"/>
        </w:rPr>
        <w:t>安全防护、文明施工措施方案及费用专用的承诺书（按桂建质[2015]16号文执行）</w:t>
      </w:r>
      <w:r>
        <w:rPr>
          <w:rFonts w:hint="eastAsia" w:hAnsi="宋体" w:cs="宋体"/>
          <w:color w:val="auto"/>
          <w:highlight w:val="none"/>
        </w:rPr>
        <w:t>（格式见第七章）；</w:t>
      </w:r>
      <w:r>
        <w:rPr>
          <w:rFonts w:hint="eastAsia" w:hAnsi="宋体" w:cs="宋体"/>
          <w:b/>
          <w:color w:val="auto"/>
          <w:highlight w:val="none"/>
        </w:rPr>
        <w:t>（必须提供，</w:t>
      </w:r>
      <w:r>
        <w:rPr>
          <w:rFonts w:hint="eastAsia" w:ascii="Calibri" w:hAnsi="宋体"/>
          <w:b/>
          <w:color w:val="auto"/>
          <w:szCs w:val="21"/>
          <w:highlight w:val="none"/>
        </w:rPr>
        <w:t>并加盖电子公章，</w:t>
      </w:r>
      <w:r>
        <w:rPr>
          <w:rFonts w:hint="eastAsia" w:hAnsi="宋体" w:cs="宋体"/>
          <w:b/>
          <w:color w:val="auto"/>
          <w:highlight w:val="none"/>
        </w:rPr>
        <w:t>否则磋商无效）</w:t>
      </w:r>
    </w:p>
    <w:p w14:paraId="72894544">
      <w:pPr>
        <w:spacing w:line="400" w:lineRule="exact"/>
        <w:ind w:left="-27" w:leftChars="-13" w:firstLine="420" w:firstLineChars="200"/>
        <w:rPr>
          <w:rFonts w:hAnsi="宋体" w:cs="宋体"/>
          <w:color w:val="auto"/>
          <w:highlight w:val="none"/>
        </w:rPr>
      </w:pPr>
      <w:r>
        <w:rPr>
          <w:rFonts w:hint="eastAsia" w:hAnsi="宋体" w:cs="宋体"/>
          <w:color w:val="auto"/>
          <w:highlight w:val="none"/>
        </w:rPr>
        <w:t>5、项目经理简历表（格式见第七章）；</w:t>
      </w:r>
      <w:r>
        <w:rPr>
          <w:rFonts w:hint="eastAsia" w:hAnsi="宋体" w:cs="宋体"/>
          <w:b/>
          <w:color w:val="auto"/>
          <w:highlight w:val="none"/>
        </w:rPr>
        <w:t>（必须提供，</w:t>
      </w:r>
      <w:r>
        <w:rPr>
          <w:rFonts w:hint="eastAsia" w:ascii="Calibri" w:hAnsi="宋体"/>
          <w:b/>
          <w:color w:val="auto"/>
          <w:szCs w:val="21"/>
          <w:highlight w:val="none"/>
        </w:rPr>
        <w:t>并加盖电子公章，</w:t>
      </w:r>
      <w:r>
        <w:rPr>
          <w:rFonts w:hint="eastAsia" w:hAnsi="宋体" w:cs="宋体"/>
          <w:b/>
          <w:color w:val="auto"/>
          <w:highlight w:val="none"/>
        </w:rPr>
        <w:t>否则磋商无效）</w:t>
      </w:r>
    </w:p>
    <w:p w14:paraId="79805A62">
      <w:pPr>
        <w:spacing w:line="400" w:lineRule="exact"/>
        <w:ind w:left="-27" w:leftChars="-13" w:firstLine="420" w:firstLineChars="200"/>
        <w:rPr>
          <w:rFonts w:hAnsi="宋体" w:cs="宋体"/>
          <w:color w:val="auto"/>
          <w:highlight w:val="none"/>
        </w:rPr>
      </w:pPr>
      <w:r>
        <w:rPr>
          <w:rFonts w:hint="eastAsia" w:hAnsi="宋体" w:cs="宋体"/>
          <w:color w:val="auto"/>
          <w:highlight w:val="none"/>
        </w:rPr>
        <w:t>6、项目技术负责人简历表（格式见第七章）；</w:t>
      </w:r>
      <w:r>
        <w:rPr>
          <w:rFonts w:hint="eastAsia" w:hAnsi="宋体" w:cs="宋体"/>
          <w:b/>
          <w:color w:val="auto"/>
          <w:highlight w:val="none"/>
        </w:rPr>
        <w:t>（必须提供，</w:t>
      </w:r>
      <w:r>
        <w:rPr>
          <w:rFonts w:hint="eastAsia" w:ascii="Calibri" w:hAnsi="宋体"/>
          <w:b/>
          <w:color w:val="auto"/>
          <w:szCs w:val="21"/>
          <w:highlight w:val="none"/>
        </w:rPr>
        <w:t>并加盖电子公章，</w:t>
      </w:r>
      <w:r>
        <w:rPr>
          <w:rFonts w:hint="eastAsia" w:hAnsi="宋体" w:cs="宋体"/>
          <w:b/>
          <w:color w:val="auto"/>
          <w:highlight w:val="none"/>
        </w:rPr>
        <w:t>否则磋商无效）</w:t>
      </w:r>
    </w:p>
    <w:p w14:paraId="63801F04">
      <w:pPr>
        <w:spacing w:line="400" w:lineRule="exact"/>
        <w:ind w:firstLine="420" w:firstLineChars="200"/>
        <w:rPr>
          <w:rFonts w:hAnsi="宋体"/>
          <w:color w:val="auto"/>
          <w:szCs w:val="21"/>
          <w:highlight w:val="none"/>
        </w:rPr>
      </w:pPr>
      <w:r>
        <w:rPr>
          <w:rFonts w:hint="eastAsia" w:hAnsi="宋体"/>
          <w:color w:val="auto"/>
          <w:szCs w:val="21"/>
          <w:highlight w:val="none"/>
        </w:rPr>
        <w:t>7、主要施工管理人员表（格式见第七章）；</w:t>
      </w:r>
      <w:r>
        <w:rPr>
          <w:rFonts w:hint="eastAsia" w:hAnsi="宋体"/>
          <w:b/>
          <w:color w:val="auto"/>
          <w:szCs w:val="21"/>
          <w:highlight w:val="none"/>
        </w:rPr>
        <w:t>（必须提供，并加盖电子公章，否则磋商无效）</w:t>
      </w:r>
    </w:p>
    <w:p w14:paraId="564CC215">
      <w:pPr>
        <w:spacing w:line="400" w:lineRule="exact"/>
        <w:ind w:firstLine="420" w:firstLineChars="200"/>
        <w:rPr>
          <w:rFonts w:hAnsi="宋体"/>
          <w:color w:val="auto"/>
          <w:szCs w:val="21"/>
          <w:highlight w:val="none"/>
        </w:rPr>
      </w:pPr>
      <w:r>
        <w:rPr>
          <w:rFonts w:hint="eastAsia" w:hAnsi="宋体"/>
          <w:color w:val="auto"/>
          <w:szCs w:val="21"/>
          <w:highlight w:val="none"/>
        </w:rPr>
        <w:t>8、</w:t>
      </w:r>
      <w:r>
        <w:rPr>
          <w:rFonts w:hint="eastAsia" w:asciiTheme="minorEastAsia" w:hAnsiTheme="minorEastAsia" w:eastAsiaTheme="minorEastAsia"/>
          <w:color w:val="auto"/>
          <w:highlight w:val="none"/>
        </w:rPr>
        <w:t>施工组织设计；</w:t>
      </w:r>
      <w:r>
        <w:rPr>
          <w:rFonts w:hint="eastAsia" w:hAnsi="宋体"/>
          <w:color w:val="auto"/>
          <w:szCs w:val="21"/>
          <w:highlight w:val="none"/>
        </w:rPr>
        <w:t>（格式自拟，内容要求详见第三章评审方法中评分标准第2点）</w:t>
      </w:r>
    </w:p>
    <w:p w14:paraId="4F484B83">
      <w:pPr>
        <w:spacing w:line="400" w:lineRule="exact"/>
        <w:ind w:firstLine="420" w:firstLineChars="200"/>
        <w:rPr>
          <w:rFonts w:hAnsi="宋体"/>
          <w:color w:val="auto"/>
          <w:szCs w:val="21"/>
          <w:highlight w:val="none"/>
        </w:rPr>
      </w:pPr>
      <w:r>
        <w:rPr>
          <w:rFonts w:hint="eastAsia" w:hAnsi="宋体"/>
          <w:color w:val="auto"/>
          <w:szCs w:val="21"/>
          <w:highlight w:val="none"/>
        </w:rPr>
        <w:t>9、供应商认为需要提供的有关资料。</w:t>
      </w:r>
    </w:p>
    <w:p w14:paraId="3BC37418">
      <w:pPr>
        <w:spacing w:line="400" w:lineRule="exact"/>
        <w:ind w:firstLine="420" w:firstLineChars="200"/>
        <w:rPr>
          <w:rFonts w:hAnsi="宋体"/>
          <w:color w:val="auto"/>
          <w:szCs w:val="21"/>
          <w:highlight w:val="none"/>
        </w:rPr>
        <w:sectPr>
          <w:pgSz w:w="11907" w:h="16840"/>
          <w:pgMar w:top="1440" w:right="1440" w:bottom="1440" w:left="1418" w:header="851" w:footer="851" w:gutter="0"/>
          <w:cols w:space="720" w:num="1"/>
          <w:docGrid w:linePitch="312" w:charSpace="0"/>
        </w:sectPr>
      </w:pPr>
    </w:p>
    <w:p w14:paraId="2F1B7DDF">
      <w:pPr>
        <w:spacing w:line="400" w:lineRule="exact"/>
        <w:ind w:left="-27" w:leftChars="-13" w:firstLine="317" w:firstLineChars="151"/>
        <w:rPr>
          <w:rFonts w:hAnsi="宋体" w:cs="宋体"/>
          <w:color w:val="auto"/>
          <w:highlight w:val="none"/>
        </w:rPr>
      </w:pPr>
      <w:r>
        <w:rPr>
          <w:rFonts w:hint="eastAsia" w:hAnsi="宋体" w:cs="宋体"/>
          <w:color w:val="auto"/>
          <w:highlight w:val="none"/>
        </w:rPr>
        <w:t>1、无串通磋商行为的承诺函</w:t>
      </w:r>
    </w:p>
    <w:p w14:paraId="134CA990">
      <w:pPr>
        <w:spacing w:line="400" w:lineRule="exact"/>
        <w:ind w:left="-27" w:leftChars="-13" w:firstLine="333" w:firstLineChars="151"/>
        <w:jc w:val="center"/>
        <w:rPr>
          <w:rFonts w:hAnsi="宋体" w:cs="宋体"/>
          <w:b/>
          <w:color w:val="auto"/>
          <w:sz w:val="22"/>
          <w:highlight w:val="none"/>
        </w:rPr>
      </w:pPr>
      <w:r>
        <w:rPr>
          <w:rFonts w:hint="eastAsia" w:hAnsi="宋体" w:cs="宋体"/>
          <w:b/>
          <w:color w:val="auto"/>
          <w:sz w:val="22"/>
          <w:highlight w:val="none"/>
        </w:rPr>
        <w:t>无串通磋商行为的承诺函</w:t>
      </w:r>
    </w:p>
    <w:p w14:paraId="0C95EB91">
      <w:pPr>
        <w:spacing w:line="400" w:lineRule="exact"/>
        <w:ind w:left="-27" w:leftChars="-13" w:firstLine="420" w:firstLineChars="200"/>
        <w:rPr>
          <w:rFonts w:hAnsi="宋体" w:cs="宋体"/>
          <w:color w:val="auto"/>
          <w:highlight w:val="none"/>
        </w:rPr>
      </w:pPr>
    </w:p>
    <w:p w14:paraId="4954EF9E">
      <w:pPr>
        <w:spacing w:line="400" w:lineRule="exact"/>
        <w:ind w:left="-27" w:leftChars="-13" w:firstLine="420" w:firstLineChars="200"/>
        <w:rPr>
          <w:rFonts w:hAnsi="宋体" w:cs="宋体"/>
          <w:color w:val="auto"/>
          <w:highlight w:val="none"/>
        </w:rPr>
      </w:pPr>
      <w:r>
        <w:rPr>
          <w:rFonts w:hint="eastAsia" w:hAnsi="宋体" w:cs="宋体"/>
          <w:color w:val="auto"/>
          <w:highlight w:val="none"/>
        </w:rPr>
        <w:t>一、我方承诺无下列相互串通磋商的情形：</w:t>
      </w:r>
    </w:p>
    <w:p w14:paraId="1059351E">
      <w:pPr>
        <w:spacing w:line="400" w:lineRule="exact"/>
        <w:ind w:left="-27" w:leftChars="-13" w:firstLine="420" w:firstLineChars="200"/>
        <w:rPr>
          <w:rFonts w:hAnsi="宋体" w:cs="宋体"/>
          <w:color w:val="auto"/>
          <w:highlight w:val="none"/>
        </w:rPr>
      </w:pPr>
      <w:r>
        <w:rPr>
          <w:rFonts w:hint="eastAsia" w:hAnsi="宋体" w:cs="宋体"/>
          <w:color w:val="auto"/>
          <w:highlight w:val="none"/>
        </w:rPr>
        <w:t>1.不同供应商的响应文件由同一单位或者个人编制；</w:t>
      </w:r>
    </w:p>
    <w:p w14:paraId="748F56D7">
      <w:pPr>
        <w:spacing w:line="400" w:lineRule="exact"/>
        <w:ind w:left="-27" w:leftChars="-13" w:firstLine="420" w:firstLineChars="200"/>
        <w:rPr>
          <w:rFonts w:hAnsi="宋体" w:cs="宋体"/>
          <w:color w:val="auto"/>
          <w:highlight w:val="none"/>
        </w:rPr>
      </w:pPr>
      <w:r>
        <w:rPr>
          <w:rFonts w:hint="eastAsia" w:hAnsi="宋体" w:cs="宋体"/>
          <w:color w:val="auto"/>
          <w:highlight w:val="none"/>
        </w:rPr>
        <w:t>2.不同供应商委托同一单位或者个人办理磋商事宜；</w:t>
      </w:r>
    </w:p>
    <w:p w14:paraId="571F225B">
      <w:pPr>
        <w:spacing w:line="400" w:lineRule="exact"/>
        <w:ind w:left="-27" w:leftChars="-13" w:firstLine="420" w:firstLineChars="200"/>
        <w:rPr>
          <w:rFonts w:hAnsi="宋体" w:cs="宋体"/>
          <w:color w:val="auto"/>
          <w:highlight w:val="none"/>
        </w:rPr>
      </w:pPr>
      <w:r>
        <w:rPr>
          <w:rFonts w:hint="eastAsia" w:hAnsi="宋体" w:cs="宋体"/>
          <w:color w:val="auto"/>
          <w:highlight w:val="none"/>
        </w:rPr>
        <w:t>3.不同供应商的响应文件载明的项目管理员为同一个人；</w:t>
      </w:r>
    </w:p>
    <w:p w14:paraId="49A49DA3">
      <w:pPr>
        <w:spacing w:line="400" w:lineRule="exact"/>
        <w:ind w:left="-27" w:leftChars="-13" w:firstLine="420" w:firstLineChars="200"/>
        <w:rPr>
          <w:rFonts w:hAnsi="宋体" w:cs="宋体"/>
          <w:color w:val="auto"/>
          <w:highlight w:val="none"/>
        </w:rPr>
      </w:pPr>
      <w:r>
        <w:rPr>
          <w:rFonts w:hint="eastAsia" w:hAnsi="宋体" w:cs="宋体"/>
          <w:color w:val="auto"/>
          <w:highlight w:val="none"/>
        </w:rPr>
        <w:t>4.不同供应商的响应文件异常一致或者响应报价呈规律性差异；</w:t>
      </w:r>
    </w:p>
    <w:p w14:paraId="0BF202F0">
      <w:pPr>
        <w:spacing w:line="400" w:lineRule="exact"/>
        <w:ind w:left="-27" w:leftChars="-13" w:firstLine="420" w:firstLineChars="200"/>
        <w:rPr>
          <w:rFonts w:hAnsi="宋体" w:cs="宋体"/>
          <w:color w:val="auto"/>
          <w:highlight w:val="none"/>
        </w:rPr>
      </w:pPr>
      <w:r>
        <w:rPr>
          <w:rFonts w:hint="eastAsia" w:hAnsi="宋体" w:cs="宋体"/>
          <w:color w:val="auto"/>
          <w:highlight w:val="none"/>
        </w:rPr>
        <w:t>5.不同供应商的响应文件相互混装；</w:t>
      </w:r>
    </w:p>
    <w:p w14:paraId="329522AE">
      <w:pPr>
        <w:spacing w:line="400" w:lineRule="exact"/>
        <w:ind w:left="-27" w:leftChars="-13" w:firstLine="420" w:firstLineChars="200"/>
        <w:rPr>
          <w:rFonts w:hAnsi="宋体" w:cs="宋体"/>
          <w:color w:val="auto"/>
          <w:highlight w:val="none"/>
        </w:rPr>
      </w:pPr>
      <w:r>
        <w:rPr>
          <w:rFonts w:hint="eastAsia" w:hAnsi="宋体" w:cs="宋体"/>
          <w:color w:val="auto"/>
          <w:highlight w:val="none"/>
        </w:rPr>
        <w:t>6.不同供应商的磋商保证金从同一单位或者个人账户转出。</w:t>
      </w:r>
    </w:p>
    <w:p w14:paraId="1590289E">
      <w:pPr>
        <w:spacing w:line="400" w:lineRule="exact"/>
        <w:ind w:left="-27" w:leftChars="-13" w:firstLine="420" w:firstLineChars="200"/>
        <w:rPr>
          <w:rFonts w:hAnsi="宋体" w:cs="宋体"/>
          <w:color w:val="auto"/>
          <w:highlight w:val="none"/>
        </w:rPr>
      </w:pPr>
      <w:r>
        <w:rPr>
          <w:rFonts w:hint="eastAsia" w:hAnsi="宋体" w:cs="宋体"/>
          <w:color w:val="auto"/>
          <w:highlight w:val="none"/>
        </w:rPr>
        <w:t>二、我方承诺无下列恶意串通的情形：</w:t>
      </w:r>
    </w:p>
    <w:p w14:paraId="20F60894">
      <w:pPr>
        <w:spacing w:line="400" w:lineRule="exact"/>
        <w:ind w:left="-27" w:leftChars="-13" w:firstLine="420" w:firstLineChars="200"/>
        <w:rPr>
          <w:rFonts w:hAnsi="宋体" w:cs="宋体"/>
          <w:color w:val="auto"/>
          <w:highlight w:val="none"/>
        </w:rPr>
      </w:pPr>
      <w:r>
        <w:rPr>
          <w:rFonts w:hint="eastAsia" w:hAnsi="宋体" w:cs="宋体"/>
          <w:color w:val="auto"/>
          <w:highlight w:val="none"/>
        </w:rPr>
        <w:t>1.供应商直接或者间接从采购人或者采购代理机构处获得其他供应商的相关信息并修改其响应文件；</w:t>
      </w:r>
    </w:p>
    <w:p w14:paraId="48BC7666">
      <w:pPr>
        <w:spacing w:line="400" w:lineRule="exact"/>
        <w:ind w:left="-27" w:leftChars="-13" w:firstLine="420" w:firstLineChars="200"/>
        <w:rPr>
          <w:rFonts w:hAnsi="宋体" w:cs="宋体"/>
          <w:color w:val="auto"/>
          <w:highlight w:val="none"/>
        </w:rPr>
      </w:pPr>
      <w:r>
        <w:rPr>
          <w:rFonts w:hint="eastAsia" w:hAnsi="宋体" w:cs="宋体"/>
          <w:color w:val="auto"/>
          <w:highlight w:val="none"/>
        </w:rPr>
        <w:t>2.供应商按照采购人或者采购代理机构的授意撤换、修改响应文件；</w:t>
      </w:r>
    </w:p>
    <w:p w14:paraId="2EF951DD">
      <w:pPr>
        <w:spacing w:line="400" w:lineRule="exact"/>
        <w:ind w:left="-27" w:leftChars="-13" w:firstLine="420" w:firstLineChars="200"/>
        <w:rPr>
          <w:rFonts w:hAnsi="宋体" w:cs="宋体"/>
          <w:color w:val="auto"/>
          <w:highlight w:val="none"/>
        </w:rPr>
      </w:pPr>
      <w:r>
        <w:rPr>
          <w:rFonts w:hint="eastAsia" w:hAnsi="宋体" w:cs="宋体"/>
          <w:color w:val="auto"/>
          <w:highlight w:val="none"/>
        </w:rPr>
        <w:t>3.供应商之间协商报价、技术方案等响应文件的实质性内容；</w:t>
      </w:r>
    </w:p>
    <w:p w14:paraId="28C88166">
      <w:pPr>
        <w:spacing w:line="400" w:lineRule="exact"/>
        <w:ind w:left="-27" w:leftChars="-13" w:firstLine="420" w:firstLineChars="200"/>
        <w:rPr>
          <w:rFonts w:hAnsi="宋体" w:cs="宋体"/>
          <w:color w:val="auto"/>
          <w:highlight w:val="none"/>
        </w:rPr>
      </w:pPr>
      <w:r>
        <w:rPr>
          <w:rFonts w:hint="eastAsia" w:hAnsi="宋体" w:cs="宋体"/>
          <w:color w:val="auto"/>
          <w:highlight w:val="none"/>
        </w:rPr>
        <w:t>4.属于同一集团、协会、商会等组织成员的供应商按照该组织要求协同参加政府采购活动；</w:t>
      </w:r>
    </w:p>
    <w:p w14:paraId="4BD49368">
      <w:pPr>
        <w:spacing w:line="400" w:lineRule="exact"/>
        <w:ind w:left="-27" w:leftChars="-13" w:firstLine="420" w:firstLineChars="200"/>
        <w:rPr>
          <w:rFonts w:hAnsi="宋体" w:cs="宋体"/>
          <w:color w:val="auto"/>
          <w:highlight w:val="none"/>
        </w:rPr>
      </w:pPr>
      <w:r>
        <w:rPr>
          <w:rFonts w:hint="eastAsia" w:hAnsi="宋体" w:cs="宋体"/>
          <w:color w:val="auto"/>
          <w:highlight w:val="none"/>
        </w:rPr>
        <w:t>5.供应商之间事先约定一致抬高或者压低响应报价，或者在竞争性磋商项目中事先约定轮流以高价位或者低价位成交，或者事先约定由某一特定供应商成交，然后再参加磋商；</w:t>
      </w:r>
    </w:p>
    <w:p w14:paraId="6BBC359B">
      <w:pPr>
        <w:spacing w:line="400" w:lineRule="exact"/>
        <w:ind w:left="-27" w:leftChars="-13" w:firstLine="420" w:firstLineChars="200"/>
        <w:rPr>
          <w:rFonts w:hAnsi="宋体" w:cs="宋体"/>
          <w:color w:val="auto"/>
          <w:highlight w:val="none"/>
        </w:rPr>
      </w:pPr>
      <w:r>
        <w:rPr>
          <w:rFonts w:hint="eastAsia" w:hAnsi="宋体" w:cs="宋体"/>
          <w:color w:val="auto"/>
          <w:highlight w:val="none"/>
        </w:rPr>
        <w:t>6.供应商之间商定部分供应商放弃参加政府采购活动或者放弃成交；</w:t>
      </w:r>
    </w:p>
    <w:p w14:paraId="35263C7F">
      <w:pPr>
        <w:spacing w:line="400" w:lineRule="exact"/>
        <w:ind w:left="-27" w:leftChars="-13" w:firstLine="420" w:firstLineChars="200"/>
        <w:rPr>
          <w:rFonts w:hAnsi="宋体" w:cs="宋体"/>
          <w:color w:val="auto"/>
          <w:highlight w:val="none"/>
        </w:rPr>
      </w:pPr>
      <w:r>
        <w:rPr>
          <w:rFonts w:hint="eastAsia" w:hAnsi="宋体" w:cs="宋体"/>
          <w:color w:val="auto"/>
          <w:highlight w:val="none"/>
        </w:rPr>
        <w:t>7.供应商与采购人或者采购代理机构之间、供应商相互之间，为谋求特定供应商成交或者排斥其他供应商的其他串通行为。</w:t>
      </w:r>
    </w:p>
    <w:p w14:paraId="154293B5">
      <w:pPr>
        <w:spacing w:line="400" w:lineRule="exact"/>
        <w:ind w:left="-27" w:leftChars="-13" w:firstLine="420" w:firstLineChars="200"/>
        <w:rPr>
          <w:rFonts w:hAnsi="宋体" w:cs="宋体"/>
          <w:color w:val="auto"/>
          <w:highlight w:val="none"/>
        </w:rPr>
      </w:pPr>
      <w:r>
        <w:rPr>
          <w:rFonts w:hint="eastAsia" w:hAnsi="宋体" w:cs="宋体"/>
          <w:color w:val="auto"/>
          <w:highlight w:val="none"/>
        </w:rPr>
        <w:t>以上情形一经核查属实，我方愿意承担一切后果，并不再寻求任何旨在减轻或者免除法律责任的辩解。</w:t>
      </w:r>
    </w:p>
    <w:p w14:paraId="4B884A8D">
      <w:pPr>
        <w:wordWrap w:val="0"/>
        <w:spacing w:line="400" w:lineRule="exact"/>
        <w:ind w:left="-27" w:leftChars="-13"/>
        <w:jc w:val="right"/>
        <w:rPr>
          <w:rFonts w:hAnsi="宋体" w:cs="宋体"/>
          <w:color w:val="auto"/>
          <w:highlight w:val="none"/>
        </w:rPr>
      </w:pPr>
      <w:r>
        <w:rPr>
          <w:rFonts w:hint="eastAsia" w:ascii="Times New Roman" w:hAnsi="宋体"/>
          <w:color w:val="auto"/>
          <w:szCs w:val="21"/>
          <w:highlight w:val="none"/>
        </w:rPr>
        <w:t>供应商名称（盖章）：</w:t>
      </w:r>
      <w:r>
        <w:rPr>
          <w:rFonts w:hint="eastAsia" w:ascii="Times New Roman" w:hAnsi="宋体"/>
          <w:color w:val="auto"/>
          <w:szCs w:val="21"/>
          <w:highlight w:val="none"/>
          <w:u w:val="single"/>
        </w:rPr>
        <w:t xml:space="preserve">               </w:t>
      </w:r>
    </w:p>
    <w:p w14:paraId="29920429">
      <w:pPr>
        <w:spacing w:line="400" w:lineRule="exact"/>
        <w:ind w:left="-27" w:leftChars="-13" w:firstLine="5838" w:firstLineChars="2780"/>
        <w:rPr>
          <w:rFonts w:hAnsi="宋体" w:cs="宋体"/>
          <w:color w:val="auto"/>
          <w:highlight w:val="none"/>
        </w:rPr>
      </w:pPr>
      <w:r>
        <w:rPr>
          <w:rFonts w:hint="eastAsia" w:hAnsi="宋体" w:cs="宋体"/>
          <w:color w:val="auto"/>
          <w:highlight w:val="none"/>
        </w:rPr>
        <w:t>日期：    年    月   日</w:t>
      </w:r>
    </w:p>
    <w:p w14:paraId="44822D44">
      <w:pPr>
        <w:spacing w:after="120"/>
        <w:ind w:firstLine="210" w:firstLineChars="100"/>
        <w:rPr>
          <w:rFonts w:ascii="Calibri" w:hAnsi="Calibri"/>
          <w:color w:val="auto"/>
          <w:szCs w:val="24"/>
          <w:highlight w:val="none"/>
        </w:rPr>
        <w:sectPr>
          <w:pgSz w:w="11907" w:h="16840"/>
          <w:pgMar w:top="1440" w:right="1440" w:bottom="1440" w:left="1418" w:header="851" w:footer="851" w:gutter="0"/>
          <w:cols w:space="720" w:num="1"/>
          <w:docGrid w:linePitch="312" w:charSpace="0"/>
        </w:sectPr>
      </w:pPr>
    </w:p>
    <w:p w14:paraId="5DED5751">
      <w:pPr>
        <w:spacing w:line="400" w:lineRule="exact"/>
        <w:ind w:left="-27" w:leftChars="-13" w:firstLine="317" w:firstLineChars="151"/>
        <w:rPr>
          <w:rFonts w:hAnsi="宋体" w:cs="宋体"/>
          <w:color w:val="auto"/>
          <w:highlight w:val="none"/>
        </w:rPr>
      </w:pPr>
      <w:r>
        <w:rPr>
          <w:rFonts w:hint="eastAsia" w:hAnsi="宋体"/>
          <w:color w:val="auto"/>
          <w:szCs w:val="21"/>
          <w:highlight w:val="none"/>
        </w:rPr>
        <w:t>2、法定代表人（负责人）身份证明原件及身份证复印件（法定代表人（负责人）签署响应文件时提供）或者法定代表人（负责人）授权书原件（格式见第七章）和委托代理人身份证复印件及法定代表人（负责人）身份证复印件（委托代理人签署响应文件时提供）。</w:t>
      </w:r>
    </w:p>
    <w:p w14:paraId="4F95BE1F">
      <w:pPr>
        <w:ind w:right="384" w:rightChars="183"/>
        <w:jc w:val="center"/>
        <w:rPr>
          <w:rFonts w:hAnsi="宋体"/>
          <w:b/>
          <w:bCs/>
          <w:color w:val="auto"/>
          <w:sz w:val="28"/>
          <w:highlight w:val="none"/>
        </w:rPr>
      </w:pPr>
    </w:p>
    <w:p w14:paraId="1D0AF0D3">
      <w:pPr>
        <w:spacing w:line="0" w:lineRule="atLeast"/>
        <w:rPr>
          <w:rFonts w:ascii="Times New Roman" w:hAnsi="Times New Roman"/>
          <w:color w:val="auto"/>
          <w:sz w:val="30"/>
          <w:highlight w:val="none"/>
        </w:rPr>
      </w:pPr>
    </w:p>
    <w:p w14:paraId="1FD3C437">
      <w:pPr>
        <w:jc w:val="center"/>
        <w:rPr>
          <w:rFonts w:hAnsi="宋体"/>
          <w:b/>
          <w:color w:val="auto"/>
          <w:sz w:val="28"/>
          <w:szCs w:val="28"/>
          <w:highlight w:val="none"/>
        </w:rPr>
      </w:pPr>
      <w:r>
        <w:rPr>
          <w:rFonts w:hint="eastAsia" w:hAnsi="宋体"/>
          <w:b/>
          <w:color w:val="auto"/>
          <w:sz w:val="28"/>
          <w:szCs w:val="28"/>
          <w:highlight w:val="none"/>
        </w:rPr>
        <w:t>法定代表人（负责人）身份证明</w:t>
      </w:r>
    </w:p>
    <w:p w14:paraId="0E503830">
      <w:pPr>
        <w:autoSpaceDE w:val="0"/>
        <w:autoSpaceDN w:val="0"/>
        <w:adjustRightInd w:val="0"/>
        <w:spacing w:line="480" w:lineRule="exact"/>
        <w:rPr>
          <w:rFonts w:hAnsi="宋体"/>
          <w:color w:val="auto"/>
          <w:kern w:val="0"/>
          <w:szCs w:val="21"/>
          <w:highlight w:val="none"/>
        </w:rPr>
      </w:pPr>
    </w:p>
    <w:p w14:paraId="3CE9A51C">
      <w:pPr>
        <w:wordWrap w:val="0"/>
        <w:autoSpaceDE w:val="0"/>
        <w:autoSpaceDN w:val="0"/>
        <w:adjustRightInd w:val="0"/>
        <w:ind w:firstLine="1365" w:firstLineChars="650"/>
        <w:rPr>
          <w:rFonts w:hAnsi="宋体"/>
          <w:bCs/>
          <w:color w:val="auto"/>
          <w:kern w:val="0"/>
          <w:szCs w:val="21"/>
          <w:highlight w:val="none"/>
          <w:u w:val="single"/>
        </w:rPr>
      </w:pPr>
      <w:r>
        <w:rPr>
          <w:rFonts w:hint="eastAsia" w:hAnsi="宋体"/>
          <w:bCs/>
          <w:color w:val="auto"/>
          <w:kern w:val="0"/>
          <w:szCs w:val="21"/>
          <w:highlight w:val="none"/>
        </w:rPr>
        <w:t>供应商名称</w:t>
      </w:r>
      <w:r>
        <w:rPr>
          <w:rFonts w:hAnsi="宋体"/>
          <w:bCs/>
          <w:color w:val="auto"/>
          <w:kern w:val="0"/>
          <w:szCs w:val="21"/>
          <w:highlight w:val="none"/>
        </w:rPr>
        <w:t>：</w:t>
      </w:r>
      <w:r>
        <w:rPr>
          <w:rFonts w:hAnsi="宋体"/>
          <w:bCs/>
          <w:color w:val="auto"/>
          <w:kern w:val="0"/>
          <w:szCs w:val="21"/>
          <w:highlight w:val="none"/>
          <w:u w:val="single"/>
        </w:rPr>
        <w:t xml:space="preserve">                                             </w:t>
      </w:r>
    </w:p>
    <w:p w14:paraId="6ED9EF80">
      <w:pPr>
        <w:autoSpaceDE w:val="0"/>
        <w:autoSpaceDN w:val="0"/>
        <w:adjustRightInd w:val="0"/>
        <w:ind w:firstLine="1365" w:firstLineChars="650"/>
        <w:rPr>
          <w:rFonts w:hAnsi="宋体"/>
          <w:bCs/>
          <w:color w:val="auto"/>
          <w:kern w:val="0"/>
          <w:szCs w:val="21"/>
          <w:highlight w:val="none"/>
        </w:rPr>
      </w:pPr>
    </w:p>
    <w:p w14:paraId="6E185DBC">
      <w:pPr>
        <w:wordWrap w:val="0"/>
        <w:autoSpaceDE w:val="0"/>
        <w:autoSpaceDN w:val="0"/>
        <w:adjustRightInd w:val="0"/>
        <w:ind w:firstLine="1365" w:firstLineChars="650"/>
        <w:rPr>
          <w:rFonts w:hAnsi="宋体"/>
          <w:bCs/>
          <w:color w:val="auto"/>
          <w:kern w:val="0"/>
          <w:szCs w:val="21"/>
          <w:highlight w:val="none"/>
          <w:u w:val="single"/>
        </w:rPr>
      </w:pPr>
      <w:r>
        <w:rPr>
          <w:rFonts w:hAnsi="宋体"/>
          <w:bCs/>
          <w:color w:val="auto"/>
          <w:kern w:val="0"/>
          <w:szCs w:val="21"/>
          <w:highlight w:val="none"/>
        </w:rPr>
        <w:t>单位性质：</w:t>
      </w:r>
      <w:r>
        <w:rPr>
          <w:rFonts w:hAnsi="宋体"/>
          <w:bCs/>
          <w:color w:val="auto"/>
          <w:kern w:val="0"/>
          <w:szCs w:val="21"/>
          <w:highlight w:val="none"/>
          <w:u w:val="single"/>
        </w:rPr>
        <w:t xml:space="preserve">                                             </w:t>
      </w:r>
    </w:p>
    <w:p w14:paraId="097A6D68">
      <w:pPr>
        <w:autoSpaceDE w:val="0"/>
        <w:autoSpaceDN w:val="0"/>
        <w:adjustRightInd w:val="0"/>
        <w:ind w:firstLine="1365" w:firstLineChars="650"/>
        <w:rPr>
          <w:rFonts w:hAnsi="宋体"/>
          <w:bCs/>
          <w:color w:val="auto"/>
          <w:kern w:val="0"/>
          <w:szCs w:val="21"/>
          <w:highlight w:val="none"/>
        </w:rPr>
      </w:pPr>
    </w:p>
    <w:p w14:paraId="31DCA1F2">
      <w:pPr>
        <w:wordWrap w:val="0"/>
        <w:autoSpaceDE w:val="0"/>
        <w:autoSpaceDN w:val="0"/>
        <w:adjustRightInd w:val="0"/>
        <w:ind w:firstLine="1365" w:firstLineChars="650"/>
        <w:rPr>
          <w:rFonts w:hAnsi="宋体"/>
          <w:bCs/>
          <w:color w:val="auto"/>
          <w:kern w:val="0"/>
          <w:szCs w:val="21"/>
          <w:highlight w:val="none"/>
          <w:u w:val="single"/>
        </w:rPr>
      </w:pPr>
      <w:r>
        <w:rPr>
          <w:rFonts w:hAnsi="宋体"/>
          <w:bCs/>
          <w:color w:val="auto"/>
          <w:kern w:val="0"/>
          <w:szCs w:val="21"/>
          <w:highlight w:val="none"/>
        </w:rPr>
        <w:t>地 址：</w:t>
      </w:r>
      <w:r>
        <w:rPr>
          <w:rFonts w:hAnsi="宋体"/>
          <w:bCs/>
          <w:color w:val="auto"/>
          <w:kern w:val="0"/>
          <w:szCs w:val="21"/>
          <w:highlight w:val="none"/>
          <w:u w:val="single"/>
        </w:rPr>
        <w:t xml:space="preserve">                                                </w:t>
      </w:r>
    </w:p>
    <w:p w14:paraId="4E33A921">
      <w:pPr>
        <w:autoSpaceDE w:val="0"/>
        <w:autoSpaceDN w:val="0"/>
        <w:adjustRightInd w:val="0"/>
        <w:ind w:firstLine="1365" w:firstLineChars="650"/>
        <w:rPr>
          <w:rFonts w:hAnsi="宋体"/>
          <w:bCs/>
          <w:color w:val="auto"/>
          <w:kern w:val="0"/>
          <w:szCs w:val="21"/>
          <w:highlight w:val="none"/>
        </w:rPr>
      </w:pPr>
    </w:p>
    <w:p w14:paraId="47B4C471">
      <w:pPr>
        <w:autoSpaceDE w:val="0"/>
        <w:autoSpaceDN w:val="0"/>
        <w:adjustRightInd w:val="0"/>
        <w:ind w:firstLine="1365" w:firstLineChars="650"/>
        <w:rPr>
          <w:rFonts w:hAnsi="宋体"/>
          <w:bCs/>
          <w:color w:val="auto"/>
          <w:kern w:val="0"/>
          <w:szCs w:val="21"/>
          <w:highlight w:val="none"/>
        </w:rPr>
      </w:pPr>
      <w:r>
        <w:rPr>
          <w:rFonts w:hAnsi="宋体"/>
          <w:bCs/>
          <w:color w:val="auto"/>
          <w:kern w:val="0"/>
          <w:szCs w:val="21"/>
          <w:highlight w:val="none"/>
        </w:rPr>
        <w:t xml:space="preserve">成立时间： </w:t>
      </w:r>
      <w:r>
        <w:rPr>
          <w:rFonts w:hAnsi="宋体"/>
          <w:bCs/>
          <w:color w:val="auto"/>
          <w:kern w:val="0"/>
          <w:szCs w:val="21"/>
          <w:highlight w:val="none"/>
          <w:u w:val="single"/>
        </w:rPr>
        <w:t xml:space="preserve">       </w:t>
      </w:r>
      <w:r>
        <w:rPr>
          <w:rFonts w:hAnsi="宋体"/>
          <w:bCs/>
          <w:color w:val="auto"/>
          <w:kern w:val="0"/>
          <w:szCs w:val="21"/>
          <w:highlight w:val="none"/>
        </w:rPr>
        <w:t>年</w:t>
      </w:r>
      <w:r>
        <w:rPr>
          <w:rFonts w:hAnsi="宋体"/>
          <w:bCs/>
          <w:color w:val="auto"/>
          <w:kern w:val="0"/>
          <w:szCs w:val="21"/>
          <w:highlight w:val="none"/>
          <w:u w:val="single"/>
        </w:rPr>
        <w:t xml:space="preserve">       </w:t>
      </w:r>
      <w:r>
        <w:rPr>
          <w:rFonts w:hAnsi="宋体"/>
          <w:bCs/>
          <w:color w:val="auto"/>
          <w:kern w:val="0"/>
          <w:szCs w:val="21"/>
          <w:highlight w:val="none"/>
        </w:rPr>
        <w:t>月</w:t>
      </w:r>
      <w:r>
        <w:rPr>
          <w:rFonts w:hAnsi="宋体"/>
          <w:bCs/>
          <w:color w:val="auto"/>
          <w:kern w:val="0"/>
          <w:szCs w:val="21"/>
          <w:highlight w:val="none"/>
          <w:u w:val="single"/>
        </w:rPr>
        <w:t xml:space="preserve">       </w:t>
      </w:r>
      <w:r>
        <w:rPr>
          <w:rFonts w:hAnsi="宋体"/>
          <w:bCs/>
          <w:color w:val="auto"/>
          <w:kern w:val="0"/>
          <w:szCs w:val="21"/>
          <w:highlight w:val="none"/>
        </w:rPr>
        <w:t>日</w:t>
      </w:r>
    </w:p>
    <w:p w14:paraId="0B2E2F31">
      <w:pPr>
        <w:autoSpaceDE w:val="0"/>
        <w:autoSpaceDN w:val="0"/>
        <w:adjustRightInd w:val="0"/>
        <w:ind w:firstLine="1365" w:firstLineChars="650"/>
        <w:rPr>
          <w:rFonts w:hAnsi="宋体"/>
          <w:bCs/>
          <w:color w:val="auto"/>
          <w:kern w:val="0"/>
          <w:szCs w:val="21"/>
          <w:highlight w:val="none"/>
        </w:rPr>
      </w:pPr>
    </w:p>
    <w:p w14:paraId="50D95CD9">
      <w:pPr>
        <w:wordWrap w:val="0"/>
        <w:autoSpaceDE w:val="0"/>
        <w:autoSpaceDN w:val="0"/>
        <w:adjustRightInd w:val="0"/>
        <w:ind w:firstLine="1365" w:firstLineChars="650"/>
        <w:rPr>
          <w:rFonts w:hAnsi="宋体"/>
          <w:bCs/>
          <w:color w:val="auto"/>
          <w:kern w:val="0"/>
          <w:szCs w:val="21"/>
          <w:highlight w:val="none"/>
          <w:u w:val="single"/>
        </w:rPr>
      </w:pPr>
      <w:r>
        <w:rPr>
          <w:rFonts w:hAnsi="宋体"/>
          <w:bCs/>
          <w:color w:val="auto"/>
          <w:kern w:val="0"/>
          <w:szCs w:val="21"/>
          <w:highlight w:val="none"/>
        </w:rPr>
        <w:t>经营期限：</w:t>
      </w:r>
      <w:r>
        <w:rPr>
          <w:rFonts w:hAnsi="宋体"/>
          <w:bCs/>
          <w:color w:val="auto"/>
          <w:kern w:val="0"/>
          <w:szCs w:val="21"/>
          <w:highlight w:val="none"/>
          <w:u w:val="single"/>
        </w:rPr>
        <w:t xml:space="preserve">                                             </w:t>
      </w:r>
    </w:p>
    <w:p w14:paraId="03DA63C4">
      <w:pPr>
        <w:autoSpaceDE w:val="0"/>
        <w:autoSpaceDN w:val="0"/>
        <w:adjustRightInd w:val="0"/>
        <w:ind w:firstLine="1365" w:firstLineChars="650"/>
        <w:rPr>
          <w:rFonts w:hAnsi="宋体"/>
          <w:bCs/>
          <w:color w:val="auto"/>
          <w:kern w:val="0"/>
          <w:szCs w:val="21"/>
          <w:highlight w:val="none"/>
        </w:rPr>
      </w:pPr>
    </w:p>
    <w:p w14:paraId="19CF3636">
      <w:pPr>
        <w:wordWrap w:val="0"/>
        <w:autoSpaceDE w:val="0"/>
        <w:autoSpaceDN w:val="0"/>
        <w:adjustRightInd w:val="0"/>
        <w:ind w:firstLine="1365" w:firstLineChars="650"/>
        <w:rPr>
          <w:rFonts w:hAnsi="宋体"/>
          <w:bCs/>
          <w:color w:val="auto"/>
          <w:kern w:val="0"/>
          <w:szCs w:val="21"/>
          <w:highlight w:val="none"/>
          <w:u w:val="single"/>
        </w:rPr>
      </w:pPr>
      <w:r>
        <w:rPr>
          <w:rFonts w:hAnsi="宋体"/>
          <w:bCs/>
          <w:color w:val="auto"/>
          <w:kern w:val="0"/>
          <w:szCs w:val="21"/>
          <w:highlight w:val="none"/>
        </w:rPr>
        <w:t>姓 名：</w:t>
      </w:r>
      <w:r>
        <w:rPr>
          <w:rFonts w:hAnsi="宋体"/>
          <w:bCs/>
          <w:color w:val="auto"/>
          <w:kern w:val="0"/>
          <w:szCs w:val="21"/>
          <w:highlight w:val="none"/>
          <w:u w:val="single"/>
        </w:rPr>
        <w:t xml:space="preserve">       </w:t>
      </w:r>
      <w:r>
        <w:rPr>
          <w:rFonts w:hAnsi="宋体"/>
          <w:bCs/>
          <w:color w:val="auto"/>
          <w:kern w:val="0"/>
          <w:szCs w:val="21"/>
          <w:highlight w:val="none"/>
        </w:rPr>
        <w:t xml:space="preserve"> 性 别：</w:t>
      </w:r>
      <w:r>
        <w:rPr>
          <w:rFonts w:hAnsi="宋体"/>
          <w:bCs/>
          <w:color w:val="auto"/>
          <w:kern w:val="0"/>
          <w:szCs w:val="21"/>
          <w:highlight w:val="none"/>
          <w:u w:val="single"/>
        </w:rPr>
        <w:t xml:space="preserve">       </w:t>
      </w:r>
      <w:r>
        <w:rPr>
          <w:rFonts w:hAnsi="宋体"/>
          <w:bCs/>
          <w:color w:val="auto"/>
          <w:kern w:val="0"/>
          <w:szCs w:val="21"/>
          <w:highlight w:val="none"/>
        </w:rPr>
        <w:t>年 龄：</w:t>
      </w:r>
      <w:r>
        <w:rPr>
          <w:rFonts w:hAnsi="宋体"/>
          <w:bCs/>
          <w:color w:val="auto"/>
          <w:kern w:val="0"/>
          <w:szCs w:val="21"/>
          <w:highlight w:val="none"/>
          <w:u w:val="single"/>
        </w:rPr>
        <w:t xml:space="preserve">      </w:t>
      </w:r>
      <w:r>
        <w:rPr>
          <w:rFonts w:hAnsi="宋体"/>
          <w:bCs/>
          <w:color w:val="auto"/>
          <w:kern w:val="0"/>
          <w:szCs w:val="21"/>
          <w:highlight w:val="none"/>
        </w:rPr>
        <w:t>职 务：</w:t>
      </w:r>
      <w:r>
        <w:rPr>
          <w:rFonts w:hAnsi="宋体"/>
          <w:bCs/>
          <w:color w:val="auto"/>
          <w:kern w:val="0"/>
          <w:szCs w:val="21"/>
          <w:highlight w:val="none"/>
          <w:u w:val="single"/>
        </w:rPr>
        <w:t xml:space="preserve">      </w:t>
      </w:r>
    </w:p>
    <w:p w14:paraId="51DFD5D7">
      <w:pPr>
        <w:autoSpaceDE w:val="0"/>
        <w:autoSpaceDN w:val="0"/>
        <w:adjustRightInd w:val="0"/>
        <w:ind w:firstLine="1365" w:firstLineChars="650"/>
        <w:rPr>
          <w:rFonts w:hAnsi="宋体"/>
          <w:bCs/>
          <w:color w:val="auto"/>
          <w:kern w:val="0"/>
          <w:szCs w:val="21"/>
          <w:highlight w:val="none"/>
        </w:rPr>
      </w:pPr>
    </w:p>
    <w:p w14:paraId="549FA8E4">
      <w:pPr>
        <w:autoSpaceDE w:val="0"/>
        <w:autoSpaceDN w:val="0"/>
        <w:adjustRightInd w:val="0"/>
        <w:ind w:firstLine="1365" w:firstLineChars="650"/>
        <w:rPr>
          <w:rFonts w:hAnsi="宋体"/>
          <w:bCs/>
          <w:color w:val="auto"/>
          <w:kern w:val="0"/>
          <w:szCs w:val="21"/>
          <w:highlight w:val="none"/>
        </w:rPr>
      </w:pPr>
      <w:r>
        <w:rPr>
          <w:rFonts w:hAnsi="宋体"/>
          <w:bCs/>
          <w:color w:val="auto"/>
          <w:kern w:val="0"/>
          <w:szCs w:val="21"/>
          <w:highlight w:val="none"/>
        </w:rPr>
        <w:t xml:space="preserve">系 </w:t>
      </w:r>
      <w:r>
        <w:rPr>
          <w:rFonts w:hAnsi="宋体"/>
          <w:bCs/>
          <w:color w:val="auto"/>
          <w:kern w:val="0"/>
          <w:szCs w:val="21"/>
          <w:highlight w:val="none"/>
          <w:u w:val="single"/>
        </w:rPr>
        <w:t xml:space="preserve">                      </w:t>
      </w:r>
      <w:r>
        <w:rPr>
          <w:rFonts w:hAnsi="宋体"/>
          <w:bCs/>
          <w:color w:val="auto"/>
          <w:kern w:val="0"/>
          <w:szCs w:val="21"/>
          <w:highlight w:val="none"/>
        </w:rPr>
        <w:t>（</w:t>
      </w:r>
      <w:r>
        <w:rPr>
          <w:rFonts w:hint="eastAsia" w:hAnsi="宋体"/>
          <w:bCs/>
          <w:color w:val="auto"/>
          <w:kern w:val="0"/>
          <w:szCs w:val="21"/>
          <w:highlight w:val="none"/>
        </w:rPr>
        <w:t>供应商</w:t>
      </w:r>
      <w:r>
        <w:rPr>
          <w:rFonts w:hAnsi="宋体"/>
          <w:bCs/>
          <w:color w:val="auto"/>
          <w:kern w:val="0"/>
          <w:szCs w:val="21"/>
          <w:highlight w:val="none"/>
        </w:rPr>
        <w:t>名称）的法定代表人（负责人）。</w:t>
      </w:r>
    </w:p>
    <w:p w14:paraId="301E55B8">
      <w:pPr>
        <w:autoSpaceDE w:val="0"/>
        <w:autoSpaceDN w:val="0"/>
        <w:adjustRightInd w:val="0"/>
        <w:ind w:firstLine="1365" w:firstLineChars="650"/>
        <w:rPr>
          <w:rFonts w:hAnsi="宋体"/>
          <w:bCs/>
          <w:color w:val="auto"/>
          <w:kern w:val="0"/>
          <w:szCs w:val="21"/>
          <w:highlight w:val="none"/>
        </w:rPr>
      </w:pPr>
    </w:p>
    <w:p w14:paraId="230D247C">
      <w:pPr>
        <w:autoSpaceDE w:val="0"/>
        <w:autoSpaceDN w:val="0"/>
        <w:adjustRightInd w:val="0"/>
        <w:ind w:firstLine="1365" w:firstLineChars="650"/>
        <w:rPr>
          <w:rFonts w:hAnsi="宋体"/>
          <w:bCs/>
          <w:color w:val="auto"/>
          <w:kern w:val="0"/>
          <w:szCs w:val="21"/>
          <w:highlight w:val="none"/>
        </w:rPr>
      </w:pPr>
      <w:r>
        <w:rPr>
          <w:rFonts w:hAnsi="宋体"/>
          <w:bCs/>
          <w:color w:val="auto"/>
          <w:kern w:val="0"/>
          <w:szCs w:val="21"/>
          <w:highlight w:val="none"/>
        </w:rPr>
        <w:t>特此证明。</w:t>
      </w:r>
    </w:p>
    <w:p w14:paraId="5391137B">
      <w:pPr>
        <w:autoSpaceDE w:val="0"/>
        <w:autoSpaceDN w:val="0"/>
        <w:adjustRightInd w:val="0"/>
        <w:rPr>
          <w:rFonts w:hAnsi="宋体"/>
          <w:bCs/>
          <w:color w:val="auto"/>
          <w:kern w:val="0"/>
          <w:szCs w:val="21"/>
          <w:highlight w:val="none"/>
        </w:rPr>
      </w:pPr>
    </w:p>
    <w:p w14:paraId="4155CCEB">
      <w:pPr>
        <w:autoSpaceDE w:val="0"/>
        <w:autoSpaceDN w:val="0"/>
        <w:adjustRightInd w:val="0"/>
        <w:ind w:firstLine="1365" w:firstLineChars="650"/>
        <w:rPr>
          <w:rFonts w:hAnsi="宋体"/>
          <w:bCs/>
          <w:color w:val="auto"/>
          <w:kern w:val="0"/>
          <w:szCs w:val="21"/>
          <w:highlight w:val="none"/>
        </w:rPr>
      </w:pPr>
    </w:p>
    <w:p w14:paraId="635E4406">
      <w:pPr>
        <w:autoSpaceDE w:val="0"/>
        <w:autoSpaceDN w:val="0"/>
        <w:adjustRightInd w:val="0"/>
        <w:ind w:firstLine="3360" w:firstLineChars="1600"/>
        <w:rPr>
          <w:rFonts w:hAnsi="宋体"/>
          <w:bCs/>
          <w:color w:val="auto"/>
          <w:kern w:val="0"/>
          <w:szCs w:val="21"/>
          <w:highlight w:val="none"/>
        </w:rPr>
      </w:pPr>
      <w:r>
        <w:rPr>
          <w:rFonts w:hint="eastAsia" w:hAnsi="宋体"/>
          <w:bCs/>
          <w:color w:val="auto"/>
          <w:kern w:val="0"/>
          <w:szCs w:val="21"/>
          <w:highlight w:val="none"/>
        </w:rPr>
        <w:t>供应商</w:t>
      </w:r>
      <w:r>
        <w:rPr>
          <w:rFonts w:hAnsi="宋体"/>
          <w:bCs/>
          <w:color w:val="auto"/>
          <w:kern w:val="0"/>
          <w:szCs w:val="21"/>
          <w:highlight w:val="none"/>
        </w:rPr>
        <w:t>名称：</w:t>
      </w:r>
      <w:r>
        <w:rPr>
          <w:rFonts w:hAnsi="宋体"/>
          <w:bCs/>
          <w:color w:val="auto"/>
          <w:kern w:val="0"/>
          <w:szCs w:val="21"/>
          <w:highlight w:val="none"/>
          <w:u w:val="single"/>
        </w:rPr>
        <w:t xml:space="preserve">                       </w:t>
      </w:r>
      <w:r>
        <w:rPr>
          <w:rFonts w:hAnsi="宋体"/>
          <w:bCs/>
          <w:color w:val="auto"/>
          <w:kern w:val="0"/>
          <w:szCs w:val="21"/>
          <w:highlight w:val="none"/>
        </w:rPr>
        <w:t>（盖章）</w:t>
      </w:r>
    </w:p>
    <w:p w14:paraId="67FCC3EA">
      <w:pPr>
        <w:autoSpaceDE w:val="0"/>
        <w:autoSpaceDN w:val="0"/>
        <w:adjustRightInd w:val="0"/>
        <w:ind w:firstLine="1365" w:firstLineChars="650"/>
        <w:rPr>
          <w:rFonts w:hAnsi="宋体"/>
          <w:bCs/>
          <w:color w:val="auto"/>
          <w:kern w:val="0"/>
          <w:szCs w:val="21"/>
          <w:highlight w:val="none"/>
        </w:rPr>
      </w:pPr>
      <w:r>
        <w:rPr>
          <w:rFonts w:hAnsi="宋体"/>
          <w:bCs/>
          <w:color w:val="auto"/>
          <w:kern w:val="0"/>
          <w:szCs w:val="21"/>
          <w:highlight w:val="none"/>
        </w:rPr>
        <w:t xml:space="preserve">                        </w:t>
      </w:r>
    </w:p>
    <w:p w14:paraId="5EE3D98C">
      <w:pPr>
        <w:ind w:firstLine="3885" w:firstLineChars="1850"/>
        <w:rPr>
          <w:rFonts w:hAnsi="宋体"/>
          <w:color w:val="auto"/>
          <w:kern w:val="0"/>
          <w:szCs w:val="21"/>
          <w:highlight w:val="none"/>
        </w:rPr>
      </w:pPr>
      <w:r>
        <w:rPr>
          <w:rFonts w:hAnsi="宋体"/>
          <w:color w:val="auto"/>
          <w:kern w:val="0"/>
          <w:szCs w:val="21"/>
          <w:highlight w:val="none"/>
        </w:rPr>
        <w:t>日期：</w:t>
      </w:r>
      <w:r>
        <w:rPr>
          <w:rFonts w:hAnsi="宋体"/>
          <w:color w:val="auto"/>
          <w:kern w:val="0"/>
          <w:szCs w:val="21"/>
          <w:highlight w:val="none"/>
          <w:u w:val="single"/>
        </w:rPr>
        <w:t xml:space="preserve">  </w:t>
      </w:r>
      <w:r>
        <w:rPr>
          <w:rFonts w:hint="eastAsia" w:hAnsi="宋体"/>
          <w:color w:val="auto"/>
          <w:kern w:val="0"/>
          <w:szCs w:val="21"/>
          <w:highlight w:val="none"/>
          <w:u w:val="single"/>
        </w:rPr>
        <w:t xml:space="preserve">    </w:t>
      </w:r>
      <w:r>
        <w:rPr>
          <w:rFonts w:hAnsi="宋体"/>
          <w:color w:val="auto"/>
          <w:kern w:val="0"/>
          <w:szCs w:val="21"/>
          <w:highlight w:val="none"/>
          <w:u w:val="single"/>
        </w:rPr>
        <w:t xml:space="preserve">  </w:t>
      </w:r>
      <w:r>
        <w:rPr>
          <w:rFonts w:hAnsi="宋体"/>
          <w:color w:val="auto"/>
          <w:kern w:val="0"/>
          <w:szCs w:val="21"/>
          <w:highlight w:val="none"/>
        </w:rPr>
        <w:t>年</w:t>
      </w:r>
      <w:r>
        <w:rPr>
          <w:rFonts w:hAnsi="宋体"/>
          <w:color w:val="auto"/>
          <w:kern w:val="0"/>
          <w:szCs w:val="21"/>
          <w:highlight w:val="none"/>
          <w:u w:val="single"/>
        </w:rPr>
        <w:t xml:space="preserve">    </w:t>
      </w:r>
      <w:r>
        <w:rPr>
          <w:rFonts w:hAnsi="宋体"/>
          <w:color w:val="auto"/>
          <w:kern w:val="0"/>
          <w:szCs w:val="21"/>
          <w:highlight w:val="none"/>
        </w:rPr>
        <w:t>月</w:t>
      </w:r>
      <w:r>
        <w:rPr>
          <w:rFonts w:hAnsi="宋体"/>
          <w:color w:val="auto"/>
          <w:kern w:val="0"/>
          <w:szCs w:val="21"/>
          <w:highlight w:val="none"/>
          <w:u w:val="single"/>
        </w:rPr>
        <w:t xml:space="preserve">    </w:t>
      </w:r>
      <w:r>
        <w:rPr>
          <w:rFonts w:hAnsi="宋体"/>
          <w:color w:val="auto"/>
          <w:kern w:val="0"/>
          <w:szCs w:val="21"/>
          <w:highlight w:val="none"/>
        </w:rPr>
        <w:t>日</w:t>
      </w:r>
    </w:p>
    <w:p w14:paraId="299C9B65">
      <w:pPr>
        <w:spacing w:line="480" w:lineRule="exact"/>
        <w:ind w:firstLine="3885" w:firstLineChars="1850"/>
        <w:rPr>
          <w:rFonts w:hAnsi="宋体"/>
          <w:color w:val="auto"/>
          <w:kern w:val="0"/>
          <w:szCs w:val="21"/>
          <w:highlight w:val="none"/>
        </w:rPr>
      </w:pPr>
    </w:p>
    <w:tbl>
      <w:tblPr>
        <w:tblStyle w:val="57"/>
        <w:tblW w:w="0" w:type="auto"/>
        <w:tblInd w:w="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35"/>
      </w:tblGrid>
      <w:tr w14:paraId="60ABF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5" w:hRule="atLeast"/>
        </w:trPr>
        <w:tc>
          <w:tcPr>
            <w:tcW w:w="9435" w:type="dxa"/>
          </w:tcPr>
          <w:p w14:paraId="7AF83D79">
            <w:pPr>
              <w:spacing w:line="300" w:lineRule="auto"/>
              <w:ind w:left="86"/>
              <w:rPr>
                <w:rFonts w:hAnsi="宋体"/>
                <w:color w:val="auto"/>
                <w:szCs w:val="21"/>
                <w:highlight w:val="none"/>
              </w:rPr>
            </w:pPr>
            <w:r>
              <w:rPr>
                <w:rFonts w:hint="eastAsia" w:hAnsi="宋体"/>
                <w:color w:val="auto"/>
                <w:szCs w:val="21"/>
                <w:highlight w:val="none"/>
              </w:rPr>
              <w:t>粘贴法定代表人（负责人）身份证（复印件）</w:t>
            </w:r>
          </w:p>
          <w:p w14:paraId="26073ABF">
            <w:pPr>
              <w:spacing w:line="480" w:lineRule="exact"/>
              <w:ind w:left="86" w:firstLine="3885" w:firstLineChars="1850"/>
              <w:rPr>
                <w:rFonts w:hAnsi="宋体"/>
                <w:color w:val="auto"/>
                <w:kern w:val="0"/>
                <w:szCs w:val="21"/>
                <w:highlight w:val="none"/>
              </w:rPr>
            </w:pPr>
          </w:p>
          <w:p w14:paraId="21BE88AB">
            <w:pPr>
              <w:adjustRightInd w:val="0"/>
              <w:snapToGrid w:val="0"/>
              <w:spacing w:line="300" w:lineRule="auto"/>
              <w:jc w:val="center"/>
              <w:rPr>
                <w:rFonts w:hAnsi="宋体"/>
                <w:b/>
                <w:color w:val="auto"/>
                <w:sz w:val="28"/>
                <w:szCs w:val="28"/>
                <w:highlight w:val="none"/>
              </w:rPr>
            </w:pPr>
          </w:p>
          <w:p w14:paraId="64F3A23D">
            <w:pPr>
              <w:adjustRightInd w:val="0"/>
              <w:snapToGrid w:val="0"/>
              <w:spacing w:line="300" w:lineRule="auto"/>
              <w:jc w:val="center"/>
              <w:rPr>
                <w:rFonts w:hAnsi="宋体"/>
                <w:b/>
                <w:color w:val="auto"/>
                <w:sz w:val="28"/>
                <w:szCs w:val="28"/>
                <w:highlight w:val="none"/>
              </w:rPr>
            </w:pPr>
          </w:p>
          <w:p w14:paraId="7749F654">
            <w:pPr>
              <w:adjustRightInd w:val="0"/>
              <w:snapToGrid w:val="0"/>
              <w:spacing w:line="300" w:lineRule="auto"/>
              <w:jc w:val="center"/>
              <w:rPr>
                <w:rFonts w:hAnsi="宋体"/>
                <w:b/>
                <w:color w:val="auto"/>
                <w:sz w:val="28"/>
                <w:szCs w:val="28"/>
                <w:highlight w:val="none"/>
              </w:rPr>
            </w:pPr>
          </w:p>
          <w:p w14:paraId="1DEAADA3">
            <w:pPr>
              <w:adjustRightInd w:val="0"/>
              <w:snapToGrid w:val="0"/>
              <w:spacing w:line="300" w:lineRule="auto"/>
              <w:jc w:val="center"/>
              <w:rPr>
                <w:rFonts w:hAnsi="宋体"/>
                <w:b/>
                <w:color w:val="auto"/>
                <w:sz w:val="28"/>
                <w:szCs w:val="28"/>
                <w:highlight w:val="none"/>
              </w:rPr>
            </w:pPr>
          </w:p>
          <w:p w14:paraId="3A1F9594">
            <w:pPr>
              <w:adjustRightInd w:val="0"/>
              <w:snapToGrid w:val="0"/>
              <w:spacing w:line="300" w:lineRule="auto"/>
              <w:jc w:val="center"/>
              <w:rPr>
                <w:rFonts w:hAnsi="宋体"/>
                <w:color w:val="auto"/>
                <w:szCs w:val="21"/>
                <w:highlight w:val="none"/>
              </w:rPr>
            </w:pPr>
          </w:p>
        </w:tc>
      </w:tr>
    </w:tbl>
    <w:p w14:paraId="6366181A">
      <w:pPr>
        <w:wordWrap w:val="0"/>
        <w:spacing w:line="500" w:lineRule="exact"/>
        <w:jc w:val="right"/>
        <w:rPr>
          <w:rFonts w:hAnsi="宋体"/>
          <w:color w:val="auto"/>
          <w:szCs w:val="21"/>
          <w:highlight w:val="none"/>
        </w:rPr>
      </w:pPr>
    </w:p>
    <w:p w14:paraId="2250808A">
      <w:pPr>
        <w:adjustRightInd w:val="0"/>
        <w:snapToGrid w:val="0"/>
        <w:spacing w:line="300" w:lineRule="auto"/>
        <w:jc w:val="center"/>
        <w:rPr>
          <w:rFonts w:hAnsi="宋体"/>
          <w:b/>
          <w:color w:val="auto"/>
          <w:sz w:val="28"/>
          <w:szCs w:val="28"/>
          <w:highlight w:val="none"/>
        </w:rPr>
        <w:sectPr>
          <w:pgSz w:w="11907" w:h="16840"/>
          <w:pgMar w:top="1440" w:right="1440" w:bottom="1440" w:left="1418" w:header="851" w:footer="851" w:gutter="0"/>
          <w:cols w:space="720" w:num="1"/>
          <w:docGrid w:linePitch="312" w:charSpace="0"/>
        </w:sectPr>
      </w:pPr>
    </w:p>
    <w:p w14:paraId="22A9904C">
      <w:pPr>
        <w:adjustRightInd w:val="0"/>
        <w:snapToGrid w:val="0"/>
        <w:spacing w:line="300" w:lineRule="auto"/>
        <w:jc w:val="center"/>
        <w:rPr>
          <w:rFonts w:hAnsi="宋体"/>
          <w:b/>
          <w:color w:val="auto"/>
          <w:sz w:val="28"/>
          <w:szCs w:val="28"/>
          <w:highlight w:val="none"/>
        </w:rPr>
      </w:pPr>
      <w:r>
        <w:rPr>
          <w:rFonts w:hint="eastAsia" w:hAnsi="宋体"/>
          <w:b/>
          <w:color w:val="auto"/>
          <w:sz w:val="28"/>
          <w:szCs w:val="28"/>
          <w:highlight w:val="none"/>
        </w:rPr>
        <w:t>法定代表人（负责人）授权书</w:t>
      </w:r>
    </w:p>
    <w:p w14:paraId="230DB60A">
      <w:pPr>
        <w:adjustRightInd w:val="0"/>
        <w:snapToGrid w:val="0"/>
        <w:spacing w:line="520" w:lineRule="exact"/>
        <w:rPr>
          <w:rFonts w:hAnsi="宋体"/>
          <w:color w:val="auto"/>
          <w:sz w:val="28"/>
          <w:szCs w:val="28"/>
          <w:highlight w:val="none"/>
        </w:rPr>
      </w:pPr>
    </w:p>
    <w:p w14:paraId="533C3E1B">
      <w:pPr>
        <w:spacing w:line="520" w:lineRule="exact"/>
        <w:rPr>
          <w:rFonts w:hAnsi="宋体"/>
          <w:color w:val="auto"/>
          <w:szCs w:val="21"/>
          <w:highlight w:val="none"/>
        </w:rPr>
      </w:pPr>
      <w:r>
        <w:rPr>
          <w:rFonts w:hint="eastAsia" w:hAnsi="宋体"/>
          <w:color w:val="auto"/>
          <w:szCs w:val="21"/>
          <w:highlight w:val="none"/>
        </w:rPr>
        <w:t>致：</w:t>
      </w:r>
      <w:r>
        <w:rPr>
          <w:rFonts w:hint="eastAsia" w:hAnsi="宋体"/>
          <w:color w:val="auto"/>
          <w:szCs w:val="21"/>
          <w:highlight w:val="none"/>
          <w:u w:val="single"/>
        </w:rPr>
        <w:t xml:space="preserve"> </w:t>
      </w:r>
      <w:r>
        <w:rPr>
          <w:rFonts w:cs="Arial" w:asciiTheme="minorEastAsia" w:hAnsiTheme="minorEastAsia" w:eastAsiaTheme="minorEastAsia"/>
          <w:color w:val="auto"/>
          <w:szCs w:val="21"/>
          <w:highlight w:val="none"/>
          <w:u w:val="single"/>
        </w:rPr>
        <w:t>（采购人名称）</w:t>
      </w:r>
      <w:r>
        <w:rPr>
          <w:rFonts w:hint="eastAsia" w:hAnsi="宋体"/>
          <w:color w:val="auto"/>
          <w:szCs w:val="21"/>
          <w:highlight w:val="none"/>
          <w:u w:val="single"/>
        </w:rPr>
        <w:t xml:space="preserve">   </w:t>
      </w:r>
      <w:r>
        <w:rPr>
          <w:rFonts w:hint="eastAsia" w:hAnsi="宋体"/>
          <w:color w:val="auto"/>
          <w:szCs w:val="21"/>
          <w:highlight w:val="none"/>
        </w:rPr>
        <w:t>：</w:t>
      </w:r>
    </w:p>
    <w:p w14:paraId="3C4BDAD8">
      <w:pPr>
        <w:spacing w:line="520" w:lineRule="exact"/>
        <w:ind w:firstLine="420" w:firstLineChars="200"/>
        <w:rPr>
          <w:rFonts w:hAnsi="宋体"/>
          <w:color w:val="auto"/>
          <w:szCs w:val="21"/>
          <w:highlight w:val="none"/>
        </w:rPr>
      </w:pPr>
      <w:r>
        <w:rPr>
          <w:rFonts w:hint="eastAsia" w:hAnsi="宋体"/>
          <w:color w:val="auto"/>
          <w:szCs w:val="21"/>
          <w:highlight w:val="none"/>
        </w:rPr>
        <w:t>兹授权</w:t>
      </w:r>
      <w:r>
        <w:rPr>
          <w:rFonts w:hint="eastAsia" w:hAnsi="宋体"/>
          <w:color w:val="auto"/>
          <w:szCs w:val="21"/>
          <w:highlight w:val="none"/>
          <w:u w:val="single"/>
        </w:rPr>
        <w:t xml:space="preserve">      </w:t>
      </w:r>
      <w:r>
        <w:rPr>
          <w:rFonts w:hint="eastAsia" w:hAnsi="宋体"/>
          <w:color w:val="auto"/>
          <w:szCs w:val="21"/>
          <w:highlight w:val="none"/>
        </w:rPr>
        <w:t>同志为我公司参加贵单位组织的</w:t>
      </w:r>
      <w:r>
        <w:rPr>
          <w:rFonts w:hint="eastAsia" w:hAnsi="宋体"/>
          <w:color w:val="auto"/>
          <w:szCs w:val="21"/>
          <w:highlight w:val="none"/>
          <w:u w:val="single"/>
        </w:rPr>
        <w:t>（项目名称、编号：    ）</w:t>
      </w:r>
      <w:r>
        <w:rPr>
          <w:rFonts w:hint="eastAsia" w:hAnsi="宋体"/>
          <w:color w:val="auto"/>
          <w:szCs w:val="21"/>
          <w:highlight w:val="none"/>
        </w:rPr>
        <w:t>采购活动的磋商代表人，全权代表我公司处理在该项目活动中的一切事宜。代理期限从</w:t>
      </w:r>
      <w:r>
        <w:rPr>
          <w:rFonts w:hint="eastAsia" w:hAnsi="宋体"/>
          <w:color w:val="auto"/>
          <w:szCs w:val="21"/>
          <w:highlight w:val="none"/>
          <w:u w:val="single"/>
        </w:rPr>
        <w:t xml:space="preserve">     </w:t>
      </w:r>
      <w:r>
        <w:rPr>
          <w:rFonts w:hint="eastAsia" w:hAnsi="宋体"/>
          <w:color w:val="auto"/>
          <w:szCs w:val="21"/>
          <w:highlight w:val="none"/>
        </w:rPr>
        <w:t>年</w:t>
      </w:r>
      <w:r>
        <w:rPr>
          <w:rFonts w:hint="eastAsia" w:hAnsi="宋体"/>
          <w:color w:val="auto"/>
          <w:szCs w:val="21"/>
          <w:highlight w:val="none"/>
          <w:u w:val="single"/>
        </w:rPr>
        <w:t xml:space="preserve">   </w:t>
      </w:r>
      <w:r>
        <w:rPr>
          <w:rFonts w:hint="eastAsia" w:hAnsi="宋体"/>
          <w:color w:val="auto"/>
          <w:szCs w:val="21"/>
          <w:highlight w:val="none"/>
        </w:rPr>
        <w:t>月</w:t>
      </w:r>
      <w:r>
        <w:rPr>
          <w:rFonts w:hint="eastAsia" w:hAnsi="宋体"/>
          <w:color w:val="auto"/>
          <w:szCs w:val="21"/>
          <w:highlight w:val="none"/>
          <w:u w:val="single"/>
        </w:rPr>
        <w:t xml:space="preserve">   </w:t>
      </w:r>
      <w:r>
        <w:rPr>
          <w:rFonts w:hint="eastAsia" w:hAnsi="宋体"/>
          <w:color w:val="auto"/>
          <w:szCs w:val="21"/>
          <w:highlight w:val="none"/>
        </w:rPr>
        <w:t>日起至</w:t>
      </w:r>
      <w:r>
        <w:rPr>
          <w:rFonts w:hint="eastAsia" w:hAnsi="宋体"/>
          <w:color w:val="auto"/>
          <w:szCs w:val="21"/>
          <w:highlight w:val="none"/>
          <w:u w:val="single"/>
        </w:rPr>
        <w:t xml:space="preserve">     </w:t>
      </w:r>
      <w:r>
        <w:rPr>
          <w:rFonts w:hint="eastAsia" w:hAnsi="宋体"/>
          <w:color w:val="auto"/>
          <w:szCs w:val="21"/>
          <w:highlight w:val="none"/>
        </w:rPr>
        <w:t>年</w:t>
      </w:r>
      <w:r>
        <w:rPr>
          <w:rFonts w:hint="eastAsia" w:hAnsi="宋体"/>
          <w:color w:val="auto"/>
          <w:szCs w:val="21"/>
          <w:highlight w:val="none"/>
          <w:u w:val="single"/>
        </w:rPr>
        <w:t xml:space="preserve">   </w:t>
      </w:r>
      <w:r>
        <w:rPr>
          <w:rFonts w:hint="eastAsia" w:hAnsi="宋体"/>
          <w:color w:val="auto"/>
          <w:szCs w:val="21"/>
          <w:highlight w:val="none"/>
        </w:rPr>
        <w:t>月</w:t>
      </w:r>
      <w:r>
        <w:rPr>
          <w:rFonts w:hint="eastAsia" w:hAnsi="宋体"/>
          <w:color w:val="auto"/>
          <w:szCs w:val="21"/>
          <w:highlight w:val="none"/>
          <w:u w:val="single"/>
        </w:rPr>
        <w:t xml:space="preserve">   </w:t>
      </w:r>
      <w:r>
        <w:rPr>
          <w:rFonts w:hint="eastAsia" w:hAnsi="宋体"/>
          <w:color w:val="auto"/>
          <w:szCs w:val="21"/>
          <w:highlight w:val="none"/>
        </w:rPr>
        <w:t xml:space="preserve">日止。 </w:t>
      </w:r>
    </w:p>
    <w:p w14:paraId="6DEF3E46">
      <w:pPr>
        <w:spacing w:line="520" w:lineRule="exact"/>
        <w:rPr>
          <w:rFonts w:hAnsi="宋体"/>
          <w:color w:val="auto"/>
          <w:szCs w:val="21"/>
          <w:highlight w:val="none"/>
        </w:rPr>
      </w:pPr>
    </w:p>
    <w:p w14:paraId="1F7C8A6A">
      <w:pPr>
        <w:wordWrap w:val="0"/>
        <w:spacing w:line="520" w:lineRule="exact"/>
        <w:rPr>
          <w:rFonts w:hAnsi="宋体"/>
          <w:color w:val="auto"/>
          <w:szCs w:val="21"/>
          <w:highlight w:val="none"/>
        </w:rPr>
      </w:pPr>
      <w:r>
        <w:rPr>
          <w:rFonts w:hint="eastAsia" w:hAnsi="宋体"/>
          <w:color w:val="auto"/>
          <w:szCs w:val="21"/>
          <w:highlight w:val="none"/>
        </w:rPr>
        <w:t>磋商供应商（盖章）：</w:t>
      </w:r>
      <w:r>
        <w:rPr>
          <w:rFonts w:hint="eastAsia" w:hAnsi="宋体"/>
          <w:color w:val="auto"/>
          <w:szCs w:val="21"/>
          <w:highlight w:val="none"/>
          <w:u w:val="single"/>
        </w:rPr>
        <w:t xml:space="preserve">               </w:t>
      </w:r>
    </w:p>
    <w:p w14:paraId="70291104">
      <w:pPr>
        <w:wordWrap w:val="0"/>
        <w:spacing w:line="520" w:lineRule="exact"/>
        <w:rPr>
          <w:rFonts w:hAnsi="宋体"/>
          <w:color w:val="auto"/>
          <w:szCs w:val="21"/>
          <w:highlight w:val="none"/>
        </w:rPr>
      </w:pPr>
      <w:r>
        <w:rPr>
          <w:rFonts w:hint="eastAsia" w:hAnsi="宋体"/>
          <w:color w:val="auto"/>
          <w:szCs w:val="21"/>
          <w:highlight w:val="none"/>
        </w:rPr>
        <w:t>法定代表人（负责人）（签字）：</w:t>
      </w:r>
      <w:r>
        <w:rPr>
          <w:rFonts w:hint="eastAsia" w:hAnsi="宋体"/>
          <w:color w:val="auto"/>
          <w:szCs w:val="21"/>
          <w:highlight w:val="none"/>
          <w:u w:val="single"/>
        </w:rPr>
        <w:t xml:space="preserve">       </w:t>
      </w:r>
    </w:p>
    <w:p w14:paraId="2CB00A2F">
      <w:pPr>
        <w:spacing w:line="520" w:lineRule="exact"/>
        <w:rPr>
          <w:rFonts w:hAnsi="宋体"/>
          <w:color w:val="auto"/>
          <w:szCs w:val="21"/>
          <w:highlight w:val="none"/>
        </w:rPr>
      </w:pPr>
      <w:r>
        <w:rPr>
          <w:rFonts w:hint="eastAsia" w:hAnsi="宋体"/>
          <w:color w:val="auto"/>
          <w:szCs w:val="21"/>
          <w:highlight w:val="none"/>
        </w:rPr>
        <w:t>签发日期：</w:t>
      </w:r>
      <w:r>
        <w:rPr>
          <w:rFonts w:hint="eastAsia" w:hAnsi="宋体"/>
          <w:color w:val="auto"/>
          <w:szCs w:val="21"/>
          <w:highlight w:val="none"/>
          <w:u w:val="single"/>
        </w:rPr>
        <w:t xml:space="preserve">      </w:t>
      </w:r>
      <w:r>
        <w:rPr>
          <w:rFonts w:hint="eastAsia" w:hAnsi="宋体"/>
          <w:color w:val="auto"/>
          <w:szCs w:val="21"/>
          <w:highlight w:val="none"/>
        </w:rPr>
        <w:t>年</w:t>
      </w:r>
      <w:r>
        <w:rPr>
          <w:rFonts w:hint="eastAsia" w:hAnsi="宋体"/>
          <w:color w:val="auto"/>
          <w:szCs w:val="21"/>
          <w:highlight w:val="none"/>
          <w:u w:val="single"/>
        </w:rPr>
        <w:t xml:space="preserve">    </w:t>
      </w:r>
      <w:r>
        <w:rPr>
          <w:rFonts w:hint="eastAsia" w:hAnsi="宋体"/>
          <w:color w:val="auto"/>
          <w:szCs w:val="21"/>
          <w:highlight w:val="none"/>
        </w:rPr>
        <w:t>月</w:t>
      </w:r>
      <w:r>
        <w:rPr>
          <w:rFonts w:hint="eastAsia" w:hAnsi="宋体"/>
          <w:color w:val="auto"/>
          <w:szCs w:val="21"/>
          <w:highlight w:val="none"/>
          <w:u w:val="single"/>
        </w:rPr>
        <w:t xml:space="preserve">   </w:t>
      </w:r>
      <w:r>
        <w:rPr>
          <w:rFonts w:hint="eastAsia" w:hAnsi="宋体"/>
          <w:color w:val="auto"/>
          <w:szCs w:val="21"/>
          <w:highlight w:val="none"/>
        </w:rPr>
        <w:t>日</w:t>
      </w:r>
    </w:p>
    <w:p w14:paraId="013B8172">
      <w:pPr>
        <w:spacing w:line="520" w:lineRule="exact"/>
        <w:rPr>
          <w:rFonts w:hAnsi="宋体"/>
          <w:color w:val="auto"/>
          <w:szCs w:val="21"/>
          <w:highlight w:val="none"/>
        </w:rPr>
      </w:pPr>
    </w:p>
    <w:p w14:paraId="1C0E74D1">
      <w:pPr>
        <w:wordWrap w:val="0"/>
        <w:spacing w:line="520" w:lineRule="exact"/>
        <w:ind w:firstLine="420" w:firstLineChars="200"/>
        <w:rPr>
          <w:rFonts w:hAnsi="宋体"/>
          <w:color w:val="auto"/>
          <w:szCs w:val="21"/>
          <w:highlight w:val="none"/>
        </w:rPr>
      </w:pPr>
      <w:r>
        <w:rPr>
          <w:rFonts w:hint="eastAsia" w:hAnsi="宋体"/>
          <w:color w:val="auto"/>
          <w:szCs w:val="21"/>
          <w:highlight w:val="none"/>
        </w:rPr>
        <w:t>附：磋商代表人：       年龄：</w:t>
      </w:r>
      <w:r>
        <w:rPr>
          <w:rFonts w:hint="eastAsia" w:hAnsi="宋体"/>
          <w:color w:val="auto"/>
          <w:szCs w:val="21"/>
          <w:highlight w:val="none"/>
          <w:u w:val="single"/>
        </w:rPr>
        <w:t xml:space="preserve">       </w:t>
      </w:r>
      <w:r>
        <w:rPr>
          <w:rFonts w:hint="eastAsia" w:hAnsi="宋体"/>
          <w:color w:val="auto"/>
          <w:szCs w:val="21"/>
          <w:highlight w:val="none"/>
        </w:rPr>
        <w:t xml:space="preserve">    </w:t>
      </w:r>
      <w:r>
        <w:rPr>
          <w:rFonts w:hint="eastAsia" w:hAnsi="宋体"/>
          <w:color w:val="auto"/>
          <w:szCs w:val="21"/>
          <w:highlight w:val="none"/>
          <w:u w:val="single"/>
        </w:rPr>
        <w:t xml:space="preserve">           </w:t>
      </w:r>
    </w:p>
    <w:p w14:paraId="4F1FCA52">
      <w:pPr>
        <w:wordWrap w:val="0"/>
        <w:spacing w:line="520" w:lineRule="exact"/>
        <w:ind w:firstLine="420" w:firstLineChars="200"/>
        <w:rPr>
          <w:rFonts w:hAnsi="宋体"/>
          <w:color w:val="auto"/>
          <w:szCs w:val="21"/>
          <w:highlight w:val="none"/>
        </w:rPr>
      </w:pPr>
      <w:r>
        <w:rPr>
          <w:rFonts w:hint="eastAsia" w:hAnsi="宋体"/>
          <w:color w:val="auto"/>
          <w:szCs w:val="21"/>
          <w:highlight w:val="none"/>
        </w:rPr>
        <w:t>职务：                 性别：</w:t>
      </w:r>
      <w:r>
        <w:rPr>
          <w:rFonts w:hint="eastAsia" w:hAnsi="宋体"/>
          <w:color w:val="auto"/>
          <w:szCs w:val="21"/>
          <w:highlight w:val="none"/>
          <w:u w:val="single"/>
        </w:rPr>
        <w:t xml:space="preserve">             </w:t>
      </w:r>
    </w:p>
    <w:p w14:paraId="1BB7575B">
      <w:pPr>
        <w:wordWrap w:val="0"/>
        <w:adjustRightInd w:val="0"/>
        <w:snapToGrid w:val="0"/>
        <w:spacing w:line="520" w:lineRule="exact"/>
        <w:ind w:firstLine="420" w:firstLineChars="200"/>
        <w:rPr>
          <w:rFonts w:hAnsi="宋体"/>
          <w:color w:val="auto"/>
          <w:szCs w:val="21"/>
          <w:highlight w:val="none"/>
          <w:u w:val="single"/>
        </w:rPr>
      </w:pPr>
      <w:r>
        <w:rPr>
          <w:rFonts w:hint="eastAsia" w:hAnsi="宋体"/>
          <w:color w:val="auto"/>
          <w:szCs w:val="21"/>
          <w:highlight w:val="none"/>
        </w:rPr>
        <w:t>身份证号码：</w:t>
      </w:r>
      <w:r>
        <w:rPr>
          <w:rFonts w:hint="eastAsia" w:hAnsi="宋体"/>
          <w:color w:val="auto"/>
          <w:szCs w:val="21"/>
          <w:highlight w:val="none"/>
          <w:u w:val="single"/>
        </w:rPr>
        <w:t xml:space="preserve">                              </w:t>
      </w:r>
    </w:p>
    <w:p w14:paraId="308E6594">
      <w:pPr>
        <w:adjustRightInd w:val="0"/>
        <w:snapToGrid w:val="0"/>
        <w:spacing w:line="520" w:lineRule="exact"/>
        <w:ind w:firstLine="420" w:firstLineChars="200"/>
        <w:rPr>
          <w:rFonts w:hAnsi="宋体"/>
          <w:color w:val="auto"/>
          <w:szCs w:val="21"/>
          <w:highlight w:val="none"/>
          <w:u w:val="single"/>
        </w:rPr>
      </w:pPr>
    </w:p>
    <w:tbl>
      <w:tblPr>
        <w:tblStyle w:val="57"/>
        <w:tblW w:w="0" w:type="auto"/>
        <w:tblInd w:w="3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50"/>
      </w:tblGrid>
      <w:tr w14:paraId="31A53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3" w:hRule="atLeast"/>
        </w:trPr>
        <w:tc>
          <w:tcPr>
            <w:tcW w:w="8350" w:type="dxa"/>
          </w:tcPr>
          <w:p w14:paraId="134E6289">
            <w:pPr>
              <w:spacing w:line="300" w:lineRule="auto"/>
              <w:rPr>
                <w:rFonts w:hAnsi="宋体"/>
                <w:color w:val="auto"/>
                <w:szCs w:val="21"/>
                <w:highlight w:val="none"/>
              </w:rPr>
            </w:pPr>
            <w:r>
              <w:rPr>
                <w:rFonts w:hint="eastAsia" w:hAnsi="宋体"/>
                <w:color w:val="auto"/>
                <w:szCs w:val="21"/>
                <w:highlight w:val="none"/>
              </w:rPr>
              <w:t>粘贴被授权人身份证及法定代表人（负责人）身份证（复印件）</w:t>
            </w:r>
          </w:p>
        </w:tc>
      </w:tr>
    </w:tbl>
    <w:p w14:paraId="450D6B46">
      <w:pPr>
        <w:spacing w:line="300" w:lineRule="auto"/>
        <w:jc w:val="center"/>
        <w:rPr>
          <w:rFonts w:hAnsi="宋体"/>
          <w:b/>
          <w:color w:val="auto"/>
          <w:sz w:val="32"/>
          <w:szCs w:val="32"/>
          <w:highlight w:val="none"/>
        </w:rPr>
      </w:pPr>
    </w:p>
    <w:p w14:paraId="6FC5E183">
      <w:pPr>
        <w:ind w:right="384" w:rightChars="183"/>
        <w:jc w:val="center"/>
        <w:rPr>
          <w:rFonts w:hAnsi="宋体"/>
          <w:b/>
          <w:color w:val="auto"/>
          <w:szCs w:val="21"/>
          <w:highlight w:val="none"/>
        </w:rPr>
      </w:pPr>
    </w:p>
    <w:p w14:paraId="6ED18B34">
      <w:pPr>
        <w:spacing w:line="500" w:lineRule="exact"/>
        <w:rPr>
          <w:rFonts w:hAnsi="宋体"/>
          <w:color w:val="auto"/>
          <w:szCs w:val="21"/>
          <w:highlight w:val="none"/>
        </w:rPr>
        <w:sectPr>
          <w:pgSz w:w="11906" w:h="16838"/>
          <w:pgMar w:top="1304" w:right="1304" w:bottom="1304" w:left="1304" w:header="720" w:footer="720" w:gutter="0"/>
          <w:cols w:space="720" w:num="1"/>
          <w:docGrid w:type="lines" w:linePitch="312" w:charSpace="0"/>
        </w:sectPr>
      </w:pPr>
    </w:p>
    <w:p w14:paraId="13CB3B63">
      <w:pPr>
        <w:spacing w:line="500" w:lineRule="exact"/>
        <w:rPr>
          <w:rFonts w:hAnsi="宋体"/>
          <w:color w:val="auto"/>
          <w:szCs w:val="21"/>
          <w:highlight w:val="none"/>
        </w:rPr>
      </w:pPr>
      <w:r>
        <w:rPr>
          <w:rFonts w:hint="eastAsia" w:hAnsi="宋体"/>
          <w:color w:val="auto"/>
          <w:szCs w:val="21"/>
          <w:highlight w:val="none"/>
        </w:rPr>
        <w:t>3、农民工工资保证金的交纳与使用承诺书</w:t>
      </w:r>
    </w:p>
    <w:p w14:paraId="6F68426F">
      <w:pPr>
        <w:spacing w:after="120"/>
        <w:ind w:firstLine="210" w:firstLineChars="100"/>
        <w:rPr>
          <w:rFonts w:ascii="Calibri" w:hAnsi="Calibri"/>
          <w:color w:val="auto"/>
          <w:szCs w:val="24"/>
          <w:highlight w:val="none"/>
        </w:rPr>
      </w:pPr>
    </w:p>
    <w:p w14:paraId="15CA761F">
      <w:pPr>
        <w:spacing w:after="120"/>
        <w:ind w:firstLine="210" w:firstLineChars="100"/>
        <w:rPr>
          <w:rFonts w:ascii="Calibri" w:hAnsi="Calibri"/>
          <w:color w:val="auto"/>
          <w:szCs w:val="24"/>
          <w:highlight w:val="none"/>
        </w:rPr>
      </w:pPr>
    </w:p>
    <w:p w14:paraId="2D96ACB2">
      <w:pPr>
        <w:autoSpaceDE w:val="0"/>
        <w:autoSpaceDN w:val="0"/>
        <w:adjustRightInd w:val="0"/>
        <w:spacing w:line="360" w:lineRule="auto"/>
        <w:ind w:right="384" w:rightChars="183" w:firstLine="562" w:firstLineChars="200"/>
        <w:jc w:val="center"/>
        <w:rPr>
          <w:rFonts w:cs="Arial" w:asciiTheme="minorEastAsia" w:hAnsiTheme="minorEastAsia" w:eastAsiaTheme="minorEastAsia"/>
          <w:b/>
          <w:color w:val="auto"/>
          <w:sz w:val="28"/>
          <w:highlight w:val="none"/>
        </w:rPr>
      </w:pPr>
      <w:r>
        <w:rPr>
          <w:rFonts w:cs="Arial" w:asciiTheme="minorEastAsia" w:hAnsiTheme="minorEastAsia" w:eastAsiaTheme="minorEastAsia"/>
          <w:b/>
          <w:color w:val="auto"/>
          <w:sz w:val="28"/>
          <w:highlight w:val="none"/>
        </w:rPr>
        <w:t>农民工工资保证金的交纳与使用承诺书</w:t>
      </w:r>
    </w:p>
    <w:p w14:paraId="189EB648">
      <w:pPr>
        <w:ind w:right="384" w:rightChars="183"/>
        <w:rPr>
          <w:rFonts w:cs="Arial" w:asciiTheme="minorEastAsia" w:hAnsiTheme="minorEastAsia" w:eastAsiaTheme="minorEastAsia"/>
          <w:color w:val="auto"/>
          <w:sz w:val="28"/>
          <w:highlight w:val="none"/>
        </w:rPr>
      </w:pPr>
    </w:p>
    <w:p w14:paraId="2E74AB85">
      <w:pPr>
        <w:spacing w:line="360" w:lineRule="auto"/>
        <w:ind w:right="384" w:rightChars="183"/>
        <w:rPr>
          <w:rFonts w:cs="Arial" w:asciiTheme="minorEastAsia" w:hAnsiTheme="minorEastAsia" w:eastAsiaTheme="minorEastAsia"/>
          <w:b/>
          <w:color w:val="auto"/>
          <w:szCs w:val="21"/>
          <w:highlight w:val="none"/>
          <w:u w:val="single"/>
        </w:rPr>
      </w:pPr>
      <w:r>
        <w:rPr>
          <w:rFonts w:cs="Arial" w:asciiTheme="minorEastAsia" w:hAnsiTheme="minorEastAsia" w:eastAsiaTheme="minorEastAsia"/>
          <w:color w:val="auto"/>
          <w:szCs w:val="21"/>
          <w:highlight w:val="none"/>
        </w:rPr>
        <w:t>致：</w:t>
      </w:r>
      <w:r>
        <w:rPr>
          <w:rFonts w:cs="Arial" w:asciiTheme="minorEastAsia" w:hAnsiTheme="minorEastAsia" w:eastAsiaTheme="minorEastAsia"/>
          <w:b/>
          <w:color w:val="auto"/>
          <w:szCs w:val="21"/>
          <w:highlight w:val="none"/>
          <w:u w:val="single"/>
        </w:rPr>
        <w:t xml:space="preserve">          </w:t>
      </w:r>
      <w:r>
        <w:rPr>
          <w:rFonts w:cs="Arial" w:asciiTheme="minorEastAsia" w:hAnsiTheme="minorEastAsia" w:eastAsiaTheme="minorEastAsia"/>
          <w:color w:val="auto"/>
          <w:szCs w:val="21"/>
          <w:highlight w:val="none"/>
          <w:u w:val="single"/>
        </w:rPr>
        <w:t>（采购人名称）</w:t>
      </w:r>
      <w:r>
        <w:rPr>
          <w:rFonts w:cs="Arial" w:asciiTheme="minorEastAsia" w:hAnsiTheme="minorEastAsia" w:eastAsiaTheme="minorEastAsia"/>
          <w:b/>
          <w:color w:val="auto"/>
          <w:szCs w:val="21"/>
          <w:highlight w:val="none"/>
          <w:u w:val="single"/>
        </w:rPr>
        <w:t xml:space="preserve">        </w:t>
      </w:r>
    </w:p>
    <w:p w14:paraId="07C3D651">
      <w:pPr>
        <w:spacing w:line="360" w:lineRule="auto"/>
        <w:ind w:right="384" w:rightChars="183" w:firstLine="420" w:firstLineChars="200"/>
        <w:rPr>
          <w:rFonts w:cs="Arial" w:asciiTheme="minorEastAsia" w:hAnsiTheme="minorEastAsia" w:eastAsiaTheme="minorEastAsia"/>
          <w:color w:val="auto"/>
          <w:szCs w:val="21"/>
          <w:highlight w:val="none"/>
        </w:rPr>
      </w:pPr>
      <w:r>
        <w:rPr>
          <w:rFonts w:cs="Arial" w:asciiTheme="minorEastAsia" w:hAnsiTheme="minorEastAsia" w:eastAsiaTheme="minorEastAsia"/>
          <w:color w:val="auto"/>
          <w:szCs w:val="21"/>
          <w:highlight w:val="none"/>
        </w:rPr>
        <w:t>一、我方对农民工工资保证金的交纳与使用作出以下承诺：</w:t>
      </w:r>
    </w:p>
    <w:p w14:paraId="725B55D7">
      <w:pPr>
        <w:adjustRightInd w:val="0"/>
        <w:spacing w:line="360" w:lineRule="auto"/>
        <w:ind w:right="384" w:rightChars="183" w:firstLine="420" w:firstLineChars="200"/>
        <w:jc w:val="left"/>
        <w:textAlignment w:val="baseline"/>
        <w:rPr>
          <w:rFonts w:cs="Arial" w:asciiTheme="minorEastAsia" w:hAnsiTheme="minorEastAsia" w:eastAsiaTheme="minorEastAsia"/>
          <w:color w:val="auto"/>
          <w:kern w:val="0"/>
          <w:szCs w:val="21"/>
          <w:highlight w:val="none"/>
        </w:rPr>
      </w:pPr>
      <w:r>
        <w:rPr>
          <w:rFonts w:cs="Arial" w:asciiTheme="minorEastAsia" w:hAnsiTheme="minorEastAsia" w:eastAsiaTheme="minorEastAsia"/>
          <w:color w:val="auto"/>
          <w:kern w:val="0"/>
          <w:szCs w:val="21"/>
          <w:highlight w:val="none"/>
        </w:rPr>
        <w:t>1、</w:t>
      </w:r>
      <w:r>
        <w:rPr>
          <w:rFonts w:cs="Arial" w:asciiTheme="minorEastAsia" w:hAnsiTheme="minorEastAsia" w:eastAsiaTheme="minorEastAsia"/>
          <w:color w:val="auto"/>
          <w:szCs w:val="21"/>
          <w:highlight w:val="none"/>
        </w:rPr>
        <w:t>一旦我方在</w:t>
      </w:r>
      <w:r>
        <w:rPr>
          <w:rFonts w:hint="eastAsia" w:cs="Arial" w:asciiTheme="minorEastAsia" w:hAnsiTheme="minorEastAsia" w:eastAsiaTheme="minorEastAsia"/>
          <w:color w:val="auto"/>
          <w:szCs w:val="21"/>
          <w:highlight w:val="none"/>
          <w:u w:val="single"/>
        </w:rPr>
        <w:t xml:space="preserve">               </w:t>
      </w:r>
      <w:r>
        <w:rPr>
          <w:rFonts w:cs="Arial" w:asciiTheme="minorEastAsia" w:hAnsiTheme="minorEastAsia" w:eastAsiaTheme="minorEastAsia"/>
          <w:color w:val="auto"/>
          <w:szCs w:val="21"/>
          <w:highlight w:val="none"/>
        </w:rPr>
        <w:t>（工程项目名称）成交，</w:t>
      </w:r>
      <w:r>
        <w:rPr>
          <w:rFonts w:cs="Arial" w:asciiTheme="minorEastAsia" w:hAnsiTheme="minorEastAsia" w:eastAsiaTheme="minorEastAsia"/>
          <w:color w:val="auto"/>
          <w:kern w:val="0"/>
          <w:szCs w:val="21"/>
          <w:highlight w:val="none"/>
        </w:rPr>
        <w:t>在收到成交通知书后7个工作日内，按照相关规定将农民工工资保证金足额存入</w:t>
      </w:r>
      <w:r>
        <w:rPr>
          <w:rFonts w:hint="eastAsia" w:cs="Arial" w:asciiTheme="minorEastAsia" w:hAnsiTheme="minorEastAsia" w:eastAsiaTheme="minorEastAsia"/>
          <w:color w:val="auto"/>
          <w:kern w:val="0"/>
          <w:szCs w:val="21"/>
          <w:highlight w:val="none"/>
        </w:rPr>
        <w:t>建设</w:t>
      </w:r>
      <w:r>
        <w:rPr>
          <w:rFonts w:cs="Arial" w:asciiTheme="minorEastAsia" w:hAnsiTheme="minorEastAsia" w:eastAsiaTheme="minorEastAsia"/>
          <w:color w:val="auto"/>
          <w:kern w:val="0"/>
          <w:szCs w:val="21"/>
          <w:highlight w:val="none"/>
        </w:rPr>
        <w:t>部门指定的账户。</w:t>
      </w:r>
    </w:p>
    <w:p w14:paraId="2E4F5C49">
      <w:pPr>
        <w:adjustRightInd w:val="0"/>
        <w:spacing w:line="360" w:lineRule="auto"/>
        <w:ind w:right="384" w:rightChars="183" w:firstLine="420" w:firstLineChars="200"/>
        <w:jc w:val="left"/>
        <w:textAlignment w:val="baseline"/>
        <w:rPr>
          <w:rFonts w:cs="Arial" w:asciiTheme="minorEastAsia" w:hAnsiTheme="minorEastAsia" w:eastAsiaTheme="minorEastAsia"/>
          <w:color w:val="auto"/>
          <w:kern w:val="0"/>
          <w:szCs w:val="21"/>
          <w:highlight w:val="none"/>
        </w:rPr>
      </w:pPr>
      <w:r>
        <w:rPr>
          <w:rFonts w:cs="Arial" w:asciiTheme="minorEastAsia" w:hAnsiTheme="minorEastAsia" w:eastAsiaTheme="minorEastAsia"/>
          <w:color w:val="auto"/>
          <w:kern w:val="0"/>
          <w:szCs w:val="21"/>
          <w:highlight w:val="none"/>
        </w:rPr>
        <w:t>2、一旦承包的建设工程项目中出项拖欠农民工工资情况的，由有关部门按规定在成交企业的农民工工资保证金中先予支取。</w:t>
      </w:r>
    </w:p>
    <w:p w14:paraId="75430DCE">
      <w:pPr>
        <w:spacing w:line="360" w:lineRule="auto"/>
        <w:ind w:right="384" w:rightChars="183" w:firstLine="420" w:firstLineChars="200"/>
        <w:rPr>
          <w:rFonts w:cs="Arial" w:asciiTheme="minorEastAsia" w:hAnsiTheme="minorEastAsia" w:eastAsiaTheme="minorEastAsia"/>
          <w:color w:val="auto"/>
          <w:szCs w:val="21"/>
          <w:highlight w:val="none"/>
        </w:rPr>
      </w:pPr>
      <w:r>
        <w:rPr>
          <w:rFonts w:cs="Arial" w:asciiTheme="minorEastAsia" w:hAnsiTheme="minorEastAsia" w:eastAsiaTheme="minorEastAsia"/>
          <w:color w:val="auto"/>
          <w:szCs w:val="21"/>
          <w:highlight w:val="none"/>
        </w:rPr>
        <w:t>3、我方在成交后如不按时足额存入农民工工资保证金的，采购人有权取消我方成交资格。</w:t>
      </w:r>
    </w:p>
    <w:p w14:paraId="59F8C34E">
      <w:pPr>
        <w:spacing w:line="360" w:lineRule="auto"/>
        <w:ind w:right="384" w:rightChars="183" w:firstLine="495"/>
        <w:rPr>
          <w:rFonts w:cs="Arial" w:asciiTheme="minorEastAsia" w:hAnsiTheme="minorEastAsia" w:eastAsiaTheme="minorEastAsia"/>
          <w:color w:val="auto"/>
          <w:szCs w:val="21"/>
          <w:highlight w:val="none"/>
        </w:rPr>
      </w:pPr>
      <w:r>
        <w:rPr>
          <w:rFonts w:cs="Arial" w:asciiTheme="minorEastAsia" w:hAnsiTheme="minorEastAsia" w:eastAsiaTheme="minorEastAsia"/>
          <w:color w:val="auto"/>
          <w:szCs w:val="21"/>
          <w:highlight w:val="none"/>
        </w:rPr>
        <w:t>二、工资支付情况：</w:t>
      </w:r>
    </w:p>
    <w:p w14:paraId="3C6728BA">
      <w:pPr>
        <w:spacing w:line="360" w:lineRule="auto"/>
        <w:ind w:right="384" w:rightChars="183" w:firstLine="495"/>
        <w:rPr>
          <w:rFonts w:cs="Arial" w:asciiTheme="minorEastAsia" w:hAnsiTheme="minorEastAsia" w:eastAsiaTheme="minorEastAsia"/>
          <w:color w:val="auto"/>
          <w:szCs w:val="21"/>
          <w:highlight w:val="none"/>
        </w:rPr>
      </w:pPr>
      <w:r>
        <w:rPr>
          <w:rFonts w:cs="Arial" w:asciiTheme="minorEastAsia" w:hAnsiTheme="minorEastAsia" w:eastAsiaTheme="minorEastAsia"/>
          <w:color w:val="auto"/>
          <w:szCs w:val="21"/>
          <w:highlight w:val="none"/>
        </w:rPr>
        <w:t>根据《广西壮族自治区劳动和社会保障厅建设厅关于进一步完善建筑行业农民工工资保证金制度的通知》(桂劳社发[2009]50号)的规定，磋商供应商必须如实反映以前所承建工程中工资支付情况，须特别注明截止磋商之日止是否存在拖欠或克扣农民工工资的行为。否则响应文件按废标处理。</w:t>
      </w:r>
    </w:p>
    <w:p w14:paraId="4708E74B">
      <w:pPr>
        <w:spacing w:line="360" w:lineRule="auto"/>
        <w:ind w:right="384" w:rightChars="183" w:firstLine="495"/>
        <w:rPr>
          <w:rFonts w:cs="Arial" w:asciiTheme="minorEastAsia" w:hAnsiTheme="minorEastAsia" w:eastAsiaTheme="minorEastAsia"/>
          <w:color w:val="auto"/>
          <w:szCs w:val="21"/>
          <w:highlight w:val="none"/>
        </w:rPr>
      </w:pPr>
    </w:p>
    <w:p w14:paraId="31567F66">
      <w:pPr>
        <w:spacing w:line="480" w:lineRule="auto"/>
        <w:ind w:right="384" w:rightChars="183"/>
        <w:rPr>
          <w:rFonts w:cs="Arial" w:asciiTheme="minorEastAsia" w:hAnsiTheme="minorEastAsia" w:eastAsiaTheme="minorEastAsia"/>
          <w:color w:val="auto"/>
          <w:szCs w:val="21"/>
          <w:highlight w:val="none"/>
        </w:rPr>
      </w:pPr>
    </w:p>
    <w:p w14:paraId="65CD34AD">
      <w:pPr>
        <w:wordWrap w:val="0"/>
        <w:spacing w:line="360" w:lineRule="auto"/>
        <w:ind w:right="384" w:rightChars="183" w:firstLine="3255" w:firstLineChars="1550"/>
        <w:jc w:val="right"/>
        <w:rPr>
          <w:rFonts w:cs="Arial" w:asciiTheme="minorEastAsia" w:hAnsiTheme="minorEastAsia" w:eastAsiaTheme="minorEastAsia"/>
          <w:color w:val="auto"/>
          <w:szCs w:val="21"/>
          <w:highlight w:val="none"/>
          <w:u w:val="single"/>
        </w:rPr>
      </w:pPr>
      <w:r>
        <w:rPr>
          <w:rFonts w:hint="eastAsia" w:cs="Arial" w:asciiTheme="minorEastAsia" w:hAnsiTheme="minorEastAsia" w:eastAsiaTheme="minorEastAsia"/>
          <w:color w:val="auto"/>
          <w:szCs w:val="21"/>
          <w:highlight w:val="none"/>
        </w:rPr>
        <w:t>供应商名称</w:t>
      </w:r>
      <w:r>
        <w:rPr>
          <w:rFonts w:hint="eastAsia" w:asciiTheme="minorEastAsia" w:hAnsiTheme="minorEastAsia" w:eastAsiaTheme="minorEastAsia"/>
          <w:color w:val="auto"/>
          <w:szCs w:val="21"/>
          <w:highlight w:val="none"/>
        </w:rPr>
        <w:t>（盖章）</w:t>
      </w:r>
      <w:r>
        <w:rPr>
          <w:rFonts w:hint="eastAsia" w:cs="Arial" w:asciiTheme="minorEastAsia" w:hAnsiTheme="minorEastAsia" w:eastAsiaTheme="minorEastAsia"/>
          <w:color w:val="auto"/>
          <w:szCs w:val="21"/>
          <w:highlight w:val="none"/>
        </w:rPr>
        <w:t>：</w:t>
      </w:r>
      <w:r>
        <w:rPr>
          <w:rFonts w:hint="eastAsia" w:cs="Arial" w:asciiTheme="minorEastAsia" w:hAnsiTheme="minorEastAsia" w:eastAsiaTheme="minorEastAsia"/>
          <w:color w:val="auto"/>
          <w:szCs w:val="21"/>
          <w:highlight w:val="none"/>
          <w:u w:val="single"/>
        </w:rPr>
        <w:t xml:space="preserve">                        </w:t>
      </w:r>
    </w:p>
    <w:p w14:paraId="20833176">
      <w:pPr>
        <w:wordWrap w:val="0"/>
        <w:spacing w:line="360" w:lineRule="auto"/>
        <w:ind w:right="420" w:firstLine="5460" w:firstLineChars="2600"/>
        <w:rPr>
          <w:rFonts w:ascii="Calibri" w:hAnsi="Calibri"/>
          <w:color w:val="auto"/>
          <w:szCs w:val="24"/>
          <w:highlight w:val="none"/>
        </w:rPr>
      </w:pPr>
      <w:r>
        <w:rPr>
          <w:rFonts w:hint="eastAsia" w:hAnsi="宋体" w:cs="宋体"/>
          <w:color w:val="auto"/>
          <w:highlight w:val="none"/>
        </w:rPr>
        <w:t>日   期：    年    月   日</w:t>
      </w:r>
    </w:p>
    <w:p w14:paraId="681E8C3C">
      <w:pPr>
        <w:wordWrap w:val="0"/>
        <w:spacing w:line="360" w:lineRule="auto"/>
        <w:ind w:right="420" w:firstLine="5460" w:firstLineChars="2600"/>
        <w:rPr>
          <w:rFonts w:ascii="Calibri" w:hAnsi="Calibri"/>
          <w:color w:val="auto"/>
          <w:szCs w:val="24"/>
          <w:highlight w:val="none"/>
        </w:rPr>
      </w:pPr>
    </w:p>
    <w:p w14:paraId="7267062C">
      <w:pPr>
        <w:spacing w:after="120"/>
        <w:ind w:firstLine="210" w:firstLineChars="100"/>
        <w:rPr>
          <w:rFonts w:ascii="Calibri" w:hAnsi="Calibri"/>
          <w:color w:val="auto"/>
          <w:szCs w:val="24"/>
          <w:highlight w:val="none"/>
        </w:rPr>
      </w:pPr>
    </w:p>
    <w:p w14:paraId="564636C3">
      <w:pPr>
        <w:spacing w:after="120"/>
        <w:ind w:firstLine="210" w:firstLineChars="100"/>
        <w:rPr>
          <w:rFonts w:ascii="Calibri" w:hAnsi="Calibri"/>
          <w:color w:val="auto"/>
          <w:szCs w:val="24"/>
          <w:highlight w:val="none"/>
        </w:rPr>
        <w:sectPr>
          <w:pgSz w:w="11906" w:h="16838"/>
          <w:pgMar w:top="1304" w:right="1304" w:bottom="1304" w:left="1304" w:header="720" w:footer="720" w:gutter="0"/>
          <w:cols w:space="720" w:num="1"/>
          <w:docGrid w:type="lines" w:linePitch="312" w:charSpace="0"/>
        </w:sectPr>
      </w:pPr>
    </w:p>
    <w:p w14:paraId="7F7C7562">
      <w:pPr>
        <w:spacing w:after="120"/>
        <w:ind w:firstLine="210" w:firstLineChars="100"/>
        <w:rPr>
          <w:rFonts w:hAnsi="宋体"/>
          <w:color w:val="auto"/>
          <w:szCs w:val="21"/>
          <w:highlight w:val="none"/>
        </w:rPr>
      </w:pPr>
      <w:r>
        <w:rPr>
          <w:rFonts w:hint="eastAsia" w:hAnsi="宋体"/>
          <w:color w:val="auto"/>
          <w:szCs w:val="21"/>
          <w:highlight w:val="none"/>
        </w:rPr>
        <w:t>4、</w:t>
      </w:r>
      <w:r>
        <w:rPr>
          <w:rFonts w:hint="eastAsia" w:hAnsi="宋体" w:cs="宋体"/>
          <w:color w:val="auto"/>
          <w:szCs w:val="21"/>
          <w:highlight w:val="none"/>
        </w:rPr>
        <w:t>安全防护、文明施工措施方案及费用专用的承诺书（按桂建质[2015]16号文执行）</w:t>
      </w:r>
    </w:p>
    <w:p w14:paraId="10053D3C">
      <w:pPr>
        <w:autoSpaceDE w:val="0"/>
        <w:autoSpaceDN w:val="0"/>
        <w:adjustRightInd w:val="0"/>
        <w:spacing w:line="360" w:lineRule="auto"/>
        <w:ind w:right="384" w:rightChars="183" w:firstLine="562" w:firstLineChars="200"/>
        <w:jc w:val="center"/>
        <w:rPr>
          <w:rFonts w:cs="Arial" w:asciiTheme="minorEastAsia" w:hAnsiTheme="minorEastAsia" w:eastAsiaTheme="minorEastAsia"/>
          <w:b/>
          <w:color w:val="auto"/>
          <w:sz w:val="28"/>
          <w:highlight w:val="none"/>
        </w:rPr>
      </w:pPr>
      <w:r>
        <w:rPr>
          <w:rFonts w:hint="eastAsia" w:cs="Arial" w:asciiTheme="minorEastAsia" w:hAnsiTheme="minorEastAsia" w:eastAsiaTheme="minorEastAsia"/>
          <w:b/>
          <w:color w:val="auto"/>
          <w:sz w:val="28"/>
          <w:highlight w:val="none"/>
        </w:rPr>
        <w:t>安全防护、文明施工措施方案及费用专用的承诺书</w:t>
      </w:r>
    </w:p>
    <w:p w14:paraId="183A2C10">
      <w:pPr>
        <w:autoSpaceDE w:val="0"/>
        <w:autoSpaceDN w:val="0"/>
        <w:adjustRightInd w:val="0"/>
        <w:jc w:val="left"/>
        <w:rPr>
          <w:rFonts w:hAnsi="宋体" w:cs="宋体"/>
          <w:color w:val="auto"/>
          <w:kern w:val="0"/>
          <w:sz w:val="24"/>
          <w:szCs w:val="24"/>
          <w:highlight w:val="none"/>
        </w:rPr>
      </w:pPr>
    </w:p>
    <w:p w14:paraId="4F9ACEBC">
      <w:pPr>
        <w:spacing w:line="360" w:lineRule="auto"/>
        <w:ind w:right="384" w:rightChars="183" w:firstLine="420" w:firstLineChars="200"/>
        <w:rPr>
          <w:rFonts w:cs="Arial" w:asciiTheme="minorEastAsia" w:hAnsiTheme="minorEastAsia" w:eastAsiaTheme="minorEastAsia"/>
          <w:color w:val="auto"/>
          <w:szCs w:val="21"/>
          <w:highlight w:val="none"/>
        </w:rPr>
      </w:pPr>
      <w:r>
        <w:rPr>
          <w:rFonts w:hint="eastAsia" w:cs="Arial" w:asciiTheme="minorEastAsia" w:hAnsiTheme="minorEastAsia" w:eastAsiaTheme="minorEastAsia"/>
          <w:color w:val="auto"/>
          <w:szCs w:val="21"/>
          <w:highlight w:val="none"/>
        </w:rPr>
        <w:t>致：</w:t>
      </w:r>
      <w:r>
        <w:rPr>
          <w:rFonts w:hint="eastAsia" w:cs="Arial" w:asciiTheme="minorEastAsia" w:hAnsiTheme="minorEastAsia" w:eastAsiaTheme="minorEastAsia"/>
          <w:color w:val="auto"/>
          <w:szCs w:val="21"/>
          <w:highlight w:val="none"/>
          <w:u w:val="single"/>
        </w:rPr>
        <w:t xml:space="preserve">                 </w:t>
      </w:r>
      <w:r>
        <w:rPr>
          <w:rFonts w:hint="eastAsia" w:cs="Arial" w:asciiTheme="minorEastAsia" w:hAnsiTheme="minorEastAsia" w:eastAsiaTheme="minorEastAsia"/>
          <w:color w:val="auto"/>
          <w:szCs w:val="21"/>
          <w:highlight w:val="none"/>
        </w:rPr>
        <w:t>（建设单位）</w:t>
      </w:r>
    </w:p>
    <w:p w14:paraId="78E2268A">
      <w:pPr>
        <w:spacing w:line="360" w:lineRule="auto"/>
        <w:ind w:right="384" w:rightChars="183" w:firstLine="420" w:firstLineChars="200"/>
        <w:rPr>
          <w:rFonts w:cs="Arial" w:asciiTheme="minorEastAsia" w:hAnsiTheme="minorEastAsia" w:eastAsiaTheme="minorEastAsia"/>
          <w:color w:val="auto"/>
          <w:szCs w:val="21"/>
          <w:highlight w:val="none"/>
        </w:rPr>
      </w:pPr>
      <w:r>
        <w:rPr>
          <w:rFonts w:hint="eastAsia" w:cs="Arial" w:asciiTheme="minorEastAsia" w:hAnsiTheme="minorEastAsia" w:eastAsiaTheme="minorEastAsia"/>
          <w:color w:val="auto"/>
          <w:szCs w:val="21"/>
          <w:highlight w:val="none"/>
        </w:rPr>
        <w:t>根据桂建质[2015]16文件规定，我方在此向建设单位承诺：</w:t>
      </w:r>
    </w:p>
    <w:p w14:paraId="30FD9D77">
      <w:pPr>
        <w:spacing w:line="360" w:lineRule="auto"/>
        <w:ind w:right="384" w:rightChars="183" w:firstLine="420" w:firstLineChars="200"/>
        <w:rPr>
          <w:rFonts w:cs="Arial" w:asciiTheme="minorEastAsia" w:hAnsiTheme="minorEastAsia" w:eastAsiaTheme="minorEastAsia"/>
          <w:color w:val="auto"/>
          <w:szCs w:val="21"/>
          <w:highlight w:val="none"/>
        </w:rPr>
      </w:pPr>
      <w:r>
        <w:rPr>
          <w:rFonts w:hint="eastAsia" w:cs="Arial" w:asciiTheme="minorEastAsia" w:hAnsiTheme="minorEastAsia" w:eastAsiaTheme="minorEastAsia"/>
          <w:color w:val="auto"/>
          <w:szCs w:val="21"/>
          <w:highlight w:val="none"/>
        </w:rPr>
        <w:t>1、我方参与磋商的</w:t>
      </w:r>
      <w:r>
        <w:rPr>
          <w:rFonts w:hint="eastAsia" w:cs="Arial" w:asciiTheme="minorEastAsia" w:hAnsiTheme="minorEastAsia" w:eastAsiaTheme="minorEastAsia"/>
          <w:color w:val="auto"/>
          <w:szCs w:val="21"/>
          <w:highlight w:val="none"/>
          <w:u w:val="single"/>
        </w:rPr>
        <w:t xml:space="preserve">               </w:t>
      </w:r>
      <w:r>
        <w:rPr>
          <w:rFonts w:hint="eastAsia" w:cs="Arial" w:asciiTheme="minorEastAsia" w:hAnsiTheme="minorEastAsia" w:eastAsiaTheme="minorEastAsia"/>
          <w:color w:val="auto"/>
          <w:szCs w:val="21"/>
          <w:highlight w:val="none"/>
        </w:rPr>
        <w:t>（工程名称） 项目，一旦成交，我方保证在施工过程中，严格执行桂建质[2015]16号文《广西壮族自治区建筑工程安全防护、文明施工措施费及使用管理细则》有关规定，确保建设工程各项安全防护、文明施工措施落实到位，保证措施费专款专用。</w:t>
      </w:r>
    </w:p>
    <w:p w14:paraId="0336C8F1">
      <w:pPr>
        <w:spacing w:line="360" w:lineRule="auto"/>
        <w:ind w:right="384" w:rightChars="183" w:firstLine="420" w:firstLineChars="200"/>
        <w:rPr>
          <w:rFonts w:cs="Arial" w:asciiTheme="minorEastAsia" w:hAnsiTheme="minorEastAsia" w:eastAsiaTheme="minorEastAsia"/>
          <w:color w:val="auto"/>
          <w:szCs w:val="21"/>
          <w:highlight w:val="none"/>
        </w:rPr>
      </w:pPr>
      <w:r>
        <w:rPr>
          <w:rFonts w:hint="eastAsia" w:cs="Arial" w:asciiTheme="minorEastAsia" w:hAnsiTheme="minorEastAsia" w:eastAsiaTheme="minorEastAsia"/>
          <w:color w:val="auto"/>
          <w:szCs w:val="21"/>
          <w:highlight w:val="none"/>
        </w:rPr>
        <w:t>2、如我方在承包的</w:t>
      </w:r>
      <w:r>
        <w:rPr>
          <w:rFonts w:hint="eastAsia" w:cs="Arial" w:asciiTheme="minorEastAsia" w:hAnsiTheme="minorEastAsia" w:eastAsiaTheme="minorEastAsia"/>
          <w:color w:val="auto"/>
          <w:szCs w:val="21"/>
          <w:highlight w:val="none"/>
          <w:u w:val="single"/>
        </w:rPr>
        <w:t xml:space="preserve">               </w:t>
      </w:r>
      <w:r>
        <w:rPr>
          <w:rFonts w:hint="eastAsia" w:cs="Arial" w:asciiTheme="minorEastAsia" w:hAnsiTheme="minorEastAsia" w:eastAsiaTheme="minorEastAsia"/>
          <w:color w:val="auto"/>
          <w:szCs w:val="21"/>
          <w:highlight w:val="none"/>
        </w:rPr>
        <w:t>（工程名称） 项目中出现未按桂建质[2015]16文附件一规定执行的情形，我方意愿意按照相关规定接受建设单位及有关主管部门的处罚。</w:t>
      </w:r>
    </w:p>
    <w:p w14:paraId="516E3CDE">
      <w:pPr>
        <w:autoSpaceDE w:val="0"/>
        <w:autoSpaceDN w:val="0"/>
        <w:adjustRightInd w:val="0"/>
        <w:spacing w:line="360" w:lineRule="auto"/>
        <w:ind w:firstLine="480" w:firstLineChars="200"/>
        <w:jc w:val="left"/>
        <w:rPr>
          <w:rFonts w:hAnsi="宋体" w:cs="宋体"/>
          <w:color w:val="auto"/>
          <w:kern w:val="0"/>
          <w:sz w:val="24"/>
          <w:szCs w:val="24"/>
          <w:highlight w:val="none"/>
        </w:rPr>
      </w:pPr>
    </w:p>
    <w:p w14:paraId="2703CAB2">
      <w:pPr>
        <w:spacing w:line="520" w:lineRule="exact"/>
        <w:ind w:left="-10" w:firstLine="455" w:firstLineChars="217"/>
        <w:jc w:val="left"/>
        <w:rPr>
          <w:rFonts w:asciiTheme="minorEastAsia" w:hAnsiTheme="minorEastAsia" w:eastAsiaTheme="minorEastAsia"/>
          <w:color w:val="auto"/>
          <w:highlight w:val="none"/>
        </w:rPr>
      </w:pPr>
    </w:p>
    <w:p w14:paraId="47D1BC2E">
      <w:pPr>
        <w:spacing w:after="120"/>
        <w:ind w:firstLine="210" w:firstLineChars="100"/>
        <w:jc w:val="center"/>
        <w:rPr>
          <w:rFonts w:hAnsi="宋体"/>
          <w:color w:val="auto"/>
          <w:szCs w:val="21"/>
          <w:highlight w:val="none"/>
        </w:rPr>
      </w:pPr>
    </w:p>
    <w:p w14:paraId="4D564CF3">
      <w:pPr>
        <w:wordWrap w:val="0"/>
        <w:spacing w:line="360" w:lineRule="auto"/>
        <w:ind w:right="384" w:rightChars="183" w:firstLine="3255" w:firstLineChars="1550"/>
        <w:jc w:val="right"/>
        <w:rPr>
          <w:rFonts w:cs="Arial" w:asciiTheme="minorEastAsia" w:hAnsiTheme="minorEastAsia" w:eastAsiaTheme="minorEastAsia"/>
          <w:color w:val="auto"/>
          <w:szCs w:val="21"/>
          <w:highlight w:val="none"/>
          <w:u w:val="single"/>
        </w:rPr>
      </w:pPr>
      <w:r>
        <w:rPr>
          <w:rFonts w:hint="eastAsia" w:cs="Arial" w:asciiTheme="minorEastAsia" w:hAnsiTheme="minorEastAsia" w:eastAsiaTheme="minorEastAsia"/>
          <w:color w:val="auto"/>
          <w:szCs w:val="21"/>
          <w:highlight w:val="none"/>
        </w:rPr>
        <w:t>供应商名称</w:t>
      </w:r>
      <w:r>
        <w:rPr>
          <w:rFonts w:hint="eastAsia" w:asciiTheme="minorEastAsia" w:hAnsiTheme="minorEastAsia" w:eastAsiaTheme="minorEastAsia"/>
          <w:color w:val="auto"/>
          <w:szCs w:val="21"/>
          <w:highlight w:val="none"/>
        </w:rPr>
        <w:t>（盖章）</w:t>
      </w:r>
      <w:r>
        <w:rPr>
          <w:rFonts w:hint="eastAsia" w:cs="Arial" w:asciiTheme="minorEastAsia" w:hAnsiTheme="minorEastAsia" w:eastAsiaTheme="minorEastAsia"/>
          <w:color w:val="auto"/>
          <w:szCs w:val="21"/>
          <w:highlight w:val="none"/>
        </w:rPr>
        <w:t>：</w:t>
      </w:r>
      <w:r>
        <w:rPr>
          <w:rFonts w:hint="eastAsia" w:cs="Arial" w:asciiTheme="minorEastAsia" w:hAnsiTheme="minorEastAsia" w:eastAsiaTheme="minorEastAsia"/>
          <w:color w:val="auto"/>
          <w:szCs w:val="21"/>
          <w:highlight w:val="none"/>
          <w:u w:val="single"/>
        </w:rPr>
        <w:t xml:space="preserve">                        </w:t>
      </w:r>
    </w:p>
    <w:p w14:paraId="44BC60A6">
      <w:pPr>
        <w:wordWrap w:val="0"/>
        <w:spacing w:line="360" w:lineRule="auto"/>
        <w:ind w:right="420" w:firstLine="5460" w:firstLineChars="2600"/>
        <w:rPr>
          <w:rFonts w:ascii="Calibri" w:hAnsi="Calibri"/>
          <w:color w:val="auto"/>
          <w:szCs w:val="24"/>
          <w:highlight w:val="none"/>
        </w:rPr>
      </w:pPr>
      <w:r>
        <w:rPr>
          <w:rFonts w:hint="eastAsia" w:hAnsi="宋体" w:cs="宋体"/>
          <w:color w:val="auto"/>
          <w:highlight w:val="none"/>
        </w:rPr>
        <w:t>日   期：    年    月   日</w:t>
      </w:r>
    </w:p>
    <w:p w14:paraId="71E47601">
      <w:pPr>
        <w:wordWrap w:val="0"/>
        <w:spacing w:line="360" w:lineRule="auto"/>
        <w:jc w:val="right"/>
        <w:rPr>
          <w:rFonts w:hAnsi="宋体"/>
          <w:color w:val="auto"/>
          <w:szCs w:val="21"/>
          <w:highlight w:val="none"/>
        </w:rPr>
      </w:pPr>
    </w:p>
    <w:p w14:paraId="7EBAC032">
      <w:pPr>
        <w:rPr>
          <w:rFonts w:ascii="Calibri" w:hAnsi="Calibri"/>
          <w:color w:val="auto"/>
          <w:szCs w:val="24"/>
          <w:highlight w:val="none"/>
        </w:rPr>
      </w:pPr>
    </w:p>
    <w:p w14:paraId="677187DE">
      <w:pPr>
        <w:spacing w:line="440" w:lineRule="exact"/>
        <w:ind w:firstLine="420" w:firstLineChars="200"/>
        <w:rPr>
          <w:rFonts w:hAnsi="宋体"/>
          <w:color w:val="auto"/>
          <w:szCs w:val="21"/>
          <w:highlight w:val="none"/>
        </w:rPr>
        <w:sectPr>
          <w:pgSz w:w="11906" w:h="16838"/>
          <w:pgMar w:top="1304" w:right="1304" w:bottom="1304" w:left="1304" w:header="720" w:footer="720" w:gutter="0"/>
          <w:cols w:space="720" w:num="1"/>
          <w:docGrid w:type="lines" w:linePitch="312" w:charSpace="0"/>
        </w:sectPr>
      </w:pPr>
    </w:p>
    <w:p w14:paraId="42015751">
      <w:pPr>
        <w:spacing w:line="440" w:lineRule="exact"/>
        <w:ind w:firstLine="420" w:firstLineChars="200"/>
        <w:rPr>
          <w:rFonts w:hAnsi="宋体"/>
          <w:color w:val="auto"/>
          <w:szCs w:val="21"/>
          <w:highlight w:val="none"/>
        </w:rPr>
      </w:pPr>
      <w:r>
        <w:rPr>
          <w:rFonts w:hint="eastAsia" w:hAnsi="宋体"/>
          <w:color w:val="auto"/>
          <w:szCs w:val="21"/>
          <w:highlight w:val="none"/>
        </w:rPr>
        <w:t>5、项目经理简历表</w:t>
      </w:r>
    </w:p>
    <w:p w14:paraId="18DB6137">
      <w:pPr>
        <w:spacing w:line="480" w:lineRule="exact"/>
        <w:jc w:val="center"/>
        <w:rPr>
          <w:rFonts w:hAnsi="宋体"/>
          <w:b/>
          <w:color w:val="auto"/>
          <w:sz w:val="24"/>
          <w:szCs w:val="28"/>
          <w:highlight w:val="none"/>
        </w:rPr>
      </w:pPr>
      <w:r>
        <w:rPr>
          <w:rFonts w:hint="eastAsia" w:hAnsi="宋体"/>
          <w:b/>
          <w:color w:val="auto"/>
          <w:sz w:val="24"/>
          <w:szCs w:val="28"/>
          <w:highlight w:val="none"/>
        </w:rPr>
        <w:t>项目经理（注册建造师）简历表</w:t>
      </w:r>
    </w:p>
    <w:tbl>
      <w:tblPr>
        <w:tblStyle w:val="57"/>
        <w:tblW w:w="0" w:type="auto"/>
        <w:tblInd w:w="108" w:type="dxa"/>
        <w:tblBorders>
          <w:top w:val="single" w:color="000000" w:sz="8" w:space="0"/>
          <w:left w:val="single" w:color="000000" w:sz="8" w:space="0"/>
          <w:bottom w:val="none" w:color="auto" w:sz="0" w:space="0"/>
          <w:right w:val="single" w:color="000000" w:sz="8" w:space="0"/>
          <w:insideH w:val="none" w:color="auto" w:sz="0" w:space="0"/>
          <w:insideV w:val="none" w:color="auto" w:sz="0" w:space="0"/>
        </w:tblBorders>
        <w:tblLayout w:type="fixed"/>
        <w:tblCellMar>
          <w:top w:w="0" w:type="dxa"/>
          <w:left w:w="108" w:type="dxa"/>
          <w:bottom w:w="0" w:type="dxa"/>
          <w:right w:w="108" w:type="dxa"/>
        </w:tblCellMar>
      </w:tblPr>
      <w:tblGrid>
        <w:gridCol w:w="1575"/>
        <w:gridCol w:w="405"/>
        <w:gridCol w:w="1065"/>
        <w:gridCol w:w="105"/>
        <w:gridCol w:w="1170"/>
        <w:gridCol w:w="405"/>
        <w:gridCol w:w="1155"/>
        <w:gridCol w:w="420"/>
        <w:gridCol w:w="420"/>
        <w:gridCol w:w="1155"/>
        <w:gridCol w:w="1575"/>
      </w:tblGrid>
      <w:tr w14:paraId="591070EB">
        <w:tblPrEx>
          <w:tblBorders>
            <w:top w:val="single" w:color="000000" w:sz="8"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419" w:hRule="atLeast"/>
        </w:trPr>
        <w:tc>
          <w:tcPr>
            <w:tcW w:w="1980" w:type="dxa"/>
            <w:gridSpan w:val="2"/>
            <w:tcBorders>
              <w:bottom w:val="single" w:color="000000" w:sz="4" w:space="0"/>
              <w:right w:val="single" w:color="000000" w:sz="4" w:space="0"/>
            </w:tcBorders>
            <w:vAlign w:val="center"/>
          </w:tcPr>
          <w:p w14:paraId="62686298">
            <w:pPr>
              <w:autoSpaceDE w:val="0"/>
              <w:autoSpaceDN w:val="0"/>
              <w:spacing w:line="480" w:lineRule="exact"/>
              <w:jc w:val="center"/>
              <w:rPr>
                <w:rFonts w:hAnsi="宋体"/>
                <w:color w:val="auto"/>
                <w:sz w:val="24"/>
                <w:highlight w:val="none"/>
              </w:rPr>
            </w:pPr>
            <w:r>
              <w:rPr>
                <w:rFonts w:hint="eastAsia" w:hAnsi="宋体"/>
                <w:color w:val="auto"/>
                <w:sz w:val="24"/>
                <w:highlight w:val="none"/>
              </w:rPr>
              <w:t>姓 名</w:t>
            </w:r>
          </w:p>
        </w:tc>
        <w:tc>
          <w:tcPr>
            <w:tcW w:w="1065" w:type="dxa"/>
            <w:tcBorders>
              <w:bottom w:val="single" w:color="000000" w:sz="4" w:space="0"/>
              <w:right w:val="single" w:color="000000" w:sz="4" w:space="0"/>
            </w:tcBorders>
            <w:vAlign w:val="center"/>
          </w:tcPr>
          <w:p w14:paraId="0B9BAB15">
            <w:pPr>
              <w:autoSpaceDE w:val="0"/>
              <w:autoSpaceDN w:val="0"/>
              <w:spacing w:line="480" w:lineRule="exact"/>
              <w:jc w:val="center"/>
              <w:rPr>
                <w:rFonts w:hAnsi="宋体"/>
                <w:color w:val="auto"/>
                <w:sz w:val="24"/>
                <w:highlight w:val="none"/>
              </w:rPr>
            </w:pPr>
          </w:p>
        </w:tc>
        <w:tc>
          <w:tcPr>
            <w:tcW w:w="1275" w:type="dxa"/>
            <w:gridSpan w:val="2"/>
            <w:tcBorders>
              <w:bottom w:val="single" w:color="000000" w:sz="4" w:space="0"/>
              <w:right w:val="single" w:color="000000" w:sz="4" w:space="0"/>
            </w:tcBorders>
            <w:vAlign w:val="center"/>
          </w:tcPr>
          <w:p w14:paraId="42BABA00">
            <w:pPr>
              <w:autoSpaceDE w:val="0"/>
              <w:autoSpaceDN w:val="0"/>
              <w:spacing w:line="480" w:lineRule="exact"/>
              <w:jc w:val="center"/>
              <w:rPr>
                <w:rFonts w:hAnsi="宋体"/>
                <w:color w:val="auto"/>
                <w:sz w:val="24"/>
                <w:highlight w:val="none"/>
              </w:rPr>
            </w:pPr>
            <w:r>
              <w:rPr>
                <w:rFonts w:hint="eastAsia" w:hAnsi="宋体"/>
                <w:color w:val="auto"/>
                <w:sz w:val="24"/>
                <w:highlight w:val="none"/>
              </w:rPr>
              <w:t>性别</w:t>
            </w:r>
          </w:p>
        </w:tc>
        <w:tc>
          <w:tcPr>
            <w:tcW w:w="1560" w:type="dxa"/>
            <w:gridSpan w:val="2"/>
            <w:tcBorders>
              <w:bottom w:val="single" w:color="000000" w:sz="4" w:space="0"/>
              <w:right w:val="single" w:color="000000" w:sz="4" w:space="0"/>
            </w:tcBorders>
            <w:vAlign w:val="center"/>
          </w:tcPr>
          <w:p w14:paraId="3C45F892">
            <w:pPr>
              <w:autoSpaceDE w:val="0"/>
              <w:autoSpaceDN w:val="0"/>
              <w:spacing w:line="480" w:lineRule="exact"/>
              <w:jc w:val="center"/>
              <w:rPr>
                <w:rFonts w:hAnsi="宋体"/>
                <w:color w:val="auto"/>
                <w:sz w:val="24"/>
                <w:highlight w:val="none"/>
              </w:rPr>
            </w:pPr>
          </w:p>
        </w:tc>
        <w:tc>
          <w:tcPr>
            <w:tcW w:w="840" w:type="dxa"/>
            <w:gridSpan w:val="2"/>
            <w:tcBorders>
              <w:bottom w:val="single" w:color="000000" w:sz="4" w:space="0"/>
              <w:right w:val="single" w:color="000000" w:sz="4" w:space="0"/>
            </w:tcBorders>
            <w:vAlign w:val="center"/>
          </w:tcPr>
          <w:p w14:paraId="4D510FC2">
            <w:pPr>
              <w:autoSpaceDE w:val="0"/>
              <w:autoSpaceDN w:val="0"/>
              <w:spacing w:line="480" w:lineRule="exact"/>
              <w:jc w:val="center"/>
              <w:rPr>
                <w:rFonts w:hAnsi="宋体"/>
                <w:color w:val="auto"/>
                <w:sz w:val="24"/>
                <w:highlight w:val="none"/>
              </w:rPr>
            </w:pPr>
            <w:r>
              <w:rPr>
                <w:rFonts w:hint="eastAsia" w:hAnsi="宋体"/>
                <w:color w:val="auto"/>
                <w:sz w:val="24"/>
                <w:highlight w:val="none"/>
              </w:rPr>
              <w:t>年龄</w:t>
            </w:r>
          </w:p>
        </w:tc>
        <w:tc>
          <w:tcPr>
            <w:tcW w:w="2730" w:type="dxa"/>
            <w:gridSpan w:val="2"/>
            <w:tcBorders>
              <w:bottom w:val="single" w:color="000000" w:sz="4" w:space="0"/>
              <w:right w:val="single" w:color="000000" w:sz="4" w:space="0"/>
            </w:tcBorders>
            <w:vAlign w:val="center"/>
          </w:tcPr>
          <w:p w14:paraId="6BF13FE2">
            <w:pPr>
              <w:autoSpaceDE w:val="0"/>
              <w:autoSpaceDN w:val="0"/>
              <w:spacing w:line="480" w:lineRule="exact"/>
              <w:jc w:val="center"/>
              <w:rPr>
                <w:rFonts w:hAnsi="宋体"/>
                <w:color w:val="auto"/>
                <w:sz w:val="24"/>
                <w:highlight w:val="none"/>
              </w:rPr>
            </w:pPr>
          </w:p>
        </w:tc>
      </w:tr>
      <w:tr w14:paraId="615B027F">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419" w:hRule="atLeast"/>
        </w:trPr>
        <w:tc>
          <w:tcPr>
            <w:tcW w:w="1980" w:type="dxa"/>
            <w:gridSpan w:val="2"/>
            <w:tcBorders>
              <w:bottom w:val="single" w:color="000000" w:sz="4" w:space="0"/>
              <w:right w:val="single" w:color="000000" w:sz="4" w:space="0"/>
            </w:tcBorders>
            <w:vAlign w:val="center"/>
          </w:tcPr>
          <w:p w14:paraId="4D71D0F4">
            <w:pPr>
              <w:autoSpaceDE w:val="0"/>
              <w:autoSpaceDN w:val="0"/>
              <w:spacing w:line="480" w:lineRule="exact"/>
              <w:jc w:val="center"/>
              <w:rPr>
                <w:rFonts w:hAnsi="宋体"/>
                <w:color w:val="auto"/>
                <w:sz w:val="24"/>
                <w:highlight w:val="none"/>
              </w:rPr>
            </w:pPr>
            <w:r>
              <w:rPr>
                <w:rFonts w:hint="eastAsia" w:hAnsi="宋体"/>
                <w:color w:val="auto"/>
                <w:sz w:val="24"/>
                <w:highlight w:val="none"/>
              </w:rPr>
              <w:t>职 务</w:t>
            </w:r>
          </w:p>
        </w:tc>
        <w:tc>
          <w:tcPr>
            <w:tcW w:w="1065" w:type="dxa"/>
            <w:tcBorders>
              <w:bottom w:val="single" w:color="000000" w:sz="4" w:space="0"/>
              <w:right w:val="single" w:color="000000" w:sz="4" w:space="0"/>
            </w:tcBorders>
            <w:vAlign w:val="center"/>
          </w:tcPr>
          <w:p w14:paraId="5DD99C44">
            <w:pPr>
              <w:autoSpaceDE w:val="0"/>
              <w:autoSpaceDN w:val="0"/>
              <w:spacing w:line="480" w:lineRule="exact"/>
              <w:jc w:val="center"/>
              <w:rPr>
                <w:rFonts w:hAnsi="宋体"/>
                <w:color w:val="auto"/>
                <w:sz w:val="24"/>
                <w:highlight w:val="none"/>
              </w:rPr>
            </w:pPr>
          </w:p>
        </w:tc>
        <w:tc>
          <w:tcPr>
            <w:tcW w:w="1275" w:type="dxa"/>
            <w:gridSpan w:val="2"/>
            <w:tcBorders>
              <w:bottom w:val="single" w:color="000000" w:sz="4" w:space="0"/>
              <w:right w:val="single" w:color="000000" w:sz="4" w:space="0"/>
            </w:tcBorders>
            <w:vAlign w:val="center"/>
          </w:tcPr>
          <w:p w14:paraId="3F32290D">
            <w:pPr>
              <w:autoSpaceDE w:val="0"/>
              <w:autoSpaceDN w:val="0"/>
              <w:spacing w:line="480" w:lineRule="exact"/>
              <w:jc w:val="center"/>
              <w:rPr>
                <w:rFonts w:hAnsi="宋体"/>
                <w:color w:val="auto"/>
                <w:sz w:val="24"/>
                <w:highlight w:val="none"/>
              </w:rPr>
            </w:pPr>
            <w:r>
              <w:rPr>
                <w:rFonts w:hint="eastAsia" w:hAnsi="宋体"/>
                <w:color w:val="auto"/>
                <w:sz w:val="24"/>
                <w:highlight w:val="none"/>
              </w:rPr>
              <w:t>职称</w:t>
            </w:r>
          </w:p>
        </w:tc>
        <w:tc>
          <w:tcPr>
            <w:tcW w:w="1560" w:type="dxa"/>
            <w:gridSpan w:val="2"/>
            <w:tcBorders>
              <w:bottom w:val="single" w:color="000000" w:sz="4" w:space="0"/>
              <w:right w:val="single" w:color="000000" w:sz="4" w:space="0"/>
            </w:tcBorders>
            <w:vAlign w:val="center"/>
          </w:tcPr>
          <w:p w14:paraId="060D695A">
            <w:pPr>
              <w:autoSpaceDE w:val="0"/>
              <w:autoSpaceDN w:val="0"/>
              <w:spacing w:line="480" w:lineRule="exact"/>
              <w:jc w:val="center"/>
              <w:rPr>
                <w:rFonts w:hAnsi="宋体"/>
                <w:color w:val="auto"/>
                <w:sz w:val="24"/>
                <w:highlight w:val="none"/>
              </w:rPr>
            </w:pPr>
          </w:p>
        </w:tc>
        <w:tc>
          <w:tcPr>
            <w:tcW w:w="840" w:type="dxa"/>
            <w:gridSpan w:val="2"/>
            <w:tcBorders>
              <w:bottom w:val="single" w:color="000000" w:sz="4" w:space="0"/>
              <w:right w:val="single" w:color="000000" w:sz="4" w:space="0"/>
            </w:tcBorders>
            <w:vAlign w:val="center"/>
          </w:tcPr>
          <w:p w14:paraId="362727C8">
            <w:pPr>
              <w:autoSpaceDE w:val="0"/>
              <w:autoSpaceDN w:val="0"/>
              <w:spacing w:line="480" w:lineRule="exact"/>
              <w:jc w:val="center"/>
              <w:rPr>
                <w:rFonts w:hAnsi="宋体"/>
                <w:color w:val="auto"/>
                <w:sz w:val="24"/>
                <w:highlight w:val="none"/>
              </w:rPr>
            </w:pPr>
            <w:r>
              <w:rPr>
                <w:rFonts w:hint="eastAsia" w:hAnsi="宋体"/>
                <w:color w:val="auto"/>
                <w:sz w:val="24"/>
                <w:highlight w:val="none"/>
              </w:rPr>
              <w:t>学历</w:t>
            </w:r>
          </w:p>
        </w:tc>
        <w:tc>
          <w:tcPr>
            <w:tcW w:w="2730" w:type="dxa"/>
            <w:gridSpan w:val="2"/>
            <w:tcBorders>
              <w:bottom w:val="single" w:color="000000" w:sz="4" w:space="0"/>
              <w:right w:val="single" w:color="000000" w:sz="4" w:space="0"/>
            </w:tcBorders>
            <w:vAlign w:val="center"/>
          </w:tcPr>
          <w:p w14:paraId="0DFD405A">
            <w:pPr>
              <w:autoSpaceDE w:val="0"/>
              <w:autoSpaceDN w:val="0"/>
              <w:spacing w:line="480" w:lineRule="exact"/>
              <w:jc w:val="center"/>
              <w:rPr>
                <w:rFonts w:hAnsi="宋体"/>
                <w:color w:val="auto"/>
                <w:sz w:val="24"/>
                <w:highlight w:val="none"/>
              </w:rPr>
            </w:pPr>
          </w:p>
        </w:tc>
      </w:tr>
      <w:tr w14:paraId="2E1A977C">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419" w:hRule="atLeast"/>
        </w:trPr>
        <w:tc>
          <w:tcPr>
            <w:tcW w:w="1980" w:type="dxa"/>
            <w:gridSpan w:val="2"/>
            <w:tcBorders>
              <w:bottom w:val="single" w:color="000000" w:sz="4" w:space="0"/>
              <w:right w:val="single" w:color="000000" w:sz="4" w:space="0"/>
            </w:tcBorders>
          </w:tcPr>
          <w:p w14:paraId="33981882">
            <w:pPr>
              <w:autoSpaceDE w:val="0"/>
              <w:autoSpaceDN w:val="0"/>
              <w:spacing w:line="480" w:lineRule="exact"/>
              <w:jc w:val="center"/>
              <w:rPr>
                <w:rFonts w:hAnsi="宋体"/>
                <w:color w:val="auto"/>
                <w:sz w:val="24"/>
                <w:highlight w:val="none"/>
              </w:rPr>
            </w:pPr>
            <w:r>
              <w:rPr>
                <w:rFonts w:hint="eastAsia" w:hAnsi="宋体"/>
                <w:color w:val="auto"/>
                <w:sz w:val="24"/>
                <w:highlight w:val="none"/>
              </w:rPr>
              <w:t>参加工作时间</w:t>
            </w:r>
          </w:p>
        </w:tc>
        <w:tc>
          <w:tcPr>
            <w:tcW w:w="1065" w:type="dxa"/>
            <w:tcBorders>
              <w:bottom w:val="single" w:color="000000" w:sz="4" w:space="0"/>
              <w:right w:val="single" w:color="000000" w:sz="4" w:space="0"/>
            </w:tcBorders>
          </w:tcPr>
          <w:p w14:paraId="25D50B72">
            <w:pPr>
              <w:autoSpaceDE w:val="0"/>
              <w:autoSpaceDN w:val="0"/>
              <w:spacing w:line="480" w:lineRule="exact"/>
              <w:jc w:val="center"/>
              <w:rPr>
                <w:rFonts w:hAnsi="宋体"/>
                <w:color w:val="auto"/>
                <w:sz w:val="24"/>
                <w:highlight w:val="none"/>
              </w:rPr>
            </w:pPr>
          </w:p>
        </w:tc>
        <w:tc>
          <w:tcPr>
            <w:tcW w:w="2835" w:type="dxa"/>
            <w:gridSpan w:val="4"/>
            <w:tcBorders>
              <w:bottom w:val="single" w:color="000000" w:sz="4" w:space="0"/>
              <w:right w:val="single" w:color="000000" w:sz="4" w:space="0"/>
            </w:tcBorders>
          </w:tcPr>
          <w:p w14:paraId="683EE80D">
            <w:pPr>
              <w:autoSpaceDE w:val="0"/>
              <w:autoSpaceDN w:val="0"/>
              <w:spacing w:line="480" w:lineRule="exact"/>
              <w:jc w:val="center"/>
              <w:rPr>
                <w:rFonts w:hAnsi="宋体"/>
                <w:color w:val="auto"/>
                <w:sz w:val="24"/>
                <w:highlight w:val="none"/>
              </w:rPr>
            </w:pPr>
            <w:r>
              <w:rPr>
                <w:rFonts w:hint="eastAsia" w:hAnsi="宋体"/>
                <w:color w:val="auto"/>
                <w:sz w:val="24"/>
                <w:highlight w:val="none"/>
              </w:rPr>
              <w:t>从事项目经理年限</w:t>
            </w:r>
          </w:p>
        </w:tc>
        <w:tc>
          <w:tcPr>
            <w:tcW w:w="840" w:type="dxa"/>
            <w:gridSpan w:val="2"/>
            <w:tcBorders>
              <w:bottom w:val="single" w:color="000000" w:sz="4" w:space="0"/>
              <w:right w:val="single" w:color="000000" w:sz="4" w:space="0"/>
            </w:tcBorders>
          </w:tcPr>
          <w:p w14:paraId="6C31E338">
            <w:pPr>
              <w:autoSpaceDE w:val="0"/>
              <w:autoSpaceDN w:val="0"/>
              <w:spacing w:line="480" w:lineRule="exact"/>
              <w:jc w:val="center"/>
              <w:rPr>
                <w:rFonts w:hAnsi="宋体"/>
                <w:color w:val="auto"/>
                <w:sz w:val="24"/>
                <w:highlight w:val="none"/>
              </w:rPr>
            </w:pPr>
          </w:p>
        </w:tc>
        <w:tc>
          <w:tcPr>
            <w:tcW w:w="1155" w:type="dxa"/>
            <w:tcBorders>
              <w:bottom w:val="single" w:color="000000" w:sz="4" w:space="0"/>
              <w:right w:val="single" w:color="000000" w:sz="4" w:space="0"/>
            </w:tcBorders>
          </w:tcPr>
          <w:p w14:paraId="07A50725">
            <w:pPr>
              <w:autoSpaceDE w:val="0"/>
              <w:autoSpaceDN w:val="0"/>
              <w:spacing w:line="480" w:lineRule="exact"/>
              <w:jc w:val="center"/>
              <w:rPr>
                <w:rFonts w:hAnsi="宋体"/>
                <w:color w:val="auto"/>
                <w:sz w:val="24"/>
                <w:highlight w:val="none"/>
              </w:rPr>
            </w:pPr>
            <w:r>
              <w:rPr>
                <w:rFonts w:hint="eastAsia" w:hAnsi="宋体"/>
                <w:color w:val="auto"/>
                <w:sz w:val="24"/>
                <w:highlight w:val="none"/>
              </w:rPr>
              <w:t>证书号</w:t>
            </w:r>
          </w:p>
        </w:tc>
        <w:tc>
          <w:tcPr>
            <w:tcW w:w="1575" w:type="dxa"/>
            <w:tcBorders>
              <w:bottom w:val="single" w:color="000000" w:sz="4" w:space="0"/>
              <w:right w:val="single" w:color="000000" w:sz="4" w:space="0"/>
            </w:tcBorders>
          </w:tcPr>
          <w:p w14:paraId="63002560">
            <w:pPr>
              <w:autoSpaceDE w:val="0"/>
              <w:autoSpaceDN w:val="0"/>
              <w:spacing w:line="480" w:lineRule="exact"/>
              <w:jc w:val="center"/>
              <w:rPr>
                <w:rFonts w:hAnsi="宋体"/>
                <w:color w:val="auto"/>
                <w:sz w:val="24"/>
                <w:highlight w:val="none"/>
              </w:rPr>
            </w:pPr>
          </w:p>
        </w:tc>
      </w:tr>
      <w:tr w14:paraId="0C1083A5">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419" w:hRule="atLeast"/>
        </w:trPr>
        <w:tc>
          <w:tcPr>
            <w:tcW w:w="9450" w:type="dxa"/>
            <w:gridSpan w:val="11"/>
            <w:tcBorders>
              <w:bottom w:val="single" w:color="000000" w:sz="4" w:space="0"/>
              <w:right w:val="single" w:color="000000" w:sz="4" w:space="0"/>
            </w:tcBorders>
          </w:tcPr>
          <w:p w14:paraId="0351F509">
            <w:pPr>
              <w:autoSpaceDE w:val="0"/>
              <w:autoSpaceDN w:val="0"/>
              <w:spacing w:line="480" w:lineRule="exact"/>
              <w:jc w:val="center"/>
              <w:rPr>
                <w:rFonts w:hAnsi="宋体"/>
                <w:color w:val="auto"/>
                <w:sz w:val="24"/>
                <w:highlight w:val="none"/>
              </w:rPr>
            </w:pPr>
            <w:r>
              <w:rPr>
                <w:rFonts w:hint="eastAsia" w:hAnsi="宋体"/>
                <w:color w:val="auto"/>
                <w:sz w:val="24"/>
                <w:highlight w:val="none"/>
              </w:rPr>
              <w:t>已</w:t>
            </w:r>
            <w:r>
              <w:rPr>
                <w:rFonts w:hAnsi="宋体"/>
                <w:color w:val="auto"/>
                <w:sz w:val="24"/>
                <w:highlight w:val="none"/>
              </w:rPr>
              <w:t xml:space="preserve">  </w:t>
            </w:r>
            <w:r>
              <w:rPr>
                <w:rFonts w:hint="eastAsia" w:hAnsi="宋体"/>
                <w:color w:val="auto"/>
                <w:sz w:val="24"/>
                <w:highlight w:val="none"/>
              </w:rPr>
              <w:t>完</w:t>
            </w:r>
            <w:r>
              <w:rPr>
                <w:rFonts w:hAnsi="宋体"/>
                <w:color w:val="auto"/>
                <w:sz w:val="24"/>
                <w:highlight w:val="none"/>
              </w:rPr>
              <w:t xml:space="preserve">  </w:t>
            </w:r>
            <w:r>
              <w:rPr>
                <w:rFonts w:hint="eastAsia" w:hAnsi="宋体"/>
                <w:color w:val="auto"/>
                <w:sz w:val="24"/>
                <w:highlight w:val="none"/>
              </w:rPr>
              <w:t>成</w:t>
            </w:r>
            <w:r>
              <w:rPr>
                <w:rFonts w:hAnsi="宋体"/>
                <w:color w:val="auto"/>
                <w:sz w:val="24"/>
                <w:highlight w:val="none"/>
              </w:rPr>
              <w:t xml:space="preserve">  </w:t>
            </w:r>
            <w:r>
              <w:rPr>
                <w:rFonts w:hint="eastAsia" w:hAnsi="宋体"/>
                <w:color w:val="auto"/>
                <w:sz w:val="24"/>
                <w:highlight w:val="none"/>
              </w:rPr>
              <w:t>工</w:t>
            </w:r>
            <w:r>
              <w:rPr>
                <w:rFonts w:hAnsi="宋体"/>
                <w:color w:val="auto"/>
                <w:sz w:val="24"/>
                <w:highlight w:val="none"/>
              </w:rPr>
              <w:t xml:space="preserve">  </w:t>
            </w:r>
            <w:r>
              <w:rPr>
                <w:rFonts w:hint="eastAsia" w:hAnsi="宋体"/>
                <w:color w:val="auto"/>
                <w:sz w:val="24"/>
                <w:highlight w:val="none"/>
              </w:rPr>
              <w:t>程</w:t>
            </w:r>
            <w:r>
              <w:rPr>
                <w:rFonts w:hAnsi="宋体"/>
                <w:color w:val="auto"/>
                <w:sz w:val="24"/>
                <w:highlight w:val="none"/>
              </w:rPr>
              <w:t xml:space="preserve">  </w:t>
            </w:r>
            <w:r>
              <w:rPr>
                <w:rFonts w:hint="eastAsia" w:hAnsi="宋体"/>
                <w:color w:val="auto"/>
                <w:sz w:val="24"/>
                <w:highlight w:val="none"/>
              </w:rPr>
              <w:t>项</w:t>
            </w:r>
            <w:r>
              <w:rPr>
                <w:rFonts w:hAnsi="宋体"/>
                <w:color w:val="auto"/>
                <w:sz w:val="24"/>
                <w:highlight w:val="none"/>
              </w:rPr>
              <w:t xml:space="preserve">  </w:t>
            </w:r>
            <w:r>
              <w:rPr>
                <w:rFonts w:hint="eastAsia" w:hAnsi="宋体"/>
                <w:color w:val="auto"/>
                <w:sz w:val="24"/>
                <w:highlight w:val="none"/>
              </w:rPr>
              <w:t>目</w:t>
            </w:r>
            <w:r>
              <w:rPr>
                <w:rFonts w:hAnsi="宋体"/>
                <w:color w:val="auto"/>
                <w:sz w:val="24"/>
                <w:highlight w:val="none"/>
              </w:rPr>
              <w:t xml:space="preserve">  </w:t>
            </w:r>
            <w:r>
              <w:rPr>
                <w:rFonts w:hint="eastAsia" w:hAnsi="宋体"/>
                <w:color w:val="auto"/>
                <w:sz w:val="24"/>
                <w:highlight w:val="none"/>
              </w:rPr>
              <w:t>情</w:t>
            </w:r>
            <w:r>
              <w:rPr>
                <w:rFonts w:hAnsi="宋体"/>
                <w:color w:val="auto"/>
                <w:sz w:val="24"/>
                <w:highlight w:val="none"/>
              </w:rPr>
              <w:t xml:space="preserve">  </w:t>
            </w:r>
            <w:r>
              <w:rPr>
                <w:rFonts w:hint="eastAsia" w:hAnsi="宋体"/>
                <w:color w:val="auto"/>
                <w:sz w:val="24"/>
                <w:highlight w:val="none"/>
              </w:rPr>
              <w:t>况</w:t>
            </w:r>
          </w:p>
        </w:tc>
      </w:tr>
      <w:tr w14:paraId="33D69183">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419" w:hRule="atLeast"/>
        </w:trPr>
        <w:tc>
          <w:tcPr>
            <w:tcW w:w="1575" w:type="dxa"/>
            <w:tcBorders>
              <w:bottom w:val="single" w:color="000000" w:sz="4" w:space="0"/>
              <w:right w:val="single" w:color="000000" w:sz="4" w:space="0"/>
            </w:tcBorders>
          </w:tcPr>
          <w:p w14:paraId="3362FA26">
            <w:pPr>
              <w:autoSpaceDE w:val="0"/>
              <w:autoSpaceDN w:val="0"/>
              <w:spacing w:line="480" w:lineRule="exact"/>
              <w:jc w:val="center"/>
              <w:rPr>
                <w:rFonts w:hAnsi="宋体"/>
                <w:color w:val="auto"/>
                <w:sz w:val="24"/>
                <w:highlight w:val="none"/>
              </w:rPr>
            </w:pPr>
            <w:r>
              <w:rPr>
                <w:rFonts w:hint="eastAsia" w:hAnsi="宋体"/>
                <w:color w:val="auto"/>
                <w:sz w:val="24"/>
                <w:highlight w:val="none"/>
              </w:rPr>
              <w:t>建设单位</w:t>
            </w:r>
          </w:p>
        </w:tc>
        <w:tc>
          <w:tcPr>
            <w:tcW w:w="1575" w:type="dxa"/>
            <w:gridSpan w:val="3"/>
            <w:tcBorders>
              <w:bottom w:val="single" w:color="000000" w:sz="4" w:space="0"/>
              <w:right w:val="single" w:color="000000" w:sz="4" w:space="0"/>
            </w:tcBorders>
          </w:tcPr>
          <w:p w14:paraId="0F78CE9B">
            <w:pPr>
              <w:autoSpaceDE w:val="0"/>
              <w:autoSpaceDN w:val="0"/>
              <w:spacing w:line="480" w:lineRule="exact"/>
              <w:jc w:val="center"/>
              <w:rPr>
                <w:rFonts w:hAnsi="宋体"/>
                <w:color w:val="auto"/>
                <w:sz w:val="24"/>
                <w:highlight w:val="none"/>
              </w:rPr>
            </w:pPr>
            <w:r>
              <w:rPr>
                <w:rFonts w:hint="eastAsia" w:hAnsi="宋体"/>
                <w:color w:val="auto"/>
                <w:sz w:val="24"/>
                <w:highlight w:val="none"/>
              </w:rPr>
              <w:t>项目名称</w:t>
            </w:r>
          </w:p>
        </w:tc>
        <w:tc>
          <w:tcPr>
            <w:tcW w:w="1575" w:type="dxa"/>
            <w:gridSpan w:val="2"/>
            <w:tcBorders>
              <w:bottom w:val="single" w:color="000000" w:sz="4" w:space="0"/>
              <w:right w:val="single" w:color="000000" w:sz="4" w:space="0"/>
            </w:tcBorders>
          </w:tcPr>
          <w:p w14:paraId="6610FB04">
            <w:pPr>
              <w:autoSpaceDE w:val="0"/>
              <w:autoSpaceDN w:val="0"/>
              <w:spacing w:line="480" w:lineRule="exact"/>
              <w:jc w:val="center"/>
              <w:rPr>
                <w:rFonts w:hAnsi="宋体"/>
                <w:color w:val="auto"/>
                <w:sz w:val="24"/>
                <w:highlight w:val="none"/>
              </w:rPr>
            </w:pPr>
            <w:r>
              <w:rPr>
                <w:rFonts w:hint="eastAsia" w:hAnsi="宋体"/>
                <w:color w:val="auto"/>
                <w:sz w:val="24"/>
                <w:highlight w:val="none"/>
              </w:rPr>
              <w:t>建设规模</w:t>
            </w:r>
          </w:p>
        </w:tc>
        <w:tc>
          <w:tcPr>
            <w:tcW w:w="1575" w:type="dxa"/>
            <w:gridSpan w:val="2"/>
            <w:tcBorders>
              <w:bottom w:val="single" w:color="000000" w:sz="4" w:space="0"/>
              <w:right w:val="single" w:color="auto" w:sz="4" w:space="0"/>
            </w:tcBorders>
          </w:tcPr>
          <w:p w14:paraId="291807DE">
            <w:pPr>
              <w:autoSpaceDE w:val="0"/>
              <w:autoSpaceDN w:val="0"/>
              <w:spacing w:line="480" w:lineRule="exact"/>
              <w:jc w:val="center"/>
              <w:rPr>
                <w:rFonts w:hAnsi="宋体"/>
                <w:color w:val="auto"/>
                <w:sz w:val="24"/>
                <w:highlight w:val="none"/>
              </w:rPr>
            </w:pPr>
            <w:r>
              <w:rPr>
                <w:rFonts w:hint="eastAsia" w:hAnsi="宋体"/>
                <w:color w:val="auto"/>
                <w:sz w:val="24"/>
                <w:highlight w:val="none"/>
              </w:rPr>
              <w:t>结构类型</w:t>
            </w:r>
          </w:p>
        </w:tc>
        <w:tc>
          <w:tcPr>
            <w:tcW w:w="1575" w:type="dxa"/>
            <w:gridSpan w:val="2"/>
            <w:tcBorders>
              <w:left w:val="single" w:color="auto" w:sz="4" w:space="0"/>
              <w:bottom w:val="single" w:color="000000" w:sz="4" w:space="0"/>
              <w:right w:val="single" w:color="000000" w:sz="4" w:space="0"/>
            </w:tcBorders>
          </w:tcPr>
          <w:p w14:paraId="1A6758FD">
            <w:pPr>
              <w:autoSpaceDE w:val="0"/>
              <w:autoSpaceDN w:val="0"/>
              <w:spacing w:line="480" w:lineRule="exact"/>
              <w:jc w:val="center"/>
              <w:rPr>
                <w:rFonts w:hAnsi="宋体"/>
                <w:color w:val="auto"/>
                <w:sz w:val="24"/>
                <w:highlight w:val="none"/>
              </w:rPr>
            </w:pPr>
            <w:r>
              <w:rPr>
                <w:rFonts w:hint="eastAsia" w:hAnsi="宋体"/>
                <w:color w:val="auto"/>
                <w:sz w:val="24"/>
                <w:highlight w:val="none"/>
              </w:rPr>
              <w:t>开、竣工日期</w:t>
            </w:r>
          </w:p>
        </w:tc>
        <w:tc>
          <w:tcPr>
            <w:tcW w:w="1575" w:type="dxa"/>
            <w:tcBorders>
              <w:bottom w:val="single" w:color="000000" w:sz="4" w:space="0"/>
              <w:right w:val="single" w:color="000000" w:sz="4" w:space="0"/>
            </w:tcBorders>
          </w:tcPr>
          <w:p w14:paraId="59187688">
            <w:pPr>
              <w:autoSpaceDE w:val="0"/>
              <w:autoSpaceDN w:val="0"/>
              <w:spacing w:line="480" w:lineRule="exact"/>
              <w:jc w:val="center"/>
              <w:rPr>
                <w:rFonts w:hAnsi="宋体"/>
                <w:color w:val="auto"/>
                <w:sz w:val="24"/>
                <w:highlight w:val="none"/>
              </w:rPr>
            </w:pPr>
            <w:r>
              <w:rPr>
                <w:rFonts w:hint="eastAsia" w:hAnsi="宋体"/>
                <w:color w:val="auto"/>
                <w:sz w:val="24"/>
                <w:highlight w:val="none"/>
              </w:rPr>
              <w:t>工程质量</w:t>
            </w:r>
          </w:p>
        </w:tc>
      </w:tr>
      <w:tr w14:paraId="0F0F4F00">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611" w:hRule="atLeast"/>
        </w:trPr>
        <w:tc>
          <w:tcPr>
            <w:tcW w:w="1575" w:type="dxa"/>
            <w:tcBorders>
              <w:bottom w:val="single" w:color="000000" w:sz="4" w:space="0"/>
              <w:right w:val="single" w:color="000000" w:sz="4" w:space="0"/>
            </w:tcBorders>
          </w:tcPr>
          <w:p w14:paraId="6C0D3E0E">
            <w:pPr>
              <w:autoSpaceDE w:val="0"/>
              <w:autoSpaceDN w:val="0"/>
              <w:spacing w:line="480" w:lineRule="exact"/>
              <w:rPr>
                <w:rFonts w:hAnsi="宋体"/>
                <w:color w:val="auto"/>
                <w:sz w:val="24"/>
                <w:highlight w:val="none"/>
              </w:rPr>
            </w:pPr>
          </w:p>
        </w:tc>
        <w:tc>
          <w:tcPr>
            <w:tcW w:w="1575" w:type="dxa"/>
            <w:gridSpan w:val="3"/>
            <w:tcBorders>
              <w:bottom w:val="single" w:color="000000" w:sz="4" w:space="0"/>
              <w:right w:val="single" w:color="000000" w:sz="4" w:space="0"/>
            </w:tcBorders>
          </w:tcPr>
          <w:p w14:paraId="24FBCFF1">
            <w:pPr>
              <w:autoSpaceDE w:val="0"/>
              <w:autoSpaceDN w:val="0"/>
              <w:spacing w:line="480" w:lineRule="exact"/>
              <w:rPr>
                <w:rFonts w:hAnsi="宋体"/>
                <w:color w:val="auto"/>
                <w:sz w:val="24"/>
                <w:highlight w:val="none"/>
              </w:rPr>
            </w:pPr>
          </w:p>
        </w:tc>
        <w:tc>
          <w:tcPr>
            <w:tcW w:w="1575" w:type="dxa"/>
            <w:gridSpan w:val="2"/>
            <w:tcBorders>
              <w:bottom w:val="single" w:color="000000" w:sz="4" w:space="0"/>
              <w:right w:val="single" w:color="000000" w:sz="4" w:space="0"/>
            </w:tcBorders>
          </w:tcPr>
          <w:p w14:paraId="33E1A623">
            <w:pPr>
              <w:autoSpaceDE w:val="0"/>
              <w:autoSpaceDN w:val="0"/>
              <w:spacing w:line="480" w:lineRule="exact"/>
              <w:rPr>
                <w:rFonts w:hAnsi="宋体"/>
                <w:color w:val="auto"/>
                <w:sz w:val="24"/>
                <w:highlight w:val="none"/>
              </w:rPr>
            </w:pPr>
          </w:p>
        </w:tc>
        <w:tc>
          <w:tcPr>
            <w:tcW w:w="1575" w:type="dxa"/>
            <w:gridSpan w:val="2"/>
            <w:tcBorders>
              <w:bottom w:val="single" w:color="000000" w:sz="4" w:space="0"/>
              <w:right w:val="single" w:color="auto" w:sz="4" w:space="0"/>
            </w:tcBorders>
          </w:tcPr>
          <w:p w14:paraId="33DAD6FE">
            <w:pPr>
              <w:autoSpaceDE w:val="0"/>
              <w:autoSpaceDN w:val="0"/>
              <w:spacing w:line="480" w:lineRule="exact"/>
              <w:rPr>
                <w:rFonts w:hAnsi="宋体"/>
                <w:color w:val="auto"/>
                <w:sz w:val="24"/>
                <w:highlight w:val="none"/>
              </w:rPr>
            </w:pPr>
          </w:p>
        </w:tc>
        <w:tc>
          <w:tcPr>
            <w:tcW w:w="1575" w:type="dxa"/>
            <w:gridSpan w:val="2"/>
            <w:tcBorders>
              <w:left w:val="single" w:color="auto" w:sz="4" w:space="0"/>
              <w:bottom w:val="single" w:color="000000" w:sz="4" w:space="0"/>
              <w:right w:val="single" w:color="000000" w:sz="4" w:space="0"/>
            </w:tcBorders>
          </w:tcPr>
          <w:p w14:paraId="2DAEBCDA">
            <w:pPr>
              <w:autoSpaceDE w:val="0"/>
              <w:autoSpaceDN w:val="0"/>
              <w:spacing w:line="480" w:lineRule="exact"/>
              <w:rPr>
                <w:rFonts w:hAnsi="宋体"/>
                <w:color w:val="auto"/>
                <w:sz w:val="24"/>
                <w:highlight w:val="none"/>
              </w:rPr>
            </w:pPr>
          </w:p>
        </w:tc>
        <w:tc>
          <w:tcPr>
            <w:tcW w:w="1575" w:type="dxa"/>
            <w:tcBorders>
              <w:bottom w:val="single" w:color="000000" w:sz="4" w:space="0"/>
              <w:right w:val="single" w:color="000000" w:sz="4" w:space="0"/>
            </w:tcBorders>
          </w:tcPr>
          <w:p w14:paraId="20F71FAB">
            <w:pPr>
              <w:autoSpaceDE w:val="0"/>
              <w:autoSpaceDN w:val="0"/>
              <w:spacing w:line="480" w:lineRule="exact"/>
              <w:rPr>
                <w:rFonts w:hAnsi="宋体"/>
                <w:color w:val="auto"/>
                <w:sz w:val="24"/>
                <w:highlight w:val="none"/>
              </w:rPr>
            </w:pPr>
          </w:p>
        </w:tc>
      </w:tr>
      <w:tr w14:paraId="3212A270">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566" w:hRule="atLeast"/>
        </w:trPr>
        <w:tc>
          <w:tcPr>
            <w:tcW w:w="1575" w:type="dxa"/>
            <w:tcBorders>
              <w:bottom w:val="single" w:color="000000" w:sz="4" w:space="0"/>
              <w:right w:val="single" w:color="000000" w:sz="4" w:space="0"/>
            </w:tcBorders>
          </w:tcPr>
          <w:p w14:paraId="2DC5B149">
            <w:pPr>
              <w:autoSpaceDE w:val="0"/>
              <w:autoSpaceDN w:val="0"/>
              <w:spacing w:line="480" w:lineRule="exact"/>
              <w:rPr>
                <w:rFonts w:hAnsi="宋体"/>
                <w:color w:val="auto"/>
                <w:sz w:val="24"/>
                <w:highlight w:val="none"/>
              </w:rPr>
            </w:pPr>
          </w:p>
        </w:tc>
        <w:tc>
          <w:tcPr>
            <w:tcW w:w="1575" w:type="dxa"/>
            <w:gridSpan w:val="3"/>
            <w:tcBorders>
              <w:bottom w:val="single" w:color="000000" w:sz="4" w:space="0"/>
              <w:right w:val="single" w:color="000000" w:sz="4" w:space="0"/>
            </w:tcBorders>
          </w:tcPr>
          <w:p w14:paraId="4BA32FE9">
            <w:pPr>
              <w:autoSpaceDE w:val="0"/>
              <w:autoSpaceDN w:val="0"/>
              <w:spacing w:line="480" w:lineRule="exact"/>
              <w:rPr>
                <w:rFonts w:hAnsi="宋体"/>
                <w:color w:val="auto"/>
                <w:sz w:val="24"/>
                <w:highlight w:val="none"/>
              </w:rPr>
            </w:pPr>
          </w:p>
        </w:tc>
        <w:tc>
          <w:tcPr>
            <w:tcW w:w="1575" w:type="dxa"/>
            <w:gridSpan w:val="2"/>
            <w:tcBorders>
              <w:bottom w:val="single" w:color="000000" w:sz="4" w:space="0"/>
              <w:right w:val="single" w:color="000000" w:sz="4" w:space="0"/>
            </w:tcBorders>
          </w:tcPr>
          <w:p w14:paraId="3969A851">
            <w:pPr>
              <w:autoSpaceDE w:val="0"/>
              <w:autoSpaceDN w:val="0"/>
              <w:spacing w:line="480" w:lineRule="exact"/>
              <w:rPr>
                <w:rFonts w:hAnsi="宋体"/>
                <w:color w:val="auto"/>
                <w:sz w:val="24"/>
                <w:highlight w:val="none"/>
              </w:rPr>
            </w:pPr>
          </w:p>
        </w:tc>
        <w:tc>
          <w:tcPr>
            <w:tcW w:w="1575" w:type="dxa"/>
            <w:gridSpan w:val="2"/>
            <w:tcBorders>
              <w:bottom w:val="single" w:color="000000" w:sz="4" w:space="0"/>
              <w:right w:val="single" w:color="auto" w:sz="4" w:space="0"/>
            </w:tcBorders>
          </w:tcPr>
          <w:p w14:paraId="3A66EE5E">
            <w:pPr>
              <w:autoSpaceDE w:val="0"/>
              <w:autoSpaceDN w:val="0"/>
              <w:spacing w:line="480" w:lineRule="exact"/>
              <w:rPr>
                <w:rFonts w:hAnsi="宋体"/>
                <w:color w:val="auto"/>
                <w:sz w:val="24"/>
                <w:highlight w:val="none"/>
              </w:rPr>
            </w:pPr>
          </w:p>
        </w:tc>
        <w:tc>
          <w:tcPr>
            <w:tcW w:w="1575" w:type="dxa"/>
            <w:gridSpan w:val="2"/>
            <w:tcBorders>
              <w:left w:val="single" w:color="auto" w:sz="4" w:space="0"/>
              <w:bottom w:val="single" w:color="000000" w:sz="4" w:space="0"/>
              <w:right w:val="single" w:color="000000" w:sz="4" w:space="0"/>
            </w:tcBorders>
          </w:tcPr>
          <w:p w14:paraId="21C115F9">
            <w:pPr>
              <w:autoSpaceDE w:val="0"/>
              <w:autoSpaceDN w:val="0"/>
              <w:spacing w:line="480" w:lineRule="exact"/>
              <w:rPr>
                <w:rFonts w:hAnsi="宋体"/>
                <w:color w:val="auto"/>
                <w:sz w:val="24"/>
                <w:highlight w:val="none"/>
              </w:rPr>
            </w:pPr>
          </w:p>
        </w:tc>
        <w:tc>
          <w:tcPr>
            <w:tcW w:w="1575" w:type="dxa"/>
            <w:tcBorders>
              <w:bottom w:val="single" w:color="000000" w:sz="4" w:space="0"/>
              <w:right w:val="single" w:color="000000" w:sz="4" w:space="0"/>
            </w:tcBorders>
          </w:tcPr>
          <w:p w14:paraId="0D251910">
            <w:pPr>
              <w:autoSpaceDE w:val="0"/>
              <w:autoSpaceDN w:val="0"/>
              <w:spacing w:line="480" w:lineRule="exact"/>
              <w:rPr>
                <w:rFonts w:hAnsi="宋体"/>
                <w:color w:val="auto"/>
                <w:sz w:val="24"/>
                <w:highlight w:val="none"/>
              </w:rPr>
            </w:pPr>
          </w:p>
        </w:tc>
      </w:tr>
      <w:tr w14:paraId="0D542AAD">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548" w:hRule="atLeast"/>
        </w:trPr>
        <w:tc>
          <w:tcPr>
            <w:tcW w:w="1575" w:type="dxa"/>
            <w:tcBorders>
              <w:bottom w:val="single" w:color="000000" w:sz="4" w:space="0"/>
              <w:right w:val="single" w:color="000000" w:sz="4" w:space="0"/>
            </w:tcBorders>
          </w:tcPr>
          <w:p w14:paraId="2783C6A1">
            <w:pPr>
              <w:autoSpaceDE w:val="0"/>
              <w:autoSpaceDN w:val="0"/>
              <w:spacing w:line="480" w:lineRule="exact"/>
              <w:rPr>
                <w:rFonts w:hAnsi="宋体"/>
                <w:color w:val="auto"/>
                <w:sz w:val="24"/>
                <w:highlight w:val="none"/>
              </w:rPr>
            </w:pPr>
          </w:p>
        </w:tc>
        <w:tc>
          <w:tcPr>
            <w:tcW w:w="1575" w:type="dxa"/>
            <w:gridSpan w:val="3"/>
            <w:tcBorders>
              <w:bottom w:val="single" w:color="000000" w:sz="4" w:space="0"/>
              <w:right w:val="single" w:color="000000" w:sz="4" w:space="0"/>
            </w:tcBorders>
          </w:tcPr>
          <w:p w14:paraId="019B79E9">
            <w:pPr>
              <w:autoSpaceDE w:val="0"/>
              <w:autoSpaceDN w:val="0"/>
              <w:spacing w:line="480" w:lineRule="exact"/>
              <w:rPr>
                <w:rFonts w:hAnsi="宋体"/>
                <w:color w:val="auto"/>
                <w:sz w:val="24"/>
                <w:highlight w:val="none"/>
              </w:rPr>
            </w:pPr>
          </w:p>
        </w:tc>
        <w:tc>
          <w:tcPr>
            <w:tcW w:w="1575" w:type="dxa"/>
            <w:gridSpan w:val="2"/>
            <w:tcBorders>
              <w:bottom w:val="single" w:color="000000" w:sz="4" w:space="0"/>
              <w:right w:val="single" w:color="000000" w:sz="4" w:space="0"/>
            </w:tcBorders>
          </w:tcPr>
          <w:p w14:paraId="17176162">
            <w:pPr>
              <w:autoSpaceDE w:val="0"/>
              <w:autoSpaceDN w:val="0"/>
              <w:spacing w:line="480" w:lineRule="exact"/>
              <w:rPr>
                <w:rFonts w:hAnsi="宋体"/>
                <w:color w:val="auto"/>
                <w:sz w:val="24"/>
                <w:highlight w:val="none"/>
              </w:rPr>
            </w:pPr>
          </w:p>
        </w:tc>
        <w:tc>
          <w:tcPr>
            <w:tcW w:w="1575" w:type="dxa"/>
            <w:gridSpan w:val="2"/>
            <w:tcBorders>
              <w:bottom w:val="single" w:color="000000" w:sz="4" w:space="0"/>
              <w:right w:val="single" w:color="auto" w:sz="4" w:space="0"/>
            </w:tcBorders>
          </w:tcPr>
          <w:p w14:paraId="1EF0E4A4">
            <w:pPr>
              <w:autoSpaceDE w:val="0"/>
              <w:autoSpaceDN w:val="0"/>
              <w:spacing w:line="480" w:lineRule="exact"/>
              <w:rPr>
                <w:rFonts w:hAnsi="宋体"/>
                <w:color w:val="auto"/>
                <w:sz w:val="24"/>
                <w:highlight w:val="none"/>
              </w:rPr>
            </w:pPr>
          </w:p>
        </w:tc>
        <w:tc>
          <w:tcPr>
            <w:tcW w:w="1575" w:type="dxa"/>
            <w:gridSpan w:val="2"/>
            <w:tcBorders>
              <w:left w:val="single" w:color="auto" w:sz="4" w:space="0"/>
              <w:bottom w:val="single" w:color="000000" w:sz="4" w:space="0"/>
              <w:right w:val="single" w:color="000000" w:sz="4" w:space="0"/>
            </w:tcBorders>
          </w:tcPr>
          <w:p w14:paraId="77DBE1A2">
            <w:pPr>
              <w:autoSpaceDE w:val="0"/>
              <w:autoSpaceDN w:val="0"/>
              <w:spacing w:line="480" w:lineRule="exact"/>
              <w:rPr>
                <w:rFonts w:hAnsi="宋体"/>
                <w:color w:val="auto"/>
                <w:sz w:val="24"/>
                <w:highlight w:val="none"/>
              </w:rPr>
            </w:pPr>
          </w:p>
        </w:tc>
        <w:tc>
          <w:tcPr>
            <w:tcW w:w="1575" w:type="dxa"/>
            <w:tcBorders>
              <w:bottom w:val="single" w:color="000000" w:sz="4" w:space="0"/>
              <w:right w:val="single" w:color="000000" w:sz="4" w:space="0"/>
            </w:tcBorders>
          </w:tcPr>
          <w:p w14:paraId="36B185B5">
            <w:pPr>
              <w:autoSpaceDE w:val="0"/>
              <w:autoSpaceDN w:val="0"/>
              <w:spacing w:line="480" w:lineRule="exact"/>
              <w:rPr>
                <w:rFonts w:hAnsi="宋体"/>
                <w:color w:val="auto"/>
                <w:sz w:val="24"/>
                <w:highlight w:val="none"/>
              </w:rPr>
            </w:pPr>
          </w:p>
        </w:tc>
      </w:tr>
      <w:tr w14:paraId="39B7119D">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548" w:hRule="atLeast"/>
        </w:trPr>
        <w:tc>
          <w:tcPr>
            <w:tcW w:w="1575" w:type="dxa"/>
            <w:tcBorders>
              <w:bottom w:val="single" w:color="000000" w:sz="4" w:space="0"/>
              <w:right w:val="single" w:color="000000" w:sz="4" w:space="0"/>
            </w:tcBorders>
          </w:tcPr>
          <w:p w14:paraId="73D11ECF">
            <w:pPr>
              <w:autoSpaceDE w:val="0"/>
              <w:autoSpaceDN w:val="0"/>
              <w:spacing w:line="480" w:lineRule="exact"/>
              <w:rPr>
                <w:rFonts w:hAnsi="宋体"/>
                <w:color w:val="auto"/>
                <w:sz w:val="24"/>
                <w:highlight w:val="none"/>
              </w:rPr>
            </w:pPr>
          </w:p>
        </w:tc>
        <w:tc>
          <w:tcPr>
            <w:tcW w:w="1575" w:type="dxa"/>
            <w:gridSpan w:val="3"/>
            <w:tcBorders>
              <w:bottom w:val="single" w:color="000000" w:sz="4" w:space="0"/>
              <w:right w:val="single" w:color="000000" w:sz="4" w:space="0"/>
            </w:tcBorders>
          </w:tcPr>
          <w:p w14:paraId="3BCE8D4A">
            <w:pPr>
              <w:autoSpaceDE w:val="0"/>
              <w:autoSpaceDN w:val="0"/>
              <w:spacing w:line="480" w:lineRule="exact"/>
              <w:rPr>
                <w:rFonts w:hAnsi="宋体"/>
                <w:color w:val="auto"/>
                <w:sz w:val="24"/>
                <w:highlight w:val="none"/>
              </w:rPr>
            </w:pPr>
          </w:p>
        </w:tc>
        <w:tc>
          <w:tcPr>
            <w:tcW w:w="1575" w:type="dxa"/>
            <w:gridSpan w:val="2"/>
            <w:tcBorders>
              <w:bottom w:val="single" w:color="000000" w:sz="4" w:space="0"/>
              <w:right w:val="single" w:color="000000" w:sz="4" w:space="0"/>
            </w:tcBorders>
          </w:tcPr>
          <w:p w14:paraId="10A05C6C">
            <w:pPr>
              <w:autoSpaceDE w:val="0"/>
              <w:autoSpaceDN w:val="0"/>
              <w:spacing w:line="480" w:lineRule="exact"/>
              <w:rPr>
                <w:rFonts w:hAnsi="宋体"/>
                <w:color w:val="auto"/>
                <w:sz w:val="24"/>
                <w:highlight w:val="none"/>
              </w:rPr>
            </w:pPr>
          </w:p>
        </w:tc>
        <w:tc>
          <w:tcPr>
            <w:tcW w:w="1575" w:type="dxa"/>
            <w:gridSpan w:val="2"/>
            <w:tcBorders>
              <w:bottom w:val="single" w:color="000000" w:sz="4" w:space="0"/>
              <w:right w:val="single" w:color="auto" w:sz="4" w:space="0"/>
            </w:tcBorders>
          </w:tcPr>
          <w:p w14:paraId="352BA278">
            <w:pPr>
              <w:autoSpaceDE w:val="0"/>
              <w:autoSpaceDN w:val="0"/>
              <w:spacing w:line="480" w:lineRule="exact"/>
              <w:rPr>
                <w:rFonts w:hAnsi="宋体"/>
                <w:color w:val="auto"/>
                <w:sz w:val="24"/>
                <w:highlight w:val="none"/>
              </w:rPr>
            </w:pPr>
          </w:p>
        </w:tc>
        <w:tc>
          <w:tcPr>
            <w:tcW w:w="1575" w:type="dxa"/>
            <w:gridSpan w:val="2"/>
            <w:tcBorders>
              <w:left w:val="single" w:color="auto" w:sz="4" w:space="0"/>
              <w:bottom w:val="single" w:color="000000" w:sz="4" w:space="0"/>
              <w:right w:val="single" w:color="000000" w:sz="4" w:space="0"/>
            </w:tcBorders>
          </w:tcPr>
          <w:p w14:paraId="4C704A84">
            <w:pPr>
              <w:autoSpaceDE w:val="0"/>
              <w:autoSpaceDN w:val="0"/>
              <w:spacing w:line="480" w:lineRule="exact"/>
              <w:rPr>
                <w:rFonts w:hAnsi="宋体"/>
                <w:color w:val="auto"/>
                <w:sz w:val="24"/>
                <w:highlight w:val="none"/>
              </w:rPr>
            </w:pPr>
          </w:p>
        </w:tc>
        <w:tc>
          <w:tcPr>
            <w:tcW w:w="1575" w:type="dxa"/>
            <w:tcBorders>
              <w:bottom w:val="single" w:color="000000" w:sz="4" w:space="0"/>
              <w:right w:val="single" w:color="000000" w:sz="4" w:space="0"/>
            </w:tcBorders>
          </w:tcPr>
          <w:p w14:paraId="6A2A1A61">
            <w:pPr>
              <w:autoSpaceDE w:val="0"/>
              <w:autoSpaceDN w:val="0"/>
              <w:spacing w:line="480" w:lineRule="exact"/>
              <w:rPr>
                <w:rFonts w:hAnsi="宋体"/>
                <w:color w:val="auto"/>
                <w:sz w:val="24"/>
                <w:highlight w:val="none"/>
              </w:rPr>
            </w:pPr>
          </w:p>
        </w:tc>
      </w:tr>
    </w:tbl>
    <w:p w14:paraId="46EDE985">
      <w:pPr>
        <w:autoSpaceDE w:val="0"/>
        <w:autoSpaceDN w:val="0"/>
        <w:adjustRightInd w:val="0"/>
        <w:spacing w:line="480" w:lineRule="exact"/>
        <w:rPr>
          <w:rFonts w:ascii="Arial" w:hAnsi="Arial" w:cs="Arial"/>
          <w:color w:val="auto"/>
          <w:szCs w:val="21"/>
          <w:highlight w:val="none"/>
        </w:rPr>
      </w:pPr>
      <w:r>
        <w:rPr>
          <w:rFonts w:ascii="Arial" w:hAnsi="宋体" w:cs="Arial"/>
          <w:color w:val="auto"/>
          <w:szCs w:val="21"/>
          <w:highlight w:val="none"/>
        </w:rPr>
        <w:t>附：</w:t>
      </w:r>
      <w:r>
        <w:rPr>
          <w:rFonts w:ascii="Arial" w:hAnsi="Arial" w:cs="Arial"/>
          <w:color w:val="auto"/>
          <w:szCs w:val="21"/>
          <w:highlight w:val="none"/>
        </w:rPr>
        <w:t>1</w:t>
      </w:r>
      <w:r>
        <w:rPr>
          <w:rFonts w:ascii="Arial" w:hAnsi="宋体" w:cs="Arial"/>
          <w:color w:val="auto"/>
          <w:szCs w:val="21"/>
          <w:highlight w:val="none"/>
        </w:rPr>
        <w:t>、附项目经理注册建造师证、职称证、安全生产考核证复印件，并加盖法人单位公章。</w:t>
      </w:r>
    </w:p>
    <w:p w14:paraId="4C35D7FD">
      <w:pPr>
        <w:spacing w:line="440" w:lineRule="exact"/>
        <w:ind w:firstLine="420" w:firstLineChars="200"/>
        <w:rPr>
          <w:rFonts w:ascii="Arial" w:hAnsi="宋体" w:cs="Arial"/>
          <w:color w:val="auto"/>
          <w:szCs w:val="21"/>
          <w:highlight w:val="none"/>
        </w:rPr>
      </w:pPr>
      <w:r>
        <w:rPr>
          <w:rFonts w:ascii="Arial" w:hAnsi="Arial" w:cs="Arial"/>
          <w:color w:val="auto"/>
          <w:szCs w:val="21"/>
          <w:highlight w:val="none"/>
        </w:rPr>
        <w:t xml:space="preserve">    2</w:t>
      </w:r>
      <w:r>
        <w:rPr>
          <w:rFonts w:ascii="Arial" w:hAnsi="宋体" w:cs="Arial"/>
          <w:color w:val="auto"/>
          <w:szCs w:val="21"/>
          <w:highlight w:val="none"/>
        </w:rPr>
        <w:t>、类似工程</w:t>
      </w:r>
      <w:r>
        <w:rPr>
          <w:rFonts w:hint="eastAsia" w:ascii="Arial" w:hAnsi="宋体" w:cs="Arial"/>
          <w:color w:val="auto"/>
          <w:szCs w:val="21"/>
          <w:highlight w:val="none"/>
        </w:rPr>
        <w:t>（如有）</w:t>
      </w:r>
      <w:r>
        <w:rPr>
          <w:rFonts w:ascii="Arial" w:hAnsi="宋体" w:cs="Arial"/>
          <w:color w:val="auto"/>
          <w:szCs w:val="21"/>
          <w:highlight w:val="none"/>
        </w:rPr>
        <w:t>指近</w:t>
      </w:r>
      <w:r>
        <w:rPr>
          <w:rFonts w:ascii="Arial" w:hAnsi="Arial" w:cs="Arial"/>
          <w:color w:val="auto"/>
          <w:szCs w:val="21"/>
          <w:highlight w:val="none"/>
        </w:rPr>
        <w:t>3</w:t>
      </w:r>
      <w:r>
        <w:rPr>
          <w:rFonts w:ascii="Arial" w:hAnsi="宋体" w:cs="Arial"/>
          <w:color w:val="auto"/>
          <w:szCs w:val="21"/>
          <w:highlight w:val="none"/>
        </w:rPr>
        <w:t>年来承建的工程。</w:t>
      </w:r>
    </w:p>
    <w:p w14:paraId="730CEB3F">
      <w:pPr>
        <w:spacing w:line="440" w:lineRule="exact"/>
        <w:ind w:firstLine="420" w:firstLineChars="200"/>
        <w:rPr>
          <w:rFonts w:ascii="Arial" w:hAnsi="宋体" w:cs="Arial"/>
          <w:color w:val="auto"/>
          <w:szCs w:val="21"/>
          <w:highlight w:val="none"/>
        </w:rPr>
      </w:pPr>
    </w:p>
    <w:p w14:paraId="41B772A2">
      <w:pPr>
        <w:spacing w:line="440" w:lineRule="exact"/>
        <w:ind w:firstLine="420" w:firstLineChars="200"/>
        <w:rPr>
          <w:rFonts w:ascii="Arial" w:hAnsi="宋体" w:cs="Arial"/>
          <w:color w:val="auto"/>
          <w:szCs w:val="21"/>
          <w:highlight w:val="none"/>
        </w:rPr>
      </w:pPr>
    </w:p>
    <w:p w14:paraId="6AEC7304">
      <w:pPr>
        <w:spacing w:line="440" w:lineRule="exact"/>
        <w:ind w:firstLine="420" w:firstLineChars="200"/>
        <w:rPr>
          <w:rFonts w:hAnsi="宋体"/>
          <w:color w:val="auto"/>
          <w:szCs w:val="21"/>
          <w:highlight w:val="none"/>
        </w:rPr>
        <w:sectPr>
          <w:pgSz w:w="11907" w:h="16840"/>
          <w:pgMar w:top="1440" w:right="1440" w:bottom="1440" w:left="1418" w:header="851" w:footer="851" w:gutter="0"/>
          <w:cols w:space="720" w:num="1"/>
          <w:docGrid w:linePitch="312" w:charSpace="0"/>
        </w:sectPr>
      </w:pPr>
    </w:p>
    <w:p w14:paraId="44EF4AC2">
      <w:pPr>
        <w:spacing w:line="440" w:lineRule="exact"/>
        <w:ind w:firstLine="420" w:firstLineChars="200"/>
        <w:rPr>
          <w:rFonts w:hAnsi="宋体"/>
          <w:color w:val="auto"/>
          <w:szCs w:val="21"/>
          <w:highlight w:val="none"/>
        </w:rPr>
      </w:pPr>
      <w:r>
        <w:rPr>
          <w:rFonts w:hint="eastAsia" w:hAnsi="宋体"/>
          <w:color w:val="auto"/>
          <w:szCs w:val="21"/>
          <w:highlight w:val="none"/>
        </w:rPr>
        <w:t>6、项目技术负责人简历表</w:t>
      </w:r>
    </w:p>
    <w:p w14:paraId="45E62BFD">
      <w:pPr>
        <w:spacing w:line="360" w:lineRule="auto"/>
        <w:jc w:val="center"/>
        <w:rPr>
          <w:rFonts w:hAnsi="宋体"/>
          <w:b/>
          <w:color w:val="auto"/>
          <w:sz w:val="24"/>
          <w:szCs w:val="28"/>
          <w:highlight w:val="none"/>
        </w:rPr>
      </w:pPr>
      <w:r>
        <w:rPr>
          <w:rFonts w:hint="eastAsia" w:hAnsi="宋体"/>
          <w:b/>
          <w:color w:val="auto"/>
          <w:sz w:val="24"/>
          <w:szCs w:val="28"/>
          <w:highlight w:val="none"/>
        </w:rPr>
        <w:t>项目技术负责人简历表</w:t>
      </w:r>
    </w:p>
    <w:tbl>
      <w:tblPr>
        <w:tblStyle w:val="57"/>
        <w:tblW w:w="0" w:type="auto"/>
        <w:tblInd w:w="108" w:type="dxa"/>
        <w:tblBorders>
          <w:top w:val="single" w:color="000000" w:sz="8" w:space="0"/>
          <w:left w:val="single" w:color="000000" w:sz="8" w:space="0"/>
          <w:bottom w:val="none" w:color="auto" w:sz="0" w:space="0"/>
          <w:right w:val="single" w:color="000000" w:sz="8" w:space="0"/>
          <w:insideH w:val="none" w:color="auto" w:sz="0" w:space="0"/>
          <w:insideV w:val="none" w:color="auto" w:sz="0" w:space="0"/>
        </w:tblBorders>
        <w:tblLayout w:type="fixed"/>
        <w:tblCellMar>
          <w:top w:w="0" w:type="dxa"/>
          <w:left w:w="108" w:type="dxa"/>
          <w:bottom w:w="0" w:type="dxa"/>
          <w:right w:w="108" w:type="dxa"/>
        </w:tblCellMar>
      </w:tblPr>
      <w:tblGrid>
        <w:gridCol w:w="1080"/>
        <w:gridCol w:w="180"/>
        <w:gridCol w:w="720"/>
        <w:gridCol w:w="1080"/>
        <w:gridCol w:w="1080"/>
        <w:gridCol w:w="360"/>
        <w:gridCol w:w="90"/>
        <w:gridCol w:w="1530"/>
        <w:gridCol w:w="1080"/>
        <w:gridCol w:w="686"/>
        <w:gridCol w:w="1530"/>
      </w:tblGrid>
      <w:tr w14:paraId="17EF2A28">
        <w:tblPrEx>
          <w:tblBorders>
            <w:top w:val="single" w:color="000000" w:sz="8"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1080" w:type="dxa"/>
            <w:tcBorders>
              <w:bottom w:val="single" w:color="000000" w:sz="4" w:space="0"/>
              <w:right w:val="single" w:color="000000" w:sz="4" w:space="0"/>
            </w:tcBorders>
            <w:vAlign w:val="center"/>
          </w:tcPr>
          <w:p w14:paraId="5924E986">
            <w:pPr>
              <w:autoSpaceDE w:val="0"/>
              <w:autoSpaceDN w:val="0"/>
              <w:jc w:val="center"/>
              <w:rPr>
                <w:rFonts w:hAnsi="宋体"/>
                <w:color w:val="auto"/>
                <w:sz w:val="24"/>
                <w:highlight w:val="none"/>
              </w:rPr>
            </w:pPr>
            <w:r>
              <w:rPr>
                <w:rFonts w:hint="eastAsia" w:hAnsi="宋体"/>
                <w:color w:val="auto"/>
                <w:sz w:val="24"/>
                <w:highlight w:val="none"/>
              </w:rPr>
              <w:t>姓名</w:t>
            </w:r>
          </w:p>
        </w:tc>
        <w:tc>
          <w:tcPr>
            <w:tcW w:w="1980" w:type="dxa"/>
            <w:gridSpan w:val="3"/>
            <w:tcBorders>
              <w:bottom w:val="single" w:color="000000" w:sz="4" w:space="0"/>
              <w:right w:val="single" w:color="000000" w:sz="4" w:space="0"/>
            </w:tcBorders>
            <w:vAlign w:val="center"/>
          </w:tcPr>
          <w:p w14:paraId="09EE1F54">
            <w:pPr>
              <w:autoSpaceDE w:val="0"/>
              <w:autoSpaceDN w:val="0"/>
              <w:jc w:val="center"/>
              <w:rPr>
                <w:rFonts w:hAnsi="宋体"/>
                <w:color w:val="auto"/>
                <w:sz w:val="24"/>
                <w:highlight w:val="none"/>
              </w:rPr>
            </w:pPr>
          </w:p>
        </w:tc>
        <w:tc>
          <w:tcPr>
            <w:tcW w:w="1080" w:type="dxa"/>
            <w:tcBorders>
              <w:bottom w:val="single" w:color="000000" w:sz="4" w:space="0"/>
              <w:right w:val="single" w:color="000000" w:sz="4" w:space="0"/>
            </w:tcBorders>
            <w:vAlign w:val="center"/>
          </w:tcPr>
          <w:p w14:paraId="5B2F6D6D">
            <w:pPr>
              <w:autoSpaceDE w:val="0"/>
              <w:autoSpaceDN w:val="0"/>
              <w:jc w:val="center"/>
              <w:rPr>
                <w:rFonts w:hAnsi="宋体"/>
                <w:color w:val="auto"/>
                <w:sz w:val="24"/>
                <w:highlight w:val="none"/>
              </w:rPr>
            </w:pPr>
            <w:r>
              <w:rPr>
                <w:rFonts w:hint="eastAsia" w:hAnsi="宋体"/>
                <w:color w:val="auto"/>
                <w:sz w:val="24"/>
                <w:highlight w:val="none"/>
              </w:rPr>
              <w:t>性别</w:t>
            </w:r>
          </w:p>
        </w:tc>
        <w:tc>
          <w:tcPr>
            <w:tcW w:w="1980" w:type="dxa"/>
            <w:gridSpan w:val="3"/>
            <w:tcBorders>
              <w:bottom w:val="single" w:color="000000" w:sz="4" w:space="0"/>
              <w:right w:val="single" w:color="000000" w:sz="4" w:space="0"/>
            </w:tcBorders>
            <w:vAlign w:val="center"/>
          </w:tcPr>
          <w:p w14:paraId="4F5E44C0">
            <w:pPr>
              <w:autoSpaceDE w:val="0"/>
              <w:autoSpaceDN w:val="0"/>
              <w:jc w:val="center"/>
              <w:rPr>
                <w:rFonts w:hAnsi="宋体"/>
                <w:color w:val="auto"/>
                <w:sz w:val="24"/>
                <w:highlight w:val="none"/>
              </w:rPr>
            </w:pPr>
          </w:p>
        </w:tc>
        <w:tc>
          <w:tcPr>
            <w:tcW w:w="1080" w:type="dxa"/>
            <w:tcBorders>
              <w:bottom w:val="single" w:color="000000" w:sz="4" w:space="0"/>
              <w:right w:val="single" w:color="auto" w:sz="4" w:space="0"/>
            </w:tcBorders>
            <w:vAlign w:val="center"/>
          </w:tcPr>
          <w:p w14:paraId="279AAF7B">
            <w:pPr>
              <w:autoSpaceDE w:val="0"/>
              <w:autoSpaceDN w:val="0"/>
              <w:jc w:val="center"/>
              <w:rPr>
                <w:rFonts w:hAnsi="宋体"/>
                <w:color w:val="auto"/>
                <w:sz w:val="24"/>
                <w:highlight w:val="none"/>
              </w:rPr>
            </w:pPr>
            <w:r>
              <w:rPr>
                <w:rFonts w:hint="eastAsia" w:hAnsi="宋体"/>
                <w:color w:val="auto"/>
                <w:sz w:val="24"/>
                <w:highlight w:val="none"/>
              </w:rPr>
              <w:t>年龄</w:t>
            </w:r>
          </w:p>
        </w:tc>
        <w:tc>
          <w:tcPr>
            <w:tcW w:w="2216" w:type="dxa"/>
            <w:gridSpan w:val="2"/>
            <w:tcBorders>
              <w:left w:val="single" w:color="auto" w:sz="4" w:space="0"/>
              <w:bottom w:val="single" w:color="000000" w:sz="4" w:space="0"/>
              <w:right w:val="single" w:color="000000" w:sz="4" w:space="0"/>
            </w:tcBorders>
            <w:vAlign w:val="center"/>
          </w:tcPr>
          <w:p w14:paraId="51D899EB">
            <w:pPr>
              <w:autoSpaceDE w:val="0"/>
              <w:autoSpaceDN w:val="0"/>
              <w:jc w:val="center"/>
              <w:rPr>
                <w:rFonts w:hAnsi="宋体"/>
                <w:color w:val="auto"/>
                <w:sz w:val="24"/>
                <w:highlight w:val="none"/>
              </w:rPr>
            </w:pPr>
          </w:p>
        </w:tc>
      </w:tr>
      <w:tr w14:paraId="6BD02AC8">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1080" w:type="dxa"/>
            <w:tcBorders>
              <w:bottom w:val="single" w:color="000000" w:sz="4" w:space="0"/>
              <w:right w:val="single" w:color="000000" w:sz="4" w:space="0"/>
            </w:tcBorders>
            <w:vAlign w:val="center"/>
          </w:tcPr>
          <w:p w14:paraId="5454F89D">
            <w:pPr>
              <w:autoSpaceDE w:val="0"/>
              <w:autoSpaceDN w:val="0"/>
              <w:jc w:val="center"/>
              <w:rPr>
                <w:rFonts w:hAnsi="宋体"/>
                <w:color w:val="auto"/>
                <w:sz w:val="24"/>
                <w:highlight w:val="none"/>
              </w:rPr>
            </w:pPr>
            <w:r>
              <w:rPr>
                <w:rFonts w:hint="eastAsia" w:hAnsi="宋体"/>
                <w:color w:val="auto"/>
                <w:sz w:val="24"/>
                <w:highlight w:val="none"/>
              </w:rPr>
              <w:t>职务</w:t>
            </w:r>
          </w:p>
        </w:tc>
        <w:tc>
          <w:tcPr>
            <w:tcW w:w="1980" w:type="dxa"/>
            <w:gridSpan w:val="3"/>
            <w:tcBorders>
              <w:bottom w:val="single" w:color="000000" w:sz="4" w:space="0"/>
              <w:right w:val="single" w:color="000000" w:sz="4" w:space="0"/>
            </w:tcBorders>
            <w:vAlign w:val="center"/>
          </w:tcPr>
          <w:p w14:paraId="61150DFE">
            <w:pPr>
              <w:autoSpaceDE w:val="0"/>
              <w:autoSpaceDN w:val="0"/>
              <w:jc w:val="center"/>
              <w:rPr>
                <w:rFonts w:hAnsi="宋体"/>
                <w:color w:val="auto"/>
                <w:sz w:val="24"/>
                <w:highlight w:val="none"/>
              </w:rPr>
            </w:pPr>
          </w:p>
        </w:tc>
        <w:tc>
          <w:tcPr>
            <w:tcW w:w="1080" w:type="dxa"/>
            <w:tcBorders>
              <w:bottom w:val="single" w:color="000000" w:sz="4" w:space="0"/>
              <w:right w:val="single" w:color="000000" w:sz="4" w:space="0"/>
            </w:tcBorders>
            <w:vAlign w:val="center"/>
          </w:tcPr>
          <w:p w14:paraId="5D25E5F2">
            <w:pPr>
              <w:autoSpaceDE w:val="0"/>
              <w:autoSpaceDN w:val="0"/>
              <w:jc w:val="center"/>
              <w:rPr>
                <w:rFonts w:hAnsi="宋体"/>
                <w:color w:val="auto"/>
                <w:sz w:val="24"/>
                <w:highlight w:val="none"/>
              </w:rPr>
            </w:pPr>
            <w:r>
              <w:rPr>
                <w:rFonts w:hint="eastAsia" w:hAnsi="宋体"/>
                <w:color w:val="auto"/>
                <w:sz w:val="24"/>
                <w:highlight w:val="none"/>
              </w:rPr>
              <w:t>职称</w:t>
            </w:r>
          </w:p>
        </w:tc>
        <w:tc>
          <w:tcPr>
            <w:tcW w:w="1980" w:type="dxa"/>
            <w:gridSpan w:val="3"/>
            <w:tcBorders>
              <w:bottom w:val="single" w:color="000000" w:sz="4" w:space="0"/>
              <w:right w:val="single" w:color="000000" w:sz="4" w:space="0"/>
            </w:tcBorders>
            <w:vAlign w:val="center"/>
          </w:tcPr>
          <w:p w14:paraId="7B20B247">
            <w:pPr>
              <w:autoSpaceDE w:val="0"/>
              <w:autoSpaceDN w:val="0"/>
              <w:jc w:val="center"/>
              <w:rPr>
                <w:rFonts w:hAnsi="宋体"/>
                <w:color w:val="auto"/>
                <w:sz w:val="24"/>
                <w:highlight w:val="none"/>
              </w:rPr>
            </w:pPr>
          </w:p>
        </w:tc>
        <w:tc>
          <w:tcPr>
            <w:tcW w:w="1080" w:type="dxa"/>
            <w:tcBorders>
              <w:bottom w:val="single" w:color="000000" w:sz="4" w:space="0"/>
              <w:right w:val="single" w:color="auto" w:sz="4" w:space="0"/>
            </w:tcBorders>
            <w:vAlign w:val="center"/>
          </w:tcPr>
          <w:p w14:paraId="6DADA21D">
            <w:pPr>
              <w:autoSpaceDE w:val="0"/>
              <w:autoSpaceDN w:val="0"/>
              <w:jc w:val="center"/>
              <w:rPr>
                <w:rFonts w:hAnsi="宋体"/>
                <w:color w:val="auto"/>
                <w:sz w:val="24"/>
                <w:highlight w:val="none"/>
              </w:rPr>
            </w:pPr>
            <w:r>
              <w:rPr>
                <w:rFonts w:hint="eastAsia" w:hAnsi="宋体"/>
                <w:color w:val="auto"/>
                <w:sz w:val="24"/>
                <w:highlight w:val="none"/>
              </w:rPr>
              <w:t>学历</w:t>
            </w:r>
          </w:p>
        </w:tc>
        <w:tc>
          <w:tcPr>
            <w:tcW w:w="2216" w:type="dxa"/>
            <w:gridSpan w:val="2"/>
            <w:tcBorders>
              <w:left w:val="single" w:color="auto" w:sz="4" w:space="0"/>
              <w:bottom w:val="single" w:color="000000" w:sz="4" w:space="0"/>
              <w:right w:val="single" w:color="000000" w:sz="4" w:space="0"/>
            </w:tcBorders>
            <w:vAlign w:val="center"/>
          </w:tcPr>
          <w:p w14:paraId="7EC14D6A">
            <w:pPr>
              <w:autoSpaceDE w:val="0"/>
              <w:autoSpaceDN w:val="0"/>
              <w:jc w:val="center"/>
              <w:rPr>
                <w:rFonts w:hAnsi="宋体"/>
                <w:color w:val="auto"/>
                <w:sz w:val="24"/>
                <w:highlight w:val="none"/>
              </w:rPr>
            </w:pPr>
          </w:p>
        </w:tc>
      </w:tr>
      <w:tr w14:paraId="2B8044C3">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1980" w:type="dxa"/>
            <w:gridSpan w:val="3"/>
            <w:tcBorders>
              <w:bottom w:val="single" w:color="000000" w:sz="4" w:space="0"/>
              <w:right w:val="single" w:color="auto" w:sz="4" w:space="0"/>
            </w:tcBorders>
            <w:vAlign w:val="center"/>
          </w:tcPr>
          <w:p w14:paraId="578AA303">
            <w:pPr>
              <w:autoSpaceDE w:val="0"/>
              <w:autoSpaceDN w:val="0"/>
              <w:jc w:val="center"/>
              <w:rPr>
                <w:rFonts w:hAnsi="宋体"/>
                <w:color w:val="auto"/>
                <w:sz w:val="24"/>
                <w:highlight w:val="none"/>
              </w:rPr>
            </w:pPr>
            <w:r>
              <w:rPr>
                <w:rFonts w:hint="eastAsia" w:hAnsi="宋体"/>
                <w:color w:val="auto"/>
                <w:sz w:val="24"/>
                <w:highlight w:val="none"/>
              </w:rPr>
              <w:t>参加工作时间</w:t>
            </w:r>
          </w:p>
        </w:tc>
        <w:tc>
          <w:tcPr>
            <w:tcW w:w="2520" w:type="dxa"/>
            <w:gridSpan w:val="3"/>
            <w:tcBorders>
              <w:left w:val="single" w:color="auto" w:sz="4" w:space="0"/>
              <w:bottom w:val="single" w:color="000000" w:sz="4" w:space="0"/>
              <w:right w:val="single" w:color="000000" w:sz="4" w:space="0"/>
            </w:tcBorders>
          </w:tcPr>
          <w:p w14:paraId="3D3722F3">
            <w:pPr>
              <w:autoSpaceDE w:val="0"/>
              <w:autoSpaceDN w:val="0"/>
              <w:rPr>
                <w:rFonts w:hAnsi="宋体"/>
                <w:color w:val="auto"/>
                <w:sz w:val="24"/>
                <w:highlight w:val="none"/>
              </w:rPr>
            </w:pPr>
          </w:p>
        </w:tc>
        <w:tc>
          <w:tcPr>
            <w:tcW w:w="2700" w:type="dxa"/>
            <w:gridSpan w:val="3"/>
            <w:tcBorders>
              <w:left w:val="single" w:color="auto" w:sz="4" w:space="0"/>
              <w:bottom w:val="single" w:color="000000" w:sz="4" w:space="0"/>
              <w:right w:val="single" w:color="000000" w:sz="4" w:space="0"/>
            </w:tcBorders>
            <w:vAlign w:val="center"/>
          </w:tcPr>
          <w:p w14:paraId="20EF8389">
            <w:pPr>
              <w:autoSpaceDE w:val="0"/>
              <w:autoSpaceDN w:val="0"/>
              <w:jc w:val="center"/>
              <w:rPr>
                <w:rFonts w:hAnsi="宋体"/>
                <w:color w:val="auto"/>
                <w:sz w:val="24"/>
                <w:highlight w:val="none"/>
              </w:rPr>
            </w:pPr>
            <w:r>
              <w:rPr>
                <w:rFonts w:hint="eastAsia" w:hAnsi="宋体"/>
                <w:color w:val="auto"/>
                <w:sz w:val="24"/>
                <w:highlight w:val="none"/>
              </w:rPr>
              <w:t>担任技术负责人年限</w:t>
            </w:r>
          </w:p>
        </w:tc>
        <w:tc>
          <w:tcPr>
            <w:tcW w:w="2216" w:type="dxa"/>
            <w:gridSpan w:val="2"/>
            <w:tcBorders>
              <w:left w:val="single" w:color="auto" w:sz="4" w:space="0"/>
              <w:bottom w:val="single" w:color="auto" w:sz="4" w:space="0"/>
              <w:right w:val="single" w:color="000000" w:sz="4" w:space="0"/>
            </w:tcBorders>
          </w:tcPr>
          <w:p w14:paraId="61A9FAD0">
            <w:pPr>
              <w:autoSpaceDE w:val="0"/>
              <w:autoSpaceDN w:val="0"/>
              <w:rPr>
                <w:rFonts w:hAnsi="宋体"/>
                <w:color w:val="auto"/>
                <w:sz w:val="24"/>
                <w:highlight w:val="none"/>
              </w:rPr>
            </w:pPr>
          </w:p>
        </w:tc>
      </w:tr>
      <w:tr w14:paraId="2DCBF7CA">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9416" w:type="dxa"/>
            <w:gridSpan w:val="11"/>
            <w:tcBorders>
              <w:bottom w:val="single" w:color="000000" w:sz="4" w:space="0"/>
              <w:right w:val="single" w:color="000000" w:sz="4" w:space="0"/>
            </w:tcBorders>
            <w:vAlign w:val="center"/>
          </w:tcPr>
          <w:p w14:paraId="50001B7F">
            <w:pPr>
              <w:autoSpaceDE w:val="0"/>
              <w:autoSpaceDN w:val="0"/>
              <w:jc w:val="center"/>
              <w:rPr>
                <w:rFonts w:hAnsi="宋体"/>
                <w:b/>
                <w:bCs/>
                <w:color w:val="auto"/>
                <w:sz w:val="24"/>
                <w:highlight w:val="none"/>
              </w:rPr>
            </w:pPr>
            <w:r>
              <w:rPr>
                <w:rFonts w:hint="eastAsia" w:hAnsi="宋体"/>
                <w:color w:val="auto"/>
                <w:sz w:val="24"/>
                <w:highlight w:val="none"/>
              </w:rPr>
              <w:t>已</w:t>
            </w:r>
            <w:r>
              <w:rPr>
                <w:rFonts w:hAnsi="宋体"/>
                <w:color w:val="auto"/>
                <w:sz w:val="24"/>
                <w:highlight w:val="none"/>
              </w:rPr>
              <w:t xml:space="preserve">  </w:t>
            </w:r>
            <w:r>
              <w:rPr>
                <w:rFonts w:hint="eastAsia" w:hAnsi="宋体"/>
                <w:color w:val="auto"/>
                <w:sz w:val="24"/>
                <w:highlight w:val="none"/>
              </w:rPr>
              <w:t>完</w:t>
            </w:r>
            <w:r>
              <w:rPr>
                <w:rFonts w:hAnsi="宋体"/>
                <w:color w:val="auto"/>
                <w:sz w:val="24"/>
                <w:highlight w:val="none"/>
              </w:rPr>
              <w:t xml:space="preserve">  </w:t>
            </w:r>
            <w:r>
              <w:rPr>
                <w:rFonts w:hint="eastAsia" w:hAnsi="宋体"/>
                <w:color w:val="auto"/>
                <w:sz w:val="24"/>
                <w:highlight w:val="none"/>
              </w:rPr>
              <w:t>成</w:t>
            </w:r>
            <w:r>
              <w:rPr>
                <w:rFonts w:hAnsi="宋体"/>
                <w:color w:val="auto"/>
                <w:sz w:val="24"/>
                <w:highlight w:val="none"/>
              </w:rPr>
              <w:t xml:space="preserve">  </w:t>
            </w:r>
            <w:r>
              <w:rPr>
                <w:rFonts w:hint="eastAsia" w:hAnsi="宋体"/>
                <w:color w:val="auto"/>
                <w:sz w:val="24"/>
                <w:highlight w:val="none"/>
              </w:rPr>
              <w:t>工</w:t>
            </w:r>
            <w:r>
              <w:rPr>
                <w:rFonts w:hAnsi="宋体"/>
                <w:color w:val="auto"/>
                <w:sz w:val="24"/>
                <w:highlight w:val="none"/>
              </w:rPr>
              <w:t xml:space="preserve">  </w:t>
            </w:r>
            <w:r>
              <w:rPr>
                <w:rFonts w:hint="eastAsia" w:hAnsi="宋体"/>
                <w:color w:val="auto"/>
                <w:sz w:val="24"/>
                <w:highlight w:val="none"/>
              </w:rPr>
              <w:t>程</w:t>
            </w:r>
            <w:r>
              <w:rPr>
                <w:rFonts w:hAnsi="宋体"/>
                <w:color w:val="auto"/>
                <w:sz w:val="24"/>
                <w:highlight w:val="none"/>
              </w:rPr>
              <w:t xml:space="preserve">  </w:t>
            </w:r>
            <w:r>
              <w:rPr>
                <w:rFonts w:hint="eastAsia" w:hAnsi="宋体"/>
                <w:color w:val="auto"/>
                <w:sz w:val="24"/>
                <w:highlight w:val="none"/>
              </w:rPr>
              <w:t>项</w:t>
            </w:r>
            <w:r>
              <w:rPr>
                <w:rFonts w:hAnsi="宋体"/>
                <w:color w:val="auto"/>
                <w:sz w:val="24"/>
                <w:highlight w:val="none"/>
              </w:rPr>
              <w:t xml:space="preserve">  </w:t>
            </w:r>
            <w:r>
              <w:rPr>
                <w:rFonts w:hint="eastAsia" w:hAnsi="宋体"/>
                <w:color w:val="auto"/>
                <w:sz w:val="24"/>
                <w:highlight w:val="none"/>
              </w:rPr>
              <w:t>目</w:t>
            </w:r>
            <w:r>
              <w:rPr>
                <w:rFonts w:hAnsi="宋体"/>
                <w:color w:val="auto"/>
                <w:sz w:val="24"/>
                <w:highlight w:val="none"/>
              </w:rPr>
              <w:t xml:space="preserve">  </w:t>
            </w:r>
            <w:r>
              <w:rPr>
                <w:rFonts w:hint="eastAsia" w:hAnsi="宋体"/>
                <w:color w:val="auto"/>
                <w:sz w:val="24"/>
                <w:highlight w:val="none"/>
              </w:rPr>
              <w:t>情</w:t>
            </w:r>
            <w:r>
              <w:rPr>
                <w:rFonts w:hAnsi="宋体"/>
                <w:color w:val="auto"/>
                <w:sz w:val="24"/>
                <w:highlight w:val="none"/>
              </w:rPr>
              <w:t xml:space="preserve">  </w:t>
            </w:r>
            <w:r>
              <w:rPr>
                <w:rFonts w:hint="eastAsia" w:hAnsi="宋体"/>
                <w:color w:val="auto"/>
                <w:sz w:val="24"/>
                <w:highlight w:val="none"/>
              </w:rPr>
              <w:t>况</w:t>
            </w:r>
          </w:p>
        </w:tc>
      </w:tr>
      <w:tr w14:paraId="13F5783E">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1260" w:type="dxa"/>
            <w:gridSpan w:val="2"/>
            <w:tcBorders>
              <w:bottom w:val="single" w:color="000000" w:sz="4" w:space="0"/>
              <w:right w:val="single" w:color="000000" w:sz="4" w:space="0"/>
            </w:tcBorders>
            <w:vAlign w:val="center"/>
          </w:tcPr>
          <w:p w14:paraId="05A07D8B">
            <w:pPr>
              <w:autoSpaceDE w:val="0"/>
              <w:autoSpaceDN w:val="0"/>
              <w:jc w:val="center"/>
              <w:rPr>
                <w:rFonts w:hAnsi="宋体"/>
                <w:color w:val="auto"/>
                <w:sz w:val="24"/>
                <w:highlight w:val="none"/>
              </w:rPr>
            </w:pPr>
            <w:r>
              <w:rPr>
                <w:rFonts w:hint="eastAsia" w:hAnsi="宋体"/>
                <w:color w:val="auto"/>
                <w:sz w:val="24"/>
                <w:highlight w:val="none"/>
              </w:rPr>
              <w:t>建设单位</w:t>
            </w:r>
          </w:p>
        </w:tc>
        <w:tc>
          <w:tcPr>
            <w:tcW w:w="1800" w:type="dxa"/>
            <w:gridSpan w:val="2"/>
            <w:tcBorders>
              <w:bottom w:val="single" w:color="000000" w:sz="4" w:space="0"/>
              <w:right w:val="single" w:color="000000" w:sz="4" w:space="0"/>
            </w:tcBorders>
            <w:vAlign w:val="center"/>
          </w:tcPr>
          <w:p w14:paraId="4FA24F9D">
            <w:pPr>
              <w:autoSpaceDE w:val="0"/>
              <w:autoSpaceDN w:val="0"/>
              <w:jc w:val="center"/>
              <w:rPr>
                <w:rFonts w:hAnsi="宋体"/>
                <w:color w:val="auto"/>
                <w:sz w:val="24"/>
                <w:highlight w:val="none"/>
              </w:rPr>
            </w:pPr>
            <w:r>
              <w:rPr>
                <w:rFonts w:hint="eastAsia" w:hAnsi="宋体"/>
                <w:color w:val="auto"/>
                <w:sz w:val="24"/>
                <w:highlight w:val="none"/>
              </w:rPr>
              <w:t>项目名称</w:t>
            </w:r>
          </w:p>
        </w:tc>
        <w:tc>
          <w:tcPr>
            <w:tcW w:w="1530" w:type="dxa"/>
            <w:gridSpan w:val="3"/>
            <w:tcBorders>
              <w:bottom w:val="single" w:color="000000" w:sz="4" w:space="0"/>
              <w:right w:val="single" w:color="000000" w:sz="4" w:space="0"/>
            </w:tcBorders>
            <w:vAlign w:val="center"/>
          </w:tcPr>
          <w:p w14:paraId="7D16D1A3">
            <w:pPr>
              <w:autoSpaceDE w:val="0"/>
              <w:autoSpaceDN w:val="0"/>
              <w:jc w:val="center"/>
              <w:rPr>
                <w:rFonts w:hAnsi="宋体"/>
                <w:color w:val="auto"/>
                <w:sz w:val="24"/>
                <w:highlight w:val="none"/>
              </w:rPr>
            </w:pPr>
            <w:r>
              <w:rPr>
                <w:rFonts w:hint="eastAsia" w:hAnsi="宋体"/>
                <w:color w:val="auto"/>
                <w:sz w:val="24"/>
                <w:highlight w:val="none"/>
              </w:rPr>
              <w:t>建设规模</w:t>
            </w:r>
          </w:p>
        </w:tc>
        <w:tc>
          <w:tcPr>
            <w:tcW w:w="1530" w:type="dxa"/>
            <w:tcBorders>
              <w:bottom w:val="single" w:color="000000" w:sz="4" w:space="0"/>
              <w:right w:val="single" w:color="auto" w:sz="4" w:space="0"/>
            </w:tcBorders>
            <w:vAlign w:val="center"/>
          </w:tcPr>
          <w:p w14:paraId="45F6126E">
            <w:pPr>
              <w:autoSpaceDE w:val="0"/>
              <w:autoSpaceDN w:val="0"/>
              <w:jc w:val="center"/>
              <w:rPr>
                <w:rFonts w:hAnsi="宋体"/>
                <w:color w:val="auto"/>
                <w:sz w:val="24"/>
                <w:highlight w:val="none"/>
              </w:rPr>
            </w:pPr>
            <w:r>
              <w:rPr>
                <w:rFonts w:hint="eastAsia" w:hAnsi="宋体"/>
                <w:color w:val="auto"/>
                <w:sz w:val="24"/>
                <w:highlight w:val="none"/>
              </w:rPr>
              <w:t>结构类型</w:t>
            </w:r>
          </w:p>
        </w:tc>
        <w:tc>
          <w:tcPr>
            <w:tcW w:w="1766" w:type="dxa"/>
            <w:gridSpan w:val="2"/>
            <w:tcBorders>
              <w:left w:val="single" w:color="auto" w:sz="4" w:space="0"/>
              <w:bottom w:val="single" w:color="000000" w:sz="4" w:space="0"/>
              <w:right w:val="single" w:color="000000" w:sz="4" w:space="0"/>
            </w:tcBorders>
            <w:vAlign w:val="center"/>
          </w:tcPr>
          <w:p w14:paraId="69E52CD8">
            <w:pPr>
              <w:autoSpaceDE w:val="0"/>
              <w:autoSpaceDN w:val="0"/>
              <w:jc w:val="center"/>
              <w:rPr>
                <w:rFonts w:hAnsi="宋体"/>
                <w:color w:val="auto"/>
                <w:sz w:val="24"/>
                <w:highlight w:val="none"/>
              </w:rPr>
            </w:pPr>
            <w:r>
              <w:rPr>
                <w:rFonts w:hint="eastAsia" w:hAnsi="宋体"/>
                <w:color w:val="auto"/>
                <w:sz w:val="24"/>
                <w:highlight w:val="none"/>
              </w:rPr>
              <w:t>开、竣工日期</w:t>
            </w:r>
          </w:p>
        </w:tc>
        <w:tc>
          <w:tcPr>
            <w:tcW w:w="1530" w:type="dxa"/>
            <w:tcBorders>
              <w:bottom w:val="single" w:color="000000" w:sz="4" w:space="0"/>
              <w:right w:val="single" w:color="000000" w:sz="4" w:space="0"/>
            </w:tcBorders>
            <w:vAlign w:val="center"/>
          </w:tcPr>
          <w:p w14:paraId="38FE6E46">
            <w:pPr>
              <w:autoSpaceDE w:val="0"/>
              <w:autoSpaceDN w:val="0"/>
              <w:jc w:val="center"/>
              <w:rPr>
                <w:rFonts w:hAnsi="宋体"/>
                <w:color w:val="auto"/>
                <w:sz w:val="24"/>
                <w:highlight w:val="none"/>
              </w:rPr>
            </w:pPr>
            <w:r>
              <w:rPr>
                <w:rFonts w:hint="eastAsia" w:hAnsi="宋体"/>
                <w:color w:val="auto"/>
                <w:sz w:val="24"/>
                <w:highlight w:val="none"/>
              </w:rPr>
              <w:t>工程质量</w:t>
            </w:r>
          </w:p>
        </w:tc>
      </w:tr>
      <w:tr w14:paraId="2CF7750F">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1260" w:type="dxa"/>
            <w:gridSpan w:val="2"/>
            <w:tcBorders>
              <w:bottom w:val="single" w:color="000000" w:sz="4" w:space="0"/>
              <w:right w:val="single" w:color="000000" w:sz="4" w:space="0"/>
            </w:tcBorders>
          </w:tcPr>
          <w:p w14:paraId="59109E29">
            <w:pPr>
              <w:autoSpaceDE w:val="0"/>
              <w:autoSpaceDN w:val="0"/>
              <w:rPr>
                <w:rFonts w:hAnsi="宋体"/>
                <w:color w:val="auto"/>
                <w:sz w:val="24"/>
                <w:highlight w:val="none"/>
              </w:rPr>
            </w:pPr>
          </w:p>
        </w:tc>
        <w:tc>
          <w:tcPr>
            <w:tcW w:w="1800" w:type="dxa"/>
            <w:gridSpan w:val="2"/>
            <w:tcBorders>
              <w:bottom w:val="single" w:color="000000" w:sz="4" w:space="0"/>
              <w:right w:val="single" w:color="000000" w:sz="4" w:space="0"/>
            </w:tcBorders>
          </w:tcPr>
          <w:p w14:paraId="6EA2B34C">
            <w:pPr>
              <w:autoSpaceDE w:val="0"/>
              <w:autoSpaceDN w:val="0"/>
              <w:rPr>
                <w:rFonts w:hAnsi="宋体"/>
                <w:color w:val="auto"/>
                <w:sz w:val="24"/>
                <w:highlight w:val="none"/>
              </w:rPr>
            </w:pPr>
          </w:p>
        </w:tc>
        <w:tc>
          <w:tcPr>
            <w:tcW w:w="1530" w:type="dxa"/>
            <w:gridSpan w:val="3"/>
            <w:tcBorders>
              <w:bottom w:val="single" w:color="000000" w:sz="4" w:space="0"/>
              <w:right w:val="single" w:color="000000" w:sz="4" w:space="0"/>
            </w:tcBorders>
          </w:tcPr>
          <w:p w14:paraId="2B41462A">
            <w:pPr>
              <w:autoSpaceDE w:val="0"/>
              <w:autoSpaceDN w:val="0"/>
              <w:rPr>
                <w:rFonts w:hAnsi="宋体"/>
                <w:color w:val="auto"/>
                <w:sz w:val="24"/>
                <w:highlight w:val="none"/>
              </w:rPr>
            </w:pPr>
          </w:p>
        </w:tc>
        <w:tc>
          <w:tcPr>
            <w:tcW w:w="1530" w:type="dxa"/>
            <w:tcBorders>
              <w:bottom w:val="single" w:color="000000" w:sz="4" w:space="0"/>
              <w:right w:val="single" w:color="auto" w:sz="4" w:space="0"/>
            </w:tcBorders>
          </w:tcPr>
          <w:p w14:paraId="7D6174E5">
            <w:pPr>
              <w:autoSpaceDE w:val="0"/>
              <w:autoSpaceDN w:val="0"/>
              <w:rPr>
                <w:rFonts w:hAnsi="宋体"/>
                <w:color w:val="auto"/>
                <w:sz w:val="24"/>
                <w:highlight w:val="none"/>
              </w:rPr>
            </w:pPr>
          </w:p>
        </w:tc>
        <w:tc>
          <w:tcPr>
            <w:tcW w:w="1766" w:type="dxa"/>
            <w:gridSpan w:val="2"/>
            <w:tcBorders>
              <w:left w:val="single" w:color="auto" w:sz="4" w:space="0"/>
              <w:bottom w:val="single" w:color="000000" w:sz="4" w:space="0"/>
              <w:right w:val="single" w:color="000000" w:sz="4" w:space="0"/>
            </w:tcBorders>
          </w:tcPr>
          <w:p w14:paraId="34538DC4">
            <w:pPr>
              <w:autoSpaceDE w:val="0"/>
              <w:autoSpaceDN w:val="0"/>
              <w:rPr>
                <w:rFonts w:hAnsi="宋体"/>
                <w:color w:val="auto"/>
                <w:sz w:val="24"/>
                <w:highlight w:val="none"/>
              </w:rPr>
            </w:pPr>
          </w:p>
        </w:tc>
        <w:tc>
          <w:tcPr>
            <w:tcW w:w="1530" w:type="dxa"/>
            <w:tcBorders>
              <w:bottom w:val="single" w:color="000000" w:sz="4" w:space="0"/>
              <w:right w:val="single" w:color="000000" w:sz="4" w:space="0"/>
            </w:tcBorders>
          </w:tcPr>
          <w:p w14:paraId="31517998">
            <w:pPr>
              <w:autoSpaceDE w:val="0"/>
              <w:autoSpaceDN w:val="0"/>
              <w:rPr>
                <w:rFonts w:hAnsi="宋体"/>
                <w:color w:val="auto"/>
                <w:sz w:val="24"/>
                <w:highlight w:val="none"/>
              </w:rPr>
            </w:pPr>
          </w:p>
        </w:tc>
      </w:tr>
      <w:tr w14:paraId="20DE7465">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1260" w:type="dxa"/>
            <w:gridSpan w:val="2"/>
            <w:tcBorders>
              <w:bottom w:val="single" w:color="000000" w:sz="4" w:space="0"/>
              <w:right w:val="single" w:color="000000" w:sz="4" w:space="0"/>
            </w:tcBorders>
          </w:tcPr>
          <w:p w14:paraId="294C54B5">
            <w:pPr>
              <w:autoSpaceDE w:val="0"/>
              <w:autoSpaceDN w:val="0"/>
              <w:rPr>
                <w:rFonts w:hAnsi="宋体"/>
                <w:color w:val="auto"/>
                <w:sz w:val="24"/>
                <w:highlight w:val="none"/>
              </w:rPr>
            </w:pPr>
          </w:p>
        </w:tc>
        <w:tc>
          <w:tcPr>
            <w:tcW w:w="1800" w:type="dxa"/>
            <w:gridSpan w:val="2"/>
            <w:tcBorders>
              <w:bottom w:val="single" w:color="000000" w:sz="4" w:space="0"/>
              <w:right w:val="single" w:color="000000" w:sz="4" w:space="0"/>
            </w:tcBorders>
          </w:tcPr>
          <w:p w14:paraId="6F548049">
            <w:pPr>
              <w:autoSpaceDE w:val="0"/>
              <w:autoSpaceDN w:val="0"/>
              <w:rPr>
                <w:rFonts w:hAnsi="宋体"/>
                <w:color w:val="auto"/>
                <w:sz w:val="24"/>
                <w:highlight w:val="none"/>
              </w:rPr>
            </w:pPr>
          </w:p>
        </w:tc>
        <w:tc>
          <w:tcPr>
            <w:tcW w:w="1530" w:type="dxa"/>
            <w:gridSpan w:val="3"/>
            <w:tcBorders>
              <w:bottom w:val="single" w:color="000000" w:sz="4" w:space="0"/>
              <w:right w:val="single" w:color="000000" w:sz="4" w:space="0"/>
            </w:tcBorders>
          </w:tcPr>
          <w:p w14:paraId="01209B4D">
            <w:pPr>
              <w:autoSpaceDE w:val="0"/>
              <w:autoSpaceDN w:val="0"/>
              <w:rPr>
                <w:rFonts w:hAnsi="宋体"/>
                <w:color w:val="auto"/>
                <w:sz w:val="24"/>
                <w:highlight w:val="none"/>
              </w:rPr>
            </w:pPr>
          </w:p>
        </w:tc>
        <w:tc>
          <w:tcPr>
            <w:tcW w:w="1530" w:type="dxa"/>
            <w:tcBorders>
              <w:bottom w:val="single" w:color="000000" w:sz="4" w:space="0"/>
              <w:right w:val="single" w:color="auto" w:sz="4" w:space="0"/>
            </w:tcBorders>
          </w:tcPr>
          <w:p w14:paraId="56372E4E">
            <w:pPr>
              <w:autoSpaceDE w:val="0"/>
              <w:autoSpaceDN w:val="0"/>
              <w:rPr>
                <w:rFonts w:hAnsi="宋体"/>
                <w:color w:val="auto"/>
                <w:sz w:val="24"/>
                <w:highlight w:val="none"/>
              </w:rPr>
            </w:pPr>
          </w:p>
        </w:tc>
        <w:tc>
          <w:tcPr>
            <w:tcW w:w="1766" w:type="dxa"/>
            <w:gridSpan w:val="2"/>
            <w:tcBorders>
              <w:left w:val="single" w:color="auto" w:sz="4" w:space="0"/>
              <w:bottom w:val="single" w:color="000000" w:sz="4" w:space="0"/>
              <w:right w:val="single" w:color="000000" w:sz="4" w:space="0"/>
            </w:tcBorders>
          </w:tcPr>
          <w:p w14:paraId="29A8D7C6">
            <w:pPr>
              <w:autoSpaceDE w:val="0"/>
              <w:autoSpaceDN w:val="0"/>
              <w:rPr>
                <w:rFonts w:hAnsi="宋体"/>
                <w:color w:val="auto"/>
                <w:sz w:val="24"/>
                <w:highlight w:val="none"/>
              </w:rPr>
            </w:pPr>
          </w:p>
        </w:tc>
        <w:tc>
          <w:tcPr>
            <w:tcW w:w="1530" w:type="dxa"/>
            <w:tcBorders>
              <w:bottom w:val="single" w:color="000000" w:sz="4" w:space="0"/>
              <w:right w:val="single" w:color="000000" w:sz="4" w:space="0"/>
            </w:tcBorders>
          </w:tcPr>
          <w:p w14:paraId="63F7563F">
            <w:pPr>
              <w:autoSpaceDE w:val="0"/>
              <w:autoSpaceDN w:val="0"/>
              <w:rPr>
                <w:rFonts w:hAnsi="宋体"/>
                <w:color w:val="auto"/>
                <w:sz w:val="24"/>
                <w:highlight w:val="none"/>
              </w:rPr>
            </w:pPr>
          </w:p>
        </w:tc>
      </w:tr>
      <w:tr w14:paraId="499903C0">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1260" w:type="dxa"/>
            <w:gridSpan w:val="2"/>
            <w:tcBorders>
              <w:bottom w:val="single" w:color="000000" w:sz="4" w:space="0"/>
              <w:right w:val="single" w:color="000000" w:sz="4" w:space="0"/>
            </w:tcBorders>
          </w:tcPr>
          <w:p w14:paraId="21AD3CCA">
            <w:pPr>
              <w:autoSpaceDE w:val="0"/>
              <w:autoSpaceDN w:val="0"/>
              <w:rPr>
                <w:rFonts w:hAnsi="宋体"/>
                <w:color w:val="auto"/>
                <w:sz w:val="24"/>
                <w:highlight w:val="none"/>
              </w:rPr>
            </w:pPr>
          </w:p>
        </w:tc>
        <w:tc>
          <w:tcPr>
            <w:tcW w:w="1800" w:type="dxa"/>
            <w:gridSpan w:val="2"/>
            <w:tcBorders>
              <w:bottom w:val="single" w:color="000000" w:sz="4" w:space="0"/>
              <w:right w:val="single" w:color="000000" w:sz="4" w:space="0"/>
            </w:tcBorders>
          </w:tcPr>
          <w:p w14:paraId="47ECF5EC">
            <w:pPr>
              <w:autoSpaceDE w:val="0"/>
              <w:autoSpaceDN w:val="0"/>
              <w:rPr>
                <w:rFonts w:hAnsi="宋体"/>
                <w:color w:val="auto"/>
                <w:sz w:val="24"/>
                <w:highlight w:val="none"/>
              </w:rPr>
            </w:pPr>
          </w:p>
        </w:tc>
        <w:tc>
          <w:tcPr>
            <w:tcW w:w="1530" w:type="dxa"/>
            <w:gridSpan w:val="3"/>
            <w:tcBorders>
              <w:bottom w:val="single" w:color="000000" w:sz="4" w:space="0"/>
              <w:right w:val="single" w:color="000000" w:sz="4" w:space="0"/>
            </w:tcBorders>
          </w:tcPr>
          <w:p w14:paraId="46424A25">
            <w:pPr>
              <w:autoSpaceDE w:val="0"/>
              <w:autoSpaceDN w:val="0"/>
              <w:rPr>
                <w:rFonts w:hAnsi="宋体"/>
                <w:color w:val="auto"/>
                <w:sz w:val="24"/>
                <w:highlight w:val="none"/>
              </w:rPr>
            </w:pPr>
          </w:p>
        </w:tc>
        <w:tc>
          <w:tcPr>
            <w:tcW w:w="1530" w:type="dxa"/>
            <w:tcBorders>
              <w:bottom w:val="single" w:color="000000" w:sz="4" w:space="0"/>
              <w:right w:val="single" w:color="auto" w:sz="4" w:space="0"/>
            </w:tcBorders>
          </w:tcPr>
          <w:p w14:paraId="4FFABF50">
            <w:pPr>
              <w:autoSpaceDE w:val="0"/>
              <w:autoSpaceDN w:val="0"/>
              <w:rPr>
                <w:rFonts w:hAnsi="宋体"/>
                <w:color w:val="auto"/>
                <w:sz w:val="24"/>
                <w:highlight w:val="none"/>
              </w:rPr>
            </w:pPr>
          </w:p>
        </w:tc>
        <w:tc>
          <w:tcPr>
            <w:tcW w:w="1766" w:type="dxa"/>
            <w:gridSpan w:val="2"/>
            <w:tcBorders>
              <w:left w:val="single" w:color="auto" w:sz="4" w:space="0"/>
              <w:bottom w:val="single" w:color="000000" w:sz="4" w:space="0"/>
              <w:right w:val="single" w:color="000000" w:sz="4" w:space="0"/>
            </w:tcBorders>
          </w:tcPr>
          <w:p w14:paraId="166B43D6">
            <w:pPr>
              <w:autoSpaceDE w:val="0"/>
              <w:autoSpaceDN w:val="0"/>
              <w:rPr>
                <w:rFonts w:hAnsi="宋体"/>
                <w:color w:val="auto"/>
                <w:sz w:val="24"/>
                <w:highlight w:val="none"/>
              </w:rPr>
            </w:pPr>
          </w:p>
        </w:tc>
        <w:tc>
          <w:tcPr>
            <w:tcW w:w="1530" w:type="dxa"/>
            <w:tcBorders>
              <w:bottom w:val="single" w:color="000000" w:sz="4" w:space="0"/>
              <w:right w:val="single" w:color="000000" w:sz="4" w:space="0"/>
            </w:tcBorders>
          </w:tcPr>
          <w:p w14:paraId="09BF0FB3">
            <w:pPr>
              <w:autoSpaceDE w:val="0"/>
              <w:autoSpaceDN w:val="0"/>
              <w:rPr>
                <w:rFonts w:hAnsi="宋体"/>
                <w:color w:val="auto"/>
                <w:sz w:val="24"/>
                <w:highlight w:val="none"/>
              </w:rPr>
            </w:pPr>
          </w:p>
        </w:tc>
      </w:tr>
      <w:tr w14:paraId="310CDD5D">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1260" w:type="dxa"/>
            <w:gridSpan w:val="2"/>
            <w:tcBorders>
              <w:bottom w:val="single" w:color="000000" w:sz="4" w:space="0"/>
              <w:right w:val="single" w:color="000000" w:sz="4" w:space="0"/>
            </w:tcBorders>
          </w:tcPr>
          <w:p w14:paraId="2854F6F6">
            <w:pPr>
              <w:autoSpaceDE w:val="0"/>
              <w:autoSpaceDN w:val="0"/>
              <w:rPr>
                <w:rFonts w:hAnsi="宋体"/>
                <w:color w:val="auto"/>
                <w:sz w:val="24"/>
                <w:highlight w:val="none"/>
              </w:rPr>
            </w:pPr>
          </w:p>
        </w:tc>
        <w:tc>
          <w:tcPr>
            <w:tcW w:w="1800" w:type="dxa"/>
            <w:gridSpan w:val="2"/>
            <w:tcBorders>
              <w:bottom w:val="single" w:color="000000" w:sz="4" w:space="0"/>
              <w:right w:val="single" w:color="000000" w:sz="4" w:space="0"/>
            </w:tcBorders>
          </w:tcPr>
          <w:p w14:paraId="4A52E95A">
            <w:pPr>
              <w:autoSpaceDE w:val="0"/>
              <w:autoSpaceDN w:val="0"/>
              <w:rPr>
                <w:rFonts w:hAnsi="宋体"/>
                <w:color w:val="auto"/>
                <w:sz w:val="24"/>
                <w:highlight w:val="none"/>
              </w:rPr>
            </w:pPr>
          </w:p>
        </w:tc>
        <w:tc>
          <w:tcPr>
            <w:tcW w:w="1530" w:type="dxa"/>
            <w:gridSpan w:val="3"/>
            <w:tcBorders>
              <w:bottom w:val="single" w:color="000000" w:sz="4" w:space="0"/>
              <w:right w:val="single" w:color="000000" w:sz="4" w:space="0"/>
            </w:tcBorders>
          </w:tcPr>
          <w:p w14:paraId="7460A6C8">
            <w:pPr>
              <w:autoSpaceDE w:val="0"/>
              <w:autoSpaceDN w:val="0"/>
              <w:rPr>
                <w:rFonts w:hAnsi="宋体"/>
                <w:color w:val="auto"/>
                <w:sz w:val="24"/>
                <w:highlight w:val="none"/>
              </w:rPr>
            </w:pPr>
          </w:p>
        </w:tc>
        <w:tc>
          <w:tcPr>
            <w:tcW w:w="1530" w:type="dxa"/>
            <w:tcBorders>
              <w:bottom w:val="single" w:color="000000" w:sz="4" w:space="0"/>
              <w:right w:val="single" w:color="auto" w:sz="4" w:space="0"/>
            </w:tcBorders>
          </w:tcPr>
          <w:p w14:paraId="3FAA05B5">
            <w:pPr>
              <w:autoSpaceDE w:val="0"/>
              <w:autoSpaceDN w:val="0"/>
              <w:rPr>
                <w:rFonts w:hAnsi="宋体"/>
                <w:color w:val="auto"/>
                <w:sz w:val="24"/>
                <w:highlight w:val="none"/>
              </w:rPr>
            </w:pPr>
          </w:p>
        </w:tc>
        <w:tc>
          <w:tcPr>
            <w:tcW w:w="1766" w:type="dxa"/>
            <w:gridSpan w:val="2"/>
            <w:tcBorders>
              <w:left w:val="single" w:color="auto" w:sz="4" w:space="0"/>
              <w:bottom w:val="single" w:color="000000" w:sz="4" w:space="0"/>
              <w:right w:val="single" w:color="000000" w:sz="4" w:space="0"/>
            </w:tcBorders>
          </w:tcPr>
          <w:p w14:paraId="273F7B79">
            <w:pPr>
              <w:autoSpaceDE w:val="0"/>
              <w:autoSpaceDN w:val="0"/>
              <w:rPr>
                <w:rFonts w:hAnsi="宋体"/>
                <w:color w:val="auto"/>
                <w:sz w:val="24"/>
                <w:highlight w:val="none"/>
              </w:rPr>
            </w:pPr>
          </w:p>
        </w:tc>
        <w:tc>
          <w:tcPr>
            <w:tcW w:w="1530" w:type="dxa"/>
            <w:tcBorders>
              <w:bottom w:val="single" w:color="000000" w:sz="4" w:space="0"/>
              <w:right w:val="single" w:color="000000" w:sz="4" w:space="0"/>
            </w:tcBorders>
          </w:tcPr>
          <w:p w14:paraId="3F7D40FD">
            <w:pPr>
              <w:autoSpaceDE w:val="0"/>
              <w:autoSpaceDN w:val="0"/>
              <w:rPr>
                <w:rFonts w:hAnsi="宋体"/>
                <w:color w:val="auto"/>
                <w:sz w:val="24"/>
                <w:highlight w:val="none"/>
              </w:rPr>
            </w:pPr>
          </w:p>
        </w:tc>
      </w:tr>
    </w:tbl>
    <w:p w14:paraId="69415D70">
      <w:pPr>
        <w:spacing w:after="120"/>
        <w:ind w:firstLine="210" w:firstLineChars="100"/>
        <w:rPr>
          <w:rFonts w:ascii="Calibri" w:hAnsi="Calibri"/>
          <w:color w:val="auto"/>
          <w:szCs w:val="24"/>
          <w:highlight w:val="none"/>
        </w:rPr>
      </w:pPr>
      <w:r>
        <w:rPr>
          <w:rFonts w:hint="eastAsia" w:hAnsi="宋体"/>
          <w:color w:val="auto"/>
          <w:szCs w:val="21"/>
          <w:highlight w:val="none"/>
        </w:rPr>
        <w:t>附：职称证书复印件，并加盖单位公章。</w:t>
      </w:r>
    </w:p>
    <w:p w14:paraId="3A466C75">
      <w:pPr>
        <w:spacing w:line="440" w:lineRule="exact"/>
        <w:ind w:firstLine="420" w:firstLineChars="200"/>
        <w:rPr>
          <w:rFonts w:hAnsi="宋体"/>
          <w:color w:val="auto"/>
          <w:szCs w:val="21"/>
          <w:highlight w:val="none"/>
        </w:rPr>
      </w:pPr>
    </w:p>
    <w:p w14:paraId="66E5E853">
      <w:pPr>
        <w:spacing w:line="440" w:lineRule="exact"/>
        <w:ind w:firstLine="420" w:firstLineChars="200"/>
        <w:rPr>
          <w:rFonts w:hAnsi="宋体"/>
          <w:color w:val="auto"/>
          <w:szCs w:val="21"/>
          <w:highlight w:val="none"/>
        </w:rPr>
      </w:pPr>
    </w:p>
    <w:p w14:paraId="0B59E986">
      <w:pPr>
        <w:spacing w:line="440" w:lineRule="exact"/>
        <w:ind w:firstLine="420" w:firstLineChars="200"/>
        <w:rPr>
          <w:rFonts w:hAnsi="宋体"/>
          <w:color w:val="auto"/>
          <w:szCs w:val="21"/>
          <w:highlight w:val="none"/>
        </w:rPr>
      </w:pPr>
    </w:p>
    <w:p w14:paraId="6987FE90">
      <w:pPr>
        <w:spacing w:line="440" w:lineRule="exact"/>
        <w:ind w:firstLine="420" w:firstLineChars="200"/>
        <w:rPr>
          <w:rFonts w:hAnsi="宋体"/>
          <w:color w:val="auto"/>
          <w:szCs w:val="21"/>
          <w:highlight w:val="none"/>
        </w:rPr>
      </w:pPr>
      <w:r>
        <w:rPr>
          <w:rFonts w:hint="eastAsia" w:hAnsi="宋体"/>
          <w:color w:val="auto"/>
          <w:szCs w:val="21"/>
          <w:highlight w:val="none"/>
        </w:rPr>
        <w:t>7、主要施工管理人员表</w:t>
      </w:r>
    </w:p>
    <w:p w14:paraId="0614A995">
      <w:pPr>
        <w:spacing w:line="480" w:lineRule="exact"/>
        <w:jc w:val="center"/>
        <w:rPr>
          <w:rFonts w:hAnsi="宋体"/>
          <w:b/>
          <w:color w:val="auto"/>
          <w:sz w:val="28"/>
          <w:szCs w:val="28"/>
          <w:highlight w:val="none"/>
        </w:rPr>
      </w:pPr>
      <w:r>
        <w:rPr>
          <w:rFonts w:hint="eastAsia" w:hAnsi="宋体"/>
          <w:b/>
          <w:color w:val="auto"/>
          <w:sz w:val="28"/>
          <w:szCs w:val="28"/>
          <w:highlight w:val="none"/>
        </w:rPr>
        <w:t>主要施工管理人员表</w:t>
      </w:r>
    </w:p>
    <w:tbl>
      <w:tblPr>
        <w:tblStyle w:val="57"/>
        <w:tblW w:w="0" w:type="auto"/>
        <w:tblInd w:w="108" w:type="dxa"/>
        <w:tblBorders>
          <w:top w:val="single" w:color="000000" w:sz="8" w:space="0"/>
          <w:left w:val="single" w:color="000000" w:sz="8" w:space="0"/>
          <w:bottom w:val="none" w:color="auto" w:sz="0" w:space="0"/>
          <w:right w:val="single" w:color="000000" w:sz="8" w:space="0"/>
          <w:insideH w:val="none" w:color="auto" w:sz="0" w:space="0"/>
          <w:insideV w:val="none" w:color="auto" w:sz="0" w:space="0"/>
        </w:tblBorders>
        <w:tblLayout w:type="fixed"/>
        <w:tblCellMar>
          <w:top w:w="0" w:type="dxa"/>
          <w:left w:w="108" w:type="dxa"/>
          <w:bottom w:w="0" w:type="dxa"/>
          <w:right w:w="108" w:type="dxa"/>
        </w:tblCellMar>
      </w:tblPr>
      <w:tblGrid>
        <w:gridCol w:w="2258"/>
        <w:gridCol w:w="1231"/>
        <w:gridCol w:w="1951"/>
        <w:gridCol w:w="1701"/>
        <w:gridCol w:w="1789"/>
      </w:tblGrid>
      <w:tr w14:paraId="21EFFCB5">
        <w:tblPrEx>
          <w:tblBorders>
            <w:top w:val="single" w:color="000000" w:sz="8"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453" w:hRule="atLeast"/>
        </w:trPr>
        <w:tc>
          <w:tcPr>
            <w:tcW w:w="2258" w:type="dxa"/>
            <w:tcBorders>
              <w:bottom w:val="single" w:color="000000" w:sz="4" w:space="0"/>
              <w:right w:val="single" w:color="000000" w:sz="4" w:space="0"/>
            </w:tcBorders>
          </w:tcPr>
          <w:p w14:paraId="3DDB355D">
            <w:pPr>
              <w:autoSpaceDE w:val="0"/>
              <w:autoSpaceDN w:val="0"/>
              <w:spacing w:line="480" w:lineRule="exact"/>
              <w:jc w:val="center"/>
              <w:rPr>
                <w:rFonts w:ascii="Arial" w:hAnsi="Arial" w:cs="Arial"/>
                <w:color w:val="auto"/>
                <w:sz w:val="24"/>
                <w:highlight w:val="none"/>
              </w:rPr>
            </w:pPr>
            <w:r>
              <w:rPr>
                <w:rFonts w:ascii="Arial" w:hAnsi="宋体" w:cs="Arial"/>
                <w:color w:val="auto"/>
                <w:sz w:val="24"/>
                <w:highlight w:val="none"/>
              </w:rPr>
              <w:t>名</w:t>
            </w:r>
            <w:r>
              <w:rPr>
                <w:rFonts w:ascii="Arial" w:hAnsi="Arial" w:cs="Arial"/>
                <w:color w:val="auto"/>
                <w:sz w:val="24"/>
                <w:highlight w:val="none"/>
              </w:rPr>
              <w:t xml:space="preserve">    </w:t>
            </w:r>
            <w:r>
              <w:rPr>
                <w:rFonts w:ascii="Arial" w:hAnsi="宋体" w:cs="Arial"/>
                <w:color w:val="auto"/>
                <w:sz w:val="24"/>
                <w:highlight w:val="none"/>
              </w:rPr>
              <w:t>称</w:t>
            </w:r>
          </w:p>
        </w:tc>
        <w:tc>
          <w:tcPr>
            <w:tcW w:w="1231" w:type="dxa"/>
            <w:tcBorders>
              <w:bottom w:val="single" w:color="000000" w:sz="4" w:space="0"/>
              <w:right w:val="single" w:color="000000" w:sz="4" w:space="0"/>
            </w:tcBorders>
          </w:tcPr>
          <w:p w14:paraId="0268490F">
            <w:pPr>
              <w:autoSpaceDE w:val="0"/>
              <w:autoSpaceDN w:val="0"/>
              <w:spacing w:line="480" w:lineRule="exact"/>
              <w:jc w:val="center"/>
              <w:rPr>
                <w:rFonts w:ascii="Arial" w:hAnsi="Arial" w:cs="Arial"/>
                <w:color w:val="auto"/>
                <w:sz w:val="24"/>
                <w:highlight w:val="none"/>
              </w:rPr>
            </w:pPr>
            <w:r>
              <w:rPr>
                <w:rFonts w:ascii="Arial" w:hAnsi="宋体" w:cs="Arial"/>
                <w:color w:val="auto"/>
                <w:sz w:val="24"/>
                <w:highlight w:val="none"/>
              </w:rPr>
              <w:t>姓</w:t>
            </w:r>
            <w:r>
              <w:rPr>
                <w:rFonts w:ascii="Arial" w:hAnsi="Arial" w:cs="Arial"/>
                <w:color w:val="auto"/>
                <w:sz w:val="24"/>
                <w:highlight w:val="none"/>
              </w:rPr>
              <w:t xml:space="preserve"> </w:t>
            </w:r>
            <w:r>
              <w:rPr>
                <w:rFonts w:ascii="Arial" w:hAnsi="宋体" w:cs="Arial"/>
                <w:color w:val="auto"/>
                <w:sz w:val="24"/>
                <w:highlight w:val="none"/>
              </w:rPr>
              <w:t>名</w:t>
            </w:r>
          </w:p>
        </w:tc>
        <w:tc>
          <w:tcPr>
            <w:tcW w:w="1951" w:type="dxa"/>
            <w:tcBorders>
              <w:bottom w:val="single" w:color="000000" w:sz="4" w:space="0"/>
              <w:right w:val="single" w:color="000000" w:sz="4" w:space="0"/>
            </w:tcBorders>
          </w:tcPr>
          <w:p w14:paraId="06AC7217">
            <w:pPr>
              <w:autoSpaceDE w:val="0"/>
              <w:autoSpaceDN w:val="0"/>
              <w:spacing w:line="480" w:lineRule="exact"/>
              <w:jc w:val="center"/>
              <w:rPr>
                <w:rFonts w:ascii="Arial" w:hAnsi="Arial" w:cs="Arial"/>
                <w:color w:val="auto"/>
                <w:sz w:val="24"/>
                <w:highlight w:val="none"/>
              </w:rPr>
            </w:pPr>
            <w:r>
              <w:rPr>
                <w:rFonts w:ascii="Arial" w:hAnsi="宋体" w:cs="Arial"/>
                <w:color w:val="auto"/>
                <w:sz w:val="24"/>
                <w:highlight w:val="none"/>
              </w:rPr>
              <w:t>职称或职务</w:t>
            </w:r>
          </w:p>
        </w:tc>
        <w:tc>
          <w:tcPr>
            <w:tcW w:w="1701" w:type="dxa"/>
            <w:tcBorders>
              <w:bottom w:val="single" w:color="000000" w:sz="4" w:space="0"/>
              <w:right w:val="single" w:color="auto" w:sz="4" w:space="0"/>
            </w:tcBorders>
          </w:tcPr>
          <w:p w14:paraId="4AEA9E2E">
            <w:pPr>
              <w:autoSpaceDE w:val="0"/>
              <w:autoSpaceDN w:val="0"/>
              <w:spacing w:line="480" w:lineRule="exact"/>
              <w:jc w:val="center"/>
              <w:rPr>
                <w:rFonts w:ascii="Arial" w:hAnsi="Arial" w:cs="Arial"/>
                <w:color w:val="auto"/>
                <w:sz w:val="24"/>
                <w:highlight w:val="none"/>
              </w:rPr>
            </w:pPr>
            <w:r>
              <w:rPr>
                <w:rFonts w:ascii="Arial" w:hAnsi="宋体" w:cs="Arial"/>
                <w:color w:val="auto"/>
                <w:sz w:val="24"/>
                <w:highlight w:val="none"/>
              </w:rPr>
              <w:t>管理内容</w:t>
            </w:r>
          </w:p>
        </w:tc>
        <w:tc>
          <w:tcPr>
            <w:tcW w:w="1789" w:type="dxa"/>
            <w:tcBorders>
              <w:left w:val="single" w:color="auto" w:sz="4" w:space="0"/>
              <w:bottom w:val="single" w:color="000000" w:sz="4" w:space="0"/>
              <w:right w:val="single" w:color="000000" w:sz="4" w:space="0"/>
            </w:tcBorders>
          </w:tcPr>
          <w:p w14:paraId="69826605">
            <w:pPr>
              <w:spacing w:line="480" w:lineRule="exact"/>
              <w:jc w:val="center"/>
              <w:rPr>
                <w:rFonts w:ascii="Arial" w:hAnsi="Arial" w:cs="Arial"/>
                <w:color w:val="auto"/>
                <w:sz w:val="24"/>
                <w:highlight w:val="none"/>
              </w:rPr>
            </w:pPr>
            <w:r>
              <w:rPr>
                <w:rFonts w:ascii="Arial" w:hAnsi="宋体" w:cs="Arial"/>
                <w:color w:val="auto"/>
                <w:sz w:val="24"/>
                <w:highlight w:val="none"/>
              </w:rPr>
              <w:t>岗位证书</w:t>
            </w:r>
          </w:p>
        </w:tc>
      </w:tr>
      <w:tr w14:paraId="1426D3AF">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457" w:hRule="atLeast"/>
        </w:trPr>
        <w:tc>
          <w:tcPr>
            <w:tcW w:w="2258" w:type="dxa"/>
            <w:tcBorders>
              <w:bottom w:val="single" w:color="000000" w:sz="4" w:space="0"/>
              <w:right w:val="single" w:color="000000" w:sz="4" w:space="0"/>
            </w:tcBorders>
          </w:tcPr>
          <w:p w14:paraId="1998DBA5">
            <w:pPr>
              <w:autoSpaceDE w:val="0"/>
              <w:autoSpaceDN w:val="0"/>
              <w:spacing w:line="480" w:lineRule="exact"/>
              <w:rPr>
                <w:rFonts w:ascii="Arial" w:hAnsi="Arial" w:cs="Arial"/>
                <w:color w:val="auto"/>
                <w:sz w:val="24"/>
                <w:highlight w:val="none"/>
              </w:rPr>
            </w:pPr>
            <w:r>
              <w:rPr>
                <w:rFonts w:ascii="Arial" w:hAnsi="Arial" w:cs="Arial"/>
                <w:color w:val="auto"/>
                <w:sz w:val="24"/>
                <w:highlight w:val="none"/>
              </w:rPr>
              <w:t>1</w:t>
            </w:r>
            <w:r>
              <w:rPr>
                <w:rFonts w:ascii="Arial" w:hAnsi="宋体" w:cs="Arial"/>
                <w:color w:val="auto"/>
                <w:sz w:val="24"/>
                <w:highlight w:val="none"/>
              </w:rPr>
              <w:t>、项目经理</w:t>
            </w:r>
          </w:p>
        </w:tc>
        <w:tc>
          <w:tcPr>
            <w:tcW w:w="1231" w:type="dxa"/>
            <w:tcBorders>
              <w:bottom w:val="single" w:color="000000" w:sz="4" w:space="0"/>
              <w:right w:val="single" w:color="000000" w:sz="4" w:space="0"/>
            </w:tcBorders>
          </w:tcPr>
          <w:p w14:paraId="5E093722">
            <w:pPr>
              <w:autoSpaceDE w:val="0"/>
              <w:autoSpaceDN w:val="0"/>
              <w:spacing w:line="480" w:lineRule="exact"/>
              <w:rPr>
                <w:rFonts w:ascii="Arial" w:hAnsi="Arial" w:cs="Arial"/>
                <w:color w:val="auto"/>
                <w:sz w:val="24"/>
                <w:highlight w:val="none"/>
              </w:rPr>
            </w:pPr>
          </w:p>
        </w:tc>
        <w:tc>
          <w:tcPr>
            <w:tcW w:w="1951" w:type="dxa"/>
            <w:tcBorders>
              <w:bottom w:val="single" w:color="000000" w:sz="4" w:space="0"/>
              <w:right w:val="single" w:color="000000" w:sz="4" w:space="0"/>
            </w:tcBorders>
          </w:tcPr>
          <w:p w14:paraId="37BE03D8">
            <w:pPr>
              <w:autoSpaceDE w:val="0"/>
              <w:autoSpaceDN w:val="0"/>
              <w:spacing w:line="480" w:lineRule="exact"/>
              <w:rPr>
                <w:rFonts w:ascii="Arial" w:hAnsi="Arial" w:cs="Arial"/>
                <w:color w:val="auto"/>
                <w:sz w:val="24"/>
                <w:highlight w:val="none"/>
              </w:rPr>
            </w:pPr>
          </w:p>
        </w:tc>
        <w:tc>
          <w:tcPr>
            <w:tcW w:w="1701" w:type="dxa"/>
            <w:tcBorders>
              <w:bottom w:val="single" w:color="000000" w:sz="4" w:space="0"/>
              <w:right w:val="single" w:color="auto" w:sz="4" w:space="0"/>
            </w:tcBorders>
          </w:tcPr>
          <w:p w14:paraId="73B286E2">
            <w:pPr>
              <w:autoSpaceDE w:val="0"/>
              <w:autoSpaceDN w:val="0"/>
              <w:spacing w:line="480" w:lineRule="exact"/>
              <w:rPr>
                <w:rFonts w:ascii="Arial" w:hAnsi="Arial" w:cs="Arial"/>
                <w:color w:val="auto"/>
                <w:sz w:val="24"/>
                <w:highlight w:val="none"/>
              </w:rPr>
            </w:pPr>
          </w:p>
        </w:tc>
        <w:tc>
          <w:tcPr>
            <w:tcW w:w="1789" w:type="dxa"/>
            <w:tcBorders>
              <w:left w:val="single" w:color="auto" w:sz="4" w:space="0"/>
              <w:bottom w:val="single" w:color="000000" w:sz="4" w:space="0"/>
              <w:right w:val="single" w:color="000000" w:sz="4" w:space="0"/>
            </w:tcBorders>
          </w:tcPr>
          <w:p w14:paraId="4ADA3878">
            <w:pPr>
              <w:autoSpaceDE w:val="0"/>
              <w:autoSpaceDN w:val="0"/>
              <w:spacing w:line="480" w:lineRule="exact"/>
              <w:rPr>
                <w:rFonts w:ascii="Arial" w:hAnsi="Arial" w:cs="Arial"/>
                <w:color w:val="auto"/>
                <w:sz w:val="24"/>
                <w:highlight w:val="none"/>
              </w:rPr>
            </w:pPr>
          </w:p>
        </w:tc>
      </w:tr>
      <w:tr w14:paraId="2D8CDAC8">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457" w:hRule="atLeast"/>
        </w:trPr>
        <w:tc>
          <w:tcPr>
            <w:tcW w:w="2258" w:type="dxa"/>
            <w:tcBorders>
              <w:bottom w:val="single" w:color="000000" w:sz="4" w:space="0"/>
              <w:right w:val="single" w:color="000000" w:sz="4" w:space="0"/>
            </w:tcBorders>
          </w:tcPr>
          <w:p w14:paraId="0FF9B26D">
            <w:pPr>
              <w:autoSpaceDE w:val="0"/>
              <w:autoSpaceDN w:val="0"/>
              <w:spacing w:line="480" w:lineRule="exact"/>
              <w:rPr>
                <w:rFonts w:ascii="Arial" w:hAnsi="Arial" w:cs="Arial"/>
                <w:color w:val="auto"/>
                <w:sz w:val="24"/>
                <w:highlight w:val="none"/>
              </w:rPr>
            </w:pPr>
            <w:r>
              <w:rPr>
                <w:rFonts w:hint="eastAsia" w:ascii="Arial" w:hAnsi="Arial" w:cs="Arial"/>
                <w:color w:val="auto"/>
                <w:sz w:val="24"/>
                <w:highlight w:val="none"/>
              </w:rPr>
              <w:t>2</w:t>
            </w:r>
            <w:r>
              <w:rPr>
                <w:rFonts w:ascii="Arial" w:hAnsi="宋体" w:cs="Arial"/>
                <w:color w:val="auto"/>
                <w:sz w:val="24"/>
                <w:highlight w:val="none"/>
              </w:rPr>
              <w:t>、项目技术负责人</w:t>
            </w:r>
          </w:p>
        </w:tc>
        <w:tc>
          <w:tcPr>
            <w:tcW w:w="1231" w:type="dxa"/>
            <w:tcBorders>
              <w:bottom w:val="single" w:color="000000" w:sz="4" w:space="0"/>
              <w:right w:val="single" w:color="000000" w:sz="4" w:space="0"/>
            </w:tcBorders>
          </w:tcPr>
          <w:p w14:paraId="44960483">
            <w:pPr>
              <w:autoSpaceDE w:val="0"/>
              <w:autoSpaceDN w:val="0"/>
              <w:spacing w:line="480" w:lineRule="exact"/>
              <w:rPr>
                <w:rFonts w:ascii="Arial" w:hAnsi="Arial" w:cs="Arial"/>
                <w:color w:val="auto"/>
                <w:sz w:val="24"/>
                <w:highlight w:val="none"/>
              </w:rPr>
            </w:pPr>
          </w:p>
        </w:tc>
        <w:tc>
          <w:tcPr>
            <w:tcW w:w="1951" w:type="dxa"/>
            <w:tcBorders>
              <w:bottom w:val="single" w:color="000000" w:sz="4" w:space="0"/>
              <w:right w:val="single" w:color="000000" w:sz="4" w:space="0"/>
            </w:tcBorders>
          </w:tcPr>
          <w:p w14:paraId="68529406">
            <w:pPr>
              <w:autoSpaceDE w:val="0"/>
              <w:autoSpaceDN w:val="0"/>
              <w:spacing w:line="480" w:lineRule="exact"/>
              <w:rPr>
                <w:rFonts w:ascii="Arial" w:hAnsi="Arial" w:cs="Arial"/>
                <w:color w:val="auto"/>
                <w:sz w:val="24"/>
                <w:highlight w:val="none"/>
              </w:rPr>
            </w:pPr>
          </w:p>
        </w:tc>
        <w:tc>
          <w:tcPr>
            <w:tcW w:w="1701" w:type="dxa"/>
            <w:tcBorders>
              <w:bottom w:val="single" w:color="000000" w:sz="4" w:space="0"/>
              <w:right w:val="single" w:color="auto" w:sz="4" w:space="0"/>
            </w:tcBorders>
          </w:tcPr>
          <w:p w14:paraId="69ED12BA">
            <w:pPr>
              <w:autoSpaceDE w:val="0"/>
              <w:autoSpaceDN w:val="0"/>
              <w:spacing w:line="480" w:lineRule="exact"/>
              <w:rPr>
                <w:rFonts w:ascii="Arial" w:hAnsi="Arial" w:cs="Arial"/>
                <w:color w:val="auto"/>
                <w:sz w:val="24"/>
                <w:highlight w:val="none"/>
              </w:rPr>
            </w:pPr>
          </w:p>
        </w:tc>
        <w:tc>
          <w:tcPr>
            <w:tcW w:w="1789" w:type="dxa"/>
            <w:tcBorders>
              <w:left w:val="single" w:color="auto" w:sz="4" w:space="0"/>
              <w:bottom w:val="single" w:color="000000" w:sz="4" w:space="0"/>
              <w:right w:val="single" w:color="000000" w:sz="4" w:space="0"/>
            </w:tcBorders>
          </w:tcPr>
          <w:p w14:paraId="67D1CCB9">
            <w:pPr>
              <w:autoSpaceDE w:val="0"/>
              <w:autoSpaceDN w:val="0"/>
              <w:spacing w:line="480" w:lineRule="exact"/>
              <w:rPr>
                <w:rFonts w:ascii="Arial" w:hAnsi="Arial" w:cs="Arial"/>
                <w:color w:val="auto"/>
                <w:sz w:val="24"/>
                <w:highlight w:val="none"/>
              </w:rPr>
            </w:pPr>
          </w:p>
        </w:tc>
      </w:tr>
      <w:tr w14:paraId="7251FB71">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457" w:hRule="atLeast"/>
        </w:trPr>
        <w:tc>
          <w:tcPr>
            <w:tcW w:w="2258" w:type="dxa"/>
            <w:tcBorders>
              <w:bottom w:val="single" w:color="000000" w:sz="4" w:space="0"/>
              <w:right w:val="single" w:color="000000" w:sz="4" w:space="0"/>
            </w:tcBorders>
          </w:tcPr>
          <w:p w14:paraId="171FF20D">
            <w:pPr>
              <w:autoSpaceDE w:val="0"/>
              <w:autoSpaceDN w:val="0"/>
              <w:spacing w:line="480" w:lineRule="exact"/>
              <w:rPr>
                <w:rFonts w:ascii="Arial" w:hAnsi="Arial" w:cs="Arial"/>
                <w:color w:val="auto"/>
                <w:sz w:val="24"/>
                <w:highlight w:val="none"/>
              </w:rPr>
            </w:pPr>
            <w:r>
              <w:rPr>
                <w:rFonts w:hint="eastAsia" w:ascii="Arial" w:hAnsi="Arial" w:cs="Arial"/>
                <w:color w:val="auto"/>
                <w:sz w:val="24"/>
                <w:highlight w:val="none"/>
              </w:rPr>
              <w:t>3</w:t>
            </w:r>
            <w:r>
              <w:rPr>
                <w:rFonts w:ascii="Arial" w:hAnsi="宋体" w:cs="Arial"/>
                <w:color w:val="auto"/>
                <w:sz w:val="24"/>
                <w:highlight w:val="none"/>
              </w:rPr>
              <w:t>、质量管理</w:t>
            </w:r>
          </w:p>
        </w:tc>
        <w:tc>
          <w:tcPr>
            <w:tcW w:w="1231" w:type="dxa"/>
            <w:tcBorders>
              <w:bottom w:val="single" w:color="000000" w:sz="4" w:space="0"/>
              <w:right w:val="single" w:color="000000" w:sz="4" w:space="0"/>
            </w:tcBorders>
          </w:tcPr>
          <w:p w14:paraId="449017A4">
            <w:pPr>
              <w:autoSpaceDE w:val="0"/>
              <w:autoSpaceDN w:val="0"/>
              <w:spacing w:line="480" w:lineRule="exact"/>
              <w:rPr>
                <w:rFonts w:ascii="Arial" w:hAnsi="Arial" w:cs="Arial"/>
                <w:color w:val="auto"/>
                <w:sz w:val="24"/>
                <w:highlight w:val="none"/>
              </w:rPr>
            </w:pPr>
          </w:p>
        </w:tc>
        <w:tc>
          <w:tcPr>
            <w:tcW w:w="1951" w:type="dxa"/>
            <w:tcBorders>
              <w:bottom w:val="single" w:color="000000" w:sz="4" w:space="0"/>
              <w:right w:val="single" w:color="000000" w:sz="4" w:space="0"/>
            </w:tcBorders>
          </w:tcPr>
          <w:p w14:paraId="231B72A4">
            <w:pPr>
              <w:autoSpaceDE w:val="0"/>
              <w:autoSpaceDN w:val="0"/>
              <w:spacing w:line="480" w:lineRule="exact"/>
              <w:rPr>
                <w:rFonts w:ascii="Arial" w:hAnsi="Arial" w:cs="Arial"/>
                <w:color w:val="auto"/>
                <w:sz w:val="24"/>
                <w:highlight w:val="none"/>
              </w:rPr>
            </w:pPr>
          </w:p>
        </w:tc>
        <w:tc>
          <w:tcPr>
            <w:tcW w:w="1701" w:type="dxa"/>
            <w:tcBorders>
              <w:bottom w:val="single" w:color="000000" w:sz="4" w:space="0"/>
              <w:right w:val="single" w:color="auto" w:sz="4" w:space="0"/>
            </w:tcBorders>
          </w:tcPr>
          <w:p w14:paraId="6090A461">
            <w:pPr>
              <w:autoSpaceDE w:val="0"/>
              <w:autoSpaceDN w:val="0"/>
              <w:spacing w:line="480" w:lineRule="exact"/>
              <w:rPr>
                <w:rFonts w:ascii="Arial" w:hAnsi="Arial" w:cs="Arial"/>
                <w:color w:val="auto"/>
                <w:sz w:val="24"/>
                <w:highlight w:val="none"/>
              </w:rPr>
            </w:pPr>
          </w:p>
        </w:tc>
        <w:tc>
          <w:tcPr>
            <w:tcW w:w="1789" w:type="dxa"/>
            <w:tcBorders>
              <w:left w:val="single" w:color="auto" w:sz="4" w:space="0"/>
              <w:bottom w:val="single" w:color="000000" w:sz="4" w:space="0"/>
              <w:right w:val="single" w:color="000000" w:sz="4" w:space="0"/>
            </w:tcBorders>
          </w:tcPr>
          <w:p w14:paraId="55B6EDAD">
            <w:pPr>
              <w:autoSpaceDE w:val="0"/>
              <w:autoSpaceDN w:val="0"/>
              <w:spacing w:line="480" w:lineRule="exact"/>
              <w:rPr>
                <w:rFonts w:ascii="Arial" w:hAnsi="Arial" w:cs="Arial"/>
                <w:color w:val="auto"/>
                <w:sz w:val="24"/>
                <w:highlight w:val="none"/>
              </w:rPr>
            </w:pPr>
          </w:p>
        </w:tc>
      </w:tr>
      <w:tr w14:paraId="5F246ACA">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457" w:hRule="atLeast"/>
        </w:trPr>
        <w:tc>
          <w:tcPr>
            <w:tcW w:w="2258" w:type="dxa"/>
            <w:tcBorders>
              <w:bottom w:val="single" w:color="000000" w:sz="4" w:space="0"/>
              <w:right w:val="single" w:color="000000" w:sz="4" w:space="0"/>
            </w:tcBorders>
          </w:tcPr>
          <w:p w14:paraId="02B08D01">
            <w:pPr>
              <w:autoSpaceDE w:val="0"/>
              <w:autoSpaceDN w:val="0"/>
              <w:spacing w:line="480" w:lineRule="exact"/>
              <w:rPr>
                <w:rFonts w:ascii="Arial" w:hAnsi="Arial" w:cs="Arial"/>
                <w:color w:val="auto"/>
                <w:sz w:val="24"/>
                <w:highlight w:val="none"/>
              </w:rPr>
            </w:pPr>
            <w:r>
              <w:rPr>
                <w:rFonts w:hint="eastAsia" w:ascii="Arial" w:hAnsi="Arial" w:cs="Arial"/>
                <w:color w:val="auto"/>
                <w:sz w:val="24"/>
                <w:highlight w:val="none"/>
              </w:rPr>
              <w:t>4</w:t>
            </w:r>
            <w:r>
              <w:rPr>
                <w:rFonts w:ascii="Arial" w:hAnsi="宋体" w:cs="Arial"/>
                <w:color w:val="auto"/>
                <w:sz w:val="24"/>
                <w:highlight w:val="none"/>
              </w:rPr>
              <w:t>、材料管理</w:t>
            </w:r>
          </w:p>
        </w:tc>
        <w:tc>
          <w:tcPr>
            <w:tcW w:w="1231" w:type="dxa"/>
            <w:tcBorders>
              <w:bottom w:val="single" w:color="000000" w:sz="4" w:space="0"/>
              <w:right w:val="single" w:color="000000" w:sz="4" w:space="0"/>
            </w:tcBorders>
          </w:tcPr>
          <w:p w14:paraId="03B13346">
            <w:pPr>
              <w:autoSpaceDE w:val="0"/>
              <w:autoSpaceDN w:val="0"/>
              <w:spacing w:line="480" w:lineRule="exact"/>
              <w:rPr>
                <w:rFonts w:ascii="Arial" w:hAnsi="Arial" w:cs="Arial"/>
                <w:color w:val="auto"/>
                <w:sz w:val="24"/>
                <w:highlight w:val="none"/>
              </w:rPr>
            </w:pPr>
          </w:p>
        </w:tc>
        <w:tc>
          <w:tcPr>
            <w:tcW w:w="1951" w:type="dxa"/>
            <w:tcBorders>
              <w:bottom w:val="single" w:color="000000" w:sz="4" w:space="0"/>
              <w:right w:val="single" w:color="000000" w:sz="4" w:space="0"/>
            </w:tcBorders>
          </w:tcPr>
          <w:p w14:paraId="1034D682">
            <w:pPr>
              <w:autoSpaceDE w:val="0"/>
              <w:autoSpaceDN w:val="0"/>
              <w:spacing w:line="480" w:lineRule="exact"/>
              <w:rPr>
                <w:rFonts w:ascii="Arial" w:hAnsi="Arial" w:cs="Arial"/>
                <w:color w:val="auto"/>
                <w:sz w:val="24"/>
                <w:highlight w:val="none"/>
              </w:rPr>
            </w:pPr>
          </w:p>
        </w:tc>
        <w:tc>
          <w:tcPr>
            <w:tcW w:w="1701" w:type="dxa"/>
            <w:tcBorders>
              <w:bottom w:val="single" w:color="000000" w:sz="4" w:space="0"/>
              <w:right w:val="single" w:color="auto" w:sz="4" w:space="0"/>
            </w:tcBorders>
          </w:tcPr>
          <w:p w14:paraId="5C3C44FD">
            <w:pPr>
              <w:autoSpaceDE w:val="0"/>
              <w:autoSpaceDN w:val="0"/>
              <w:spacing w:line="480" w:lineRule="exact"/>
              <w:rPr>
                <w:rFonts w:ascii="Arial" w:hAnsi="Arial" w:cs="Arial"/>
                <w:color w:val="auto"/>
                <w:sz w:val="24"/>
                <w:highlight w:val="none"/>
              </w:rPr>
            </w:pPr>
          </w:p>
        </w:tc>
        <w:tc>
          <w:tcPr>
            <w:tcW w:w="1789" w:type="dxa"/>
            <w:tcBorders>
              <w:left w:val="single" w:color="auto" w:sz="4" w:space="0"/>
              <w:bottom w:val="single" w:color="000000" w:sz="4" w:space="0"/>
              <w:right w:val="single" w:color="000000" w:sz="4" w:space="0"/>
            </w:tcBorders>
          </w:tcPr>
          <w:p w14:paraId="4619250E">
            <w:pPr>
              <w:autoSpaceDE w:val="0"/>
              <w:autoSpaceDN w:val="0"/>
              <w:spacing w:line="480" w:lineRule="exact"/>
              <w:rPr>
                <w:rFonts w:ascii="Arial" w:hAnsi="Arial" w:cs="Arial"/>
                <w:color w:val="auto"/>
                <w:sz w:val="24"/>
                <w:highlight w:val="none"/>
              </w:rPr>
            </w:pPr>
          </w:p>
        </w:tc>
      </w:tr>
      <w:tr w14:paraId="43EBD122">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457" w:hRule="atLeast"/>
        </w:trPr>
        <w:tc>
          <w:tcPr>
            <w:tcW w:w="2258" w:type="dxa"/>
            <w:tcBorders>
              <w:bottom w:val="single" w:color="000000" w:sz="4" w:space="0"/>
              <w:right w:val="single" w:color="000000" w:sz="4" w:space="0"/>
            </w:tcBorders>
          </w:tcPr>
          <w:p w14:paraId="3176092E">
            <w:pPr>
              <w:autoSpaceDE w:val="0"/>
              <w:autoSpaceDN w:val="0"/>
              <w:spacing w:line="480" w:lineRule="exact"/>
              <w:rPr>
                <w:rFonts w:ascii="Arial" w:hAnsi="Arial" w:cs="Arial"/>
                <w:color w:val="auto"/>
                <w:sz w:val="24"/>
                <w:highlight w:val="none"/>
              </w:rPr>
            </w:pPr>
            <w:r>
              <w:rPr>
                <w:rFonts w:hint="eastAsia" w:ascii="Arial" w:hAnsi="Arial" w:cs="Arial"/>
                <w:color w:val="auto"/>
                <w:sz w:val="24"/>
                <w:highlight w:val="none"/>
              </w:rPr>
              <w:t>5</w:t>
            </w:r>
            <w:r>
              <w:rPr>
                <w:rFonts w:ascii="Arial" w:hAnsi="宋体" w:cs="Arial"/>
                <w:color w:val="auto"/>
                <w:sz w:val="24"/>
                <w:highlight w:val="none"/>
              </w:rPr>
              <w:t>、安全管理</w:t>
            </w:r>
          </w:p>
        </w:tc>
        <w:tc>
          <w:tcPr>
            <w:tcW w:w="1231" w:type="dxa"/>
            <w:tcBorders>
              <w:bottom w:val="single" w:color="000000" w:sz="4" w:space="0"/>
              <w:right w:val="single" w:color="000000" w:sz="4" w:space="0"/>
            </w:tcBorders>
          </w:tcPr>
          <w:p w14:paraId="1488F7FF">
            <w:pPr>
              <w:autoSpaceDE w:val="0"/>
              <w:autoSpaceDN w:val="0"/>
              <w:spacing w:line="480" w:lineRule="exact"/>
              <w:rPr>
                <w:rFonts w:ascii="Arial" w:hAnsi="Arial" w:cs="Arial"/>
                <w:color w:val="auto"/>
                <w:sz w:val="24"/>
                <w:highlight w:val="none"/>
              </w:rPr>
            </w:pPr>
          </w:p>
        </w:tc>
        <w:tc>
          <w:tcPr>
            <w:tcW w:w="1951" w:type="dxa"/>
            <w:tcBorders>
              <w:bottom w:val="single" w:color="000000" w:sz="4" w:space="0"/>
              <w:right w:val="single" w:color="000000" w:sz="4" w:space="0"/>
            </w:tcBorders>
          </w:tcPr>
          <w:p w14:paraId="7EBC3CAA">
            <w:pPr>
              <w:autoSpaceDE w:val="0"/>
              <w:autoSpaceDN w:val="0"/>
              <w:spacing w:line="480" w:lineRule="exact"/>
              <w:rPr>
                <w:rFonts w:ascii="Arial" w:hAnsi="Arial" w:cs="Arial"/>
                <w:color w:val="auto"/>
                <w:sz w:val="24"/>
                <w:highlight w:val="none"/>
              </w:rPr>
            </w:pPr>
          </w:p>
        </w:tc>
        <w:tc>
          <w:tcPr>
            <w:tcW w:w="1701" w:type="dxa"/>
            <w:tcBorders>
              <w:bottom w:val="single" w:color="000000" w:sz="4" w:space="0"/>
              <w:right w:val="single" w:color="auto" w:sz="4" w:space="0"/>
            </w:tcBorders>
          </w:tcPr>
          <w:p w14:paraId="196A9DB7">
            <w:pPr>
              <w:autoSpaceDE w:val="0"/>
              <w:autoSpaceDN w:val="0"/>
              <w:spacing w:line="480" w:lineRule="exact"/>
              <w:rPr>
                <w:rFonts w:ascii="Arial" w:hAnsi="Arial" w:cs="Arial"/>
                <w:color w:val="auto"/>
                <w:sz w:val="24"/>
                <w:highlight w:val="none"/>
              </w:rPr>
            </w:pPr>
          </w:p>
        </w:tc>
        <w:tc>
          <w:tcPr>
            <w:tcW w:w="1789" w:type="dxa"/>
            <w:tcBorders>
              <w:left w:val="single" w:color="auto" w:sz="4" w:space="0"/>
              <w:bottom w:val="single" w:color="000000" w:sz="4" w:space="0"/>
              <w:right w:val="single" w:color="000000" w:sz="4" w:space="0"/>
            </w:tcBorders>
          </w:tcPr>
          <w:p w14:paraId="0B5114B1">
            <w:pPr>
              <w:autoSpaceDE w:val="0"/>
              <w:autoSpaceDN w:val="0"/>
              <w:spacing w:line="480" w:lineRule="exact"/>
              <w:rPr>
                <w:rFonts w:ascii="Arial" w:hAnsi="Arial" w:cs="Arial"/>
                <w:color w:val="auto"/>
                <w:sz w:val="24"/>
                <w:highlight w:val="none"/>
              </w:rPr>
            </w:pPr>
          </w:p>
        </w:tc>
      </w:tr>
      <w:tr w14:paraId="39E96CBB">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457" w:hRule="atLeast"/>
        </w:trPr>
        <w:tc>
          <w:tcPr>
            <w:tcW w:w="2258" w:type="dxa"/>
            <w:tcBorders>
              <w:bottom w:val="single" w:color="000000" w:sz="4" w:space="0"/>
              <w:right w:val="single" w:color="000000" w:sz="4" w:space="0"/>
            </w:tcBorders>
          </w:tcPr>
          <w:p w14:paraId="0F941D03">
            <w:pPr>
              <w:autoSpaceDE w:val="0"/>
              <w:autoSpaceDN w:val="0"/>
              <w:spacing w:line="480" w:lineRule="exact"/>
              <w:rPr>
                <w:rFonts w:ascii="Arial" w:hAnsi="Arial" w:cs="Arial"/>
                <w:color w:val="auto"/>
                <w:sz w:val="24"/>
                <w:highlight w:val="none"/>
              </w:rPr>
            </w:pPr>
            <w:r>
              <w:rPr>
                <w:rFonts w:hint="eastAsia" w:ascii="Arial" w:hAnsi="Arial" w:cs="Arial"/>
                <w:color w:val="auto"/>
                <w:sz w:val="24"/>
                <w:highlight w:val="none"/>
              </w:rPr>
              <w:t>6</w:t>
            </w:r>
            <w:r>
              <w:rPr>
                <w:rFonts w:ascii="Arial" w:hAnsi="宋体" w:cs="Arial"/>
                <w:color w:val="auto"/>
                <w:sz w:val="24"/>
                <w:highlight w:val="none"/>
              </w:rPr>
              <w:t>、施工管理</w:t>
            </w:r>
          </w:p>
        </w:tc>
        <w:tc>
          <w:tcPr>
            <w:tcW w:w="1231" w:type="dxa"/>
            <w:tcBorders>
              <w:bottom w:val="single" w:color="000000" w:sz="4" w:space="0"/>
              <w:right w:val="single" w:color="000000" w:sz="4" w:space="0"/>
            </w:tcBorders>
          </w:tcPr>
          <w:p w14:paraId="49A0FA60">
            <w:pPr>
              <w:autoSpaceDE w:val="0"/>
              <w:autoSpaceDN w:val="0"/>
              <w:spacing w:line="480" w:lineRule="exact"/>
              <w:rPr>
                <w:rFonts w:ascii="Arial" w:hAnsi="Arial" w:cs="Arial"/>
                <w:color w:val="auto"/>
                <w:sz w:val="24"/>
                <w:highlight w:val="none"/>
              </w:rPr>
            </w:pPr>
          </w:p>
        </w:tc>
        <w:tc>
          <w:tcPr>
            <w:tcW w:w="1951" w:type="dxa"/>
            <w:tcBorders>
              <w:bottom w:val="single" w:color="000000" w:sz="4" w:space="0"/>
              <w:right w:val="single" w:color="000000" w:sz="4" w:space="0"/>
            </w:tcBorders>
          </w:tcPr>
          <w:p w14:paraId="244AB1B2">
            <w:pPr>
              <w:autoSpaceDE w:val="0"/>
              <w:autoSpaceDN w:val="0"/>
              <w:spacing w:line="480" w:lineRule="exact"/>
              <w:rPr>
                <w:rFonts w:ascii="Arial" w:hAnsi="Arial" w:cs="Arial"/>
                <w:color w:val="auto"/>
                <w:sz w:val="24"/>
                <w:highlight w:val="none"/>
              </w:rPr>
            </w:pPr>
          </w:p>
        </w:tc>
        <w:tc>
          <w:tcPr>
            <w:tcW w:w="1701" w:type="dxa"/>
            <w:tcBorders>
              <w:bottom w:val="single" w:color="000000" w:sz="4" w:space="0"/>
              <w:right w:val="single" w:color="auto" w:sz="4" w:space="0"/>
            </w:tcBorders>
          </w:tcPr>
          <w:p w14:paraId="7F926D13">
            <w:pPr>
              <w:autoSpaceDE w:val="0"/>
              <w:autoSpaceDN w:val="0"/>
              <w:spacing w:line="480" w:lineRule="exact"/>
              <w:rPr>
                <w:rFonts w:ascii="Arial" w:hAnsi="Arial" w:cs="Arial"/>
                <w:color w:val="auto"/>
                <w:sz w:val="24"/>
                <w:highlight w:val="none"/>
              </w:rPr>
            </w:pPr>
          </w:p>
        </w:tc>
        <w:tc>
          <w:tcPr>
            <w:tcW w:w="1789" w:type="dxa"/>
            <w:tcBorders>
              <w:left w:val="single" w:color="auto" w:sz="4" w:space="0"/>
              <w:bottom w:val="single" w:color="000000" w:sz="4" w:space="0"/>
              <w:right w:val="single" w:color="000000" w:sz="4" w:space="0"/>
            </w:tcBorders>
          </w:tcPr>
          <w:p w14:paraId="69945431">
            <w:pPr>
              <w:autoSpaceDE w:val="0"/>
              <w:autoSpaceDN w:val="0"/>
              <w:spacing w:line="480" w:lineRule="exact"/>
              <w:rPr>
                <w:rFonts w:ascii="Arial" w:hAnsi="Arial" w:cs="Arial"/>
                <w:color w:val="auto"/>
                <w:sz w:val="24"/>
                <w:highlight w:val="none"/>
              </w:rPr>
            </w:pPr>
          </w:p>
        </w:tc>
      </w:tr>
      <w:tr w14:paraId="174FD170">
        <w:tblPrEx>
          <w:tblBorders>
            <w:top w:val="none" w:color="auto" w:sz="0" w:space="0"/>
            <w:left w:val="single" w:color="000000" w:sz="8" w:space="0"/>
            <w:bottom w:val="single" w:color="000000" w:sz="8"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457" w:hRule="atLeast"/>
        </w:trPr>
        <w:tc>
          <w:tcPr>
            <w:tcW w:w="2258" w:type="dxa"/>
            <w:tcBorders>
              <w:bottom w:val="single" w:color="000000" w:sz="4" w:space="0"/>
              <w:right w:val="single" w:color="000000" w:sz="4" w:space="0"/>
            </w:tcBorders>
          </w:tcPr>
          <w:p w14:paraId="754A4212">
            <w:pPr>
              <w:autoSpaceDE w:val="0"/>
              <w:autoSpaceDN w:val="0"/>
              <w:spacing w:line="480" w:lineRule="exact"/>
              <w:rPr>
                <w:rFonts w:ascii="Arial" w:hAnsi="Arial" w:cs="Arial"/>
                <w:color w:val="auto"/>
                <w:sz w:val="24"/>
                <w:highlight w:val="none"/>
              </w:rPr>
            </w:pPr>
            <w:r>
              <w:rPr>
                <w:rFonts w:hint="eastAsia" w:ascii="Arial" w:hAnsi="Arial" w:cs="Arial"/>
                <w:color w:val="auto"/>
                <w:sz w:val="24"/>
                <w:highlight w:val="none"/>
              </w:rPr>
              <w:t>7</w:t>
            </w:r>
            <w:r>
              <w:rPr>
                <w:rFonts w:ascii="Arial" w:hAnsi="宋体" w:cs="Arial"/>
                <w:color w:val="auto"/>
                <w:sz w:val="24"/>
                <w:highlight w:val="none"/>
              </w:rPr>
              <w:t>、</w:t>
            </w:r>
          </w:p>
        </w:tc>
        <w:tc>
          <w:tcPr>
            <w:tcW w:w="1231" w:type="dxa"/>
            <w:tcBorders>
              <w:bottom w:val="single" w:color="000000" w:sz="4" w:space="0"/>
              <w:right w:val="single" w:color="000000" w:sz="4" w:space="0"/>
            </w:tcBorders>
          </w:tcPr>
          <w:p w14:paraId="207AB041">
            <w:pPr>
              <w:autoSpaceDE w:val="0"/>
              <w:autoSpaceDN w:val="0"/>
              <w:spacing w:line="480" w:lineRule="exact"/>
              <w:rPr>
                <w:rFonts w:ascii="Arial" w:hAnsi="Arial" w:cs="Arial"/>
                <w:color w:val="auto"/>
                <w:sz w:val="24"/>
                <w:highlight w:val="none"/>
              </w:rPr>
            </w:pPr>
          </w:p>
        </w:tc>
        <w:tc>
          <w:tcPr>
            <w:tcW w:w="1951" w:type="dxa"/>
            <w:tcBorders>
              <w:bottom w:val="single" w:color="000000" w:sz="4" w:space="0"/>
              <w:right w:val="single" w:color="000000" w:sz="4" w:space="0"/>
            </w:tcBorders>
          </w:tcPr>
          <w:p w14:paraId="4BEEED2F">
            <w:pPr>
              <w:autoSpaceDE w:val="0"/>
              <w:autoSpaceDN w:val="0"/>
              <w:spacing w:line="480" w:lineRule="exact"/>
              <w:rPr>
                <w:rFonts w:ascii="Arial" w:hAnsi="Arial" w:cs="Arial"/>
                <w:color w:val="auto"/>
                <w:sz w:val="24"/>
                <w:highlight w:val="none"/>
              </w:rPr>
            </w:pPr>
          </w:p>
        </w:tc>
        <w:tc>
          <w:tcPr>
            <w:tcW w:w="1701" w:type="dxa"/>
            <w:tcBorders>
              <w:bottom w:val="single" w:color="000000" w:sz="4" w:space="0"/>
              <w:right w:val="single" w:color="auto" w:sz="4" w:space="0"/>
            </w:tcBorders>
          </w:tcPr>
          <w:p w14:paraId="0164E0E3">
            <w:pPr>
              <w:autoSpaceDE w:val="0"/>
              <w:autoSpaceDN w:val="0"/>
              <w:spacing w:line="480" w:lineRule="exact"/>
              <w:rPr>
                <w:rFonts w:ascii="Arial" w:hAnsi="Arial" w:cs="Arial"/>
                <w:color w:val="auto"/>
                <w:sz w:val="24"/>
                <w:highlight w:val="none"/>
              </w:rPr>
            </w:pPr>
          </w:p>
        </w:tc>
        <w:tc>
          <w:tcPr>
            <w:tcW w:w="1789" w:type="dxa"/>
            <w:tcBorders>
              <w:left w:val="single" w:color="auto" w:sz="4" w:space="0"/>
              <w:bottom w:val="single" w:color="000000" w:sz="4" w:space="0"/>
              <w:right w:val="single" w:color="000000" w:sz="4" w:space="0"/>
            </w:tcBorders>
          </w:tcPr>
          <w:p w14:paraId="05B1EF6C">
            <w:pPr>
              <w:autoSpaceDE w:val="0"/>
              <w:autoSpaceDN w:val="0"/>
              <w:spacing w:line="480" w:lineRule="exact"/>
              <w:rPr>
                <w:rFonts w:ascii="Arial" w:hAnsi="Arial" w:cs="Arial"/>
                <w:color w:val="auto"/>
                <w:sz w:val="24"/>
                <w:highlight w:val="none"/>
              </w:rPr>
            </w:pPr>
          </w:p>
        </w:tc>
      </w:tr>
    </w:tbl>
    <w:p w14:paraId="3AB41974">
      <w:pPr>
        <w:spacing w:after="120"/>
        <w:ind w:firstLine="210" w:firstLineChars="100"/>
        <w:jc w:val="center"/>
        <w:rPr>
          <w:rFonts w:hAnsi="宋体"/>
          <w:color w:val="auto"/>
          <w:szCs w:val="21"/>
          <w:highlight w:val="none"/>
        </w:rPr>
      </w:pPr>
      <w:r>
        <w:rPr>
          <w:rFonts w:hint="eastAsia" w:hAnsi="宋体"/>
          <w:color w:val="auto"/>
          <w:szCs w:val="21"/>
          <w:highlight w:val="none"/>
        </w:rPr>
        <w:t>附：质检员、安全员、材料员、施工员应出具其上岗证书及身份证的复印件并加盖单位公章。</w:t>
      </w:r>
    </w:p>
    <w:p w14:paraId="2FD6DAF9">
      <w:pPr>
        <w:pStyle w:val="2"/>
        <w:rPr>
          <w:color w:val="auto"/>
          <w:highlight w:val="none"/>
        </w:rPr>
      </w:pPr>
    </w:p>
    <w:p w14:paraId="287D50FE">
      <w:pPr>
        <w:pStyle w:val="2"/>
        <w:rPr>
          <w:color w:val="auto"/>
          <w:highlight w:val="none"/>
        </w:rPr>
      </w:pPr>
    </w:p>
    <w:p w14:paraId="7633FC82">
      <w:pPr>
        <w:spacing w:line="440" w:lineRule="exact"/>
        <w:ind w:firstLine="420" w:firstLineChars="200"/>
        <w:rPr>
          <w:rFonts w:hAnsi="宋体"/>
          <w:color w:val="auto"/>
          <w:szCs w:val="21"/>
          <w:highlight w:val="none"/>
        </w:rPr>
        <w:sectPr>
          <w:pgSz w:w="11907" w:h="16840"/>
          <w:pgMar w:top="1440" w:right="1440" w:bottom="1440" w:left="1418" w:header="851" w:footer="851" w:gutter="0"/>
          <w:cols w:space="720" w:num="1"/>
          <w:docGrid w:linePitch="312" w:charSpace="0"/>
        </w:sectPr>
      </w:pPr>
    </w:p>
    <w:p w14:paraId="51CF7B24">
      <w:pPr>
        <w:spacing w:line="440" w:lineRule="exact"/>
        <w:ind w:firstLine="420" w:firstLineChars="200"/>
        <w:rPr>
          <w:rFonts w:hAnsi="宋体"/>
          <w:color w:val="auto"/>
          <w:szCs w:val="21"/>
          <w:highlight w:val="none"/>
        </w:rPr>
      </w:pPr>
      <w:r>
        <w:rPr>
          <w:rFonts w:hint="eastAsia" w:hAnsi="宋体"/>
          <w:color w:val="auto"/>
          <w:szCs w:val="21"/>
          <w:highlight w:val="none"/>
        </w:rPr>
        <w:t>8、施工组织设计</w:t>
      </w:r>
    </w:p>
    <w:p w14:paraId="6797F482">
      <w:pPr>
        <w:spacing w:line="460" w:lineRule="exact"/>
        <w:ind w:firstLine="482" w:firstLineChars="200"/>
        <w:jc w:val="center"/>
        <w:rPr>
          <w:rFonts w:asciiTheme="minorEastAsia" w:hAnsiTheme="minorEastAsia" w:eastAsiaTheme="minorEastAsia"/>
          <w:color w:val="auto"/>
          <w:sz w:val="20"/>
          <w:szCs w:val="21"/>
          <w:highlight w:val="none"/>
        </w:rPr>
      </w:pPr>
      <w:bookmarkStart w:id="1763" w:name="_Toc453681540"/>
      <w:bookmarkStart w:id="1764" w:name="_Toc389065360"/>
      <w:bookmarkStart w:id="1765" w:name="_Toc453681067"/>
      <w:r>
        <w:rPr>
          <w:rFonts w:asciiTheme="minorEastAsia" w:hAnsiTheme="minorEastAsia" w:eastAsiaTheme="minorEastAsia"/>
          <w:b/>
          <w:color w:val="auto"/>
          <w:sz w:val="24"/>
          <w:szCs w:val="28"/>
          <w:highlight w:val="none"/>
        </w:rPr>
        <w:t>施工组织设计</w:t>
      </w:r>
      <w:bookmarkEnd w:id="1763"/>
      <w:bookmarkEnd w:id="1764"/>
      <w:bookmarkEnd w:id="1765"/>
    </w:p>
    <w:p w14:paraId="011CDA71">
      <w:pPr>
        <w:spacing w:line="460" w:lineRule="exact"/>
        <w:ind w:firstLine="420" w:firstLineChars="200"/>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1、</w:t>
      </w:r>
      <w:r>
        <w:rPr>
          <w:rFonts w:hint="eastAsia" w:asciiTheme="minorEastAsia" w:hAnsiTheme="minorEastAsia" w:eastAsiaTheme="minorEastAsia"/>
          <w:color w:val="auto"/>
          <w:szCs w:val="21"/>
          <w:highlight w:val="none"/>
        </w:rPr>
        <w:t>磋商供应商</w:t>
      </w:r>
      <w:r>
        <w:rPr>
          <w:rFonts w:asciiTheme="minorEastAsia" w:hAnsiTheme="minorEastAsia" w:eastAsiaTheme="minorEastAsia"/>
          <w:color w:val="auto"/>
          <w:szCs w:val="21"/>
          <w:highlight w:val="none"/>
        </w:rPr>
        <w:t>编制施工组织设计的要求：编制时应采用文字并结合图表形式说明施工方法；拟投入本工程的主要施工设备情况、拟配备本工程的试验和检测仪器设备情况、劳动力计划等；结合工程特点提出切实可行的工程质量、安全生产、文明施工、工程进度、技术组织措施，同时应对关键工序、复杂环节重点提出相应技术措施，如冬雨季施工技术、减少噪音、降低环境污染、地下管线及其他地上地下设施的保护加固措施等。</w:t>
      </w:r>
    </w:p>
    <w:p w14:paraId="53DAC713">
      <w:pPr>
        <w:spacing w:line="460" w:lineRule="exact"/>
        <w:ind w:firstLine="420" w:firstLineChars="200"/>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2</w:t>
      </w:r>
      <w:r>
        <w:rPr>
          <w:rFonts w:hint="eastAsia" w:asciiTheme="minorEastAsia" w:hAnsiTheme="minorEastAsia" w:eastAsiaTheme="minorEastAsia"/>
          <w:color w:val="auto"/>
          <w:szCs w:val="21"/>
          <w:highlight w:val="none"/>
        </w:rPr>
        <w:t>、</w:t>
      </w:r>
      <w:r>
        <w:rPr>
          <w:rFonts w:asciiTheme="minorEastAsia" w:hAnsiTheme="minorEastAsia" w:eastAsiaTheme="minorEastAsia"/>
          <w:color w:val="auto"/>
          <w:szCs w:val="21"/>
          <w:highlight w:val="none"/>
        </w:rPr>
        <w:t>施工组织设计除采用文字表述外可附下列图表，图表及格式要求附后。</w:t>
      </w:r>
    </w:p>
    <w:p w14:paraId="59A7511B">
      <w:pPr>
        <w:spacing w:line="460" w:lineRule="exact"/>
        <w:ind w:firstLine="420" w:firstLineChars="200"/>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附表一</w:t>
      </w:r>
      <w:r>
        <w:rPr>
          <w:rFonts w:hint="eastAsia" w:asciiTheme="minorEastAsia" w:hAnsiTheme="minorEastAsia" w:eastAsiaTheme="minorEastAsia"/>
          <w:color w:val="auto"/>
          <w:szCs w:val="21"/>
          <w:highlight w:val="none"/>
        </w:rPr>
        <w:t xml:space="preserve"> 项目管理机构配备情况表</w:t>
      </w:r>
      <w:r>
        <w:rPr>
          <w:rFonts w:asciiTheme="minorEastAsia" w:hAnsiTheme="minorEastAsia" w:eastAsiaTheme="minorEastAsia"/>
          <w:color w:val="auto"/>
          <w:szCs w:val="21"/>
          <w:highlight w:val="none"/>
        </w:rPr>
        <w:t xml:space="preserve">  </w:t>
      </w:r>
    </w:p>
    <w:p w14:paraId="3EE36AEB">
      <w:pPr>
        <w:spacing w:line="460" w:lineRule="exact"/>
        <w:ind w:firstLine="420" w:firstLineChars="200"/>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附表二</w:t>
      </w:r>
      <w:r>
        <w:rPr>
          <w:rFonts w:hint="eastAsia" w:asciiTheme="minorEastAsia" w:hAnsiTheme="minorEastAsia" w:eastAsiaTheme="minorEastAsia"/>
          <w:color w:val="auto"/>
          <w:szCs w:val="21"/>
          <w:highlight w:val="none"/>
        </w:rPr>
        <w:t xml:space="preserve"> </w:t>
      </w:r>
      <w:r>
        <w:rPr>
          <w:rFonts w:asciiTheme="minorEastAsia" w:hAnsiTheme="minorEastAsia" w:eastAsiaTheme="minorEastAsia"/>
          <w:color w:val="auto"/>
          <w:szCs w:val="21"/>
          <w:highlight w:val="none"/>
        </w:rPr>
        <w:t>拟投入</w:t>
      </w:r>
      <w:r>
        <w:rPr>
          <w:rFonts w:hint="eastAsia" w:asciiTheme="minorEastAsia" w:hAnsiTheme="minorEastAsia" w:eastAsiaTheme="minorEastAsia"/>
          <w:color w:val="auto"/>
          <w:szCs w:val="21"/>
          <w:highlight w:val="none"/>
        </w:rPr>
        <w:t xml:space="preserve"> </w:t>
      </w:r>
      <w:r>
        <w:rPr>
          <w:rFonts w:asciiTheme="minorEastAsia" w:hAnsiTheme="minorEastAsia" w:eastAsiaTheme="minorEastAsia"/>
          <w:color w:val="auto"/>
          <w:szCs w:val="21"/>
          <w:highlight w:val="none"/>
        </w:rPr>
        <w:t>本工程的主要施工设备表</w:t>
      </w:r>
    </w:p>
    <w:p w14:paraId="0E63231A">
      <w:pPr>
        <w:spacing w:line="460" w:lineRule="exact"/>
        <w:ind w:firstLine="420" w:firstLineChars="200"/>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附表</w:t>
      </w:r>
      <w:r>
        <w:rPr>
          <w:rFonts w:hint="eastAsia" w:asciiTheme="minorEastAsia" w:hAnsiTheme="minorEastAsia" w:eastAsiaTheme="minorEastAsia"/>
          <w:color w:val="auto"/>
          <w:szCs w:val="21"/>
          <w:highlight w:val="none"/>
        </w:rPr>
        <w:t>三</w:t>
      </w:r>
      <w:r>
        <w:rPr>
          <w:rFonts w:asciiTheme="minorEastAsia" w:hAnsiTheme="minorEastAsia" w:eastAsiaTheme="minorEastAsia"/>
          <w:color w:val="auto"/>
          <w:szCs w:val="21"/>
          <w:highlight w:val="none"/>
        </w:rPr>
        <w:t xml:space="preserve">  拟配备本工程的试验和检测仪器设备表</w:t>
      </w:r>
    </w:p>
    <w:p w14:paraId="0AEC227F">
      <w:pPr>
        <w:spacing w:line="460" w:lineRule="exact"/>
        <w:ind w:firstLine="420" w:firstLineChars="200"/>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附表</w:t>
      </w:r>
      <w:r>
        <w:rPr>
          <w:rFonts w:hint="eastAsia" w:asciiTheme="minorEastAsia" w:hAnsiTheme="minorEastAsia" w:eastAsiaTheme="minorEastAsia"/>
          <w:color w:val="auto"/>
          <w:szCs w:val="21"/>
          <w:highlight w:val="none"/>
        </w:rPr>
        <w:t>四</w:t>
      </w:r>
      <w:r>
        <w:rPr>
          <w:rFonts w:asciiTheme="minorEastAsia" w:hAnsiTheme="minorEastAsia" w:eastAsiaTheme="minorEastAsia"/>
          <w:color w:val="auto"/>
          <w:szCs w:val="21"/>
          <w:highlight w:val="none"/>
        </w:rPr>
        <w:t xml:space="preserve">  劳动力计划表</w:t>
      </w:r>
    </w:p>
    <w:p w14:paraId="0D4A870F">
      <w:pPr>
        <w:spacing w:line="460" w:lineRule="exact"/>
        <w:ind w:firstLine="420" w:firstLineChars="200"/>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附表</w:t>
      </w:r>
      <w:r>
        <w:rPr>
          <w:rFonts w:hint="eastAsia" w:asciiTheme="minorEastAsia" w:hAnsiTheme="minorEastAsia" w:eastAsiaTheme="minorEastAsia"/>
          <w:color w:val="auto"/>
          <w:szCs w:val="21"/>
          <w:highlight w:val="none"/>
        </w:rPr>
        <w:t>五</w:t>
      </w:r>
      <w:r>
        <w:rPr>
          <w:rFonts w:asciiTheme="minorEastAsia" w:hAnsiTheme="minorEastAsia" w:eastAsiaTheme="minorEastAsia"/>
          <w:color w:val="auto"/>
          <w:szCs w:val="21"/>
          <w:highlight w:val="none"/>
        </w:rPr>
        <w:t xml:space="preserve">  计划开、竣工日期和施工进度网络图</w:t>
      </w:r>
    </w:p>
    <w:p w14:paraId="6443D9ED">
      <w:pPr>
        <w:spacing w:line="460" w:lineRule="exact"/>
        <w:ind w:firstLine="420" w:firstLineChars="200"/>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附表</w:t>
      </w:r>
      <w:r>
        <w:rPr>
          <w:rFonts w:hint="eastAsia" w:asciiTheme="minorEastAsia" w:hAnsiTheme="minorEastAsia" w:eastAsiaTheme="minorEastAsia"/>
          <w:color w:val="auto"/>
          <w:szCs w:val="21"/>
          <w:highlight w:val="none"/>
        </w:rPr>
        <w:t>六</w:t>
      </w:r>
      <w:r>
        <w:rPr>
          <w:rFonts w:asciiTheme="minorEastAsia" w:hAnsiTheme="minorEastAsia" w:eastAsiaTheme="minorEastAsia"/>
          <w:color w:val="auto"/>
          <w:szCs w:val="21"/>
          <w:highlight w:val="none"/>
        </w:rPr>
        <w:t xml:space="preserve">  施工总平面图</w:t>
      </w:r>
    </w:p>
    <w:p w14:paraId="62EAAA5F">
      <w:pPr>
        <w:spacing w:line="460" w:lineRule="exact"/>
        <w:ind w:firstLine="420" w:firstLineChars="200"/>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附表</w:t>
      </w:r>
      <w:r>
        <w:rPr>
          <w:rFonts w:hint="eastAsia" w:asciiTheme="minorEastAsia" w:hAnsiTheme="minorEastAsia" w:eastAsiaTheme="minorEastAsia"/>
          <w:color w:val="auto"/>
          <w:szCs w:val="21"/>
          <w:highlight w:val="none"/>
        </w:rPr>
        <w:t>七</w:t>
      </w:r>
      <w:r>
        <w:rPr>
          <w:rFonts w:asciiTheme="minorEastAsia" w:hAnsiTheme="minorEastAsia" w:eastAsiaTheme="minorEastAsia"/>
          <w:color w:val="auto"/>
          <w:szCs w:val="21"/>
          <w:highlight w:val="none"/>
        </w:rPr>
        <w:t xml:space="preserve">  临时用地表</w:t>
      </w:r>
    </w:p>
    <w:p w14:paraId="04EDE61D">
      <w:pPr>
        <w:spacing w:line="460" w:lineRule="exact"/>
        <w:ind w:firstLine="420" w:firstLineChars="2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附表八  拟分包情况表</w:t>
      </w:r>
    </w:p>
    <w:p w14:paraId="0BB36F25">
      <w:pPr>
        <w:spacing w:line="460" w:lineRule="exact"/>
        <w:ind w:firstLine="420" w:firstLineChars="200"/>
        <w:rPr>
          <w:rFonts w:asciiTheme="minorEastAsia" w:hAnsiTheme="minorEastAsia" w:eastAsiaTheme="minorEastAsia"/>
          <w:color w:val="auto"/>
          <w:szCs w:val="21"/>
          <w:highlight w:val="none"/>
        </w:rPr>
        <w:sectPr>
          <w:pgSz w:w="11907" w:h="16840"/>
          <w:pgMar w:top="1440" w:right="1440" w:bottom="1440" w:left="1418" w:header="851" w:footer="851" w:gutter="0"/>
          <w:cols w:space="720" w:num="1"/>
          <w:docGrid w:linePitch="312" w:charSpace="0"/>
        </w:sectPr>
      </w:pPr>
    </w:p>
    <w:p w14:paraId="155FA035">
      <w:pPr>
        <w:jc w:val="center"/>
        <w:rPr>
          <w:rFonts w:asciiTheme="minorEastAsia" w:hAnsiTheme="minorEastAsia" w:eastAsiaTheme="minorEastAsia"/>
          <w:color w:val="auto"/>
          <w:highlight w:val="none"/>
        </w:rPr>
      </w:pPr>
      <w:r>
        <w:rPr>
          <w:rFonts w:asciiTheme="minorEastAsia" w:hAnsiTheme="minorEastAsia" w:eastAsiaTheme="minorEastAsia"/>
          <w:color w:val="auto"/>
          <w:highlight w:val="none"/>
        </w:rPr>
        <w:t>附表一：</w:t>
      </w:r>
      <w:r>
        <w:rPr>
          <w:rFonts w:hint="eastAsia" w:asciiTheme="minorEastAsia" w:hAnsiTheme="minorEastAsia" w:eastAsiaTheme="minorEastAsia"/>
          <w:color w:val="auto"/>
          <w:szCs w:val="21"/>
          <w:highlight w:val="none"/>
        </w:rPr>
        <w:t>项目管理机构配备情况表</w:t>
      </w:r>
    </w:p>
    <w:tbl>
      <w:tblPr>
        <w:tblStyle w:val="5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829"/>
        <w:gridCol w:w="816"/>
        <w:gridCol w:w="1148"/>
        <w:gridCol w:w="1148"/>
        <w:gridCol w:w="1148"/>
        <w:gridCol w:w="1148"/>
        <w:gridCol w:w="850"/>
        <w:gridCol w:w="1276"/>
      </w:tblGrid>
      <w:tr w14:paraId="39E0D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993" w:type="dxa"/>
            <w:vMerge w:val="restart"/>
            <w:vAlign w:val="center"/>
          </w:tcPr>
          <w:p w14:paraId="6E1BF40D">
            <w:pPr>
              <w:ind w:left="223" w:hanging="222" w:hangingChars="106"/>
              <w:jc w:val="center"/>
              <w:rPr>
                <w:rFonts w:asciiTheme="minorEastAsia" w:hAnsiTheme="minorEastAsia" w:eastAsiaTheme="minorEastAsia"/>
                <w:color w:val="auto"/>
                <w:highlight w:val="none"/>
              </w:rPr>
            </w:pPr>
            <w:r>
              <w:rPr>
                <w:rFonts w:asciiTheme="minorEastAsia" w:hAnsiTheme="minorEastAsia" w:eastAsiaTheme="minorEastAsia"/>
                <w:color w:val="auto"/>
                <w:highlight w:val="none"/>
              </w:rPr>
              <w:t>岗位</w:t>
            </w:r>
          </w:p>
        </w:tc>
        <w:tc>
          <w:tcPr>
            <w:tcW w:w="829" w:type="dxa"/>
            <w:vMerge w:val="restart"/>
            <w:vAlign w:val="center"/>
          </w:tcPr>
          <w:p w14:paraId="7C01AF05">
            <w:pPr>
              <w:ind w:left="223" w:hanging="222" w:hangingChars="106"/>
              <w:jc w:val="center"/>
              <w:rPr>
                <w:rFonts w:asciiTheme="minorEastAsia" w:hAnsiTheme="minorEastAsia" w:eastAsiaTheme="minorEastAsia"/>
                <w:color w:val="auto"/>
                <w:highlight w:val="none"/>
              </w:rPr>
            </w:pPr>
            <w:bookmarkStart w:id="1766" w:name="_Toc251052187"/>
            <w:r>
              <w:rPr>
                <w:rFonts w:asciiTheme="minorEastAsia" w:hAnsiTheme="minorEastAsia" w:eastAsiaTheme="minorEastAsia"/>
                <w:color w:val="auto"/>
                <w:highlight w:val="none"/>
              </w:rPr>
              <w:t>姓名</w:t>
            </w:r>
            <w:bookmarkEnd w:id="1766"/>
          </w:p>
        </w:tc>
        <w:tc>
          <w:tcPr>
            <w:tcW w:w="816" w:type="dxa"/>
            <w:vMerge w:val="restart"/>
            <w:vAlign w:val="center"/>
          </w:tcPr>
          <w:p w14:paraId="134FAC9B">
            <w:pPr>
              <w:ind w:left="223" w:hanging="222" w:hangingChars="106"/>
              <w:jc w:val="center"/>
              <w:rPr>
                <w:rFonts w:asciiTheme="minorEastAsia" w:hAnsiTheme="minorEastAsia" w:eastAsiaTheme="minorEastAsia"/>
                <w:color w:val="auto"/>
                <w:highlight w:val="none"/>
              </w:rPr>
            </w:pPr>
            <w:bookmarkStart w:id="1767" w:name="_Toc251052188"/>
            <w:r>
              <w:rPr>
                <w:rFonts w:asciiTheme="minorEastAsia" w:hAnsiTheme="minorEastAsia" w:eastAsiaTheme="minorEastAsia"/>
                <w:color w:val="auto"/>
                <w:highlight w:val="none"/>
              </w:rPr>
              <w:t>职称</w:t>
            </w:r>
            <w:bookmarkEnd w:id="1767"/>
          </w:p>
        </w:tc>
        <w:tc>
          <w:tcPr>
            <w:tcW w:w="4592" w:type="dxa"/>
            <w:gridSpan w:val="4"/>
            <w:vAlign w:val="center"/>
          </w:tcPr>
          <w:p w14:paraId="412D013D">
            <w:pPr>
              <w:ind w:left="223" w:hanging="222" w:hangingChars="106"/>
              <w:jc w:val="center"/>
              <w:rPr>
                <w:rFonts w:asciiTheme="minorEastAsia" w:hAnsiTheme="minorEastAsia" w:eastAsiaTheme="minorEastAsia"/>
                <w:color w:val="auto"/>
                <w:highlight w:val="none"/>
              </w:rPr>
            </w:pPr>
            <w:bookmarkStart w:id="1768" w:name="_Toc251052189"/>
            <w:r>
              <w:rPr>
                <w:rFonts w:asciiTheme="minorEastAsia" w:hAnsiTheme="minorEastAsia" w:eastAsiaTheme="minorEastAsia"/>
                <w:color w:val="auto"/>
                <w:highlight w:val="none"/>
              </w:rPr>
              <w:t>执业或职业资格证明</w:t>
            </w:r>
            <w:bookmarkEnd w:id="1768"/>
          </w:p>
        </w:tc>
        <w:tc>
          <w:tcPr>
            <w:tcW w:w="2126" w:type="dxa"/>
            <w:gridSpan w:val="2"/>
            <w:vAlign w:val="center"/>
          </w:tcPr>
          <w:p w14:paraId="0EF2802C">
            <w:pPr>
              <w:ind w:left="223" w:hanging="222" w:hangingChars="106"/>
              <w:jc w:val="center"/>
              <w:rPr>
                <w:rFonts w:asciiTheme="minorEastAsia" w:hAnsiTheme="minorEastAsia" w:eastAsiaTheme="minorEastAsia"/>
                <w:color w:val="auto"/>
                <w:highlight w:val="none"/>
              </w:rPr>
            </w:pPr>
            <w:bookmarkStart w:id="1769" w:name="_Toc251052190"/>
            <w:r>
              <w:rPr>
                <w:rFonts w:asciiTheme="minorEastAsia" w:hAnsiTheme="minorEastAsia" w:eastAsiaTheme="minorEastAsia"/>
                <w:color w:val="auto"/>
                <w:highlight w:val="none"/>
              </w:rPr>
              <w:t>承担完工</w:t>
            </w:r>
            <w:bookmarkEnd w:id="1769"/>
            <w:bookmarkStart w:id="1770" w:name="_Toc251052191"/>
            <w:r>
              <w:rPr>
                <w:rFonts w:asciiTheme="minorEastAsia" w:hAnsiTheme="minorEastAsia" w:eastAsiaTheme="minorEastAsia"/>
                <w:color w:val="auto"/>
                <w:highlight w:val="none"/>
              </w:rPr>
              <w:t>工程情况</w:t>
            </w:r>
            <w:bookmarkEnd w:id="1770"/>
          </w:p>
        </w:tc>
      </w:tr>
      <w:tr w14:paraId="25623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jc w:val="center"/>
        </w:trPr>
        <w:tc>
          <w:tcPr>
            <w:tcW w:w="993" w:type="dxa"/>
            <w:vMerge w:val="continue"/>
            <w:vAlign w:val="center"/>
          </w:tcPr>
          <w:p w14:paraId="50D69E1A">
            <w:pPr>
              <w:ind w:left="223" w:hanging="222" w:hangingChars="106"/>
              <w:jc w:val="center"/>
              <w:rPr>
                <w:rFonts w:asciiTheme="minorEastAsia" w:hAnsiTheme="minorEastAsia" w:eastAsiaTheme="minorEastAsia"/>
                <w:color w:val="auto"/>
                <w:highlight w:val="none"/>
              </w:rPr>
            </w:pPr>
          </w:p>
        </w:tc>
        <w:tc>
          <w:tcPr>
            <w:tcW w:w="829" w:type="dxa"/>
            <w:vMerge w:val="continue"/>
            <w:vAlign w:val="center"/>
          </w:tcPr>
          <w:p w14:paraId="14645EC1">
            <w:pPr>
              <w:ind w:left="223" w:hanging="222" w:hangingChars="106"/>
              <w:jc w:val="center"/>
              <w:rPr>
                <w:rFonts w:asciiTheme="minorEastAsia" w:hAnsiTheme="minorEastAsia" w:eastAsiaTheme="minorEastAsia"/>
                <w:color w:val="auto"/>
                <w:highlight w:val="none"/>
              </w:rPr>
            </w:pPr>
          </w:p>
        </w:tc>
        <w:tc>
          <w:tcPr>
            <w:tcW w:w="816" w:type="dxa"/>
            <w:vMerge w:val="continue"/>
            <w:vAlign w:val="center"/>
          </w:tcPr>
          <w:p w14:paraId="4884925C">
            <w:pPr>
              <w:ind w:left="223" w:hanging="222" w:hangingChars="106"/>
              <w:jc w:val="center"/>
              <w:rPr>
                <w:rFonts w:asciiTheme="minorEastAsia" w:hAnsiTheme="minorEastAsia" w:eastAsiaTheme="minorEastAsia"/>
                <w:color w:val="auto"/>
                <w:highlight w:val="none"/>
              </w:rPr>
            </w:pPr>
          </w:p>
        </w:tc>
        <w:tc>
          <w:tcPr>
            <w:tcW w:w="1148" w:type="dxa"/>
            <w:vAlign w:val="center"/>
          </w:tcPr>
          <w:p w14:paraId="329346E2">
            <w:pPr>
              <w:ind w:left="223" w:hanging="222" w:hangingChars="106"/>
              <w:jc w:val="center"/>
              <w:rPr>
                <w:rFonts w:asciiTheme="minorEastAsia" w:hAnsiTheme="minorEastAsia" w:eastAsiaTheme="minorEastAsia"/>
                <w:color w:val="auto"/>
                <w:highlight w:val="none"/>
              </w:rPr>
            </w:pPr>
            <w:bookmarkStart w:id="1771" w:name="_Toc251052192"/>
            <w:r>
              <w:rPr>
                <w:rFonts w:asciiTheme="minorEastAsia" w:hAnsiTheme="minorEastAsia" w:eastAsiaTheme="minorEastAsia"/>
                <w:color w:val="auto"/>
                <w:highlight w:val="none"/>
              </w:rPr>
              <w:t>证书名称</w:t>
            </w:r>
            <w:bookmarkEnd w:id="1771"/>
          </w:p>
        </w:tc>
        <w:tc>
          <w:tcPr>
            <w:tcW w:w="1148" w:type="dxa"/>
            <w:vAlign w:val="center"/>
          </w:tcPr>
          <w:p w14:paraId="5D28113E">
            <w:pPr>
              <w:ind w:left="223" w:hanging="222" w:hangingChars="106"/>
              <w:jc w:val="center"/>
              <w:rPr>
                <w:rFonts w:asciiTheme="minorEastAsia" w:hAnsiTheme="minorEastAsia" w:eastAsiaTheme="minorEastAsia"/>
                <w:color w:val="auto"/>
                <w:highlight w:val="none"/>
              </w:rPr>
            </w:pPr>
            <w:bookmarkStart w:id="1772" w:name="_Toc251052193"/>
            <w:r>
              <w:rPr>
                <w:rFonts w:asciiTheme="minorEastAsia" w:hAnsiTheme="minorEastAsia" w:eastAsiaTheme="minorEastAsia"/>
                <w:color w:val="auto"/>
                <w:highlight w:val="none"/>
              </w:rPr>
              <w:t>级别</w:t>
            </w:r>
            <w:bookmarkEnd w:id="1772"/>
          </w:p>
        </w:tc>
        <w:tc>
          <w:tcPr>
            <w:tcW w:w="1148" w:type="dxa"/>
            <w:vAlign w:val="center"/>
          </w:tcPr>
          <w:p w14:paraId="63F996BE">
            <w:pPr>
              <w:ind w:left="223" w:hanging="222" w:hangingChars="106"/>
              <w:jc w:val="center"/>
              <w:rPr>
                <w:rFonts w:asciiTheme="minorEastAsia" w:hAnsiTheme="minorEastAsia" w:eastAsiaTheme="minorEastAsia"/>
                <w:color w:val="auto"/>
                <w:highlight w:val="none"/>
              </w:rPr>
            </w:pPr>
            <w:bookmarkStart w:id="1773" w:name="_Toc251052194"/>
            <w:r>
              <w:rPr>
                <w:rFonts w:asciiTheme="minorEastAsia" w:hAnsiTheme="minorEastAsia" w:eastAsiaTheme="minorEastAsia"/>
                <w:color w:val="auto"/>
                <w:highlight w:val="none"/>
              </w:rPr>
              <w:t>证号</w:t>
            </w:r>
            <w:bookmarkEnd w:id="1773"/>
          </w:p>
        </w:tc>
        <w:tc>
          <w:tcPr>
            <w:tcW w:w="1148" w:type="dxa"/>
            <w:vAlign w:val="center"/>
          </w:tcPr>
          <w:p w14:paraId="7B49D0F8">
            <w:pPr>
              <w:ind w:left="223" w:hanging="222" w:hangingChars="106"/>
              <w:jc w:val="center"/>
              <w:rPr>
                <w:rFonts w:asciiTheme="minorEastAsia" w:hAnsiTheme="minorEastAsia" w:eastAsiaTheme="minorEastAsia"/>
                <w:color w:val="auto"/>
                <w:highlight w:val="none"/>
              </w:rPr>
            </w:pPr>
            <w:bookmarkStart w:id="1774" w:name="_Toc251052195"/>
            <w:r>
              <w:rPr>
                <w:rFonts w:asciiTheme="minorEastAsia" w:hAnsiTheme="minorEastAsia" w:eastAsiaTheme="minorEastAsia"/>
                <w:color w:val="auto"/>
                <w:highlight w:val="none"/>
              </w:rPr>
              <w:t>专业</w:t>
            </w:r>
            <w:bookmarkEnd w:id="1774"/>
          </w:p>
        </w:tc>
        <w:tc>
          <w:tcPr>
            <w:tcW w:w="850" w:type="dxa"/>
            <w:vAlign w:val="center"/>
          </w:tcPr>
          <w:p w14:paraId="3B7CC984">
            <w:pPr>
              <w:ind w:left="223" w:hanging="222" w:hangingChars="106"/>
              <w:jc w:val="center"/>
              <w:rPr>
                <w:rFonts w:asciiTheme="minorEastAsia" w:hAnsiTheme="minorEastAsia" w:eastAsiaTheme="minorEastAsia"/>
                <w:color w:val="auto"/>
                <w:highlight w:val="none"/>
              </w:rPr>
            </w:pPr>
            <w:bookmarkStart w:id="1775" w:name="_Toc251052197"/>
            <w:r>
              <w:rPr>
                <w:rFonts w:asciiTheme="minorEastAsia" w:hAnsiTheme="minorEastAsia" w:eastAsiaTheme="minorEastAsia"/>
                <w:color w:val="auto"/>
                <w:highlight w:val="none"/>
              </w:rPr>
              <w:t>项目数</w:t>
            </w:r>
            <w:bookmarkEnd w:id="1775"/>
          </w:p>
        </w:tc>
        <w:tc>
          <w:tcPr>
            <w:tcW w:w="1276" w:type="dxa"/>
            <w:vAlign w:val="center"/>
          </w:tcPr>
          <w:p w14:paraId="3361A81E">
            <w:pPr>
              <w:ind w:left="223" w:hanging="222" w:hangingChars="106"/>
              <w:jc w:val="center"/>
              <w:rPr>
                <w:rFonts w:asciiTheme="minorEastAsia" w:hAnsiTheme="minorEastAsia" w:eastAsiaTheme="minorEastAsia"/>
                <w:color w:val="auto"/>
                <w:highlight w:val="none"/>
              </w:rPr>
            </w:pPr>
            <w:bookmarkStart w:id="1776" w:name="_Toc251052198"/>
            <w:r>
              <w:rPr>
                <w:rFonts w:asciiTheme="minorEastAsia" w:hAnsiTheme="minorEastAsia" w:eastAsiaTheme="minorEastAsia"/>
                <w:color w:val="auto"/>
                <w:highlight w:val="none"/>
              </w:rPr>
              <w:t>主要项目</w:t>
            </w:r>
          </w:p>
          <w:p w14:paraId="07E1F630">
            <w:pPr>
              <w:ind w:left="223" w:hanging="222" w:hangingChars="106"/>
              <w:jc w:val="center"/>
              <w:rPr>
                <w:rFonts w:asciiTheme="minorEastAsia" w:hAnsiTheme="minorEastAsia" w:eastAsiaTheme="minorEastAsia"/>
                <w:color w:val="auto"/>
                <w:highlight w:val="none"/>
              </w:rPr>
            </w:pPr>
            <w:r>
              <w:rPr>
                <w:rFonts w:asciiTheme="minorEastAsia" w:hAnsiTheme="minorEastAsia" w:eastAsiaTheme="minorEastAsia"/>
                <w:color w:val="auto"/>
                <w:highlight w:val="none"/>
              </w:rPr>
              <w:t>名称</w:t>
            </w:r>
            <w:bookmarkEnd w:id="1776"/>
          </w:p>
        </w:tc>
      </w:tr>
      <w:tr w14:paraId="3BC5F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7637DC33">
            <w:pPr>
              <w:ind w:left="223" w:hanging="222" w:hangingChars="106"/>
              <w:jc w:val="center"/>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施工员</w:t>
            </w:r>
          </w:p>
        </w:tc>
        <w:tc>
          <w:tcPr>
            <w:tcW w:w="829" w:type="dxa"/>
            <w:vAlign w:val="center"/>
          </w:tcPr>
          <w:p w14:paraId="74C723E4">
            <w:pPr>
              <w:ind w:left="223" w:hanging="222" w:hangingChars="106"/>
              <w:jc w:val="center"/>
              <w:rPr>
                <w:rFonts w:asciiTheme="minorEastAsia" w:hAnsiTheme="minorEastAsia" w:eastAsiaTheme="minorEastAsia"/>
                <w:color w:val="auto"/>
                <w:highlight w:val="none"/>
              </w:rPr>
            </w:pPr>
          </w:p>
        </w:tc>
        <w:tc>
          <w:tcPr>
            <w:tcW w:w="816" w:type="dxa"/>
            <w:vAlign w:val="center"/>
          </w:tcPr>
          <w:p w14:paraId="6B481D9F">
            <w:pPr>
              <w:ind w:left="223" w:hanging="222" w:hangingChars="106"/>
              <w:jc w:val="center"/>
              <w:rPr>
                <w:rFonts w:asciiTheme="minorEastAsia" w:hAnsiTheme="minorEastAsia" w:eastAsiaTheme="minorEastAsia"/>
                <w:color w:val="auto"/>
                <w:highlight w:val="none"/>
              </w:rPr>
            </w:pPr>
          </w:p>
        </w:tc>
        <w:tc>
          <w:tcPr>
            <w:tcW w:w="1148" w:type="dxa"/>
            <w:vAlign w:val="center"/>
          </w:tcPr>
          <w:p w14:paraId="1C0CED9A">
            <w:pPr>
              <w:ind w:left="223" w:hanging="222" w:hangingChars="106"/>
              <w:jc w:val="center"/>
              <w:rPr>
                <w:rFonts w:asciiTheme="minorEastAsia" w:hAnsiTheme="minorEastAsia" w:eastAsiaTheme="minorEastAsia"/>
                <w:color w:val="auto"/>
                <w:highlight w:val="none"/>
              </w:rPr>
            </w:pPr>
          </w:p>
        </w:tc>
        <w:tc>
          <w:tcPr>
            <w:tcW w:w="1148" w:type="dxa"/>
            <w:vAlign w:val="center"/>
          </w:tcPr>
          <w:p w14:paraId="5241AFFB">
            <w:pPr>
              <w:ind w:left="223" w:hanging="222" w:hangingChars="106"/>
              <w:jc w:val="center"/>
              <w:rPr>
                <w:rFonts w:asciiTheme="minorEastAsia" w:hAnsiTheme="minorEastAsia" w:eastAsiaTheme="minorEastAsia"/>
                <w:color w:val="auto"/>
                <w:highlight w:val="none"/>
              </w:rPr>
            </w:pPr>
          </w:p>
        </w:tc>
        <w:tc>
          <w:tcPr>
            <w:tcW w:w="1148" w:type="dxa"/>
            <w:vAlign w:val="center"/>
          </w:tcPr>
          <w:p w14:paraId="6079E271">
            <w:pPr>
              <w:ind w:left="223" w:hanging="222" w:hangingChars="106"/>
              <w:jc w:val="center"/>
              <w:rPr>
                <w:rFonts w:asciiTheme="minorEastAsia" w:hAnsiTheme="minorEastAsia" w:eastAsiaTheme="minorEastAsia"/>
                <w:color w:val="auto"/>
                <w:highlight w:val="none"/>
              </w:rPr>
            </w:pPr>
          </w:p>
        </w:tc>
        <w:tc>
          <w:tcPr>
            <w:tcW w:w="1148" w:type="dxa"/>
            <w:vAlign w:val="center"/>
          </w:tcPr>
          <w:p w14:paraId="1FA01D33">
            <w:pPr>
              <w:ind w:left="223" w:hanging="222" w:hangingChars="106"/>
              <w:jc w:val="center"/>
              <w:rPr>
                <w:rFonts w:asciiTheme="minorEastAsia" w:hAnsiTheme="minorEastAsia" w:eastAsiaTheme="minorEastAsia"/>
                <w:color w:val="auto"/>
                <w:highlight w:val="none"/>
              </w:rPr>
            </w:pPr>
          </w:p>
        </w:tc>
        <w:tc>
          <w:tcPr>
            <w:tcW w:w="850" w:type="dxa"/>
            <w:vAlign w:val="center"/>
          </w:tcPr>
          <w:p w14:paraId="645A9A17">
            <w:pPr>
              <w:ind w:left="223" w:hanging="222" w:hangingChars="106"/>
              <w:jc w:val="center"/>
              <w:rPr>
                <w:rFonts w:asciiTheme="minorEastAsia" w:hAnsiTheme="minorEastAsia" w:eastAsiaTheme="minorEastAsia"/>
                <w:color w:val="auto"/>
                <w:highlight w:val="none"/>
              </w:rPr>
            </w:pPr>
          </w:p>
        </w:tc>
        <w:tc>
          <w:tcPr>
            <w:tcW w:w="1276" w:type="dxa"/>
            <w:vAlign w:val="center"/>
          </w:tcPr>
          <w:p w14:paraId="567A1217">
            <w:pPr>
              <w:ind w:left="223" w:hanging="222" w:hangingChars="106"/>
              <w:jc w:val="center"/>
              <w:rPr>
                <w:rFonts w:asciiTheme="minorEastAsia" w:hAnsiTheme="minorEastAsia" w:eastAsiaTheme="minorEastAsia"/>
                <w:color w:val="auto"/>
                <w:highlight w:val="none"/>
              </w:rPr>
            </w:pPr>
          </w:p>
        </w:tc>
      </w:tr>
      <w:tr w14:paraId="00279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77B5C636">
            <w:pPr>
              <w:ind w:left="223" w:hanging="222" w:hangingChars="106"/>
              <w:jc w:val="center"/>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质检员</w:t>
            </w:r>
          </w:p>
        </w:tc>
        <w:tc>
          <w:tcPr>
            <w:tcW w:w="829" w:type="dxa"/>
            <w:vAlign w:val="center"/>
          </w:tcPr>
          <w:p w14:paraId="638C5E4C">
            <w:pPr>
              <w:ind w:left="223" w:hanging="222" w:hangingChars="106"/>
              <w:jc w:val="center"/>
              <w:rPr>
                <w:rFonts w:asciiTheme="minorEastAsia" w:hAnsiTheme="minorEastAsia" w:eastAsiaTheme="minorEastAsia"/>
                <w:color w:val="auto"/>
                <w:highlight w:val="none"/>
              </w:rPr>
            </w:pPr>
          </w:p>
        </w:tc>
        <w:tc>
          <w:tcPr>
            <w:tcW w:w="816" w:type="dxa"/>
            <w:vAlign w:val="center"/>
          </w:tcPr>
          <w:p w14:paraId="29ABA82D">
            <w:pPr>
              <w:ind w:left="223" w:hanging="222" w:hangingChars="106"/>
              <w:jc w:val="center"/>
              <w:rPr>
                <w:rFonts w:asciiTheme="minorEastAsia" w:hAnsiTheme="minorEastAsia" w:eastAsiaTheme="minorEastAsia"/>
                <w:color w:val="auto"/>
                <w:highlight w:val="none"/>
              </w:rPr>
            </w:pPr>
          </w:p>
        </w:tc>
        <w:tc>
          <w:tcPr>
            <w:tcW w:w="1148" w:type="dxa"/>
            <w:vAlign w:val="center"/>
          </w:tcPr>
          <w:p w14:paraId="1940DA0D">
            <w:pPr>
              <w:ind w:left="223" w:hanging="222" w:hangingChars="106"/>
              <w:jc w:val="center"/>
              <w:rPr>
                <w:rFonts w:asciiTheme="minorEastAsia" w:hAnsiTheme="minorEastAsia" w:eastAsiaTheme="minorEastAsia"/>
                <w:color w:val="auto"/>
                <w:highlight w:val="none"/>
              </w:rPr>
            </w:pPr>
          </w:p>
        </w:tc>
        <w:tc>
          <w:tcPr>
            <w:tcW w:w="1148" w:type="dxa"/>
            <w:vAlign w:val="center"/>
          </w:tcPr>
          <w:p w14:paraId="03EAF3D8">
            <w:pPr>
              <w:ind w:left="223" w:hanging="222" w:hangingChars="106"/>
              <w:jc w:val="center"/>
              <w:rPr>
                <w:rFonts w:asciiTheme="minorEastAsia" w:hAnsiTheme="minorEastAsia" w:eastAsiaTheme="minorEastAsia"/>
                <w:color w:val="auto"/>
                <w:highlight w:val="none"/>
              </w:rPr>
            </w:pPr>
          </w:p>
        </w:tc>
        <w:tc>
          <w:tcPr>
            <w:tcW w:w="1148" w:type="dxa"/>
            <w:vAlign w:val="center"/>
          </w:tcPr>
          <w:p w14:paraId="6E3E84B9">
            <w:pPr>
              <w:ind w:left="223" w:hanging="222" w:hangingChars="106"/>
              <w:jc w:val="center"/>
              <w:rPr>
                <w:rFonts w:asciiTheme="minorEastAsia" w:hAnsiTheme="minorEastAsia" w:eastAsiaTheme="minorEastAsia"/>
                <w:color w:val="auto"/>
                <w:highlight w:val="none"/>
              </w:rPr>
            </w:pPr>
          </w:p>
        </w:tc>
        <w:tc>
          <w:tcPr>
            <w:tcW w:w="1148" w:type="dxa"/>
            <w:vAlign w:val="center"/>
          </w:tcPr>
          <w:p w14:paraId="2E660790">
            <w:pPr>
              <w:ind w:left="223" w:hanging="222" w:hangingChars="106"/>
              <w:jc w:val="center"/>
              <w:rPr>
                <w:rFonts w:asciiTheme="minorEastAsia" w:hAnsiTheme="minorEastAsia" w:eastAsiaTheme="minorEastAsia"/>
                <w:color w:val="auto"/>
                <w:highlight w:val="none"/>
              </w:rPr>
            </w:pPr>
          </w:p>
        </w:tc>
        <w:tc>
          <w:tcPr>
            <w:tcW w:w="850" w:type="dxa"/>
            <w:vAlign w:val="center"/>
          </w:tcPr>
          <w:p w14:paraId="5B6ED6EE">
            <w:pPr>
              <w:ind w:left="223" w:hanging="222" w:hangingChars="106"/>
              <w:jc w:val="center"/>
              <w:rPr>
                <w:rFonts w:asciiTheme="minorEastAsia" w:hAnsiTheme="minorEastAsia" w:eastAsiaTheme="minorEastAsia"/>
                <w:color w:val="auto"/>
                <w:highlight w:val="none"/>
              </w:rPr>
            </w:pPr>
          </w:p>
        </w:tc>
        <w:tc>
          <w:tcPr>
            <w:tcW w:w="1276" w:type="dxa"/>
            <w:vAlign w:val="center"/>
          </w:tcPr>
          <w:p w14:paraId="415ABDA6">
            <w:pPr>
              <w:ind w:left="223" w:hanging="222" w:hangingChars="106"/>
              <w:jc w:val="center"/>
              <w:rPr>
                <w:rFonts w:asciiTheme="minorEastAsia" w:hAnsiTheme="minorEastAsia" w:eastAsiaTheme="minorEastAsia"/>
                <w:color w:val="auto"/>
                <w:highlight w:val="none"/>
              </w:rPr>
            </w:pPr>
          </w:p>
        </w:tc>
      </w:tr>
      <w:tr w14:paraId="4E285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Merge w:val="restart"/>
            <w:vAlign w:val="center"/>
          </w:tcPr>
          <w:p w14:paraId="4BF38C5A">
            <w:pPr>
              <w:ind w:left="223" w:hanging="222" w:hangingChars="106"/>
              <w:jc w:val="center"/>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安全员</w:t>
            </w:r>
          </w:p>
        </w:tc>
        <w:tc>
          <w:tcPr>
            <w:tcW w:w="829" w:type="dxa"/>
            <w:vAlign w:val="center"/>
          </w:tcPr>
          <w:p w14:paraId="4F3BEF72">
            <w:pPr>
              <w:ind w:left="223" w:hanging="222" w:hangingChars="106"/>
              <w:jc w:val="center"/>
              <w:rPr>
                <w:rFonts w:asciiTheme="minorEastAsia" w:hAnsiTheme="minorEastAsia" w:eastAsiaTheme="minorEastAsia"/>
                <w:color w:val="auto"/>
                <w:highlight w:val="none"/>
              </w:rPr>
            </w:pPr>
          </w:p>
        </w:tc>
        <w:tc>
          <w:tcPr>
            <w:tcW w:w="816" w:type="dxa"/>
            <w:vAlign w:val="center"/>
          </w:tcPr>
          <w:p w14:paraId="522F3995">
            <w:pPr>
              <w:ind w:left="223" w:hanging="222" w:hangingChars="106"/>
              <w:jc w:val="center"/>
              <w:rPr>
                <w:rFonts w:asciiTheme="minorEastAsia" w:hAnsiTheme="minorEastAsia" w:eastAsiaTheme="minorEastAsia"/>
                <w:color w:val="auto"/>
                <w:highlight w:val="none"/>
              </w:rPr>
            </w:pPr>
          </w:p>
        </w:tc>
        <w:tc>
          <w:tcPr>
            <w:tcW w:w="1148" w:type="dxa"/>
            <w:vAlign w:val="center"/>
          </w:tcPr>
          <w:p w14:paraId="3BF69602">
            <w:pPr>
              <w:ind w:left="223" w:hanging="222" w:hangingChars="106"/>
              <w:jc w:val="center"/>
              <w:rPr>
                <w:rFonts w:asciiTheme="minorEastAsia" w:hAnsiTheme="minorEastAsia" w:eastAsiaTheme="minorEastAsia"/>
                <w:color w:val="auto"/>
                <w:highlight w:val="none"/>
              </w:rPr>
            </w:pPr>
          </w:p>
        </w:tc>
        <w:tc>
          <w:tcPr>
            <w:tcW w:w="1148" w:type="dxa"/>
            <w:vAlign w:val="center"/>
          </w:tcPr>
          <w:p w14:paraId="347450E8">
            <w:pPr>
              <w:ind w:left="223" w:hanging="222" w:hangingChars="106"/>
              <w:jc w:val="center"/>
              <w:rPr>
                <w:rFonts w:asciiTheme="minorEastAsia" w:hAnsiTheme="minorEastAsia" w:eastAsiaTheme="minorEastAsia"/>
                <w:color w:val="auto"/>
                <w:highlight w:val="none"/>
              </w:rPr>
            </w:pPr>
          </w:p>
        </w:tc>
        <w:tc>
          <w:tcPr>
            <w:tcW w:w="1148" w:type="dxa"/>
            <w:vAlign w:val="center"/>
          </w:tcPr>
          <w:p w14:paraId="5A2EEE45">
            <w:pPr>
              <w:ind w:left="223" w:hanging="222" w:hangingChars="106"/>
              <w:jc w:val="center"/>
              <w:rPr>
                <w:rFonts w:asciiTheme="minorEastAsia" w:hAnsiTheme="minorEastAsia" w:eastAsiaTheme="minorEastAsia"/>
                <w:color w:val="auto"/>
                <w:highlight w:val="none"/>
              </w:rPr>
            </w:pPr>
          </w:p>
        </w:tc>
        <w:tc>
          <w:tcPr>
            <w:tcW w:w="1148" w:type="dxa"/>
            <w:vAlign w:val="center"/>
          </w:tcPr>
          <w:p w14:paraId="7A20683E">
            <w:pPr>
              <w:ind w:left="223" w:hanging="222" w:hangingChars="106"/>
              <w:jc w:val="center"/>
              <w:rPr>
                <w:rFonts w:asciiTheme="minorEastAsia" w:hAnsiTheme="minorEastAsia" w:eastAsiaTheme="minorEastAsia"/>
                <w:color w:val="auto"/>
                <w:highlight w:val="none"/>
              </w:rPr>
            </w:pPr>
          </w:p>
        </w:tc>
        <w:tc>
          <w:tcPr>
            <w:tcW w:w="850" w:type="dxa"/>
            <w:vAlign w:val="center"/>
          </w:tcPr>
          <w:p w14:paraId="68FCD511">
            <w:pPr>
              <w:ind w:left="223" w:hanging="222" w:hangingChars="106"/>
              <w:jc w:val="center"/>
              <w:rPr>
                <w:rFonts w:asciiTheme="minorEastAsia" w:hAnsiTheme="minorEastAsia" w:eastAsiaTheme="minorEastAsia"/>
                <w:color w:val="auto"/>
                <w:highlight w:val="none"/>
              </w:rPr>
            </w:pPr>
          </w:p>
        </w:tc>
        <w:tc>
          <w:tcPr>
            <w:tcW w:w="1276" w:type="dxa"/>
            <w:vAlign w:val="center"/>
          </w:tcPr>
          <w:p w14:paraId="3E7A554F">
            <w:pPr>
              <w:ind w:left="223" w:hanging="222" w:hangingChars="106"/>
              <w:jc w:val="center"/>
              <w:rPr>
                <w:rFonts w:asciiTheme="minorEastAsia" w:hAnsiTheme="minorEastAsia" w:eastAsiaTheme="minorEastAsia"/>
                <w:color w:val="auto"/>
                <w:highlight w:val="none"/>
              </w:rPr>
            </w:pPr>
          </w:p>
        </w:tc>
      </w:tr>
      <w:tr w14:paraId="1CC7F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Merge w:val="continue"/>
            <w:vAlign w:val="center"/>
          </w:tcPr>
          <w:p w14:paraId="7D925B4B">
            <w:pPr>
              <w:ind w:left="223" w:hanging="222" w:hangingChars="106"/>
              <w:jc w:val="center"/>
              <w:rPr>
                <w:rFonts w:asciiTheme="minorEastAsia" w:hAnsiTheme="minorEastAsia" w:eastAsiaTheme="minorEastAsia"/>
                <w:color w:val="auto"/>
                <w:szCs w:val="21"/>
                <w:highlight w:val="none"/>
              </w:rPr>
            </w:pPr>
          </w:p>
        </w:tc>
        <w:tc>
          <w:tcPr>
            <w:tcW w:w="829" w:type="dxa"/>
            <w:vAlign w:val="center"/>
          </w:tcPr>
          <w:p w14:paraId="6CFBE1F4">
            <w:pPr>
              <w:ind w:left="223" w:hanging="222" w:hangingChars="106"/>
              <w:jc w:val="center"/>
              <w:rPr>
                <w:rFonts w:asciiTheme="minorEastAsia" w:hAnsiTheme="minorEastAsia" w:eastAsiaTheme="minorEastAsia"/>
                <w:color w:val="auto"/>
                <w:highlight w:val="none"/>
              </w:rPr>
            </w:pPr>
          </w:p>
        </w:tc>
        <w:tc>
          <w:tcPr>
            <w:tcW w:w="816" w:type="dxa"/>
            <w:vAlign w:val="center"/>
          </w:tcPr>
          <w:p w14:paraId="1EFD4A51">
            <w:pPr>
              <w:ind w:left="223" w:hanging="222" w:hangingChars="106"/>
              <w:jc w:val="center"/>
              <w:rPr>
                <w:rFonts w:asciiTheme="minorEastAsia" w:hAnsiTheme="minorEastAsia" w:eastAsiaTheme="minorEastAsia"/>
                <w:color w:val="auto"/>
                <w:highlight w:val="none"/>
              </w:rPr>
            </w:pPr>
          </w:p>
        </w:tc>
        <w:tc>
          <w:tcPr>
            <w:tcW w:w="1148" w:type="dxa"/>
            <w:vAlign w:val="center"/>
          </w:tcPr>
          <w:p w14:paraId="4FE58117">
            <w:pPr>
              <w:ind w:left="223" w:hanging="222" w:hangingChars="106"/>
              <w:jc w:val="center"/>
              <w:rPr>
                <w:rFonts w:asciiTheme="minorEastAsia" w:hAnsiTheme="minorEastAsia" w:eastAsiaTheme="minorEastAsia"/>
                <w:color w:val="auto"/>
                <w:highlight w:val="none"/>
              </w:rPr>
            </w:pPr>
          </w:p>
        </w:tc>
        <w:tc>
          <w:tcPr>
            <w:tcW w:w="1148" w:type="dxa"/>
            <w:vAlign w:val="center"/>
          </w:tcPr>
          <w:p w14:paraId="7ACA2363">
            <w:pPr>
              <w:ind w:left="223" w:hanging="222" w:hangingChars="106"/>
              <w:jc w:val="center"/>
              <w:rPr>
                <w:rFonts w:asciiTheme="minorEastAsia" w:hAnsiTheme="minorEastAsia" w:eastAsiaTheme="minorEastAsia"/>
                <w:color w:val="auto"/>
                <w:highlight w:val="none"/>
              </w:rPr>
            </w:pPr>
          </w:p>
        </w:tc>
        <w:tc>
          <w:tcPr>
            <w:tcW w:w="1148" w:type="dxa"/>
            <w:vAlign w:val="center"/>
          </w:tcPr>
          <w:p w14:paraId="5B0A89D4">
            <w:pPr>
              <w:ind w:left="223" w:hanging="222" w:hangingChars="106"/>
              <w:jc w:val="center"/>
              <w:rPr>
                <w:rFonts w:asciiTheme="minorEastAsia" w:hAnsiTheme="minorEastAsia" w:eastAsiaTheme="minorEastAsia"/>
                <w:color w:val="auto"/>
                <w:highlight w:val="none"/>
              </w:rPr>
            </w:pPr>
          </w:p>
        </w:tc>
        <w:tc>
          <w:tcPr>
            <w:tcW w:w="1148" w:type="dxa"/>
            <w:vAlign w:val="center"/>
          </w:tcPr>
          <w:p w14:paraId="6B6EEAE7">
            <w:pPr>
              <w:ind w:left="223" w:hanging="222" w:hangingChars="106"/>
              <w:jc w:val="center"/>
              <w:rPr>
                <w:rFonts w:asciiTheme="minorEastAsia" w:hAnsiTheme="minorEastAsia" w:eastAsiaTheme="minorEastAsia"/>
                <w:color w:val="auto"/>
                <w:highlight w:val="none"/>
              </w:rPr>
            </w:pPr>
          </w:p>
        </w:tc>
        <w:tc>
          <w:tcPr>
            <w:tcW w:w="850" w:type="dxa"/>
            <w:vAlign w:val="center"/>
          </w:tcPr>
          <w:p w14:paraId="7E938158">
            <w:pPr>
              <w:ind w:left="223" w:hanging="222" w:hangingChars="106"/>
              <w:jc w:val="center"/>
              <w:rPr>
                <w:rFonts w:asciiTheme="minorEastAsia" w:hAnsiTheme="minorEastAsia" w:eastAsiaTheme="minorEastAsia"/>
                <w:color w:val="auto"/>
                <w:highlight w:val="none"/>
              </w:rPr>
            </w:pPr>
          </w:p>
        </w:tc>
        <w:tc>
          <w:tcPr>
            <w:tcW w:w="1276" w:type="dxa"/>
            <w:vAlign w:val="center"/>
          </w:tcPr>
          <w:p w14:paraId="6B4F8546">
            <w:pPr>
              <w:ind w:left="223" w:hanging="222" w:hangingChars="106"/>
              <w:jc w:val="center"/>
              <w:rPr>
                <w:rFonts w:asciiTheme="minorEastAsia" w:hAnsiTheme="minorEastAsia" w:eastAsiaTheme="minorEastAsia"/>
                <w:color w:val="auto"/>
                <w:highlight w:val="none"/>
              </w:rPr>
            </w:pPr>
          </w:p>
        </w:tc>
      </w:tr>
      <w:tr w14:paraId="06568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Merge w:val="continue"/>
            <w:vAlign w:val="center"/>
          </w:tcPr>
          <w:p w14:paraId="58862B6A">
            <w:pPr>
              <w:ind w:left="223" w:hanging="222" w:hangingChars="106"/>
              <w:jc w:val="center"/>
              <w:rPr>
                <w:rFonts w:asciiTheme="minorEastAsia" w:hAnsiTheme="minorEastAsia" w:eastAsiaTheme="minorEastAsia"/>
                <w:color w:val="auto"/>
                <w:szCs w:val="21"/>
                <w:highlight w:val="none"/>
              </w:rPr>
            </w:pPr>
          </w:p>
        </w:tc>
        <w:tc>
          <w:tcPr>
            <w:tcW w:w="829" w:type="dxa"/>
            <w:vAlign w:val="center"/>
          </w:tcPr>
          <w:p w14:paraId="245D6C94">
            <w:pPr>
              <w:ind w:left="223" w:hanging="222" w:hangingChars="106"/>
              <w:jc w:val="center"/>
              <w:rPr>
                <w:rFonts w:asciiTheme="minorEastAsia" w:hAnsiTheme="minorEastAsia" w:eastAsiaTheme="minorEastAsia"/>
                <w:color w:val="auto"/>
                <w:highlight w:val="none"/>
              </w:rPr>
            </w:pPr>
          </w:p>
        </w:tc>
        <w:tc>
          <w:tcPr>
            <w:tcW w:w="816" w:type="dxa"/>
            <w:vAlign w:val="center"/>
          </w:tcPr>
          <w:p w14:paraId="3355BFFE">
            <w:pPr>
              <w:ind w:left="223" w:hanging="222" w:hangingChars="106"/>
              <w:jc w:val="center"/>
              <w:rPr>
                <w:rFonts w:asciiTheme="minorEastAsia" w:hAnsiTheme="minorEastAsia" w:eastAsiaTheme="minorEastAsia"/>
                <w:color w:val="auto"/>
                <w:highlight w:val="none"/>
              </w:rPr>
            </w:pPr>
          </w:p>
        </w:tc>
        <w:tc>
          <w:tcPr>
            <w:tcW w:w="1148" w:type="dxa"/>
            <w:vAlign w:val="center"/>
          </w:tcPr>
          <w:p w14:paraId="71AF2914">
            <w:pPr>
              <w:ind w:left="223" w:hanging="222" w:hangingChars="106"/>
              <w:jc w:val="center"/>
              <w:rPr>
                <w:rFonts w:asciiTheme="minorEastAsia" w:hAnsiTheme="minorEastAsia" w:eastAsiaTheme="minorEastAsia"/>
                <w:color w:val="auto"/>
                <w:highlight w:val="none"/>
              </w:rPr>
            </w:pPr>
          </w:p>
        </w:tc>
        <w:tc>
          <w:tcPr>
            <w:tcW w:w="1148" w:type="dxa"/>
            <w:vAlign w:val="center"/>
          </w:tcPr>
          <w:p w14:paraId="38077392">
            <w:pPr>
              <w:ind w:left="223" w:hanging="222" w:hangingChars="106"/>
              <w:jc w:val="center"/>
              <w:rPr>
                <w:rFonts w:asciiTheme="minorEastAsia" w:hAnsiTheme="minorEastAsia" w:eastAsiaTheme="minorEastAsia"/>
                <w:color w:val="auto"/>
                <w:highlight w:val="none"/>
              </w:rPr>
            </w:pPr>
          </w:p>
        </w:tc>
        <w:tc>
          <w:tcPr>
            <w:tcW w:w="1148" w:type="dxa"/>
            <w:vAlign w:val="center"/>
          </w:tcPr>
          <w:p w14:paraId="0F44AD4E">
            <w:pPr>
              <w:ind w:left="223" w:hanging="222" w:hangingChars="106"/>
              <w:jc w:val="center"/>
              <w:rPr>
                <w:rFonts w:asciiTheme="minorEastAsia" w:hAnsiTheme="minorEastAsia" w:eastAsiaTheme="minorEastAsia"/>
                <w:color w:val="auto"/>
                <w:highlight w:val="none"/>
              </w:rPr>
            </w:pPr>
          </w:p>
        </w:tc>
        <w:tc>
          <w:tcPr>
            <w:tcW w:w="1148" w:type="dxa"/>
            <w:vAlign w:val="center"/>
          </w:tcPr>
          <w:p w14:paraId="5C486C18">
            <w:pPr>
              <w:ind w:left="223" w:hanging="222" w:hangingChars="106"/>
              <w:jc w:val="center"/>
              <w:rPr>
                <w:rFonts w:asciiTheme="minorEastAsia" w:hAnsiTheme="minorEastAsia" w:eastAsiaTheme="minorEastAsia"/>
                <w:color w:val="auto"/>
                <w:highlight w:val="none"/>
              </w:rPr>
            </w:pPr>
          </w:p>
        </w:tc>
        <w:tc>
          <w:tcPr>
            <w:tcW w:w="850" w:type="dxa"/>
            <w:vAlign w:val="center"/>
          </w:tcPr>
          <w:p w14:paraId="05F4480D">
            <w:pPr>
              <w:ind w:left="223" w:hanging="222" w:hangingChars="106"/>
              <w:jc w:val="center"/>
              <w:rPr>
                <w:rFonts w:asciiTheme="minorEastAsia" w:hAnsiTheme="minorEastAsia" w:eastAsiaTheme="minorEastAsia"/>
                <w:color w:val="auto"/>
                <w:highlight w:val="none"/>
              </w:rPr>
            </w:pPr>
          </w:p>
        </w:tc>
        <w:tc>
          <w:tcPr>
            <w:tcW w:w="1276" w:type="dxa"/>
            <w:vAlign w:val="center"/>
          </w:tcPr>
          <w:p w14:paraId="2F73CAC5">
            <w:pPr>
              <w:ind w:left="223" w:hanging="222" w:hangingChars="106"/>
              <w:jc w:val="center"/>
              <w:rPr>
                <w:rFonts w:asciiTheme="minorEastAsia" w:hAnsiTheme="minorEastAsia" w:eastAsiaTheme="minorEastAsia"/>
                <w:color w:val="auto"/>
                <w:highlight w:val="none"/>
              </w:rPr>
            </w:pPr>
          </w:p>
        </w:tc>
      </w:tr>
      <w:tr w14:paraId="6F113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48F389CD">
            <w:pPr>
              <w:ind w:left="223" w:hanging="222" w:hangingChars="106"/>
              <w:jc w:val="center"/>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材料员</w:t>
            </w:r>
          </w:p>
        </w:tc>
        <w:tc>
          <w:tcPr>
            <w:tcW w:w="829" w:type="dxa"/>
            <w:vAlign w:val="center"/>
          </w:tcPr>
          <w:p w14:paraId="2D755153">
            <w:pPr>
              <w:ind w:left="223" w:hanging="222" w:hangingChars="106"/>
              <w:jc w:val="center"/>
              <w:rPr>
                <w:rFonts w:asciiTheme="minorEastAsia" w:hAnsiTheme="minorEastAsia" w:eastAsiaTheme="minorEastAsia"/>
                <w:color w:val="auto"/>
                <w:highlight w:val="none"/>
              </w:rPr>
            </w:pPr>
          </w:p>
        </w:tc>
        <w:tc>
          <w:tcPr>
            <w:tcW w:w="816" w:type="dxa"/>
            <w:vAlign w:val="center"/>
          </w:tcPr>
          <w:p w14:paraId="67CB9DBD">
            <w:pPr>
              <w:ind w:left="223" w:hanging="222" w:hangingChars="106"/>
              <w:jc w:val="center"/>
              <w:rPr>
                <w:rFonts w:asciiTheme="minorEastAsia" w:hAnsiTheme="minorEastAsia" w:eastAsiaTheme="minorEastAsia"/>
                <w:color w:val="auto"/>
                <w:highlight w:val="none"/>
              </w:rPr>
            </w:pPr>
          </w:p>
        </w:tc>
        <w:tc>
          <w:tcPr>
            <w:tcW w:w="1148" w:type="dxa"/>
            <w:vAlign w:val="center"/>
          </w:tcPr>
          <w:p w14:paraId="2D726A65">
            <w:pPr>
              <w:ind w:left="223" w:hanging="222" w:hangingChars="106"/>
              <w:jc w:val="center"/>
              <w:rPr>
                <w:rFonts w:asciiTheme="minorEastAsia" w:hAnsiTheme="minorEastAsia" w:eastAsiaTheme="minorEastAsia"/>
                <w:color w:val="auto"/>
                <w:highlight w:val="none"/>
              </w:rPr>
            </w:pPr>
          </w:p>
        </w:tc>
        <w:tc>
          <w:tcPr>
            <w:tcW w:w="1148" w:type="dxa"/>
            <w:vAlign w:val="center"/>
          </w:tcPr>
          <w:p w14:paraId="7B5C6CA1">
            <w:pPr>
              <w:ind w:left="223" w:hanging="222" w:hangingChars="106"/>
              <w:jc w:val="center"/>
              <w:rPr>
                <w:rFonts w:asciiTheme="minorEastAsia" w:hAnsiTheme="minorEastAsia" w:eastAsiaTheme="minorEastAsia"/>
                <w:color w:val="auto"/>
                <w:highlight w:val="none"/>
              </w:rPr>
            </w:pPr>
          </w:p>
        </w:tc>
        <w:tc>
          <w:tcPr>
            <w:tcW w:w="1148" w:type="dxa"/>
            <w:vAlign w:val="center"/>
          </w:tcPr>
          <w:p w14:paraId="1932F9B1">
            <w:pPr>
              <w:ind w:left="223" w:hanging="222" w:hangingChars="106"/>
              <w:jc w:val="center"/>
              <w:rPr>
                <w:rFonts w:asciiTheme="minorEastAsia" w:hAnsiTheme="minorEastAsia" w:eastAsiaTheme="minorEastAsia"/>
                <w:color w:val="auto"/>
                <w:highlight w:val="none"/>
              </w:rPr>
            </w:pPr>
          </w:p>
        </w:tc>
        <w:tc>
          <w:tcPr>
            <w:tcW w:w="1148" w:type="dxa"/>
            <w:vAlign w:val="center"/>
          </w:tcPr>
          <w:p w14:paraId="5DB3D0D4">
            <w:pPr>
              <w:ind w:left="223" w:hanging="222" w:hangingChars="106"/>
              <w:jc w:val="center"/>
              <w:rPr>
                <w:rFonts w:asciiTheme="minorEastAsia" w:hAnsiTheme="minorEastAsia" w:eastAsiaTheme="minorEastAsia"/>
                <w:color w:val="auto"/>
                <w:highlight w:val="none"/>
              </w:rPr>
            </w:pPr>
          </w:p>
        </w:tc>
        <w:tc>
          <w:tcPr>
            <w:tcW w:w="850" w:type="dxa"/>
            <w:vAlign w:val="center"/>
          </w:tcPr>
          <w:p w14:paraId="465DE948">
            <w:pPr>
              <w:ind w:left="223" w:hanging="222" w:hangingChars="106"/>
              <w:jc w:val="center"/>
              <w:rPr>
                <w:rFonts w:asciiTheme="minorEastAsia" w:hAnsiTheme="minorEastAsia" w:eastAsiaTheme="minorEastAsia"/>
                <w:color w:val="auto"/>
                <w:highlight w:val="none"/>
              </w:rPr>
            </w:pPr>
          </w:p>
        </w:tc>
        <w:tc>
          <w:tcPr>
            <w:tcW w:w="1276" w:type="dxa"/>
            <w:vAlign w:val="center"/>
          </w:tcPr>
          <w:p w14:paraId="434E755C">
            <w:pPr>
              <w:ind w:left="223" w:hanging="222" w:hangingChars="106"/>
              <w:jc w:val="center"/>
              <w:rPr>
                <w:rFonts w:asciiTheme="minorEastAsia" w:hAnsiTheme="minorEastAsia" w:eastAsiaTheme="minorEastAsia"/>
                <w:color w:val="auto"/>
                <w:highlight w:val="none"/>
              </w:rPr>
            </w:pPr>
          </w:p>
        </w:tc>
      </w:tr>
      <w:tr w14:paraId="47469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2DA4B918">
            <w:pPr>
              <w:ind w:left="223" w:hanging="222" w:hangingChars="106"/>
              <w:jc w:val="center"/>
              <w:rPr>
                <w:rFonts w:asciiTheme="minorEastAsia" w:hAnsiTheme="minorEastAsia" w:eastAsiaTheme="minorEastAsia"/>
                <w:color w:val="auto"/>
                <w:szCs w:val="21"/>
                <w:highlight w:val="none"/>
              </w:rPr>
            </w:pPr>
          </w:p>
        </w:tc>
        <w:tc>
          <w:tcPr>
            <w:tcW w:w="829" w:type="dxa"/>
            <w:vAlign w:val="center"/>
          </w:tcPr>
          <w:p w14:paraId="141FD0DD">
            <w:pPr>
              <w:ind w:left="223" w:hanging="222" w:hangingChars="106"/>
              <w:jc w:val="center"/>
              <w:rPr>
                <w:rFonts w:asciiTheme="minorEastAsia" w:hAnsiTheme="minorEastAsia" w:eastAsiaTheme="minorEastAsia"/>
                <w:color w:val="auto"/>
                <w:highlight w:val="none"/>
              </w:rPr>
            </w:pPr>
          </w:p>
        </w:tc>
        <w:tc>
          <w:tcPr>
            <w:tcW w:w="816" w:type="dxa"/>
            <w:vAlign w:val="center"/>
          </w:tcPr>
          <w:p w14:paraId="4D30B773">
            <w:pPr>
              <w:ind w:left="223" w:hanging="222" w:hangingChars="106"/>
              <w:jc w:val="center"/>
              <w:rPr>
                <w:rFonts w:asciiTheme="minorEastAsia" w:hAnsiTheme="minorEastAsia" w:eastAsiaTheme="minorEastAsia"/>
                <w:color w:val="auto"/>
                <w:highlight w:val="none"/>
              </w:rPr>
            </w:pPr>
          </w:p>
        </w:tc>
        <w:tc>
          <w:tcPr>
            <w:tcW w:w="1148" w:type="dxa"/>
            <w:vAlign w:val="center"/>
          </w:tcPr>
          <w:p w14:paraId="0851A56A">
            <w:pPr>
              <w:ind w:left="223" w:hanging="222" w:hangingChars="106"/>
              <w:jc w:val="center"/>
              <w:rPr>
                <w:rFonts w:asciiTheme="minorEastAsia" w:hAnsiTheme="minorEastAsia" w:eastAsiaTheme="minorEastAsia"/>
                <w:color w:val="auto"/>
                <w:highlight w:val="none"/>
              </w:rPr>
            </w:pPr>
          </w:p>
        </w:tc>
        <w:tc>
          <w:tcPr>
            <w:tcW w:w="1148" w:type="dxa"/>
            <w:vAlign w:val="center"/>
          </w:tcPr>
          <w:p w14:paraId="6C9D8F77">
            <w:pPr>
              <w:ind w:left="223" w:hanging="222" w:hangingChars="106"/>
              <w:jc w:val="center"/>
              <w:rPr>
                <w:rFonts w:asciiTheme="minorEastAsia" w:hAnsiTheme="minorEastAsia" w:eastAsiaTheme="minorEastAsia"/>
                <w:color w:val="auto"/>
                <w:highlight w:val="none"/>
              </w:rPr>
            </w:pPr>
          </w:p>
        </w:tc>
        <w:tc>
          <w:tcPr>
            <w:tcW w:w="1148" w:type="dxa"/>
            <w:vAlign w:val="center"/>
          </w:tcPr>
          <w:p w14:paraId="7413E199">
            <w:pPr>
              <w:ind w:left="223" w:hanging="222" w:hangingChars="106"/>
              <w:jc w:val="center"/>
              <w:rPr>
                <w:rFonts w:asciiTheme="minorEastAsia" w:hAnsiTheme="minorEastAsia" w:eastAsiaTheme="minorEastAsia"/>
                <w:color w:val="auto"/>
                <w:highlight w:val="none"/>
              </w:rPr>
            </w:pPr>
          </w:p>
        </w:tc>
        <w:tc>
          <w:tcPr>
            <w:tcW w:w="1148" w:type="dxa"/>
            <w:vAlign w:val="center"/>
          </w:tcPr>
          <w:p w14:paraId="0F1C1CD3">
            <w:pPr>
              <w:ind w:left="223" w:hanging="222" w:hangingChars="106"/>
              <w:jc w:val="center"/>
              <w:rPr>
                <w:rFonts w:asciiTheme="minorEastAsia" w:hAnsiTheme="minorEastAsia" w:eastAsiaTheme="minorEastAsia"/>
                <w:color w:val="auto"/>
                <w:highlight w:val="none"/>
              </w:rPr>
            </w:pPr>
          </w:p>
        </w:tc>
        <w:tc>
          <w:tcPr>
            <w:tcW w:w="850" w:type="dxa"/>
            <w:vAlign w:val="center"/>
          </w:tcPr>
          <w:p w14:paraId="6DC2B405">
            <w:pPr>
              <w:ind w:left="223" w:hanging="222" w:hangingChars="106"/>
              <w:jc w:val="center"/>
              <w:rPr>
                <w:rFonts w:asciiTheme="minorEastAsia" w:hAnsiTheme="minorEastAsia" w:eastAsiaTheme="minorEastAsia"/>
                <w:color w:val="auto"/>
                <w:highlight w:val="none"/>
              </w:rPr>
            </w:pPr>
          </w:p>
        </w:tc>
        <w:tc>
          <w:tcPr>
            <w:tcW w:w="1276" w:type="dxa"/>
            <w:vAlign w:val="center"/>
          </w:tcPr>
          <w:p w14:paraId="19129D2E">
            <w:pPr>
              <w:ind w:left="223" w:hanging="222" w:hangingChars="106"/>
              <w:jc w:val="center"/>
              <w:rPr>
                <w:rFonts w:asciiTheme="minorEastAsia" w:hAnsiTheme="minorEastAsia" w:eastAsiaTheme="minorEastAsia"/>
                <w:color w:val="auto"/>
                <w:highlight w:val="none"/>
              </w:rPr>
            </w:pPr>
          </w:p>
        </w:tc>
      </w:tr>
      <w:tr w14:paraId="19074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60400244">
            <w:pPr>
              <w:ind w:left="223" w:hanging="222" w:hangingChars="106"/>
              <w:jc w:val="center"/>
              <w:rPr>
                <w:rFonts w:asciiTheme="minorEastAsia" w:hAnsiTheme="minorEastAsia" w:eastAsiaTheme="minorEastAsia"/>
                <w:color w:val="auto"/>
                <w:highlight w:val="none"/>
              </w:rPr>
            </w:pPr>
            <w:r>
              <w:rPr>
                <w:rFonts w:asciiTheme="minorEastAsia" w:hAnsiTheme="minorEastAsia" w:eastAsiaTheme="minorEastAsia"/>
                <w:color w:val="auto"/>
                <w:highlight w:val="none"/>
              </w:rPr>
              <w:t>……</w:t>
            </w:r>
          </w:p>
        </w:tc>
        <w:tc>
          <w:tcPr>
            <w:tcW w:w="829" w:type="dxa"/>
            <w:vAlign w:val="center"/>
          </w:tcPr>
          <w:p w14:paraId="34997C7D">
            <w:pPr>
              <w:ind w:left="223" w:hanging="222" w:hangingChars="106"/>
              <w:jc w:val="center"/>
              <w:rPr>
                <w:rFonts w:asciiTheme="minorEastAsia" w:hAnsiTheme="minorEastAsia" w:eastAsiaTheme="minorEastAsia"/>
                <w:color w:val="auto"/>
                <w:highlight w:val="none"/>
              </w:rPr>
            </w:pPr>
          </w:p>
        </w:tc>
        <w:tc>
          <w:tcPr>
            <w:tcW w:w="816" w:type="dxa"/>
            <w:vAlign w:val="center"/>
          </w:tcPr>
          <w:p w14:paraId="4970E19C">
            <w:pPr>
              <w:ind w:left="223" w:hanging="222" w:hangingChars="106"/>
              <w:jc w:val="center"/>
              <w:rPr>
                <w:rFonts w:asciiTheme="minorEastAsia" w:hAnsiTheme="minorEastAsia" w:eastAsiaTheme="minorEastAsia"/>
                <w:color w:val="auto"/>
                <w:highlight w:val="none"/>
              </w:rPr>
            </w:pPr>
          </w:p>
        </w:tc>
        <w:tc>
          <w:tcPr>
            <w:tcW w:w="1148" w:type="dxa"/>
            <w:vAlign w:val="center"/>
          </w:tcPr>
          <w:p w14:paraId="4F9CFA07">
            <w:pPr>
              <w:ind w:left="223" w:hanging="222" w:hangingChars="106"/>
              <w:jc w:val="center"/>
              <w:rPr>
                <w:rFonts w:asciiTheme="minorEastAsia" w:hAnsiTheme="minorEastAsia" w:eastAsiaTheme="minorEastAsia"/>
                <w:color w:val="auto"/>
                <w:highlight w:val="none"/>
              </w:rPr>
            </w:pPr>
          </w:p>
        </w:tc>
        <w:tc>
          <w:tcPr>
            <w:tcW w:w="1148" w:type="dxa"/>
            <w:vAlign w:val="center"/>
          </w:tcPr>
          <w:p w14:paraId="69D560A1">
            <w:pPr>
              <w:ind w:left="223" w:hanging="222" w:hangingChars="106"/>
              <w:jc w:val="center"/>
              <w:rPr>
                <w:rFonts w:asciiTheme="minorEastAsia" w:hAnsiTheme="minorEastAsia" w:eastAsiaTheme="minorEastAsia"/>
                <w:color w:val="auto"/>
                <w:highlight w:val="none"/>
              </w:rPr>
            </w:pPr>
          </w:p>
        </w:tc>
        <w:tc>
          <w:tcPr>
            <w:tcW w:w="1148" w:type="dxa"/>
            <w:vAlign w:val="center"/>
          </w:tcPr>
          <w:p w14:paraId="0FD92995">
            <w:pPr>
              <w:ind w:left="223" w:hanging="222" w:hangingChars="106"/>
              <w:jc w:val="center"/>
              <w:rPr>
                <w:rFonts w:asciiTheme="minorEastAsia" w:hAnsiTheme="minorEastAsia" w:eastAsiaTheme="minorEastAsia"/>
                <w:color w:val="auto"/>
                <w:highlight w:val="none"/>
              </w:rPr>
            </w:pPr>
          </w:p>
        </w:tc>
        <w:tc>
          <w:tcPr>
            <w:tcW w:w="1148" w:type="dxa"/>
            <w:vAlign w:val="center"/>
          </w:tcPr>
          <w:p w14:paraId="4FE25BAC">
            <w:pPr>
              <w:ind w:left="223" w:hanging="222" w:hangingChars="106"/>
              <w:jc w:val="center"/>
              <w:rPr>
                <w:rFonts w:asciiTheme="minorEastAsia" w:hAnsiTheme="minorEastAsia" w:eastAsiaTheme="minorEastAsia"/>
                <w:color w:val="auto"/>
                <w:highlight w:val="none"/>
              </w:rPr>
            </w:pPr>
          </w:p>
        </w:tc>
        <w:tc>
          <w:tcPr>
            <w:tcW w:w="850" w:type="dxa"/>
            <w:vAlign w:val="center"/>
          </w:tcPr>
          <w:p w14:paraId="0A1179D8">
            <w:pPr>
              <w:ind w:left="223" w:hanging="222" w:hangingChars="106"/>
              <w:jc w:val="center"/>
              <w:rPr>
                <w:rFonts w:asciiTheme="minorEastAsia" w:hAnsiTheme="minorEastAsia" w:eastAsiaTheme="minorEastAsia"/>
                <w:color w:val="auto"/>
                <w:highlight w:val="none"/>
              </w:rPr>
            </w:pPr>
          </w:p>
        </w:tc>
        <w:tc>
          <w:tcPr>
            <w:tcW w:w="1276" w:type="dxa"/>
            <w:vAlign w:val="center"/>
          </w:tcPr>
          <w:p w14:paraId="57B5C727">
            <w:pPr>
              <w:ind w:left="223" w:hanging="222" w:hangingChars="106"/>
              <w:jc w:val="center"/>
              <w:rPr>
                <w:rFonts w:asciiTheme="minorEastAsia" w:hAnsiTheme="minorEastAsia" w:eastAsiaTheme="minorEastAsia"/>
                <w:color w:val="auto"/>
                <w:highlight w:val="none"/>
              </w:rPr>
            </w:pPr>
          </w:p>
        </w:tc>
      </w:tr>
      <w:tr w14:paraId="2DA9A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9" w:hRule="atLeast"/>
          <w:jc w:val="center"/>
        </w:trPr>
        <w:tc>
          <w:tcPr>
            <w:tcW w:w="9356" w:type="dxa"/>
            <w:gridSpan w:val="9"/>
            <w:vAlign w:val="center"/>
          </w:tcPr>
          <w:p w14:paraId="41B107A7">
            <w:pPr>
              <w:spacing w:line="360" w:lineRule="auto"/>
              <w:rPr>
                <w:rFonts w:asciiTheme="minorEastAsia" w:hAnsiTheme="minorEastAsia" w:eastAsiaTheme="minorEastAsia"/>
                <w:color w:val="auto"/>
                <w:szCs w:val="21"/>
                <w:highlight w:val="none"/>
              </w:rPr>
            </w:pPr>
            <w:bookmarkStart w:id="1777" w:name="_Toc251052199"/>
            <w:r>
              <w:rPr>
                <w:rFonts w:asciiTheme="minorEastAsia" w:hAnsiTheme="minorEastAsia" w:eastAsiaTheme="minorEastAsia"/>
                <w:color w:val="auto"/>
                <w:szCs w:val="21"/>
                <w:highlight w:val="none"/>
              </w:rPr>
              <w:t>一旦我单位</w:t>
            </w:r>
            <w:r>
              <w:rPr>
                <w:rFonts w:hint="eastAsia" w:asciiTheme="minorEastAsia" w:hAnsiTheme="minorEastAsia" w:eastAsiaTheme="minorEastAsia"/>
                <w:color w:val="auto"/>
                <w:szCs w:val="21"/>
                <w:highlight w:val="none"/>
              </w:rPr>
              <w:t>成交</w:t>
            </w:r>
            <w:r>
              <w:rPr>
                <w:rFonts w:asciiTheme="minorEastAsia" w:hAnsiTheme="minorEastAsia" w:eastAsiaTheme="minorEastAsia"/>
                <w:color w:val="auto"/>
                <w:szCs w:val="21"/>
                <w:highlight w:val="none"/>
              </w:rPr>
              <w:t>，将实行项目经理负责制，我方保证并配备上述项目管理机构。上述填报内容真实，若不真实，愿按有关规定接受处理。项目管理班子机构设置、职责分工等情况另附资料说明。</w:t>
            </w:r>
            <w:bookmarkEnd w:id="1777"/>
          </w:p>
        </w:tc>
      </w:tr>
    </w:tbl>
    <w:p w14:paraId="62F33B55">
      <w:pPr>
        <w:tabs>
          <w:tab w:val="left" w:pos="0"/>
        </w:tabs>
        <w:spacing w:line="360" w:lineRule="auto"/>
        <w:ind w:right="-210"/>
        <w:rPr>
          <w:rFonts w:asciiTheme="minorEastAsia" w:hAnsiTheme="minorEastAsia" w:eastAsiaTheme="minorEastAsia"/>
          <w:color w:val="auto"/>
          <w:highlight w:val="none"/>
        </w:rPr>
      </w:pPr>
    </w:p>
    <w:p w14:paraId="5452B92B">
      <w:pPr>
        <w:spacing w:line="360" w:lineRule="auto"/>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w:t>
      </w:r>
      <w:r>
        <w:rPr>
          <w:rFonts w:asciiTheme="minorEastAsia" w:hAnsiTheme="minorEastAsia" w:eastAsiaTheme="minorEastAsia"/>
          <w:color w:val="auto"/>
          <w:highlight w:val="none"/>
        </w:rPr>
        <w:t>备注：附各岗位人员资格证件复印件</w:t>
      </w:r>
      <w:r>
        <w:rPr>
          <w:rFonts w:hint="eastAsia" w:asciiTheme="minorEastAsia" w:hAnsiTheme="minorEastAsia" w:eastAsiaTheme="minorEastAsia"/>
          <w:color w:val="auto"/>
          <w:highlight w:val="none"/>
        </w:rPr>
        <w:t>，</w:t>
      </w:r>
      <w:r>
        <w:rPr>
          <w:rFonts w:asciiTheme="minorEastAsia" w:hAnsiTheme="minorEastAsia" w:eastAsiaTheme="minorEastAsia"/>
          <w:color w:val="auto"/>
          <w:highlight w:val="none"/>
        </w:rPr>
        <w:t>以</w:t>
      </w:r>
      <w:r>
        <w:rPr>
          <w:rFonts w:hint="eastAsia" w:asciiTheme="minorEastAsia" w:hAnsiTheme="minorEastAsia" w:eastAsiaTheme="minorEastAsia"/>
          <w:color w:val="auto"/>
          <w:highlight w:val="none"/>
        </w:rPr>
        <w:t>上</w:t>
      </w:r>
      <w:r>
        <w:rPr>
          <w:rFonts w:asciiTheme="minorEastAsia" w:hAnsiTheme="minorEastAsia" w:eastAsiaTheme="minorEastAsia"/>
          <w:color w:val="auto"/>
          <w:highlight w:val="none"/>
        </w:rPr>
        <w:t>复印件均须加盖</w:t>
      </w:r>
      <w:r>
        <w:rPr>
          <w:rFonts w:hint="eastAsia" w:asciiTheme="minorEastAsia" w:hAnsiTheme="minorEastAsia" w:eastAsiaTheme="minorEastAsia"/>
          <w:color w:val="auto"/>
          <w:highlight w:val="none"/>
        </w:rPr>
        <w:t>磋商供应商</w:t>
      </w:r>
      <w:r>
        <w:rPr>
          <w:rFonts w:asciiTheme="minorEastAsia" w:hAnsiTheme="minorEastAsia" w:eastAsiaTheme="minorEastAsia"/>
          <w:color w:val="auto"/>
          <w:highlight w:val="none"/>
        </w:rPr>
        <w:t>单位公章</w:t>
      </w:r>
      <w:r>
        <w:rPr>
          <w:rFonts w:hint="eastAsia" w:asciiTheme="minorEastAsia" w:hAnsiTheme="minorEastAsia" w:eastAsiaTheme="minorEastAsia"/>
          <w:color w:val="auto"/>
          <w:highlight w:val="none"/>
        </w:rPr>
        <w:t>。</w:t>
      </w:r>
      <w:r>
        <w:rPr>
          <w:rFonts w:asciiTheme="minorEastAsia" w:hAnsiTheme="minorEastAsia" w:eastAsiaTheme="minorEastAsia"/>
          <w:color w:val="auto"/>
          <w:szCs w:val="21"/>
          <w:highlight w:val="none"/>
        </w:rPr>
        <w:t>】</w:t>
      </w:r>
    </w:p>
    <w:p w14:paraId="4459820B">
      <w:pPr>
        <w:rPr>
          <w:rFonts w:asciiTheme="minorEastAsia" w:hAnsiTheme="minorEastAsia" w:eastAsiaTheme="minorEastAsia"/>
          <w:color w:val="auto"/>
          <w:highlight w:val="none"/>
        </w:rPr>
      </w:pPr>
    </w:p>
    <w:p w14:paraId="4BA7DD22">
      <w:pPr>
        <w:rPr>
          <w:rFonts w:asciiTheme="minorEastAsia" w:hAnsiTheme="minorEastAsia" w:eastAsiaTheme="minorEastAsia"/>
          <w:color w:val="auto"/>
          <w:highlight w:val="none"/>
        </w:rPr>
      </w:pPr>
    </w:p>
    <w:p w14:paraId="15375215">
      <w:pPr>
        <w:rPr>
          <w:rFonts w:asciiTheme="minorEastAsia" w:hAnsiTheme="minorEastAsia" w:eastAsiaTheme="minorEastAsia"/>
          <w:color w:val="auto"/>
          <w:highlight w:val="none"/>
        </w:rPr>
        <w:sectPr>
          <w:pgSz w:w="11907" w:h="16840"/>
          <w:pgMar w:top="1440" w:right="1440" w:bottom="1440" w:left="1418" w:header="851" w:footer="851" w:gutter="0"/>
          <w:cols w:space="720" w:num="1"/>
          <w:docGrid w:linePitch="312" w:charSpace="0"/>
        </w:sectPr>
      </w:pPr>
    </w:p>
    <w:p w14:paraId="5E1192B8">
      <w:pPr>
        <w:jc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highlight w:val="none"/>
        </w:rPr>
        <w:t>附表二：</w:t>
      </w:r>
      <w:r>
        <w:rPr>
          <w:rFonts w:asciiTheme="minorEastAsia" w:hAnsiTheme="minorEastAsia" w:eastAsiaTheme="minorEastAsia"/>
          <w:color w:val="auto"/>
          <w:highlight w:val="none"/>
        </w:rPr>
        <w:t>拟投入本</w:t>
      </w:r>
      <w:r>
        <w:rPr>
          <w:rFonts w:asciiTheme="minorEastAsia" w:hAnsiTheme="minorEastAsia" w:eastAsiaTheme="minorEastAsia"/>
          <w:color w:val="auto"/>
          <w:szCs w:val="21"/>
          <w:highlight w:val="none"/>
        </w:rPr>
        <w:t>工程</w:t>
      </w:r>
      <w:r>
        <w:rPr>
          <w:rFonts w:asciiTheme="minorEastAsia" w:hAnsiTheme="minorEastAsia" w:eastAsiaTheme="minorEastAsia"/>
          <w:color w:val="auto"/>
          <w:highlight w:val="none"/>
        </w:rPr>
        <w:t>的主要施工设备表</w:t>
      </w:r>
    </w:p>
    <w:tbl>
      <w:tblPr>
        <w:tblStyle w:val="5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1226"/>
        <w:gridCol w:w="851"/>
        <w:gridCol w:w="708"/>
        <w:gridCol w:w="709"/>
        <w:gridCol w:w="851"/>
        <w:gridCol w:w="1134"/>
        <w:gridCol w:w="992"/>
        <w:gridCol w:w="1134"/>
        <w:gridCol w:w="992"/>
      </w:tblGrid>
      <w:tr w14:paraId="4C07B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58" w:type="dxa"/>
            <w:vAlign w:val="center"/>
          </w:tcPr>
          <w:p w14:paraId="18604820">
            <w:pPr>
              <w:jc w:val="center"/>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序号</w:t>
            </w:r>
          </w:p>
        </w:tc>
        <w:tc>
          <w:tcPr>
            <w:tcW w:w="1226" w:type="dxa"/>
            <w:vAlign w:val="center"/>
          </w:tcPr>
          <w:p w14:paraId="34BB3719">
            <w:pPr>
              <w:jc w:val="center"/>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设备名称</w:t>
            </w:r>
          </w:p>
        </w:tc>
        <w:tc>
          <w:tcPr>
            <w:tcW w:w="851" w:type="dxa"/>
            <w:vAlign w:val="center"/>
          </w:tcPr>
          <w:p w14:paraId="39DD71E2">
            <w:pPr>
              <w:jc w:val="center"/>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型号</w:t>
            </w:r>
          </w:p>
          <w:p w14:paraId="4A451314">
            <w:pPr>
              <w:jc w:val="center"/>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规格</w:t>
            </w:r>
          </w:p>
        </w:tc>
        <w:tc>
          <w:tcPr>
            <w:tcW w:w="708" w:type="dxa"/>
            <w:vAlign w:val="center"/>
          </w:tcPr>
          <w:p w14:paraId="67526520">
            <w:pPr>
              <w:jc w:val="center"/>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数量</w:t>
            </w:r>
          </w:p>
        </w:tc>
        <w:tc>
          <w:tcPr>
            <w:tcW w:w="709" w:type="dxa"/>
            <w:vAlign w:val="center"/>
          </w:tcPr>
          <w:p w14:paraId="3AD7A30C">
            <w:pPr>
              <w:jc w:val="center"/>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国别</w:t>
            </w:r>
          </w:p>
          <w:p w14:paraId="65BF1443">
            <w:pPr>
              <w:jc w:val="center"/>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产地</w:t>
            </w:r>
          </w:p>
        </w:tc>
        <w:tc>
          <w:tcPr>
            <w:tcW w:w="851" w:type="dxa"/>
            <w:vAlign w:val="center"/>
          </w:tcPr>
          <w:p w14:paraId="5FF19D6F">
            <w:pPr>
              <w:jc w:val="center"/>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制造</w:t>
            </w:r>
          </w:p>
          <w:p w14:paraId="17708CD0">
            <w:pPr>
              <w:jc w:val="center"/>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年份</w:t>
            </w:r>
          </w:p>
        </w:tc>
        <w:tc>
          <w:tcPr>
            <w:tcW w:w="1134" w:type="dxa"/>
            <w:vAlign w:val="center"/>
          </w:tcPr>
          <w:p w14:paraId="48668D81">
            <w:pPr>
              <w:jc w:val="center"/>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额定功率</w:t>
            </w:r>
          </w:p>
          <w:p w14:paraId="06954111">
            <w:pPr>
              <w:jc w:val="center"/>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（KW）</w:t>
            </w:r>
          </w:p>
        </w:tc>
        <w:tc>
          <w:tcPr>
            <w:tcW w:w="992" w:type="dxa"/>
            <w:vAlign w:val="center"/>
          </w:tcPr>
          <w:p w14:paraId="1283138A">
            <w:pPr>
              <w:jc w:val="center"/>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生产</w:t>
            </w:r>
          </w:p>
          <w:p w14:paraId="0757F529">
            <w:pPr>
              <w:jc w:val="center"/>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能力</w:t>
            </w:r>
          </w:p>
        </w:tc>
        <w:tc>
          <w:tcPr>
            <w:tcW w:w="1134" w:type="dxa"/>
            <w:vAlign w:val="center"/>
          </w:tcPr>
          <w:p w14:paraId="1056484E">
            <w:pPr>
              <w:jc w:val="center"/>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用于施</w:t>
            </w:r>
          </w:p>
          <w:p w14:paraId="690A06BC">
            <w:pPr>
              <w:jc w:val="center"/>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工部位</w:t>
            </w:r>
          </w:p>
        </w:tc>
        <w:tc>
          <w:tcPr>
            <w:tcW w:w="992" w:type="dxa"/>
            <w:vAlign w:val="center"/>
          </w:tcPr>
          <w:p w14:paraId="67AF2148">
            <w:pPr>
              <w:jc w:val="center"/>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备注</w:t>
            </w:r>
          </w:p>
        </w:tc>
      </w:tr>
      <w:tr w14:paraId="45364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tcPr>
          <w:p w14:paraId="5AE3ACE5">
            <w:pPr>
              <w:spacing w:line="360" w:lineRule="auto"/>
              <w:rPr>
                <w:rFonts w:asciiTheme="minorEastAsia" w:hAnsiTheme="minorEastAsia" w:eastAsiaTheme="minorEastAsia"/>
                <w:color w:val="auto"/>
                <w:szCs w:val="21"/>
                <w:highlight w:val="none"/>
              </w:rPr>
            </w:pPr>
          </w:p>
        </w:tc>
        <w:tc>
          <w:tcPr>
            <w:tcW w:w="1226" w:type="dxa"/>
          </w:tcPr>
          <w:p w14:paraId="69B3B358">
            <w:pPr>
              <w:spacing w:line="360" w:lineRule="auto"/>
              <w:ind w:firstLine="420" w:firstLineChars="200"/>
              <w:rPr>
                <w:rFonts w:asciiTheme="minorEastAsia" w:hAnsiTheme="minorEastAsia" w:eastAsiaTheme="minorEastAsia"/>
                <w:color w:val="auto"/>
                <w:szCs w:val="21"/>
                <w:highlight w:val="none"/>
              </w:rPr>
            </w:pPr>
          </w:p>
        </w:tc>
        <w:tc>
          <w:tcPr>
            <w:tcW w:w="851" w:type="dxa"/>
          </w:tcPr>
          <w:p w14:paraId="5E136922">
            <w:pPr>
              <w:spacing w:line="360" w:lineRule="auto"/>
              <w:rPr>
                <w:rFonts w:asciiTheme="minorEastAsia" w:hAnsiTheme="minorEastAsia" w:eastAsiaTheme="minorEastAsia"/>
                <w:color w:val="auto"/>
                <w:szCs w:val="21"/>
                <w:highlight w:val="none"/>
              </w:rPr>
            </w:pPr>
          </w:p>
        </w:tc>
        <w:tc>
          <w:tcPr>
            <w:tcW w:w="708" w:type="dxa"/>
          </w:tcPr>
          <w:p w14:paraId="1D0C8182">
            <w:pPr>
              <w:spacing w:line="360" w:lineRule="auto"/>
              <w:rPr>
                <w:rFonts w:asciiTheme="minorEastAsia" w:hAnsiTheme="minorEastAsia" w:eastAsiaTheme="minorEastAsia"/>
                <w:color w:val="auto"/>
                <w:szCs w:val="21"/>
                <w:highlight w:val="none"/>
              </w:rPr>
            </w:pPr>
          </w:p>
        </w:tc>
        <w:tc>
          <w:tcPr>
            <w:tcW w:w="709" w:type="dxa"/>
          </w:tcPr>
          <w:p w14:paraId="2DB4B0E1">
            <w:pPr>
              <w:spacing w:line="360" w:lineRule="auto"/>
              <w:rPr>
                <w:rFonts w:asciiTheme="minorEastAsia" w:hAnsiTheme="minorEastAsia" w:eastAsiaTheme="minorEastAsia"/>
                <w:color w:val="auto"/>
                <w:szCs w:val="21"/>
                <w:highlight w:val="none"/>
              </w:rPr>
            </w:pPr>
          </w:p>
        </w:tc>
        <w:tc>
          <w:tcPr>
            <w:tcW w:w="851" w:type="dxa"/>
          </w:tcPr>
          <w:p w14:paraId="41F1B52E">
            <w:pPr>
              <w:spacing w:line="360" w:lineRule="auto"/>
              <w:rPr>
                <w:rFonts w:asciiTheme="minorEastAsia" w:hAnsiTheme="minorEastAsia" w:eastAsiaTheme="minorEastAsia"/>
                <w:color w:val="auto"/>
                <w:szCs w:val="21"/>
                <w:highlight w:val="none"/>
              </w:rPr>
            </w:pPr>
          </w:p>
        </w:tc>
        <w:tc>
          <w:tcPr>
            <w:tcW w:w="1134" w:type="dxa"/>
          </w:tcPr>
          <w:p w14:paraId="2E31E9AD">
            <w:pPr>
              <w:spacing w:line="360" w:lineRule="auto"/>
              <w:rPr>
                <w:rFonts w:asciiTheme="minorEastAsia" w:hAnsiTheme="minorEastAsia" w:eastAsiaTheme="minorEastAsia"/>
                <w:color w:val="auto"/>
                <w:szCs w:val="21"/>
                <w:highlight w:val="none"/>
              </w:rPr>
            </w:pPr>
          </w:p>
        </w:tc>
        <w:tc>
          <w:tcPr>
            <w:tcW w:w="992" w:type="dxa"/>
          </w:tcPr>
          <w:p w14:paraId="6975F8FE">
            <w:pPr>
              <w:spacing w:line="360" w:lineRule="auto"/>
              <w:rPr>
                <w:rFonts w:asciiTheme="minorEastAsia" w:hAnsiTheme="minorEastAsia" w:eastAsiaTheme="minorEastAsia"/>
                <w:color w:val="auto"/>
                <w:szCs w:val="21"/>
                <w:highlight w:val="none"/>
              </w:rPr>
            </w:pPr>
          </w:p>
        </w:tc>
        <w:tc>
          <w:tcPr>
            <w:tcW w:w="1134" w:type="dxa"/>
          </w:tcPr>
          <w:p w14:paraId="5710238B">
            <w:pPr>
              <w:spacing w:line="360" w:lineRule="auto"/>
              <w:rPr>
                <w:rFonts w:asciiTheme="minorEastAsia" w:hAnsiTheme="minorEastAsia" w:eastAsiaTheme="minorEastAsia"/>
                <w:color w:val="auto"/>
                <w:szCs w:val="21"/>
                <w:highlight w:val="none"/>
              </w:rPr>
            </w:pPr>
          </w:p>
        </w:tc>
        <w:tc>
          <w:tcPr>
            <w:tcW w:w="992" w:type="dxa"/>
          </w:tcPr>
          <w:p w14:paraId="21A5DA49">
            <w:pPr>
              <w:spacing w:line="360" w:lineRule="auto"/>
              <w:rPr>
                <w:rFonts w:asciiTheme="minorEastAsia" w:hAnsiTheme="minorEastAsia" w:eastAsiaTheme="minorEastAsia"/>
                <w:color w:val="auto"/>
                <w:szCs w:val="21"/>
                <w:highlight w:val="none"/>
              </w:rPr>
            </w:pPr>
          </w:p>
        </w:tc>
      </w:tr>
      <w:tr w14:paraId="7FBEC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tcPr>
          <w:p w14:paraId="09B16C8D">
            <w:pPr>
              <w:spacing w:line="360" w:lineRule="auto"/>
              <w:rPr>
                <w:rFonts w:asciiTheme="minorEastAsia" w:hAnsiTheme="minorEastAsia" w:eastAsiaTheme="minorEastAsia"/>
                <w:color w:val="auto"/>
                <w:szCs w:val="21"/>
                <w:highlight w:val="none"/>
              </w:rPr>
            </w:pPr>
          </w:p>
        </w:tc>
        <w:tc>
          <w:tcPr>
            <w:tcW w:w="1226" w:type="dxa"/>
          </w:tcPr>
          <w:p w14:paraId="04E1AA33">
            <w:pPr>
              <w:spacing w:line="360" w:lineRule="auto"/>
              <w:rPr>
                <w:rFonts w:asciiTheme="minorEastAsia" w:hAnsiTheme="minorEastAsia" w:eastAsiaTheme="minorEastAsia"/>
                <w:color w:val="auto"/>
                <w:szCs w:val="21"/>
                <w:highlight w:val="none"/>
              </w:rPr>
            </w:pPr>
          </w:p>
        </w:tc>
        <w:tc>
          <w:tcPr>
            <w:tcW w:w="851" w:type="dxa"/>
          </w:tcPr>
          <w:p w14:paraId="2FFD8394">
            <w:pPr>
              <w:spacing w:line="360" w:lineRule="auto"/>
              <w:rPr>
                <w:rFonts w:asciiTheme="minorEastAsia" w:hAnsiTheme="minorEastAsia" w:eastAsiaTheme="minorEastAsia"/>
                <w:color w:val="auto"/>
                <w:szCs w:val="21"/>
                <w:highlight w:val="none"/>
              </w:rPr>
            </w:pPr>
          </w:p>
        </w:tc>
        <w:tc>
          <w:tcPr>
            <w:tcW w:w="708" w:type="dxa"/>
          </w:tcPr>
          <w:p w14:paraId="00F94AF0">
            <w:pPr>
              <w:spacing w:line="360" w:lineRule="auto"/>
              <w:rPr>
                <w:rFonts w:asciiTheme="minorEastAsia" w:hAnsiTheme="minorEastAsia" w:eastAsiaTheme="minorEastAsia"/>
                <w:color w:val="auto"/>
                <w:szCs w:val="21"/>
                <w:highlight w:val="none"/>
              </w:rPr>
            </w:pPr>
          </w:p>
        </w:tc>
        <w:tc>
          <w:tcPr>
            <w:tcW w:w="709" w:type="dxa"/>
          </w:tcPr>
          <w:p w14:paraId="1D48BCD4">
            <w:pPr>
              <w:spacing w:line="360" w:lineRule="auto"/>
              <w:rPr>
                <w:rFonts w:asciiTheme="minorEastAsia" w:hAnsiTheme="minorEastAsia" w:eastAsiaTheme="minorEastAsia"/>
                <w:color w:val="auto"/>
                <w:szCs w:val="21"/>
                <w:highlight w:val="none"/>
              </w:rPr>
            </w:pPr>
          </w:p>
        </w:tc>
        <w:tc>
          <w:tcPr>
            <w:tcW w:w="851" w:type="dxa"/>
          </w:tcPr>
          <w:p w14:paraId="168C2967">
            <w:pPr>
              <w:spacing w:line="360" w:lineRule="auto"/>
              <w:rPr>
                <w:rFonts w:asciiTheme="minorEastAsia" w:hAnsiTheme="minorEastAsia" w:eastAsiaTheme="minorEastAsia"/>
                <w:color w:val="auto"/>
                <w:szCs w:val="21"/>
                <w:highlight w:val="none"/>
              </w:rPr>
            </w:pPr>
          </w:p>
        </w:tc>
        <w:tc>
          <w:tcPr>
            <w:tcW w:w="1134" w:type="dxa"/>
          </w:tcPr>
          <w:p w14:paraId="5E04F45C">
            <w:pPr>
              <w:spacing w:line="360" w:lineRule="auto"/>
              <w:rPr>
                <w:rFonts w:asciiTheme="minorEastAsia" w:hAnsiTheme="minorEastAsia" w:eastAsiaTheme="minorEastAsia"/>
                <w:color w:val="auto"/>
                <w:szCs w:val="21"/>
                <w:highlight w:val="none"/>
              </w:rPr>
            </w:pPr>
          </w:p>
        </w:tc>
        <w:tc>
          <w:tcPr>
            <w:tcW w:w="992" w:type="dxa"/>
          </w:tcPr>
          <w:p w14:paraId="37692DA5">
            <w:pPr>
              <w:spacing w:line="360" w:lineRule="auto"/>
              <w:rPr>
                <w:rFonts w:asciiTheme="minorEastAsia" w:hAnsiTheme="minorEastAsia" w:eastAsiaTheme="minorEastAsia"/>
                <w:color w:val="auto"/>
                <w:szCs w:val="21"/>
                <w:highlight w:val="none"/>
              </w:rPr>
            </w:pPr>
          </w:p>
        </w:tc>
        <w:tc>
          <w:tcPr>
            <w:tcW w:w="1134" w:type="dxa"/>
          </w:tcPr>
          <w:p w14:paraId="062E84BF">
            <w:pPr>
              <w:spacing w:line="360" w:lineRule="auto"/>
              <w:rPr>
                <w:rFonts w:asciiTheme="minorEastAsia" w:hAnsiTheme="minorEastAsia" w:eastAsiaTheme="minorEastAsia"/>
                <w:color w:val="auto"/>
                <w:szCs w:val="21"/>
                <w:highlight w:val="none"/>
              </w:rPr>
            </w:pPr>
          </w:p>
        </w:tc>
        <w:tc>
          <w:tcPr>
            <w:tcW w:w="992" w:type="dxa"/>
          </w:tcPr>
          <w:p w14:paraId="706B01FF">
            <w:pPr>
              <w:spacing w:line="360" w:lineRule="auto"/>
              <w:rPr>
                <w:rFonts w:asciiTheme="minorEastAsia" w:hAnsiTheme="minorEastAsia" w:eastAsiaTheme="minorEastAsia"/>
                <w:color w:val="auto"/>
                <w:szCs w:val="21"/>
                <w:highlight w:val="none"/>
              </w:rPr>
            </w:pPr>
          </w:p>
        </w:tc>
      </w:tr>
      <w:tr w14:paraId="0FB23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tcPr>
          <w:p w14:paraId="67A49DBA">
            <w:pPr>
              <w:spacing w:line="360" w:lineRule="auto"/>
              <w:rPr>
                <w:rFonts w:asciiTheme="minorEastAsia" w:hAnsiTheme="minorEastAsia" w:eastAsiaTheme="minorEastAsia"/>
                <w:color w:val="auto"/>
                <w:szCs w:val="21"/>
                <w:highlight w:val="none"/>
              </w:rPr>
            </w:pPr>
          </w:p>
        </w:tc>
        <w:tc>
          <w:tcPr>
            <w:tcW w:w="1226" w:type="dxa"/>
          </w:tcPr>
          <w:p w14:paraId="643E1FFE">
            <w:pPr>
              <w:spacing w:line="360" w:lineRule="auto"/>
              <w:rPr>
                <w:rFonts w:asciiTheme="minorEastAsia" w:hAnsiTheme="minorEastAsia" w:eastAsiaTheme="minorEastAsia"/>
                <w:color w:val="auto"/>
                <w:szCs w:val="21"/>
                <w:highlight w:val="none"/>
              </w:rPr>
            </w:pPr>
          </w:p>
        </w:tc>
        <w:tc>
          <w:tcPr>
            <w:tcW w:w="851" w:type="dxa"/>
          </w:tcPr>
          <w:p w14:paraId="40EED4DF">
            <w:pPr>
              <w:spacing w:line="360" w:lineRule="auto"/>
              <w:rPr>
                <w:rFonts w:asciiTheme="minorEastAsia" w:hAnsiTheme="minorEastAsia" w:eastAsiaTheme="minorEastAsia"/>
                <w:color w:val="auto"/>
                <w:szCs w:val="21"/>
                <w:highlight w:val="none"/>
              </w:rPr>
            </w:pPr>
          </w:p>
        </w:tc>
        <w:tc>
          <w:tcPr>
            <w:tcW w:w="708" w:type="dxa"/>
          </w:tcPr>
          <w:p w14:paraId="2EE7201B">
            <w:pPr>
              <w:spacing w:line="360" w:lineRule="auto"/>
              <w:rPr>
                <w:rFonts w:asciiTheme="minorEastAsia" w:hAnsiTheme="minorEastAsia" w:eastAsiaTheme="minorEastAsia"/>
                <w:color w:val="auto"/>
                <w:szCs w:val="21"/>
                <w:highlight w:val="none"/>
              </w:rPr>
            </w:pPr>
          </w:p>
        </w:tc>
        <w:tc>
          <w:tcPr>
            <w:tcW w:w="709" w:type="dxa"/>
          </w:tcPr>
          <w:p w14:paraId="104A27A6">
            <w:pPr>
              <w:spacing w:line="360" w:lineRule="auto"/>
              <w:rPr>
                <w:rFonts w:asciiTheme="minorEastAsia" w:hAnsiTheme="minorEastAsia" w:eastAsiaTheme="minorEastAsia"/>
                <w:color w:val="auto"/>
                <w:szCs w:val="21"/>
                <w:highlight w:val="none"/>
              </w:rPr>
            </w:pPr>
          </w:p>
        </w:tc>
        <w:tc>
          <w:tcPr>
            <w:tcW w:w="851" w:type="dxa"/>
          </w:tcPr>
          <w:p w14:paraId="5BE0D9B5">
            <w:pPr>
              <w:spacing w:line="360" w:lineRule="auto"/>
              <w:rPr>
                <w:rFonts w:asciiTheme="minorEastAsia" w:hAnsiTheme="minorEastAsia" w:eastAsiaTheme="minorEastAsia"/>
                <w:color w:val="auto"/>
                <w:szCs w:val="21"/>
                <w:highlight w:val="none"/>
              </w:rPr>
            </w:pPr>
          </w:p>
        </w:tc>
        <w:tc>
          <w:tcPr>
            <w:tcW w:w="1134" w:type="dxa"/>
          </w:tcPr>
          <w:p w14:paraId="5A144137">
            <w:pPr>
              <w:spacing w:line="360" w:lineRule="auto"/>
              <w:rPr>
                <w:rFonts w:asciiTheme="minorEastAsia" w:hAnsiTheme="minorEastAsia" w:eastAsiaTheme="minorEastAsia"/>
                <w:color w:val="auto"/>
                <w:szCs w:val="21"/>
                <w:highlight w:val="none"/>
              </w:rPr>
            </w:pPr>
          </w:p>
        </w:tc>
        <w:tc>
          <w:tcPr>
            <w:tcW w:w="992" w:type="dxa"/>
          </w:tcPr>
          <w:p w14:paraId="187EB482">
            <w:pPr>
              <w:spacing w:line="360" w:lineRule="auto"/>
              <w:rPr>
                <w:rFonts w:asciiTheme="minorEastAsia" w:hAnsiTheme="minorEastAsia" w:eastAsiaTheme="minorEastAsia"/>
                <w:color w:val="auto"/>
                <w:szCs w:val="21"/>
                <w:highlight w:val="none"/>
              </w:rPr>
            </w:pPr>
          </w:p>
        </w:tc>
        <w:tc>
          <w:tcPr>
            <w:tcW w:w="1134" w:type="dxa"/>
          </w:tcPr>
          <w:p w14:paraId="241C2CDD">
            <w:pPr>
              <w:spacing w:line="360" w:lineRule="auto"/>
              <w:rPr>
                <w:rFonts w:asciiTheme="minorEastAsia" w:hAnsiTheme="minorEastAsia" w:eastAsiaTheme="minorEastAsia"/>
                <w:color w:val="auto"/>
                <w:szCs w:val="21"/>
                <w:highlight w:val="none"/>
              </w:rPr>
            </w:pPr>
          </w:p>
        </w:tc>
        <w:tc>
          <w:tcPr>
            <w:tcW w:w="992" w:type="dxa"/>
          </w:tcPr>
          <w:p w14:paraId="4643E55A">
            <w:pPr>
              <w:spacing w:line="360" w:lineRule="auto"/>
              <w:rPr>
                <w:rFonts w:asciiTheme="minorEastAsia" w:hAnsiTheme="minorEastAsia" w:eastAsiaTheme="minorEastAsia"/>
                <w:color w:val="auto"/>
                <w:szCs w:val="21"/>
                <w:highlight w:val="none"/>
              </w:rPr>
            </w:pPr>
          </w:p>
        </w:tc>
      </w:tr>
      <w:tr w14:paraId="20993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tcPr>
          <w:p w14:paraId="4B6CBCD0">
            <w:pPr>
              <w:spacing w:line="360" w:lineRule="auto"/>
              <w:rPr>
                <w:rFonts w:asciiTheme="minorEastAsia" w:hAnsiTheme="minorEastAsia" w:eastAsiaTheme="minorEastAsia"/>
                <w:color w:val="auto"/>
                <w:szCs w:val="21"/>
                <w:highlight w:val="none"/>
              </w:rPr>
            </w:pPr>
          </w:p>
        </w:tc>
        <w:tc>
          <w:tcPr>
            <w:tcW w:w="1226" w:type="dxa"/>
          </w:tcPr>
          <w:p w14:paraId="1777F115">
            <w:pPr>
              <w:spacing w:line="360" w:lineRule="auto"/>
              <w:rPr>
                <w:rFonts w:asciiTheme="minorEastAsia" w:hAnsiTheme="minorEastAsia" w:eastAsiaTheme="minorEastAsia"/>
                <w:color w:val="auto"/>
                <w:szCs w:val="21"/>
                <w:highlight w:val="none"/>
              </w:rPr>
            </w:pPr>
          </w:p>
        </w:tc>
        <w:tc>
          <w:tcPr>
            <w:tcW w:w="851" w:type="dxa"/>
          </w:tcPr>
          <w:p w14:paraId="2310BFB8">
            <w:pPr>
              <w:spacing w:line="360" w:lineRule="auto"/>
              <w:rPr>
                <w:rFonts w:asciiTheme="minorEastAsia" w:hAnsiTheme="minorEastAsia" w:eastAsiaTheme="minorEastAsia"/>
                <w:color w:val="auto"/>
                <w:szCs w:val="21"/>
                <w:highlight w:val="none"/>
              </w:rPr>
            </w:pPr>
          </w:p>
        </w:tc>
        <w:tc>
          <w:tcPr>
            <w:tcW w:w="708" w:type="dxa"/>
          </w:tcPr>
          <w:p w14:paraId="0B8034E1">
            <w:pPr>
              <w:spacing w:line="360" w:lineRule="auto"/>
              <w:rPr>
                <w:rFonts w:asciiTheme="minorEastAsia" w:hAnsiTheme="minorEastAsia" w:eastAsiaTheme="minorEastAsia"/>
                <w:color w:val="auto"/>
                <w:szCs w:val="21"/>
                <w:highlight w:val="none"/>
              </w:rPr>
            </w:pPr>
          </w:p>
        </w:tc>
        <w:tc>
          <w:tcPr>
            <w:tcW w:w="709" w:type="dxa"/>
          </w:tcPr>
          <w:p w14:paraId="1495C7D8">
            <w:pPr>
              <w:spacing w:line="360" w:lineRule="auto"/>
              <w:rPr>
                <w:rFonts w:asciiTheme="minorEastAsia" w:hAnsiTheme="minorEastAsia" w:eastAsiaTheme="minorEastAsia"/>
                <w:color w:val="auto"/>
                <w:szCs w:val="21"/>
                <w:highlight w:val="none"/>
              </w:rPr>
            </w:pPr>
          </w:p>
        </w:tc>
        <w:tc>
          <w:tcPr>
            <w:tcW w:w="851" w:type="dxa"/>
          </w:tcPr>
          <w:p w14:paraId="62B6404B">
            <w:pPr>
              <w:spacing w:line="360" w:lineRule="auto"/>
              <w:rPr>
                <w:rFonts w:asciiTheme="minorEastAsia" w:hAnsiTheme="minorEastAsia" w:eastAsiaTheme="minorEastAsia"/>
                <w:color w:val="auto"/>
                <w:szCs w:val="21"/>
                <w:highlight w:val="none"/>
              </w:rPr>
            </w:pPr>
          </w:p>
        </w:tc>
        <w:tc>
          <w:tcPr>
            <w:tcW w:w="1134" w:type="dxa"/>
          </w:tcPr>
          <w:p w14:paraId="7987E30E">
            <w:pPr>
              <w:spacing w:line="360" w:lineRule="auto"/>
              <w:rPr>
                <w:rFonts w:asciiTheme="minorEastAsia" w:hAnsiTheme="minorEastAsia" w:eastAsiaTheme="minorEastAsia"/>
                <w:color w:val="auto"/>
                <w:szCs w:val="21"/>
                <w:highlight w:val="none"/>
              </w:rPr>
            </w:pPr>
          </w:p>
        </w:tc>
        <w:tc>
          <w:tcPr>
            <w:tcW w:w="992" w:type="dxa"/>
          </w:tcPr>
          <w:p w14:paraId="2B13ECAD">
            <w:pPr>
              <w:spacing w:line="360" w:lineRule="auto"/>
              <w:rPr>
                <w:rFonts w:asciiTheme="minorEastAsia" w:hAnsiTheme="minorEastAsia" w:eastAsiaTheme="minorEastAsia"/>
                <w:color w:val="auto"/>
                <w:szCs w:val="21"/>
                <w:highlight w:val="none"/>
              </w:rPr>
            </w:pPr>
          </w:p>
        </w:tc>
        <w:tc>
          <w:tcPr>
            <w:tcW w:w="1134" w:type="dxa"/>
          </w:tcPr>
          <w:p w14:paraId="2F2B5EF9">
            <w:pPr>
              <w:spacing w:line="360" w:lineRule="auto"/>
              <w:rPr>
                <w:rFonts w:asciiTheme="minorEastAsia" w:hAnsiTheme="minorEastAsia" w:eastAsiaTheme="minorEastAsia"/>
                <w:color w:val="auto"/>
                <w:szCs w:val="21"/>
                <w:highlight w:val="none"/>
              </w:rPr>
            </w:pPr>
          </w:p>
        </w:tc>
        <w:tc>
          <w:tcPr>
            <w:tcW w:w="992" w:type="dxa"/>
          </w:tcPr>
          <w:p w14:paraId="32BB1362">
            <w:pPr>
              <w:spacing w:line="360" w:lineRule="auto"/>
              <w:rPr>
                <w:rFonts w:asciiTheme="minorEastAsia" w:hAnsiTheme="minorEastAsia" w:eastAsiaTheme="minorEastAsia"/>
                <w:color w:val="auto"/>
                <w:szCs w:val="21"/>
                <w:highlight w:val="none"/>
              </w:rPr>
            </w:pPr>
          </w:p>
        </w:tc>
      </w:tr>
      <w:tr w14:paraId="40213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tcPr>
          <w:p w14:paraId="548F1213">
            <w:pPr>
              <w:spacing w:line="360" w:lineRule="auto"/>
              <w:rPr>
                <w:rFonts w:asciiTheme="minorEastAsia" w:hAnsiTheme="minorEastAsia" w:eastAsiaTheme="minorEastAsia"/>
                <w:color w:val="auto"/>
                <w:szCs w:val="21"/>
                <w:highlight w:val="none"/>
              </w:rPr>
            </w:pPr>
          </w:p>
        </w:tc>
        <w:tc>
          <w:tcPr>
            <w:tcW w:w="1226" w:type="dxa"/>
          </w:tcPr>
          <w:p w14:paraId="08C0D7A6">
            <w:pPr>
              <w:spacing w:line="360" w:lineRule="auto"/>
              <w:rPr>
                <w:rFonts w:asciiTheme="minorEastAsia" w:hAnsiTheme="minorEastAsia" w:eastAsiaTheme="minorEastAsia"/>
                <w:color w:val="auto"/>
                <w:szCs w:val="21"/>
                <w:highlight w:val="none"/>
              </w:rPr>
            </w:pPr>
          </w:p>
        </w:tc>
        <w:tc>
          <w:tcPr>
            <w:tcW w:w="851" w:type="dxa"/>
          </w:tcPr>
          <w:p w14:paraId="0A9CEC4B">
            <w:pPr>
              <w:spacing w:line="360" w:lineRule="auto"/>
              <w:rPr>
                <w:rFonts w:asciiTheme="minorEastAsia" w:hAnsiTheme="minorEastAsia" w:eastAsiaTheme="minorEastAsia"/>
                <w:color w:val="auto"/>
                <w:szCs w:val="21"/>
                <w:highlight w:val="none"/>
              </w:rPr>
            </w:pPr>
          </w:p>
        </w:tc>
        <w:tc>
          <w:tcPr>
            <w:tcW w:w="708" w:type="dxa"/>
          </w:tcPr>
          <w:p w14:paraId="3C21777B">
            <w:pPr>
              <w:spacing w:line="360" w:lineRule="auto"/>
              <w:rPr>
                <w:rFonts w:asciiTheme="minorEastAsia" w:hAnsiTheme="minorEastAsia" w:eastAsiaTheme="minorEastAsia"/>
                <w:color w:val="auto"/>
                <w:szCs w:val="21"/>
                <w:highlight w:val="none"/>
              </w:rPr>
            </w:pPr>
          </w:p>
        </w:tc>
        <w:tc>
          <w:tcPr>
            <w:tcW w:w="709" w:type="dxa"/>
          </w:tcPr>
          <w:p w14:paraId="7F95DB7C">
            <w:pPr>
              <w:spacing w:line="360" w:lineRule="auto"/>
              <w:rPr>
                <w:rFonts w:asciiTheme="minorEastAsia" w:hAnsiTheme="minorEastAsia" w:eastAsiaTheme="minorEastAsia"/>
                <w:color w:val="auto"/>
                <w:szCs w:val="21"/>
                <w:highlight w:val="none"/>
              </w:rPr>
            </w:pPr>
          </w:p>
        </w:tc>
        <w:tc>
          <w:tcPr>
            <w:tcW w:w="851" w:type="dxa"/>
          </w:tcPr>
          <w:p w14:paraId="34460578">
            <w:pPr>
              <w:spacing w:line="360" w:lineRule="auto"/>
              <w:rPr>
                <w:rFonts w:asciiTheme="minorEastAsia" w:hAnsiTheme="minorEastAsia" w:eastAsiaTheme="minorEastAsia"/>
                <w:color w:val="auto"/>
                <w:szCs w:val="21"/>
                <w:highlight w:val="none"/>
              </w:rPr>
            </w:pPr>
          </w:p>
        </w:tc>
        <w:tc>
          <w:tcPr>
            <w:tcW w:w="1134" w:type="dxa"/>
          </w:tcPr>
          <w:p w14:paraId="18C1102C">
            <w:pPr>
              <w:spacing w:line="360" w:lineRule="auto"/>
              <w:rPr>
                <w:rFonts w:asciiTheme="minorEastAsia" w:hAnsiTheme="minorEastAsia" w:eastAsiaTheme="minorEastAsia"/>
                <w:color w:val="auto"/>
                <w:szCs w:val="21"/>
                <w:highlight w:val="none"/>
              </w:rPr>
            </w:pPr>
          </w:p>
        </w:tc>
        <w:tc>
          <w:tcPr>
            <w:tcW w:w="992" w:type="dxa"/>
          </w:tcPr>
          <w:p w14:paraId="5EA80599">
            <w:pPr>
              <w:spacing w:line="360" w:lineRule="auto"/>
              <w:rPr>
                <w:rFonts w:asciiTheme="minorEastAsia" w:hAnsiTheme="minorEastAsia" w:eastAsiaTheme="minorEastAsia"/>
                <w:color w:val="auto"/>
                <w:szCs w:val="21"/>
                <w:highlight w:val="none"/>
              </w:rPr>
            </w:pPr>
          </w:p>
        </w:tc>
        <w:tc>
          <w:tcPr>
            <w:tcW w:w="1134" w:type="dxa"/>
          </w:tcPr>
          <w:p w14:paraId="30290C49">
            <w:pPr>
              <w:spacing w:line="360" w:lineRule="auto"/>
              <w:rPr>
                <w:rFonts w:asciiTheme="minorEastAsia" w:hAnsiTheme="minorEastAsia" w:eastAsiaTheme="minorEastAsia"/>
                <w:color w:val="auto"/>
                <w:szCs w:val="21"/>
                <w:highlight w:val="none"/>
              </w:rPr>
            </w:pPr>
          </w:p>
        </w:tc>
        <w:tc>
          <w:tcPr>
            <w:tcW w:w="992" w:type="dxa"/>
          </w:tcPr>
          <w:p w14:paraId="5FADC5E5">
            <w:pPr>
              <w:spacing w:line="360" w:lineRule="auto"/>
              <w:rPr>
                <w:rFonts w:asciiTheme="minorEastAsia" w:hAnsiTheme="minorEastAsia" w:eastAsiaTheme="minorEastAsia"/>
                <w:color w:val="auto"/>
                <w:szCs w:val="21"/>
                <w:highlight w:val="none"/>
              </w:rPr>
            </w:pPr>
          </w:p>
        </w:tc>
      </w:tr>
    </w:tbl>
    <w:p w14:paraId="03B070FB">
      <w:pPr>
        <w:rPr>
          <w:rFonts w:asciiTheme="minorEastAsia" w:hAnsiTheme="minorEastAsia" w:eastAsiaTheme="minorEastAsia"/>
          <w:color w:val="auto"/>
          <w:highlight w:val="none"/>
        </w:rPr>
      </w:pPr>
    </w:p>
    <w:p w14:paraId="16057C88">
      <w:pPr>
        <w:rPr>
          <w:rFonts w:asciiTheme="minorEastAsia" w:hAnsiTheme="minorEastAsia" w:eastAsiaTheme="minorEastAsia"/>
          <w:color w:val="auto"/>
          <w:highlight w:val="none"/>
        </w:rPr>
      </w:pPr>
    </w:p>
    <w:p w14:paraId="3555AC55">
      <w:pPr>
        <w:jc w:val="center"/>
        <w:rPr>
          <w:rFonts w:asciiTheme="minorEastAsia" w:hAnsiTheme="minorEastAsia" w:eastAsiaTheme="minorEastAsia"/>
          <w:color w:val="auto"/>
          <w:highlight w:val="none"/>
        </w:rPr>
      </w:pPr>
      <w:r>
        <w:rPr>
          <w:rFonts w:asciiTheme="minorEastAsia" w:hAnsiTheme="minorEastAsia" w:eastAsiaTheme="minorEastAsia"/>
          <w:color w:val="auto"/>
          <w:highlight w:val="none"/>
        </w:rPr>
        <w:t>附表</w:t>
      </w:r>
      <w:r>
        <w:rPr>
          <w:rFonts w:hint="eastAsia" w:asciiTheme="minorEastAsia" w:hAnsiTheme="minorEastAsia" w:eastAsiaTheme="minorEastAsia"/>
          <w:color w:val="auto"/>
          <w:highlight w:val="none"/>
        </w:rPr>
        <w:t>三</w:t>
      </w:r>
      <w:r>
        <w:rPr>
          <w:rFonts w:asciiTheme="minorEastAsia" w:hAnsiTheme="minorEastAsia" w:eastAsiaTheme="minorEastAsia"/>
          <w:color w:val="auto"/>
          <w:highlight w:val="none"/>
        </w:rPr>
        <w:t>：拟配备本工程的试验和检测仪器设备表</w:t>
      </w:r>
    </w:p>
    <w:tbl>
      <w:tblPr>
        <w:tblStyle w:val="5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1226"/>
        <w:gridCol w:w="851"/>
        <w:gridCol w:w="708"/>
        <w:gridCol w:w="709"/>
        <w:gridCol w:w="1134"/>
        <w:gridCol w:w="1276"/>
        <w:gridCol w:w="1134"/>
        <w:gridCol w:w="1559"/>
      </w:tblGrid>
      <w:tr w14:paraId="331F2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vAlign w:val="center"/>
          </w:tcPr>
          <w:p w14:paraId="6F539AEF">
            <w:pPr>
              <w:jc w:val="center"/>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序号</w:t>
            </w:r>
          </w:p>
        </w:tc>
        <w:tc>
          <w:tcPr>
            <w:tcW w:w="1226" w:type="dxa"/>
            <w:vAlign w:val="center"/>
          </w:tcPr>
          <w:p w14:paraId="3E34198A">
            <w:pPr>
              <w:jc w:val="center"/>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仪器设备名称</w:t>
            </w:r>
          </w:p>
        </w:tc>
        <w:tc>
          <w:tcPr>
            <w:tcW w:w="851" w:type="dxa"/>
            <w:vAlign w:val="center"/>
          </w:tcPr>
          <w:p w14:paraId="0B36DF6C">
            <w:pPr>
              <w:jc w:val="center"/>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型号</w:t>
            </w:r>
          </w:p>
          <w:p w14:paraId="418FD55A">
            <w:pPr>
              <w:jc w:val="center"/>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规格</w:t>
            </w:r>
          </w:p>
        </w:tc>
        <w:tc>
          <w:tcPr>
            <w:tcW w:w="708" w:type="dxa"/>
            <w:vAlign w:val="center"/>
          </w:tcPr>
          <w:p w14:paraId="6A7D1C50">
            <w:pPr>
              <w:jc w:val="center"/>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数量</w:t>
            </w:r>
          </w:p>
        </w:tc>
        <w:tc>
          <w:tcPr>
            <w:tcW w:w="709" w:type="dxa"/>
            <w:vAlign w:val="center"/>
          </w:tcPr>
          <w:p w14:paraId="23FFBE0A">
            <w:pPr>
              <w:jc w:val="center"/>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国别</w:t>
            </w:r>
          </w:p>
          <w:p w14:paraId="2FD062D2">
            <w:pPr>
              <w:jc w:val="center"/>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产地</w:t>
            </w:r>
          </w:p>
        </w:tc>
        <w:tc>
          <w:tcPr>
            <w:tcW w:w="1134" w:type="dxa"/>
            <w:vAlign w:val="center"/>
          </w:tcPr>
          <w:p w14:paraId="2543E2A7">
            <w:pPr>
              <w:jc w:val="center"/>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制造年份</w:t>
            </w:r>
          </w:p>
        </w:tc>
        <w:tc>
          <w:tcPr>
            <w:tcW w:w="1276" w:type="dxa"/>
            <w:vAlign w:val="center"/>
          </w:tcPr>
          <w:p w14:paraId="4ED60F9D">
            <w:pPr>
              <w:jc w:val="center"/>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已使用</w:t>
            </w:r>
          </w:p>
          <w:p w14:paraId="46D1563A">
            <w:pPr>
              <w:jc w:val="center"/>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台时数</w:t>
            </w:r>
          </w:p>
        </w:tc>
        <w:tc>
          <w:tcPr>
            <w:tcW w:w="1134" w:type="dxa"/>
            <w:vAlign w:val="center"/>
          </w:tcPr>
          <w:p w14:paraId="7D15C53C">
            <w:pPr>
              <w:jc w:val="center"/>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用途</w:t>
            </w:r>
          </w:p>
        </w:tc>
        <w:tc>
          <w:tcPr>
            <w:tcW w:w="1559" w:type="dxa"/>
            <w:vAlign w:val="center"/>
          </w:tcPr>
          <w:p w14:paraId="62E6866F">
            <w:pPr>
              <w:jc w:val="center"/>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备注</w:t>
            </w:r>
          </w:p>
        </w:tc>
      </w:tr>
      <w:tr w14:paraId="20BB7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vAlign w:val="center"/>
          </w:tcPr>
          <w:p w14:paraId="450276AC">
            <w:pPr>
              <w:spacing w:line="360" w:lineRule="auto"/>
              <w:ind w:firstLine="420" w:firstLineChars="200"/>
              <w:rPr>
                <w:rFonts w:asciiTheme="minorEastAsia" w:hAnsiTheme="minorEastAsia" w:eastAsiaTheme="minorEastAsia"/>
                <w:color w:val="auto"/>
                <w:szCs w:val="21"/>
                <w:highlight w:val="none"/>
              </w:rPr>
            </w:pPr>
          </w:p>
        </w:tc>
        <w:tc>
          <w:tcPr>
            <w:tcW w:w="1226" w:type="dxa"/>
            <w:vAlign w:val="center"/>
          </w:tcPr>
          <w:p w14:paraId="6BB7D37B">
            <w:pPr>
              <w:spacing w:line="360" w:lineRule="auto"/>
              <w:ind w:firstLine="420" w:firstLineChars="200"/>
              <w:rPr>
                <w:rFonts w:asciiTheme="minorEastAsia" w:hAnsiTheme="minorEastAsia" w:eastAsiaTheme="minorEastAsia"/>
                <w:color w:val="auto"/>
                <w:szCs w:val="21"/>
                <w:highlight w:val="none"/>
              </w:rPr>
            </w:pPr>
          </w:p>
        </w:tc>
        <w:tc>
          <w:tcPr>
            <w:tcW w:w="851" w:type="dxa"/>
            <w:vAlign w:val="center"/>
          </w:tcPr>
          <w:p w14:paraId="44C2CD01">
            <w:pPr>
              <w:spacing w:line="360" w:lineRule="auto"/>
              <w:ind w:firstLine="420" w:firstLineChars="200"/>
              <w:rPr>
                <w:rFonts w:asciiTheme="minorEastAsia" w:hAnsiTheme="minorEastAsia" w:eastAsiaTheme="minorEastAsia"/>
                <w:color w:val="auto"/>
                <w:szCs w:val="21"/>
                <w:highlight w:val="none"/>
              </w:rPr>
            </w:pPr>
          </w:p>
        </w:tc>
        <w:tc>
          <w:tcPr>
            <w:tcW w:w="708" w:type="dxa"/>
            <w:vAlign w:val="center"/>
          </w:tcPr>
          <w:p w14:paraId="137CB4B5">
            <w:pPr>
              <w:spacing w:line="360" w:lineRule="auto"/>
              <w:ind w:firstLine="420" w:firstLineChars="200"/>
              <w:rPr>
                <w:rFonts w:asciiTheme="minorEastAsia" w:hAnsiTheme="minorEastAsia" w:eastAsiaTheme="minorEastAsia"/>
                <w:color w:val="auto"/>
                <w:szCs w:val="21"/>
                <w:highlight w:val="none"/>
              </w:rPr>
            </w:pPr>
          </w:p>
        </w:tc>
        <w:tc>
          <w:tcPr>
            <w:tcW w:w="709" w:type="dxa"/>
            <w:vAlign w:val="center"/>
          </w:tcPr>
          <w:p w14:paraId="2B16D057">
            <w:pPr>
              <w:spacing w:line="360" w:lineRule="auto"/>
              <w:ind w:firstLine="420" w:firstLineChars="200"/>
              <w:rPr>
                <w:rFonts w:asciiTheme="minorEastAsia" w:hAnsiTheme="minorEastAsia" w:eastAsiaTheme="minorEastAsia"/>
                <w:color w:val="auto"/>
                <w:szCs w:val="21"/>
                <w:highlight w:val="none"/>
              </w:rPr>
            </w:pPr>
          </w:p>
        </w:tc>
        <w:tc>
          <w:tcPr>
            <w:tcW w:w="1134" w:type="dxa"/>
            <w:vAlign w:val="center"/>
          </w:tcPr>
          <w:p w14:paraId="10630170">
            <w:pPr>
              <w:spacing w:line="360" w:lineRule="auto"/>
              <w:ind w:firstLine="420" w:firstLineChars="200"/>
              <w:rPr>
                <w:rFonts w:asciiTheme="minorEastAsia" w:hAnsiTheme="minorEastAsia" w:eastAsiaTheme="minorEastAsia"/>
                <w:color w:val="auto"/>
                <w:szCs w:val="21"/>
                <w:highlight w:val="none"/>
              </w:rPr>
            </w:pPr>
          </w:p>
        </w:tc>
        <w:tc>
          <w:tcPr>
            <w:tcW w:w="1276" w:type="dxa"/>
            <w:vAlign w:val="center"/>
          </w:tcPr>
          <w:p w14:paraId="65446DB2">
            <w:pPr>
              <w:spacing w:line="360" w:lineRule="auto"/>
              <w:ind w:firstLine="420" w:firstLineChars="200"/>
              <w:rPr>
                <w:rFonts w:asciiTheme="minorEastAsia" w:hAnsiTheme="minorEastAsia" w:eastAsiaTheme="minorEastAsia"/>
                <w:color w:val="auto"/>
                <w:szCs w:val="21"/>
                <w:highlight w:val="none"/>
              </w:rPr>
            </w:pPr>
          </w:p>
        </w:tc>
        <w:tc>
          <w:tcPr>
            <w:tcW w:w="1134" w:type="dxa"/>
            <w:vAlign w:val="center"/>
          </w:tcPr>
          <w:p w14:paraId="4C3F205E">
            <w:pPr>
              <w:spacing w:line="360" w:lineRule="auto"/>
              <w:ind w:firstLine="420" w:firstLineChars="200"/>
              <w:rPr>
                <w:rFonts w:asciiTheme="minorEastAsia" w:hAnsiTheme="minorEastAsia" w:eastAsiaTheme="minorEastAsia"/>
                <w:color w:val="auto"/>
                <w:szCs w:val="21"/>
                <w:highlight w:val="none"/>
              </w:rPr>
            </w:pPr>
          </w:p>
        </w:tc>
        <w:tc>
          <w:tcPr>
            <w:tcW w:w="1559" w:type="dxa"/>
            <w:vAlign w:val="center"/>
          </w:tcPr>
          <w:p w14:paraId="77B80D68">
            <w:pPr>
              <w:spacing w:line="360" w:lineRule="auto"/>
              <w:ind w:firstLine="420" w:firstLineChars="200"/>
              <w:rPr>
                <w:rFonts w:asciiTheme="minorEastAsia" w:hAnsiTheme="minorEastAsia" w:eastAsiaTheme="minorEastAsia"/>
                <w:color w:val="auto"/>
                <w:szCs w:val="21"/>
                <w:highlight w:val="none"/>
              </w:rPr>
            </w:pPr>
          </w:p>
        </w:tc>
      </w:tr>
      <w:tr w14:paraId="303E3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vAlign w:val="center"/>
          </w:tcPr>
          <w:p w14:paraId="3A0B3E77">
            <w:pPr>
              <w:spacing w:line="360" w:lineRule="auto"/>
              <w:ind w:firstLine="420" w:firstLineChars="200"/>
              <w:rPr>
                <w:rFonts w:asciiTheme="minorEastAsia" w:hAnsiTheme="minorEastAsia" w:eastAsiaTheme="minorEastAsia"/>
                <w:color w:val="auto"/>
                <w:szCs w:val="21"/>
                <w:highlight w:val="none"/>
              </w:rPr>
            </w:pPr>
          </w:p>
        </w:tc>
        <w:tc>
          <w:tcPr>
            <w:tcW w:w="1226" w:type="dxa"/>
            <w:vAlign w:val="center"/>
          </w:tcPr>
          <w:p w14:paraId="732EED32">
            <w:pPr>
              <w:spacing w:line="360" w:lineRule="auto"/>
              <w:ind w:firstLine="420" w:firstLineChars="200"/>
              <w:rPr>
                <w:rFonts w:asciiTheme="minorEastAsia" w:hAnsiTheme="minorEastAsia" w:eastAsiaTheme="minorEastAsia"/>
                <w:color w:val="auto"/>
                <w:szCs w:val="21"/>
                <w:highlight w:val="none"/>
              </w:rPr>
            </w:pPr>
          </w:p>
        </w:tc>
        <w:tc>
          <w:tcPr>
            <w:tcW w:w="851" w:type="dxa"/>
            <w:vAlign w:val="center"/>
          </w:tcPr>
          <w:p w14:paraId="6454573E">
            <w:pPr>
              <w:spacing w:line="360" w:lineRule="auto"/>
              <w:ind w:firstLine="420" w:firstLineChars="200"/>
              <w:rPr>
                <w:rFonts w:asciiTheme="minorEastAsia" w:hAnsiTheme="minorEastAsia" w:eastAsiaTheme="minorEastAsia"/>
                <w:color w:val="auto"/>
                <w:szCs w:val="21"/>
                <w:highlight w:val="none"/>
              </w:rPr>
            </w:pPr>
          </w:p>
        </w:tc>
        <w:tc>
          <w:tcPr>
            <w:tcW w:w="708" w:type="dxa"/>
            <w:vAlign w:val="center"/>
          </w:tcPr>
          <w:p w14:paraId="5663D970">
            <w:pPr>
              <w:spacing w:line="360" w:lineRule="auto"/>
              <w:ind w:firstLine="420" w:firstLineChars="200"/>
              <w:rPr>
                <w:rFonts w:asciiTheme="minorEastAsia" w:hAnsiTheme="minorEastAsia" w:eastAsiaTheme="minorEastAsia"/>
                <w:color w:val="auto"/>
                <w:szCs w:val="21"/>
                <w:highlight w:val="none"/>
              </w:rPr>
            </w:pPr>
          </w:p>
        </w:tc>
        <w:tc>
          <w:tcPr>
            <w:tcW w:w="709" w:type="dxa"/>
            <w:vAlign w:val="center"/>
          </w:tcPr>
          <w:p w14:paraId="509BAF1D">
            <w:pPr>
              <w:spacing w:line="360" w:lineRule="auto"/>
              <w:ind w:firstLine="420" w:firstLineChars="200"/>
              <w:rPr>
                <w:rFonts w:asciiTheme="minorEastAsia" w:hAnsiTheme="minorEastAsia" w:eastAsiaTheme="minorEastAsia"/>
                <w:color w:val="auto"/>
                <w:szCs w:val="21"/>
                <w:highlight w:val="none"/>
              </w:rPr>
            </w:pPr>
          </w:p>
        </w:tc>
        <w:tc>
          <w:tcPr>
            <w:tcW w:w="1134" w:type="dxa"/>
            <w:vAlign w:val="center"/>
          </w:tcPr>
          <w:p w14:paraId="0B747658">
            <w:pPr>
              <w:spacing w:line="360" w:lineRule="auto"/>
              <w:ind w:firstLine="420" w:firstLineChars="200"/>
              <w:rPr>
                <w:rFonts w:asciiTheme="minorEastAsia" w:hAnsiTheme="minorEastAsia" w:eastAsiaTheme="minorEastAsia"/>
                <w:color w:val="auto"/>
                <w:szCs w:val="21"/>
                <w:highlight w:val="none"/>
              </w:rPr>
            </w:pPr>
          </w:p>
        </w:tc>
        <w:tc>
          <w:tcPr>
            <w:tcW w:w="1276" w:type="dxa"/>
            <w:vAlign w:val="center"/>
          </w:tcPr>
          <w:p w14:paraId="0640CD34">
            <w:pPr>
              <w:spacing w:line="360" w:lineRule="auto"/>
              <w:ind w:firstLine="420" w:firstLineChars="200"/>
              <w:rPr>
                <w:rFonts w:asciiTheme="minorEastAsia" w:hAnsiTheme="minorEastAsia" w:eastAsiaTheme="minorEastAsia"/>
                <w:color w:val="auto"/>
                <w:szCs w:val="21"/>
                <w:highlight w:val="none"/>
              </w:rPr>
            </w:pPr>
          </w:p>
        </w:tc>
        <w:tc>
          <w:tcPr>
            <w:tcW w:w="1134" w:type="dxa"/>
            <w:vAlign w:val="center"/>
          </w:tcPr>
          <w:p w14:paraId="3B5D0F3C">
            <w:pPr>
              <w:spacing w:line="360" w:lineRule="auto"/>
              <w:ind w:firstLine="420" w:firstLineChars="200"/>
              <w:rPr>
                <w:rFonts w:asciiTheme="minorEastAsia" w:hAnsiTheme="minorEastAsia" w:eastAsiaTheme="minorEastAsia"/>
                <w:color w:val="auto"/>
                <w:szCs w:val="21"/>
                <w:highlight w:val="none"/>
              </w:rPr>
            </w:pPr>
          </w:p>
        </w:tc>
        <w:tc>
          <w:tcPr>
            <w:tcW w:w="1559" w:type="dxa"/>
            <w:vAlign w:val="center"/>
          </w:tcPr>
          <w:p w14:paraId="6CED8842">
            <w:pPr>
              <w:spacing w:line="360" w:lineRule="auto"/>
              <w:ind w:firstLine="420" w:firstLineChars="200"/>
              <w:rPr>
                <w:rFonts w:asciiTheme="minorEastAsia" w:hAnsiTheme="minorEastAsia" w:eastAsiaTheme="minorEastAsia"/>
                <w:color w:val="auto"/>
                <w:szCs w:val="21"/>
                <w:highlight w:val="none"/>
              </w:rPr>
            </w:pPr>
          </w:p>
        </w:tc>
      </w:tr>
      <w:tr w14:paraId="1A2A9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vAlign w:val="center"/>
          </w:tcPr>
          <w:p w14:paraId="0A557E7B">
            <w:pPr>
              <w:spacing w:line="360" w:lineRule="auto"/>
              <w:ind w:firstLine="420" w:firstLineChars="200"/>
              <w:rPr>
                <w:rFonts w:asciiTheme="minorEastAsia" w:hAnsiTheme="minorEastAsia" w:eastAsiaTheme="minorEastAsia"/>
                <w:color w:val="auto"/>
                <w:szCs w:val="21"/>
                <w:highlight w:val="none"/>
              </w:rPr>
            </w:pPr>
          </w:p>
        </w:tc>
        <w:tc>
          <w:tcPr>
            <w:tcW w:w="1226" w:type="dxa"/>
            <w:vAlign w:val="center"/>
          </w:tcPr>
          <w:p w14:paraId="375A6DA8">
            <w:pPr>
              <w:spacing w:line="360" w:lineRule="auto"/>
              <w:ind w:firstLine="420" w:firstLineChars="200"/>
              <w:rPr>
                <w:rFonts w:asciiTheme="minorEastAsia" w:hAnsiTheme="minorEastAsia" w:eastAsiaTheme="minorEastAsia"/>
                <w:color w:val="auto"/>
                <w:szCs w:val="21"/>
                <w:highlight w:val="none"/>
              </w:rPr>
            </w:pPr>
          </w:p>
        </w:tc>
        <w:tc>
          <w:tcPr>
            <w:tcW w:w="851" w:type="dxa"/>
            <w:vAlign w:val="center"/>
          </w:tcPr>
          <w:p w14:paraId="666D9270">
            <w:pPr>
              <w:spacing w:line="360" w:lineRule="auto"/>
              <w:ind w:firstLine="420" w:firstLineChars="200"/>
              <w:rPr>
                <w:rFonts w:asciiTheme="minorEastAsia" w:hAnsiTheme="minorEastAsia" w:eastAsiaTheme="minorEastAsia"/>
                <w:color w:val="auto"/>
                <w:szCs w:val="21"/>
                <w:highlight w:val="none"/>
              </w:rPr>
            </w:pPr>
          </w:p>
        </w:tc>
        <w:tc>
          <w:tcPr>
            <w:tcW w:w="708" w:type="dxa"/>
            <w:vAlign w:val="center"/>
          </w:tcPr>
          <w:p w14:paraId="633AD20D">
            <w:pPr>
              <w:spacing w:line="360" w:lineRule="auto"/>
              <w:ind w:firstLine="420" w:firstLineChars="200"/>
              <w:rPr>
                <w:rFonts w:asciiTheme="minorEastAsia" w:hAnsiTheme="minorEastAsia" w:eastAsiaTheme="minorEastAsia"/>
                <w:color w:val="auto"/>
                <w:szCs w:val="21"/>
                <w:highlight w:val="none"/>
              </w:rPr>
            </w:pPr>
          </w:p>
        </w:tc>
        <w:tc>
          <w:tcPr>
            <w:tcW w:w="709" w:type="dxa"/>
            <w:vAlign w:val="center"/>
          </w:tcPr>
          <w:p w14:paraId="11688ACF">
            <w:pPr>
              <w:spacing w:line="360" w:lineRule="auto"/>
              <w:ind w:firstLine="420" w:firstLineChars="200"/>
              <w:rPr>
                <w:rFonts w:asciiTheme="minorEastAsia" w:hAnsiTheme="minorEastAsia" w:eastAsiaTheme="minorEastAsia"/>
                <w:color w:val="auto"/>
                <w:szCs w:val="21"/>
                <w:highlight w:val="none"/>
              </w:rPr>
            </w:pPr>
          </w:p>
        </w:tc>
        <w:tc>
          <w:tcPr>
            <w:tcW w:w="1134" w:type="dxa"/>
            <w:vAlign w:val="center"/>
          </w:tcPr>
          <w:p w14:paraId="31470FB5">
            <w:pPr>
              <w:spacing w:line="360" w:lineRule="auto"/>
              <w:ind w:firstLine="420" w:firstLineChars="200"/>
              <w:rPr>
                <w:rFonts w:asciiTheme="minorEastAsia" w:hAnsiTheme="minorEastAsia" w:eastAsiaTheme="minorEastAsia"/>
                <w:color w:val="auto"/>
                <w:szCs w:val="21"/>
                <w:highlight w:val="none"/>
              </w:rPr>
            </w:pPr>
          </w:p>
        </w:tc>
        <w:tc>
          <w:tcPr>
            <w:tcW w:w="1276" w:type="dxa"/>
            <w:vAlign w:val="center"/>
          </w:tcPr>
          <w:p w14:paraId="6C1A8D77">
            <w:pPr>
              <w:spacing w:line="360" w:lineRule="auto"/>
              <w:ind w:firstLine="420" w:firstLineChars="200"/>
              <w:rPr>
                <w:rFonts w:asciiTheme="minorEastAsia" w:hAnsiTheme="minorEastAsia" w:eastAsiaTheme="minorEastAsia"/>
                <w:color w:val="auto"/>
                <w:szCs w:val="21"/>
                <w:highlight w:val="none"/>
              </w:rPr>
            </w:pPr>
          </w:p>
        </w:tc>
        <w:tc>
          <w:tcPr>
            <w:tcW w:w="1134" w:type="dxa"/>
            <w:vAlign w:val="center"/>
          </w:tcPr>
          <w:p w14:paraId="19C0DAE9">
            <w:pPr>
              <w:spacing w:line="360" w:lineRule="auto"/>
              <w:ind w:firstLine="420" w:firstLineChars="200"/>
              <w:rPr>
                <w:rFonts w:asciiTheme="minorEastAsia" w:hAnsiTheme="minorEastAsia" w:eastAsiaTheme="minorEastAsia"/>
                <w:color w:val="auto"/>
                <w:szCs w:val="21"/>
                <w:highlight w:val="none"/>
              </w:rPr>
            </w:pPr>
          </w:p>
        </w:tc>
        <w:tc>
          <w:tcPr>
            <w:tcW w:w="1559" w:type="dxa"/>
            <w:vAlign w:val="center"/>
          </w:tcPr>
          <w:p w14:paraId="144FB6F0">
            <w:pPr>
              <w:spacing w:line="360" w:lineRule="auto"/>
              <w:ind w:firstLine="420" w:firstLineChars="200"/>
              <w:rPr>
                <w:rFonts w:asciiTheme="minorEastAsia" w:hAnsiTheme="minorEastAsia" w:eastAsiaTheme="minorEastAsia"/>
                <w:color w:val="auto"/>
                <w:szCs w:val="21"/>
                <w:highlight w:val="none"/>
              </w:rPr>
            </w:pPr>
          </w:p>
        </w:tc>
      </w:tr>
      <w:tr w14:paraId="1774B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vAlign w:val="center"/>
          </w:tcPr>
          <w:p w14:paraId="7075567D">
            <w:pPr>
              <w:spacing w:line="360" w:lineRule="auto"/>
              <w:ind w:firstLine="420" w:firstLineChars="200"/>
              <w:rPr>
                <w:rFonts w:asciiTheme="minorEastAsia" w:hAnsiTheme="minorEastAsia" w:eastAsiaTheme="minorEastAsia"/>
                <w:color w:val="auto"/>
                <w:szCs w:val="21"/>
                <w:highlight w:val="none"/>
              </w:rPr>
            </w:pPr>
          </w:p>
        </w:tc>
        <w:tc>
          <w:tcPr>
            <w:tcW w:w="1226" w:type="dxa"/>
            <w:vAlign w:val="center"/>
          </w:tcPr>
          <w:p w14:paraId="3842E833">
            <w:pPr>
              <w:spacing w:line="360" w:lineRule="auto"/>
              <w:ind w:firstLine="420" w:firstLineChars="200"/>
              <w:rPr>
                <w:rFonts w:asciiTheme="minorEastAsia" w:hAnsiTheme="minorEastAsia" w:eastAsiaTheme="minorEastAsia"/>
                <w:color w:val="auto"/>
                <w:szCs w:val="21"/>
                <w:highlight w:val="none"/>
              </w:rPr>
            </w:pPr>
          </w:p>
        </w:tc>
        <w:tc>
          <w:tcPr>
            <w:tcW w:w="851" w:type="dxa"/>
            <w:vAlign w:val="center"/>
          </w:tcPr>
          <w:p w14:paraId="3A6813B3">
            <w:pPr>
              <w:spacing w:line="360" w:lineRule="auto"/>
              <w:ind w:firstLine="420" w:firstLineChars="200"/>
              <w:rPr>
                <w:rFonts w:asciiTheme="minorEastAsia" w:hAnsiTheme="minorEastAsia" w:eastAsiaTheme="minorEastAsia"/>
                <w:color w:val="auto"/>
                <w:szCs w:val="21"/>
                <w:highlight w:val="none"/>
              </w:rPr>
            </w:pPr>
          </w:p>
        </w:tc>
        <w:tc>
          <w:tcPr>
            <w:tcW w:w="708" w:type="dxa"/>
            <w:vAlign w:val="center"/>
          </w:tcPr>
          <w:p w14:paraId="7CCDE607">
            <w:pPr>
              <w:spacing w:line="360" w:lineRule="auto"/>
              <w:ind w:firstLine="420" w:firstLineChars="200"/>
              <w:rPr>
                <w:rFonts w:asciiTheme="minorEastAsia" w:hAnsiTheme="minorEastAsia" w:eastAsiaTheme="minorEastAsia"/>
                <w:color w:val="auto"/>
                <w:szCs w:val="21"/>
                <w:highlight w:val="none"/>
              </w:rPr>
            </w:pPr>
          </w:p>
        </w:tc>
        <w:tc>
          <w:tcPr>
            <w:tcW w:w="709" w:type="dxa"/>
            <w:vAlign w:val="center"/>
          </w:tcPr>
          <w:p w14:paraId="3D1233A0">
            <w:pPr>
              <w:spacing w:line="360" w:lineRule="auto"/>
              <w:ind w:firstLine="420" w:firstLineChars="200"/>
              <w:rPr>
                <w:rFonts w:asciiTheme="minorEastAsia" w:hAnsiTheme="minorEastAsia" w:eastAsiaTheme="minorEastAsia"/>
                <w:color w:val="auto"/>
                <w:szCs w:val="21"/>
                <w:highlight w:val="none"/>
              </w:rPr>
            </w:pPr>
          </w:p>
        </w:tc>
        <w:tc>
          <w:tcPr>
            <w:tcW w:w="1134" w:type="dxa"/>
            <w:vAlign w:val="center"/>
          </w:tcPr>
          <w:p w14:paraId="0BCDBE16">
            <w:pPr>
              <w:spacing w:line="360" w:lineRule="auto"/>
              <w:ind w:firstLine="420" w:firstLineChars="200"/>
              <w:rPr>
                <w:rFonts w:asciiTheme="minorEastAsia" w:hAnsiTheme="minorEastAsia" w:eastAsiaTheme="minorEastAsia"/>
                <w:color w:val="auto"/>
                <w:szCs w:val="21"/>
                <w:highlight w:val="none"/>
              </w:rPr>
            </w:pPr>
          </w:p>
        </w:tc>
        <w:tc>
          <w:tcPr>
            <w:tcW w:w="1276" w:type="dxa"/>
            <w:vAlign w:val="center"/>
          </w:tcPr>
          <w:p w14:paraId="4D327318">
            <w:pPr>
              <w:spacing w:line="360" w:lineRule="auto"/>
              <w:ind w:firstLine="420" w:firstLineChars="200"/>
              <w:rPr>
                <w:rFonts w:asciiTheme="minorEastAsia" w:hAnsiTheme="minorEastAsia" w:eastAsiaTheme="minorEastAsia"/>
                <w:color w:val="auto"/>
                <w:szCs w:val="21"/>
                <w:highlight w:val="none"/>
              </w:rPr>
            </w:pPr>
          </w:p>
        </w:tc>
        <w:tc>
          <w:tcPr>
            <w:tcW w:w="1134" w:type="dxa"/>
            <w:vAlign w:val="center"/>
          </w:tcPr>
          <w:p w14:paraId="454C2F80">
            <w:pPr>
              <w:spacing w:line="360" w:lineRule="auto"/>
              <w:ind w:firstLine="420" w:firstLineChars="200"/>
              <w:rPr>
                <w:rFonts w:asciiTheme="minorEastAsia" w:hAnsiTheme="minorEastAsia" w:eastAsiaTheme="minorEastAsia"/>
                <w:color w:val="auto"/>
                <w:szCs w:val="21"/>
                <w:highlight w:val="none"/>
              </w:rPr>
            </w:pPr>
          </w:p>
        </w:tc>
        <w:tc>
          <w:tcPr>
            <w:tcW w:w="1559" w:type="dxa"/>
            <w:vAlign w:val="center"/>
          </w:tcPr>
          <w:p w14:paraId="336DB44A">
            <w:pPr>
              <w:spacing w:line="360" w:lineRule="auto"/>
              <w:ind w:firstLine="420" w:firstLineChars="200"/>
              <w:rPr>
                <w:rFonts w:asciiTheme="minorEastAsia" w:hAnsiTheme="minorEastAsia" w:eastAsiaTheme="minorEastAsia"/>
                <w:color w:val="auto"/>
                <w:szCs w:val="21"/>
                <w:highlight w:val="none"/>
              </w:rPr>
            </w:pPr>
          </w:p>
        </w:tc>
      </w:tr>
      <w:tr w14:paraId="79406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vAlign w:val="center"/>
          </w:tcPr>
          <w:p w14:paraId="214B1597">
            <w:pPr>
              <w:spacing w:line="360" w:lineRule="auto"/>
              <w:ind w:firstLine="420" w:firstLineChars="200"/>
              <w:rPr>
                <w:rFonts w:asciiTheme="minorEastAsia" w:hAnsiTheme="minorEastAsia" w:eastAsiaTheme="minorEastAsia"/>
                <w:color w:val="auto"/>
                <w:szCs w:val="21"/>
                <w:highlight w:val="none"/>
              </w:rPr>
            </w:pPr>
          </w:p>
        </w:tc>
        <w:tc>
          <w:tcPr>
            <w:tcW w:w="1226" w:type="dxa"/>
            <w:vAlign w:val="center"/>
          </w:tcPr>
          <w:p w14:paraId="11E692FB">
            <w:pPr>
              <w:spacing w:line="360" w:lineRule="auto"/>
              <w:ind w:firstLine="420" w:firstLineChars="200"/>
              <w:rPr>
                <w:rFonts w:asciiTheme="minorEastAsia" w:hAnsiTheme="minorEastAsia" w:eastAsiaTheme="minorEastAsia"/>
                <w:color w:val="auto"/>
                <w:szCs w:val="21"/>
                <w:highlight w:val="none"/>
              </w:rPr>
            </w:pPr>
          </w:p>
        </w:tc>
        <w:tc>
          <w:tcPr>
            <w:tcW w:w="851" w:type="dxa"/>
            <w:vAlign w:val="center"/>
          </w:tcPr>
          <w:p w14:paraId="1FD594B3">
            <w:pPr>
              <w:spacing w:line="360" w:lineRule="auto"/>
              <w:ind w:firstLine="420" w:firstLineChars="200"/>
              <w:rPr>
                <w:rFonts w:asciiTheme="minorEastAsia" w:hAnsiTheme="minorEastAsia" w:eastAsiaTheme="minorEastAsia"/>
                <w:color w:val="auto"/>
                <w:szCs w:val="21"/>
                <w:highlight w:val="none"/>
              </w:rPr>
            </w:pPr>
          </w:p>
        </w:tc>
        <w:tc>
          <w:tcPr>
            <w:tcW w:w="708" w:type="dxa"/>
            <w:vAlign w:val="center"/>
          </w:tcPr>
          <w:p w14:paraId="2FA0F0F0">
            <w:pPr>
              <w:spacing w:line="360" w:lineRule="auto"/>
              <w:ind w:firstLine="420" w:firstLineChars="200"/>
              <w:rPr>
                <w:rFonts w:asciiTheme="minorEastAsia" w:hAnsiTheme="minorEastAsia" w:eastAsiaTheme="minorEastAsia"/>
                <w:color w:val="auto"/>
                <w:szCs w:val="21"/>
                <w:highlight w:val="none"/>
              </w:rPr>
            </w:pPr>
          </w:p>
        </w:tc>
        <w:tc>
          <w:tcPr>
            <w:tcW w:w="709" w:type="dxa"/>
            <w:vAlign w:val="center"/>
          </w:tcPr>
          <w:p w14:paraId="4DF6953A">
            <w:pPr>
              <w:spacing w:line="360" w:lineRule="auto"/>
              <w:ind w:firstLine="420" w:firstLineChars="200"/>
              <w:rPr>
                <w:rFonts w:asciiTheme="minorEastAsia" w:hAnsiTheme="minorEastAsia" w:eastAsiaTheme="minorEastAsia"/>
                <w:color w:val="auto"/>
                <w:szCs w:val="21"/>
                <w:highlight w:val="none"/>
              </w:rPr>
            </w:pPr>
          </w:p>
        </w:tc>
        <w:tc>
          <w:tcPr>
            <w:tcW w:w="1134" w:type="dxa"/>
            <w:vAlign w:val="center"/>
          </w:tcPr>
          <w:p w14:paraId="3BA62E3D">
            <w:pPr>
              <w:spacing w:line="360" w:lineRule="auto"/>
              <w:ind w:firstLine="420" w:firstLineChars="200"/>
              <w:rPr>
                <w:rFonts w:asciiTheme="minorEastAsia" w:hAnsiTheme="minorEastAsia" w:eastAsiaTheme="minorEastAsia"/>
                <w:color w:val="auto"/>
                <w:szCs w:val="21"/>
                <w:highlight w:val="none"/>
              </w:rPr>
            </w:pPr>
          </w:p>
        </w:tc>
        <w:tc>
          <w:tcPr>
            <w:tcW w:w="1276" w:type="dxa"/>
            <w:vAlign w:val="center"/>
          </w:tcPr>
          <w:p w14:paraId="1149EC29">
            <w:pPr>
              <w:spacing w:line="360" w:lineRule="auto"/>
              <w:ind w:firstLine="420" w:firstLineChars="200"/>
              <w:rPr>
                <w:rFonts w:asciiTheme="minorEastAsia" w:hAnsiTheme="minorEastAsia" w:eastAsiaTheme="minorEastAsia"/>
                <w:color w:val="auto"/>
                <w:szCs w:val="21"/>
                <w:highlight w:val="none"/>
              </w:rPr>
            </w:pPr>
          </w:p>
        </w:tc>
        <w:tc>
          <w:tcPr>
            <w:tcW w:w="1134" w:type="dxa"/>
            <w:vAlign w:val="center"/>
          </w:tcPr>
          <w:p w14:paraId="5975A56C">
            <w:pPr>
              <w:spacing w:line="360" w:lineRule="auto"/>
              <w:ind w:firstLine="420" w:firstLineChars="200"/>
              <w:rPr>
                <w:rFonts w:asciiTheme="minorEastAsia" w:hAnsiTheme="minorEastAsia" w:eastAsiaTheme="minorEastAsia"/>
                <w:color w:val="auto"/>
                <w:szCs w:val="21"/>
                <w:highlight w:val="none"/>
              </w:rPr>
            </w:pPr>
          </w:p>
        </w:tc>
        <w:tc>
          <w:tcPr>
            <w:tcW w:w="1559" w:type="dxa"/>
            <w:vAlign w:val="center"/>
          </w:tcPr>
          <w:p w14:paraId="43FC26B0">
            <w:pPr>
              <w:spacing w:line="360" w:lineRule="auto"/>
              <w:ind w:firstLine="420" w:firstLineChars="200"/>
              <w:rPr>
                <w:rFonts w:asciiTheme="minorEastAsia" w:hAnsiTheme="minorEastAsia" w:eastAsiaTheme="minorEastAsia"/>
                <w:color w:val="auto"/>
                <w:szCs w:val="21"/>
                <w:highlight w:val="none"/>
              </w:rPr>
            </w:pPr>
          </w:p>
        </w:tc>
      </w:tr>
    </w:tbl>
    <w:p w14:paraId="14B14D3D">
      <w:pPr>
        <w:jc w:val="center"/>
        <w:rPr>
          <w:rFonts w:asciiTheme="minorEastAsia" w:hAnsiTheme="minorEastAsia" w:eastAsiaTheme="minorEastAsia"/>
          <w:color w:val="auto"/>
          <w:highlight w:val="none"/>
        </w:rPr>
      </w:pPr>
    </w:p>
    <w:p w14:paraId="3C6F6326">
      <w:pPr>
        <w:jc w:val="center"/>
        <w:rPr>
          <w:rFonts w:asciiTheme="minorEastAsia" w:hAnsiTheme="minorEastAsia" w:eastAsiaTheme="minorEastAsia"/>
          <w:color w:val="auto"/>
          <w:highlight w:val="none"/>
        </w:rPr>
      </w:pPr>
    </w:p>
    <w:p w14:paraId="48A11725">
      <w:pPr>
        <w:jc w:val="center"/>
        <w:rPr>
          <w:rFonts w:asciiTheme="minorEastAsia" w:hAnsiTheme="minorEastAsia" w:eastAsiaTheme="minorEastAsia"/>
          <w:color w:val="auto"/>
          <w:highlight w:val="none"/>
        </w:rPr>
      </w:pPr>
      <w:r>
        <w:rPr>
          <w:rFonts w:asciiTheme="minorEastAsia" w:hAnsiTheme="minorEastAsia" w:eastAsiaTheme="minorEastAsia"/>
          <w:color w:val="auto"/>
          <w:highlight w:val="none"/>
        </w:rPr>
        <w:t>附表</w:t>
      </w:r>
      <w:r>
        <w:rPr>
          <w:rFonts w:hint="eastAsia" w:asciiTheme="minorEastAsia" w:hAnsiTheme="minorEastAsia" w:eastAsiaTheme="minorEastAsia"/>
          <w:color w:val="auto"/>
          <w:highlight w:val="none"/>
        </w:rPr>
        <w:t>四</w:t>
      </w:r>
      <w:r>
        <w:rPr>
          <w:rFonts w:asciiTheme="minorEastAsia" w:hAnsiTheme="minorEastAsia" w:eastAsiaTheme="minorEastAsia"/>
          <w:color w:val="auto"/>
          <w:highlight w:val="none"/>
        </w:rPr>
        <w:t>：劳动力计划表</w:t>
      </w:r>
    </w:p>
    <w:p w14:paraId="632C56F5">
      <w:pPr>
        <w:ind w:firstLine="7245" w:firstLineChars="3450"/>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 xml:space="preserve">    单位：人</w:t>
      </w:r>
    </w:p>
    <w:tbl>
      <w:tblPr>
        <w:tblStyle w:val="5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
        <w:gridCol w:w="961"/>
        <w:gridCol w:w="1257"/>
        <w:gridCol w:w="1258"/>
        <w:gridCol w:w="1257"/>
        <w:gridCol w:w="1258"/>
        <w:gridCol w:w="1257"/>
        <w:gridCol w:w="1258"/>
      </w:tblGrid>
      <w:tr w14:paraId="7321D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vAlign w:val="center"/>
          </w:tcPr>
          <w:p w14:paraId="502301BE">
            <w:pPr>
              <w:spacing w:line="360" w:lineRule="auto"/>
              <w:jc w:val="center"/>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工种</w:t>
            </w:r>
          </w:p>
        </w:tc>
        <w:tc>
          <w:tcPr>
            <w:tcW w:w="8506" w:type="dxa"/>
            <w:gridSpan w:val="7"/>
            <w:vAlign w:val="center"/>
          </w:tcPr>
          <w:p w14:paraId="7417E7F2">
            <w:pPr>
              <w:spacing w:line="360" w:lineRule="auto"/>
              <w:jc w:val="center"/>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按工程施工阶段投入劳动力情况</w:t>
            </w:r>
          </w:p>
        </w:tc>
      </w:tr>
      <w:tr w14:paraId="70DC6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vAlign w:val="center"/>
          </w:tcPr>
          <w:p w14:paraId="3AF17E23">
            <w:pPr>
              <w:spacing w:line="360" w:lineRule="auto"/>
              <w:jc w:val="center"/>
              <w:rPr>
                <w:rFonts w:asciiTheme="minorEastAsia" w:hAnsiTheme="minorEastAsia" w:eastAsiaTheme="minorEastAsia"/>
                <w:color w:val="auto"/>
                <w:szCs w:val="21"/>
                <w:highlight w:val="none"/>
              </w:rPr>
            </w:pPr>
          </w:p>
        </w:tc>
        <w:tc>
          <w:tcPr>
            <w:tcW w:w="961" w:type="dxa"/>
            <w:vAlign w:val="center"/>
          </w:tcPr>
          <w:p w14:paraId="6F54C574">
            <w:pPr>
              <w:spacing w:line="360" w:lineRule="auto"/>
              <w:jc w:val="center"/>
              <w:rPr>
                <w:rFonts w:asciiTheme="minorEastAsia" w:hAnsiTheme="minorEastAsia" w:eastAsiaTheme="minorEastAsia"/>
                <w:color w:val="auto"/>
                <w:szCs w:val="21"/>
                <w:highlight w:val="none"/>
              </w:rPr>
            </w:pPr>
          </w:p>
        </w:tc>
        <w:tc>
          <w:tcPr>
            <w:tcW w:w="1257" w:type="dxa"/>
            <w:vAlign w:val="center"/>
          </w:tcPr>
          <w:p w14:paraId="59B099D7">
            <w:pPr>
              <w:spacing w:line="360" w:lineRule="auto"/>
              <w:jc w:val="center"/>
              <w:rPr>
                <w:rFonts w:asciiTheme="minorEastAsia" w:hAnsiTheme="minorEastAsia" w:eastAsiaTheme="minorEastAsia"/>
                <w:color w:val="auto"/>
                <w:szCs w:val="21"/>
                <w:highlight w:val="none"/>
              </w:rPr>
            </w:pPr>
          </w:p>
        </w:tc>
        <w:tc>
          <w:tcPr>
            <w:tcW w:w="1258" w:type="dxa"/>
            <w:vAlign w:val="center"/>
          </w:tcPr>
          <w:p w14:paraId="1186208A">
            <w:pPr>
              <w:spacing w:line="360" w:lineRule="auto"/>
              <w:jc w:val="center"/>
              <w:rPr>
                <w:rFonts w:asciiTheme="minorEastAsia" w:hAnsiTheme="minorEastAsia" w:eastAsiaTheme="minorEastAsia"/>
                <w:color w:val="auto"/>
                <w:szCs w:val="21"/>
                <w:highlight w:val="none"/>
              </w:rPr>
            </w:pPr>
          </w:p>
        </w:tc>
        <w:tc>
          <w:tcPr>
            <w:tcW w:w="1257" w:type="dxa"/>
            <w:vAlign w:val="center"/>
          </w:tcPr>
          <w:p w14:paraId="2C4DADDF">
            <w:pPr>
              <w:spacing w:line="360" w:lineRule="auto"/>
              <w:jc w:val="center"/>
              <w:rPr>
                <w:rFonts w:asciiTheme="minorEastAsia" w:hAnsiTheme="minorEastAsia" w:eastAsiaTheme="minorEastAsia"/>
                <w:color w:val="auto"/>
                <w:szCs w:val="21"/>
                <w:highlight w:val="none"/>
              </w:rPr>
            </w:pPr>
          </w:p>
        </w:tc>
        <w:tc>
          <w:tcPr>
            <w:tcW w:w="1258" w:type="dxa"/>
            <w:vAlign w:val="center"/>
          </w:tcPr>
          <w:p w14:paraId="6DFD54FF">
            <w:pPr>
              <w:spacing w:line="360" w:lineRule="auto"/>
              <w:jc w:val="center"/>
              <w:rPr>
                <w:rFonts w:asciiTheme="minorEastAsia" w:hAnsiTheme="minorEastAsia" w:eastAsiaTheme="minorEastAsia"/>
                <w:color w:val="auto"/>
                <w:szCs w:val="21"/>
                <w:highlight w:val="none"/>
              </w:rPr>
            </w:pPr>
          </w:p>
        </w:tc>
        <w:tc>
          <w:tcPr>
            <w:tcW w:w="1257" w:type="dxa"/>
            <w:vAlign w:val="center"/>
          </w:tcPr>
          <w:p w14:paraId="31E16493">
            <w:pPr>
              <w:spacing w:line="360" w:lineRule="auto"/>
              <w:jc w:val="center"/>
              <w:rPr>
                <w:rFonts w:asciiTheme="minorEastAsia" w:hAnsiTheme="minorEastAsia" w:eastAsiaTheme="minorEastAsia"/>
                <w:color w:val="auto"/>
                <w:szCs w:val="21"/>
                <w:highlight w:val="none"/>
              </w:rPr>
            </w:pPr>
          </w:p>
        </w:tc>
        <w:tc>
          <w:tcPr>
            <w:tcW w:w="1258" w:type="dxa"/>
            <w:vAlign w:val="center"/>
          </w:tcPr>
          <w:p w14:paraId="1DE31A6D">
            <w:pPr>
              <w:spacing w:line="360" w:lineRule="auto"/>
              <w:jc w:val="center"/>
              <w:rPr>
                <w:rFonts w:asciiTheme="minorEastAsia" w:hAnsiTheme="minorEastAsia" w:eastAsiaTheme="minorEastAsia"/>
                <w:color w:val="auto"/>
                <w:szCs w:val="21"/>
                <w:highlight w:val="none"/>
              </w:rPr>
            </w:pPr>
          </w:p>
        </w:tc>
      </w:tr>
      <w:tr w14:paraId="14518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vAlign w:val="center"/>
          </w:tcPr>
          <w:p w14:paraId="2FE43C2C">
            <w:pPr>
              <w:spacing w:line="360" w:lineRule="auto"/>
              <w:jc w:val="center"/>
              <w:rPr>
                <w:rFonts w:asciiTheme="minorEastAsia" w:hAnsiTheme="minorEastAsia" w:eastAsiaTheme="minorEastAsia"/>
                <w:color w:val="auto"/>
                <w:szCs w:val="21"/>
                <w:highlight w:val="none"/>
              </w:rPr>
            </w:pPr>
          </w:p>
        </w:tc>
        <w:tc>
          <w:tcPr>
            <w:tcW w:w="961" w:type="dxa"/>
            <w:vAlign w:val="center"/>
          </w:tcPr>
          <w:p w14:paraId="63EDF695">
            <w:pPr>
              <w:spacing w:line="360" w:lineRule="auto"/>
              <w:jc w:val="center"/>
              <w:rPr>
                <w:rFonts w:asciiTheme="minorEastAsia" w:hAnsiTheme="minorEastAsia" w:eastAsiaTheme="minorEastAsia"/>
                <w:color w:val="auto"/>
                <w:szCs w:val="21"/>
                <w:highlight w:val="none"/>
              </w:rPr>
            </w:pPr>
          </w:p>
        </w:tc>
        <w:tc>
          <w:tcPr>
            <w:tcW w:w="1257" w:type="dxa"/>
            <w:vAlign w:val="center"/>
          </w:tcPr>
          <w:p w14:paraId="7292CDD1">
            <w:pPr>
              <w:spacing w:line="360" w:lineRule="auto"/>
              <w:jc w:val="center"/>
              <w:rPr>
                <w:rFonts w:asciiTheme="minorEastAsia" w:hAnsiTheme="minorEastAsia" w:eastAsiaTheme="minorEastAsia"/>
                <w:color w:val="auto"/>
                <w:szCs w:val="21"/>
                <w:highlight w:val="none"/>
              </w:rPr>
            </w:pPr>
          </w:p>
        </w:tc>
        <w:tc>
          <w:tcPr>
            <w:tcW w:w="1258" w:type="dxa"/>
            <w:vAlign w:val="center"/>
          </w:tcPr>
          <w:p w14:paraId="0F992F97">
            <w:pPr>
              <w:spacing w:line="360" w:lineRule="auto"/>
              <w:jc w:val="center"/>
              <w:rPr>
                <w:rFonts w:asciiTheme="minorEastAsia" w:hAnsiTheme="minorEastAsia" w:eastAsiaTheme="minorEastAsia"/>
                <w:color w:val="auto"/>
                <w:szCs w:val="21"/>
                <w:highlight w:val="none"/>
              </w:rPr>
            </w:pPr>
          </w:p>
        </w:tc>
        <w:tc>
          <w:tcPr>
            <w:tcW w:w="1257" w:type="dxa"/>
            <w:vAlign w:val="center"/>
          </w:tcPr>
          <w:p w14:paraId="27497D73">
            <w:pPr>
              <w:spacing w:line="360" w:lineRule="auto"/>
              <w:jc w:val="center"/>
              <w:rPr>
                <w:rFonts w:asciiTheme="minorEastAsia" w:hAnsiTheme="minorEastAsia" w:eastAsiaTheme="minorEastAsia"/>
                <w:color w:val="auto"/>
                <w:szCs w:val="21"/>
                <w:highlight w:val="none"/>
              </w:rPr>
            </w:pPr>
          </w:p>
        </w:tc>
        <w:tc>
          <w:tcPr>
            <w:tcW w:w="1258" w:type="dxa"/>
            <w:vAlign w:val="center"/>
          </w:tcPr>
          <w:p w14:paraId="1AEA0AEE">
            <w:pPr>
              <w:spacing w:line="360" w:lineRule="auto"/>
              <w:jc w:val="center"/>
              <w:rPr>
                <w:rFonts w:asciiTheme="minorEastAsia" w:hAnsiTheme="minorEastAsia" w:eastAsiaTheme="minorEastAsia"/>
                <w:color w:val="auto"/>
                <w:szCs w:val="21"/>
                <w:highlight w:val="none"/>
              </w:rPr>
            </w:pPr>
          </w:p>
        </w:tc>
        <w:tc>
          <w:tcPr>
            <w:tcW w:w="1257" w:type="dxa"/>
            <w:vAlign w:val="center"/>
          </w:tcPr>
          <w:p w14:paraId="1D1A980F">
            <w:pPr>
              <w:spacing w:line="360" w:lineRule="auto"/>
              <w:jc w:val="center"/>
              <w:rPr>
                <w:rFonts w:asciiTheme="minorEastAsia" w:hAnsiTheme="minorEastAsia" w:eastAsiaTheme="minorEastAsia"/>
                <w:color w:val="auto"/>
                <w:szCs w:val="21"/>
                <w:highlight w:val="none"/>
              </w:rPr>
            </w:pPr>
          </w:p>
        </w:tc>
        <w:tc>
          <w:tcPr>
            <w:tcW w:w="1258" w:type="dxa"/>
            <w:vAlign w:val="center"/>
          </w:tcPr>
          <w:p w14:paraId="21AD28A1">
            <w:pPr>
              <w:spacing w:line="360" w:lineRule="auto"/>
              <w:jc w:val="center"/>
              <w:rPr>
                <w:rFonts w:asciiTheme="minorEastAsia" w:hAnsiTheme="minorEastAsia" w:eastAsiaTheme="minorEastAsia"/>
                <w:color w:val="auto"/>
                <w:szCs w:val="21"/>
                <w:highlight w:val="none"/>
              </w:rPr>
            </w:pPr>
          </w:p>
        </w:tc>
      </w:tr>
      <w:tr w14:paraId="54E9D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vAlign w:val="center"/>
          </w:tcPr>
          <w:p w14:paraId="086D3F30">
            <w:pPr>
              <w:spacing w:line="360" w:lineRule="auto"/>
              <w:jc w:val="center"/>
              <w:rPr>
                <w:rFonts w:asciiTheme="minorEastAsia" w:hAnsiTheme="minorEastAsia" w:eastAsiaTheme="minorEastAsia"/>
                <w:color w:val="auto"/>
                <w:szCs w:val="21"/>
                <w:highlight w:val="none"/>
              </w:rPr>
            </w:pPr>
          </w:p>
        </w:tc>
        <w:tc>
          <w:tcPr>
            <w:tcW w:w="961" w:type="dxa"/>
            <w:vAlign w:val="center"/>
          </w:tcPr>
          <w:p w14:paraId="78C291E2">
            <w:pPr>
              <w:spacing w:line="360" w:lineRule="auto"/>
              <w:jc w:val="center"/>
              <w:rPr>
                <w:rFonts w:asciiTheme="minorEastAsia" w:hAnsiTheme="minorEastAsia" w:eastAsiaTheme="minorEastAsia"/>
                <w:color w:val="auto"/>
                <w:szCs w:val="21"/>
                <w:highlight w:val="none"/>
              </w:rPr>
            </w:pPr>
          </w:p>
        </w:tc>
        <w:tc>
          <w:tcPr>
            <w:tcW w:w="1257" w:type="dxa"/>
            <w:vAlign w:val="center"/>
          </w:tcPr>
          <w:p w14:paraId="6307A0D2">
            <w:pPr>
              <w:spacing w:line="360" w:lineRule="auto"/>
              <w:jc w:val="center"/>
              <w:rPr>
                <w:rFonts w:asciiTheme="minorEastAsia" w:hAnsiTheme="minorEastAsia" w:eastAsiaTheme="minorEastAsia"/>
                <w:color w:val="auto"/>
                <w:szCs w:val="21"/>
                <w:highlight w:val="none"/>
              </w:rPr>
            </w:pPr>
          </w:p>
        </w:tc>
        <w:tc>
          <w:tcPr>
            <w:tcW w:w="1258" w:type="dxa"/>
            <w:vAlign w:val="center"/>
          </w:tcPr>
          <w:p w14:paraId="54B14740">
            <w:pPr>
              <w:spacing w:line="360" w:lineRule="auto"/>
              <w:jc w:val="center"/>
              <w:rPr>
                <w:rFonts w:asciiTheme="minorEastAsia" w:hAnsiTheme="minorEastAsia" w:eastAsiaTheme="minorEastAsia"/>
                <w:color w:val="auto"/>
                <w:szCs w:val="21"/>
                <w:highlight w:val="none"/>
              </w:rPr>
            </w:pPr>
          </w:p>
        </w:tc>
        <w:tc>
          <w:tcPr>
            <w:tcW w:w="1257" w:type="dxa"/>
            <w:vAlign w:val="center"/>
          </w:tcPr>
          <w:p w14:paraId="29591387">
            <w:pPr>
              <w:spacing w:line="360" w:lineRule="auto"/>
              <w:jc w:val="center"/>
              <w:rPr>
                <w:rFonts w:asciiTheme="minorEastAsia" w:hAnsiTheme="minorEastAsia" w:eastAsiaTheme="minorEastAsia"/>
                <w:color w:val="auto"/>
                <w:szCs w:val="21"/>
                <w:highlight w:val="none"/>
              </w:rPr>
            </w:pPr>
          </w:p>
        </w:tc>
        <w:tc>
          <w:tcPr>
            <w:tcW w:w="1258" w:type="dxa"/>
            <w:vAlign w:val="center"/>
          </w:tcPr>
          <w:p w14:paraId="431052A9">
            <w:pPr>
              <w:spacing w:line="360" w:lineRule="auto"/>
              <w:jc w:val="center"/>
              <w:rPr>
                <w:rFonts w:asciiTheme="minorEastAsia" w:hAnsiTheme="minorEastAsia" w:eastAsiaTheme="minorEastAsia"/>
                <w:color w:val="auto"/>
                <w:szCs w:val="21"/>
                <w:highlight w:val="none"/>
              </w:rPr>
            </w:pPr>
          </w:p>
        </w:tc>
        <w:tc>
          <w:tcPr>
            <w:tcW w:w="1257" w:type="dxa"/>
            <w:vAlign w:val="center"/>
          </w:tcPr>
          <w:p w14:paraId="71445E1B">
            <w:pPr>
              <w:spacing w:line="360" w:lineRule="auto"/>
              <w:jc w:val="center"/>
              <w:rPr>
                <w:rFonts w:asciiTheme="minorEastAsia" w:hAnsiTheme="minorEastAsia" w:eastAsiaTheme="minorEastAsia"/>
                <w:color w:val="auto"/>
                <w:szCs w:val="21"/>
                <w:highlight w:val="none"/>
              </w:rPr>
            </w:pPr>
          </w:p>
        </w:tc>
        <w:tc>
          <w:tcPr>
            <w:tcW w:w="1258" w:type="dxa"/>
            <w:vAlign w:val="center"/>
          </w:tcPr>
          <w:p w14:paraId="49A4E347">
            <w:pPr>
              <w:spacing w:line="360" w:lineRule="auto"/>
              <w:jc w:val="center"/>
              <w:rPr>
                <w:rFonts w:asciiTheme="minorEastAsia" w:hAnsiTheme="minorEastAsia" w:eastAsiaTheme="minorEastAsia"/>
                <w:color w:val="auto"/>
                <w:szCs w:val="21"/>
                <w:highlight w:val="none"/>
              </w:rPr>
            </w:pPr>
          </w:p>
        </w:tc>
      </w:tr>
      <w:tr w14:paraId="2C53B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vAlign w:val="center"/>
          </w:tcPr>
          <w:p w14:paraId="4D9767E5">
            <w:pPr>
              <w:spacing w:line="360" w:lineRule="auto"/>
              <w:jc w:val="center"/>
              <w:rPr>
                <w:rFonts w:asciiTheme="minorEastAsia" w:hAnsiTheme="minorEastAsia" w:eastAsiaTheme="minorEastAsia"/>
                <w:color w:val="auto"/>
                <w:szCs w:val="21"/>
                <w:highlight w:val="none"/>
              </w:rPr>
            </w:pPr>
          </w:p>
        </w:tc>
        <w:tc>
          <w:tcPr>
            <w:tcW w:w="961" w:type="dxa"/>
            <w:vAlign w:val="center"/>
          </w:tcPr>
          <w:p w14:paraId="73D61A25">
            <w:pPr>
              <w:spacing w:line="360" w:lineRule="auto"/>
              <w:jc w:val="center"/>
              <w:rPr>
                <w:rFonts w:asciiTheme="minorEastAsia" w:hAnsiTheme="minorEastAsia" w:eastAsiaTheme="minorEastAsia"/>
                <w:color w:val="auto"/>
                <w:szCs w:val="21"/>
                <w:highlight w:val="none"/>
              </w:rPr>
            </w:pPr>
          </w:p>
        </w:tc>
        <w:tc>
          <w:tcPr>
            <w:tcW w:w="1257" w:type="dxa"/>
            <w:vAlign w:val="center"/>
          </w:tcPr>
          <w:p w14:paraId="16425ADF">
            <w:pPr>
              <w:spacing w:line="360" w:lineRule="auto"/>
              <w:jc w:val="center"/>
              <w:rPr>
                <w:rFonts w:asciiTheme="minorEastAsia" w:hAnsiTheme="minorEastAsia" w:eastAsiaTheme="minorEastAsia"/>
                <w:color w:val="auto"/>
                <w:szCs w:val="21"/>
                <w:highlight w:val="none"/>
              </w:rPr>
            </w:pPr>
          </w:p>
        </w:tc>
        <w:tc>
          <w:tcPr>
            <w:tcW w:w="1258" w:type="dxa"/>
            <w:vAlign w:val="center"/>
          </w:tcPr>
          <w:p w14:paraId="595EB5C8">
            <w:pPr>
              <w:spacing w:line="360" w:lineRule="auto"/>
              <w:jc w:val="center"/>
              <w:rPr>
                <w:rFonts w:asciiTheme="minorEastAsia" w:hAnsiTheme="minorEastAsia" w:eastAsiaTheme="minorEastAsia"/>
                <w:color w:val="auto"/>
                <w:szCs w:val="21"/>
                <w:highlight w:val="none"/>
              </w:rPr>
            </w:pPr>
          </w:p>
        </w:tc>
        <w:tc>
          <w:tcPr>
            <w:tcW w:w="1257" w:type="dxa"/>
            <w:vAlign w:val="center"/>
          </w:tcPr>
          <w:p w14:paraId="4E469D3E">
            <w:pPr>
              <w:spacing w:line="360" w:lineRule="auto"/>
              <w:jc w:val="center"/>
              <w:rPr>
                <w:rFonts w:asciiTheme="minorEastAsia" w:hAnsiTheme="minorEastAsia" w:eastAsiaTheme="minorEastAsia"/>
                <w:color w:val="auto"/>
                <w:szCs w:val="21"/>
                <w:highlight w:val="none"/>
              </w:rPr>
            </w:pPr>
          </w:p>
        </w:tc>
        <w:tc>
          <w:tcPr>
            <w:tcW w:w="1258" w:type="dxa"/>
            <w:vAlign w:val="center"/>
          </w:tcPr>
          <w:p w14:paraId="5A8DDB99">
            <w:pPr>
              <w:spacing w:line="360" w:lineRule="auto"/>
              <w:jc w:val="center"/>
              <w:rPr>
                <w:rFonts w:asciiTheme="minorEastAsia" w:hAnsiTheme="minorEastAsia" w:eastAsiaTheme="minorEastAsia"/>
                <w:color w:val="auto"/>
                <w:szCs w:val="21"/>
                <w:highlight w:val="none"/>
              </w:rPr>
            </w:pPr>
          </w:p>
        </w:tc>
        <w:tc>
          <w:tcPr>
            <w:tcW w:w="1257" w:type="dxa"/>
            <w:vAlign w:val="center"/>
          </w:tcPr>
          <w:p w14:paraId="6DD97293">
            <w:pPr>
              <w:spacing w:line="360" w:lineRule="auto"/>
              <w:jc w:val="center"/>
              <w:rPr>
                <w:rFonts w:asciiTheme="minorEastAsia" w:hAnsiTheme="minorEastAsia" w:eastAsiaTheme="minorEastAsia"/>
                <w:color w:val="auto"/>
                <w:szCs w:val="21"/>
                <w:highlight w:val="none"/>
              </w:rPr>
            </w:pPr>
          </w:p>
        </w:tc>
        <w:tc>
          <w:tcPr>
            <w:tcW w:w="1258" w:type="dxa"/>
            <w:vAlign w:val="center"/>
          </w:tcPr>
          <w:p w14:paraId="24068EF5">
            <w:pPr>
              <w:spacing w:line="360" w:lineRule="auto"/>
              <w:jc w:val="center"/>
              <w:rPr>
                <w:rFonts w:asciiTheme="minorEastAsia" w:hAnsiTheme="minorEastAsia" w:eastAsiaTheme="minorEastAsia"/>
                <w:color w:val="auto"/>
                <w:szCs w:val="21"/>
                <w:highlight w:val="none"/>
              </w:rPr>
            </w:pPr>
          </w:p>
        </w:tc>
      </w:tr>
      <w:tr w14:paraId="55F46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vAlign w:val="center"/>
          </w:tcPr>
          <w:p w14:paraId="546675C9">
            <w:pPr>
              <w:spacing w:line="360" w:lineRule="auto"/>
              <w:jc w:val="center"/>
              <w:rPr>
                <w:rFonts w:asciiTheme="minorEastAsia" w:hAnsiTheme="minorEastAsia" w:eastAsiaTheme="minorEastAsia"/>
                <w:color w:val="auto"/>
                <w:szCs w:val="21"/>
                <w:highlight w:val="none"/>
              </w:rPr>
            </w:pPr>
          </w:p>
        </w:tc>
        <w:tc>
          <w:tcPr>
            <w:tcW w:w="961" w:type="dxa"/>
            <w:vAlign w:val="center"/>
          </w:tcPr>
          <w:p w14:paraId="4F6C492E">
            <w:pPr>
              <w:spacing w:line="360" w:lineRule="auto"/>
              <w:jc w:val="center"/>
              <w:rPr>
                <w:rFonts w:asciiTheme="minorEastAsia" w:hAnsiTheme="minorEastAsia" w:eastAsiaTheme="minorEastAsia"/>
                <w:color w:val="auto"/>
                <w:szCs w:val="21"/>
                <w:highlight w:val="none"/>
              </w:rPr>
            </w:pPr>
          </w:p>
        </w:tc>
        <w:tc>
          <w:tcPr>
            <w:tcW w:w="1257" w:type="dxa"/>
            <w:vAlign w:val="center"/>
          </w:tcPr>
          <w:p w14:paraId="686BD920">
            <w:pPr>
              <w:spacing w:line="360" w:lineRule="auto"/>
              <w:jc w:val="center"/>
              <w:rPr>
                <w:rFonts w:asciiTheme="minorEastAsia" w:hAnsiTheme="minorEastAsia" w:eastAsiaTheme="minorEastAsia"/>
                <w:color w:val="auto"/>
                <w:szCs w:val="21"/>
                <w:highlight w:val="none"/>
              </w:rPr>
            </w:pPr>
          </w:p>
        </w:tc>
        <w:tc>
          <w:tcPr>
            <w:tcW w:w="1258" w:type="dxa"/>
            <w:vAlign w:val="center"/>
          </w:tcPr>
          <w:p w14:paraId="0BED2C12">
            <w:pPr>
              <w:spacing w:line="360" w:lineRule="auto"/>
              <w:jc w:val="center"/>
              <w:rPr>
                <w:rFonts w:asciiTheme="minorEastAsia" w:hAnsiTheme="minorEastAsia" w:eastAsiaTheme="minorEastAsia"/>
                <w:color w:val="auto"/>
                <w:szCs w:val="21"/>
                <w:highlight w:val="none"/>
              </w:rPr>
            </w:pPr>
          </w:p>
        </w:tc>
        <w:tc>
          <w:tcPr>
            <w:tcW w:w="1257" w:type="dxa"/>
            <w:vAlign w:val="center"/>
          </w:tcPr>
          <w:p w14:paraId="43958AF1">
            <w:pPr>
              <w:spacing w:line="360" w:lineRule="auto"/>
              <w:jc w:val="center"/>
              <w:rPr>
                <w:rFonts w:asciiTheme="minorEastAsia" w:hAnsiTheme="minorEastAsia" w:eastAsiaTheme="minorEastAsia"/>
                <w:color w:val="auto"/>
                <w:szCs w:val="21"/>
                <w:highlight w:val="none"/>
              </w:rPr>
            </w:pPr>
          </w:p>
        </w:tc>
        <w:tc>
          <w:tcPr>
            <w:tcW w:w="1258" w:type="dxa"/>
            <w:vAlign w:val="center"/>
          </w:tcPr>
          <w:p w14:paraId="29797563">
            <w:pPr>
              <w:spacing w:line="360" w:lineRule="auto"/>
              <w:jc w:val="center"/>
              <w:rPr>
                <w:rFonts w:asciiTheme="minorEastAsia" w:hAnsiTheme="minorEastAsia" w:eastAsiaTheme="minorEastAsia"/>
                <w:color w:val="auto"/>
                <w:szCs w:val="21"/>
                <w:highlight w:val="none"/>
              </w:rPr>
            </w:pPr>
          </w:p>
        </w:tc>
        <w:tc>
          <w:tcPr>
            <w:tcW w:w="1257" w:type="dxa"/>
            <w:vAlign w:val="center"/>
          </w:tcPr>
          <w:p w14:paraId="31FB75D6">
            <w:pPr>
              <w:spacing w:line="360" w:lineRule="auto"/>
              <w:jc w:val="center"/>
              <w:rPr>
                <w:rFonts w:asciiTheme="minorEastAsia" w:hAnsiTheme="minorEastAsia" w:eastAsiaTheme="minorEastAsia"/>
                <w:color w:val="auto"/>
                <w:szCs w:val="21"/>
                <w:highlight w:val="none"/>
              </w:rPr>
            </w:pPr>
          </w:p>
        </w:tc>
        <w:tc>
          <w:tcPr>
            <w:tcW w:w="1258" w:type="dxa"/>
            <w:vAlign w:val="center"/>
          </w:tcPr>
          <w:p w14:paraId="56CAB5D6">
            <w:pPr>
              <w:spacing w:line="360" w:lineRule="auto"/>
              <w:jc w:val="center"/>
              <w:rPr>
                <w:rFonts w:asciiTheme="minorEastAsia" w:hAnsiTheme="minorEastAsia" w:eastAsiaTheme="minorEastAsia"/>
                <w:color w:val="auto"/>
                <w:szCs w:val="21"/>
                <w:highlight w:val="none"/>
              </w:rPr>
            </w:pPr>
          </w:p>
        </w:tc>
      </w:tr>
      <w:tr w14:paraId="2C191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vAlign w:val="center"/>
          </w:tcPr>
          <w:p w14:paraId="6961A4B9">
            <w:pPr>
              <w:spacing w:line="360" w:lineRule="auto"/>
              <w:jc w:val="center"/>
              <w:rPr>
                <w:rFonts w:asciiTheme="minorEastAsia" w:hAnsiTheme="minorEastAsia" w:eastAsiaTheme="minorEastAsia"/>
                <w:color w:val="auto"/>
                <w:szCs w:val="21"/>
                <w:highlight w:val="none"/>
              </w:rPr>
            </w:pPr>
          </w:p>
        </w:tc>
        <w:tc>
          <w:tcPr>
            <w:tcW w:w="961" w:type="dxa"/>
            <w:vAlign w:val="center"/>
          </w:tcPr>
          <w:p w14:paraId="075168C4">
            <w:pPr>
              <w:spacing w:line="360" w:lineRule="auto"/>
              <w:jc w:val="center"/>
              <w:rPr>
                <w:rFonts w:asciiTheme="minorEastAsia" w:hAnsiTheme="minorEastAsia" w:eastAsiaTheme="minorEastAsia"/>
                <w:color w:val="auto"/>
                <w:szCs w:val="21"/>
                <w:highlight w:val="none"/>
              </w:rPr>
            </w:pPr>
          </w:p>
        </w:tc>
        <w:tc>
          <w:tcPr>
            <w:tcW w:w="1257" w:type="dxa"/>
            <w:vAlign w:val="center"/>
          </w:tcPr>
          <w:p w14:paraId="4EF8F531">
            <w:pPr>
              <w:spacing w:line="360" w:lineRule="auto"/>
              <w:jc w:val="center"/>
              <w:rPr>
                <w:rFonts w:asciiTheme="minorEastAsia" w:hAnsiTheme="minorEastAsia" w:eastAsiaTheme="minorEastAsia"/>
                <w:color w:val="auto"/>
                <w:szCs w:val="21"/>
                <w:highlight w:val="none"/>
              </w:rPr>
            </w:pPr>
          </w:p>
        </w:tc>
        <w:tc>
          <w:tcPr>
            <w:tcW w:w="1258" w:type="dxa"/>
            <w:vAlign w:val="center"/>
          </w:tcPr>
          <w:p w14:paraId="74396D43">
            <w:pPr>
              <w:spacing w:line="360" w:lineRule="auto"/>
              <w:jc w:val="center"/>
              <w:rPr>
                <w:rFonts w:asciiTheme="minorEastAsia" w:hAnsiTheme="minorEastAsia" w:eastAsiaTheme="minorEastAsia"/>
                <w:color w:val="auto"/>
                <w:szCs w:val="21"/>
                <w:highlight w:val="none"/>
              </w:rPr>
            </w:pPr>
          </w:p>
        </w:tc>
        <w:tc>
          <w:tcPr>
            <w:tcW w:w="1257" w:type="dxa"/>
            <w:vAlign w:val="center"/>
          </w:tcPr>
          <w:p w14:paraId="3CB12EAF">
            <w:pPr>
              <w:spacing w:line="360" w:lineRule="auto"/>
              <w:jc w:val="center"/>
              <w:rPr>
                <w:rFonts w:asciiTheme="minorEastAsia" w:hAnsiTheme="minorEastAsia" w:eastAsiaTheme="minorEastAsia"/>
                <w:color w:val="auto"/>
                <w:szCs w:val="21"/>
                <w:highlight w:val="none"/>
              </w:rPr>
            </w:pPr>
          </w:p>
        </w:tc>
        <w:tc>
          <w:tcPr>
            <w:tcW w:w="1258" w:type="dxa"/>
            <w:vAlign w:val="center"/>
          </w:tcPr>
          <w:p w14:paraId="6A323155">
            <w:pPr>
              <w:spacing w:line="360" w:lineRule="auto"/>
              <w:jc w:val="center"/>
              <w:rPr>
                <w:rFonts w:asciiTheme="minorEastAsia" w:hAnsiTheme="minorEastAsia" w:eastAsiaTheme="minorEastAsia"/>
                <w:color w:val="auto"/>
                <w:szCs w:val="21"/>
                <w:highlight w:val="none"/>
              </w:rPr>
            </w:pPr>
          </w:p>
        </w:tc>
        <w:tc>
          <w:tcPr>
            <w:tcW w:w="1257" w:type="dxa"/>
            <w:vAlign w:val="center"/>
          </w:tcPr>
          <w:p w14:paraId="5E26924B">
            <w:pPr>
              <w:spacing w:line="360" w:lineRule="auto"/>
              <w:jc w:val="center"/>
              <w:rPr>
                <w:rFonts w:asciiTheme="minorEastAsia" w:hAnsiTheme="minorEastAsia" w:eastAsiaTheme="minorEastAsia"/>
                <w:color w:val="auto"/>
                <w:szCs w:val="21"/>
                <w:highlight w:val="none"/>
              </w:rPr>
            </w:pPr>
          </w:p>
        </w:tc>
        <w:tc>
          <w:tcPr>
            <w:tcW w:w="1258" w:type="dxa"/>
            <w:vAlign w:val="center"/>
          </w:tcPr>
          <w:p w14:paraId="21A8EE1B">
            <w:pPr>
              <w:spacing w:line="360" w:lineRule="auto"/>
              <w:jc w:val="center"/>
              <w:rPr>
                <w:rFonts w:asciiTheme="minorEastAsia" w:hAnsiTheme="minorEastAsia" w:eastAsiaTheme="minorEastAsia"/>
                <w:color w:val="auto"/>
                <w:szCs w:val="21"/>
                <w:highlight w:val="none"/>
              </w:rPr>
            </w:pPr>
          </w:p>
        </w:tc>
      </w:tr>
      <w:tr w14:paraId="3F9E2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vAlign w:val="center"/>
          </w:tcPr>
          <w:p w14:paraId="5D31BF4C">
            <w:pPr>
              <w:spacing w:line="360" w:lineRule="auto"/>
              <w:jc w:val="center"/>
              <w:rPr>
                <w:rFonts w:asciiTheme="minorEastAsia" w:hAnsiTheme="minorEastAsia" w:eastAsiaTheme="minorEastAsia"/>
                <w:color w:val="auto"/>
                <w:szCs w:val="21"/>
                <w:highlight w:val="none"/>
              </w:rPr>
            </w:pPr>
          </w:p>
        </w:tc>
        <w:tc>
          <w:tcPr>
            <w:tcW w:w="961" w:type="dxa"/>
            <w:vAlign w:val="center"/>
          </w:tcPr>
          <w:p w14:paraId="2130C72F">
            <w:pPr>
              <w:spacing w:line="360" w:lineRule="auto"/>
              <w:jc w:val="center"/>
              <w:rPr>
                <w:rFonts w:asciiTheme="minorEastAsia" w:hAnsiTheme="minorEastAsia" w:eastAsiaTheme="minorEastAsia"/>
                <w:color w:val="auto"/>
                <w:szCs w:val="21"/>
                <w:highlight w:val="none"/>
              </w:rPr>
            </w:pPr>
          </w:p>
        </w:tc>
        <w:tc>
          <w:tcPr>
            <w:tcW w:w="1257" w:type="dxa"/>
            <w:vAlign w:val="center"/>
          </w:tcPr>
          <w:p w14:paraId="0326194F">
            <w:pPr>
              <w:spacing w:line="360" w:lineRule="auto"/>
              <w:jc w:val="center"/>
              <w:rPr>
                <w:rFonts w:asciiTheme="minorEastAsia" w:hAnsiTheme="minorEastAsia" w:eastAsiaTheme="minorEastAsia"/>
                <w:color w:val="auto"/>
                <w:szCs w:val="21"/>
                <w:highlight w:val="none"/>
              </w:rPr>
            </w:pPr>
          </w:p>
        </w:tc>
        <w:tc>
          <w:tcPr>
            <w:tcW w:w="1258" w:type="dxa"/>
            <w:vAlign w:val="center"/>
          </w:tcPr>
          <w:p w14:paraId="14CBED6F">
            <w:pPr>
              <w:spacing w:line="360" w:lineRule="auto"/>
              <w:jc w:val="center"/>
              <w:rPr>
                <w:rFonts w:asciiTheme="minorEastAsia" w:hAnsiTheme="minorEastAsia" w:eastAsiaTheme="minorEastAsia"/>
                <w:color w:val="auto"/>
                <w:szCs w:val="21"/>
                <w:highlight w:val="none"/>
              </w:rPr>
            </w:pPr>
          </w:p>
        </w:tc>
        <w:tc>
          <w:tcPr>
            <w:tcW w:w="1257" w:type="dxa"/>
            <w:vAlign w:val="center"/>
          </w:tcPr>
          <w:p w14:paraId="046ABD9A">
            <w:pPr>
              <w:spacing w:line="360" w:lineRule="auto"/>
              <w:jc w:val="center"/>
              <w:rPr>
                <w:rFonts w:asciiTheme="minorEastAsia" w:hAnsiTheme="minorEastAsia" w:eastAsiaTheme="minorEastAsia"/>
                <w:color w:val="auto"/>
                <w:szCs w:val="21"/>
                <w:highlight w:val="none"/>
              </w:rPr>
            </w:pPr>
          </w:p>
        </w:tc>
        <w:tc>
          <w:tcPr>
            <w:tcW w:w="1258" w:type="dxa"/>
            <w:vAlign w:val="center"/>
          </w:tcPr>
          <w:p w14:paraId="1CA77542">
            <w:pPr>
              <w:spacing w:line="360" w:lineRule="auto"/>
              <w:jc w:val="center"/>
              <w:rPr>
                <w:rFonts w:asciiTheme="minorEastAsia" w:hAnsiTheme="minorEastAsia" w:eastAsiaTheme="minorEastAsia"/>
                <w:color w:val="auto"/>
                <w:szCs w:val="21"/>
                <w:highlight w:val="none"/>
              </w:rPr>
            </w:pPr>
          </w:p>
        </w:tc>
        <w:tc>
          <w:tcPr>
            <w:tcW w:w="1257" w:type="dxa"/>
            <w:vAlign w:val="center"/>
          </w:tcPr>
          <w:p w14:paraId="067FC206">
            <w:pPr>
              <w:spacing w:line="360" w:lineRule="auto"/>
              <w:jc w:val="center"/>
              <w:rPr>
                <w:rFonts w:asciiTheme="minorEastAsia" w:hAnsiTheme="minorEastAsia" w:eastAsiaTheme="minorEastAsia"/>
                <w:color w:val="auto"/>
                <w:szCs w:val="21"/>
                <w:highlight w:val="none"/>
              </w:rPr>
            </w:pPr>
          </w:p>
        </w:tc>
        <w:tc>
          <w:tcPr>
            <w:tcW w:w="1258" w:type="dxa"/>
            <w:vAlign w:val="center"/>
          </w:tcPr>
          <w:p w14:paraId="6B9A5447">
            <w:pPr>
              <w:spacing w:line="360" w:lineRule="auto"/>
              <w:jc w:val="center"/>
              <w:rPr>
                <w:rFonts w:asciiTheme="minorEastAsia" w:hAnsiTheme="minorEastAsia" w:eastAsiaTheme="minorEastAsia"/>
                <w:color w:val="auto"/>
                <w:szCs w:val="21"/>
                <w:highlight w:val="none"/>
              </w:rPr>
            </w:pPr>
          </w:p>
        </w:tc>
      </w:tr>
    </w:tbl>
    <w:p w14:paraId="2900AC3D">
      <w:pPr>
        <w:rPr>
          <w:rFonts w:asciiTheme="minorEastAsia" w:hAnsiTheme="minorEastAsia" w:eastAsiaTheme="minorEastAsia"/>
          <w:color w:val="auto"/>
          <w:highlight w:val="none"/>
        </w:rPr>
      </w:pPr>
    </w:p>
    <w:p w14:paraId="364F9F5C">
      <w:pPr>
        <w:rPr>
          <w:rFonts w:asciiTheme="minorEastAsia" w:hAnsiTheme="minorEastAsia" w:eastAsiaTheme="minorEastAsia"/>
          <w:b/>
          <w:color w:val="auto"/>
          <w:highlight w:val="none"/>
        </w:rPr>
      </w:pPr>
    </w:p>
    <w:p w14:paraId="15214018">
      <w:pPr>
        <w:rPr>
          <w:rFonts w:asciiTheme="minorEastAsia" w:hAnsiTheme="minorEastAsia" w:eastAsiaTheme="minorEastAsia"/>
          <w:color w:val="auto"/>
          <w:highlight w:val="none"/>
        </w:rPr>
      </w:pPr>
      <w:r>
        <w:rPr>
          <w:rFonts w:asciiTheme="minorEastAsia" w:hAnsiTheme="minorEastAsia" w:eastAsiaTheme="minorEastAsia"/>
          <w:color w:val="auto"/>
          <w:highlight w:val="none"/>
        </w:rPr>
        <w:t>附表</w:t>
      </w:r>
      <w:r>
        <w:rPr>
          <w:rFonts w:hint="eastAsia" w:asciiTheme="minorEastAsia" w:hAnsiTheme="minorEastAsia" w:eastAsiaTheme="minorEastAsia"/>
          <w:color w:val="auto"/>
          <w:highlight w:val="none"/>
        </w:rPr>
        <w:t>五</w:t>
      </w:r>
      <w:r>
        <w:rPr>
          <w:rFonts w:asciiTheme="minorEastAsia" w:hAnsiTheme="minorEastAsia" w:eastAsiaTheme="minorEastAsia"/>
          <w:color w:val="auto"/>
          <w:highlight w:val="none"/>
        </w:rPr>
        <w:t>：计划开、竣工日期和施工进度</w:t>
      </w:r>
      <w:r>
        <w:rPr>
          <w:rFonts w:hint="eastAsia" w:asciiTheme="minorEastAsia" w:hAnsiTheme="minorEastAsia" w:eastAsiaTheme="minorEastAsia"/>
          <w:color w:val="auto"/>
          <w:highlight w:val="none"/>
        </w:rPr>
        <w:t>计划（网络图或横道图）</w:t>
      </w:r>
    </w:p>
    <w:p w14:paraId="50E859B0">
      <w:pPr>
        <w:spacing w:line="460" w:lineRule="exact"/>
        <w:ind w:left="-6" w:firstLine="420"/>
        <w:rPr>
          <w:rFonts w:asciiTheme="minorEastAsia" w:hAnsiTheme="minorEastAsia" w:eastAsiaTheme="minorEastAsia"/>
          <w:color w:val="auto"/>
          <w:highlight w:val="none"/>
        </w:rPr>
      </w:pPr>
      <w:r>
        <w:rPr>
          <w:rFonts w:asciiTheme="minorEastAsia" w:hAnsiTheme="minorEastAsia" w:eastAsiaTheme="minorEastAsia"/>
          <w:color w:val="auto"/>
          <w:highlight w:val="none"/>
        </w:rPr>
        <w:t>1.</w:t>
      </w:r>
      <w:r>
        <w:rPr>
          <w:rFonts w:hint="eastAsia" w:asciiTheme="minorEastAsia" w:hAnsiTheme="minorEastAsia" w:eastAsiaTheme="minorEastAsia"/>
          <w:color w:val="auto"/>
          <w:highlight w:val="none"/>
        </w:rPr>
        <w:t xml:space="preserve"> </w:t>
      </w:r>
      <w:r>
        <w:rPr>
          <w:rFonts w:asciiTheme="minorEastAsia" w:hAnsiTheme="minorEastAsia" w:eastAsiaTheme="minorEastAsia"/>
          <w:color w:val="auto"/>
          <w:highlight w:val="none"/>
        </w:rPr>
        <w:t>投标人应提交施工进度</w:t>
      </w:r>
      <w:r>
        <w:rPr>
          <w:rFonts w:hint="eastAsia" w:asciiTheme="minorEastAsia" w:hAnsiTheme="minorEastAsia" w:eastAsiaTheme="minorEastAsia"/>
          <w:color w:val="auto"/>
          <w:highlight w:val="none"/>
        </w:rPr>
        <w:t>计划</w:t>
      </w:r>
      <w:r>
        <w:rPr>
          <w:rFonts w:asciiTheme="minorEastAsia" w:hAnsiTheme="minorEastAsia" w:eastAsiaTheme="minorEastAsia"/>
          <w:color w:val="auto"/>
          <w:highlight w:val="none"/>
        </w:rPr>
        <w:t>，说明按招标文件要求的工期进行施工的各个关键日期。中标的投标人还应按合同条件有关条款的要求提交详细的施工进度计划。</w:t>
      </w:r>
    </w:p>
    <w:p w14:paraId="265E2281">
      <w:pPr>
        <w:spacing w:line="460" w:lineRule="exact"/>
        <w:ind w:left="-6" w:firstLine="420"/>
        <w:rPr>
          <w:rFonts w:asciiTheme="minorEastAsia" w:hAnsiTheme="minorEastAsia" w:eastAsiaTheme="minorEastAsia"/>
          <w:color w:val="auto"/>
          <w:highlight w:val="none"/>
        </w:rPr>
      </w:pPr>
      <w:r>
        <w:rPr>
          <w:rFonts w:asciiTheme="minorEastAsia" w:hAnsiTheme="minorEastAsia" w:eastAsiaTheme="minorEastAsia"/>
          <w:color w:val="auto"/>
          <w:highlight w:val="none"/>
        </w:rPr>
        <w:t>2.</w:t>
      </w:r>
      <w:r>
        <w:rPr>
          <w:rFonts w:hint="eastAsia" w:asciiTheme="minorEastAsia" w:hAnsiTheme="minorEastAsia" w:eastAsiaTheme="minorEastAsia"/>
          <w:color w:val="auto"/>
          <w:highlight w:val="none"/>
        </w:rPr>
        <w:t xml:space="preserve"> </w:t>
      </w:r>
      <w:r>
        <w:rPr>
          <w:rFonts w:asciiTheme="minorEastAsia" w:hAnsiTheme="minorEastAsia" w:eastAsiaTheme="minorEastAsia"/>
          <w:color w:val="auto"/>
          <w:highlight w:val="none"/>
        </w:rPr>
        <w:t>施工进度</w:t>
      </w:r>
      <w:r>
        <w:rPr>
          <w:rFonts w:hint="eastAsia" w:asciiTheme="minorEastAsia" w:hAnsiTheme="minorEastAsia" w:eastAsiaTheme="minorEastAsia"/>
          <w:color w:val="auto"/>
          <w:highlight w:val="none"/>
        </w:rPr>
        <w:t>计划</w:t>
      </w:r>
      <w:r>
        <w:rPr>
          <w:rFonts w:asciiTheme="minorEastAsia" w:hAnsiTheme="minorEastAsia" w:eastAsiaTheme="minorEastAsia"/>
          <w:color w:val="auto"/>
          <w:highlight w:val="none"/>
        </w:rPr>
        <w:t>可采用网络图（或横道图）表示，说明计划开工日期和各分项工程各阶段的完工日期和分包合同签订的日期。</w:t>
      </w:r>
    </w:p>
    <w:p w14:paraId="20D74942">
      <w:pPr>
        <w:spacing w:line="460" w:lineRule="exact"/>
        <w:ind w:left="-6" w:firstLine="420"/>
        <w:rPr>
          <w:rFonts w:asciiTheme="minorEastAsia" w:hAnsiTheme="minorEastAsia" w:eastAsiaTheme="minorEastAsia"/>
          <w:color w:val="auto"/>
          <w:highlight w:val="none"/>
        </w:rPr>
      </w:pPr>
      <w:r>
        <w:rPr>
          <w:rFonts w:asciiTheme="minorEastAsia" w:hAnsiTheme="minorEastAsia" w:eastAsiaTheme="minorEastAsia"/>
          <w:color w:val="auto"/>
          <w:highlight w:val="none"/>
        </w:rPr>
        <w:t>3.</w:t>
      </w:r>
      <w:r>
        <w:rPr>
          <w:rFonts w:hint="eastAsia" w:asciiTheme="minorEastAsia" w:hAnsiTheme="minorEastAsia" w:eastAsiaTheme="minorEastAsia"/>
          <w:color w:val="auto"/>
          <w:highlight w:val="none"/>
        </w:rPr>
        <w:t xml:space="preserve"> </w:t>
      </w:r>
      <w:r>
        <w:rPr>
          <w:rFonts w:asciiTheme="minorEastAsia" w:hAnsiTheme="minorEastAsia" w:eastAsiaTheme="minorEastAsia"/>
          <w:color w:val="auto"/>
          <w:highlight w:val="none"/>
        </w:rPr>
        <w:t>施工进度计划应与施工组织设计相适应。</w:t>
      </w:r>
    </w:p>
    <w:p w14:paraId="435F9565">
      <w:pPr>
        <w:spacing w:line="360" w:lineRule="auto"/>
        <w:ind w:left="-6" w:firstLine="420"/>
        <w:rPr>
          <w:rFonts w:asciiTheme="minorEastAsia" w:hAnsiTheme="minorEastAsia" w:eastAsiaTheme="minorEastAsia"/>
          <w:color w:val="auto"/>
          <w:highlight w:val="none"/>
        </w:rPr>
      </w:pPr>
    </w:p>
    <w:p w14:paraId="27D9979F">
      <w:pPr>
        <w:rPr>
          <w:rFonts w:asciiTheme="minorEastAsia" w:hAnsiTheme="minorEastAsia" w:eastAsiaTheme="minorEastAsia"/>
          <w:color w:val="auto"/>
          <w:highlight w:val="none"/>
        </w:rPr>
      </w:pPr>
    </w:p>
    <w:p w14:paraId="006427AC">
      <w:pPr>
        <w:rPr>
          <w:rFonts w:asciiTheme="minorEastAsia" w:hAnsiTheme="minorEastAsia" w:eastAsiaTheme="minorEastAsia"/>
          <w:color w:val="auto"/>
          <w:highlight w:val="none"/>
        </w:rPr>
      </w:pPr>
      <w:r>
        <w:rPr>
          <w:rFonts w:asciiTheme="minorEastAsia" w:hAnsiTheme="minorEastAsia" w:eastAsiaTheme="minorEastAsia"/>
          <w:color w:val="auto"/>
          <w:highlight w:val="none"/>
        </w:rPr>
        <w:t>附表</w:t>
      </w:r>
      <w:r>
        <w:rPr>
          <w:rFonts w:hint="eastAsia" w:asciiTheme="minorEastAsia" w:hAnsiTheme="minorEastAsia" w:eastAsiaTheme="minorEastAsia"/>
          <w:color w:val="auto"/>
          <w:highlight w:val="none"/>
        </w:rPr>
        <w:t>六</w:t>
      </w:r>
      <w:r>
        <w:rPr>
          <w:rFonts w:asciiTheme="minorEastAsia" w:hAnsiTheme="minorEastAsia" w:eastAsiaTheme="minorEastAsia"/>
          <w:color w:val="auto"/>
          <w:highlight w:val="none"/>
        </w:rPr>
        <w:t>：施工总平面图</w:t>
      </w:r>
    </w:p>
    <w:p w14:paraId="181956F7">
      <w:pPr>
        <w:spacing w:line="460" w:lineRule="exact"/>
        <w:ind w:firstLine="420" w:firstLineChars="200"/>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投标人应递交一份施工总平面图，绘出现场临时设施布置图表并附文字说明，说明临时设施、加工车间、现场办公、设备及仓储、供电、供水、卫生、生活、道路、消防等设施的情况和布置。</w:t>
      </w:r>
    </w:p>
    <w:p w14:paraId="55834E74">
      <w:pPr>
        <w:rPr>
          <w:rFonts w:asciiTheme="minorEastAsia" w:hAnsiTheme="minorEastAsia" w:eastAsiaTheme="minorEastAsia"/>
          <w:color w:val="auto"/>
          <w:highlight w:val="none"/>
        </w:rPr>
      </w:pPr>
    </w:p>
    <w:p w14:paraId="1FF6FA98">
      <w:pPr>
        <w:rPr>
          <w:rFonts w:asciiTheme="minorEastAsia" w:hAnsiTheme="minorEastAsia" w:eastAsiaTheme="minorEastAsia"/>
          <w:color w:val="auto"/>
          <w:highlight w:val="none"/>
        </w:rPr>
      </w:pPr>
    </w:p>
    <w:p w14:paraId="369566F5">
      <w:pPr>
        <w:rPr>
          <w:rFonts w:asciiTheme="minorEastAsia" w:hAnsiTheme="minorEastAsia" w:eastAsiaTheme="minorEastAsia"/>
          <w:color w:val="auto"/>
          <w:highlight w:val="none"/>
        </w:rPr>
      </w:pPr>
      <w:r>
        <w:rPr>
          <w:rFonts w:asciiTheme="minorEastAsia" w:hAnsiTheme="minorEastAsia" w:eastAsiaTheme="minorEastAsia"/>
          <w:color w:val="auto"/>
          <w:highlight w:val="none"/>
        </w:rPr>
        <w:t>附表</w:t>
      </w:r>
      <w:r>
        <w:rPr>
          <w:rFonts w:hint="eastAsia" w:asciiTheme="minorEastAsia" w:hAnsiTheme="minorEastAsia" w:eastAsiaTheme="minorEastAsia"/>
          <w:color w:val="auto"/>
          <w:highlight w:val="none"/>
        </w:rPr>
        <w:t>七</w:t>
      </w:r>
      <w:r>
        <w:rPr>
          <w:rFonts w:asciiTheme="minorEastAsia" w:hAnsiTheme="minorEastAsia" w:eastAsiaTheme="minorEastAsia"/>
          <w:color w:val="auto"/>
          <w:highlight w:val="none"/>
        </w:rPr>
        <w:t>：临时用地表</w:t>
      </w:r>
    </w:p>
    <w:tbl>
      <w:tblPr>
        <w:tblStyle w:val="5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6"/>
        <w:gridCol w:w="2357"/>
        <w:gridCol w:w="2356"/>
        <w:gridCol w:w="2357"/>
      </w:tblGrid>
      <w:tr w14:paraId="5CDFB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2356" w:type="dxa"/>
            <w:vAlign w:val="center"/>
          </w:tcPr>
          <w:p w14:paraId="2361E707">
            <w:pPr>
              <w:jc w:val="center"/>
              <w:rPr>
                <w:rFonts w:asciiTheme="minorEastAsia" w:hAnsiTheme="minorEastAsia" w:eastAsiaTheme="minorEastAsia"/>
                <w:color w:val="auto"/>
                <w:highlight w:val="none"/>
              </w:rPr>
            </w:pPr>
            <w:r>
              <w:rPr>
                <w:rFonts w:asciiTheme="minorEastAsia" w:hAnsiTheme="minorEastAsia" w:eastAsiaTheme="minorEastAsia"/>
                <w:color w:val="auto"/>
                <w:szCs w:val="21"/>
                <w:highlight w:val="none"/>
              </w:rPr>
              <w:t>用途</w:t>
            </w:r>
          </w:p>
        </w:tc>
        <w:tc>
          <w:tcPr>
            <w:tcW w:w="2357" w:type="dxa"/>
            <w:vAlign w:val="center"/>
          </w:tcPr>
          <w:p w14:paraId="5644CE64">
            <w:pPr>
              <w:jc w:val="center"/>
              <w:rPr>
                <w:rFonts w:asciiTheme="minorEastAsia" w:hAnsiTheme="minorEastAsia" w:eastAsiaTheme="minorEastAsia"/>
                <w:color w:val="auto"/>
                <w:highlight w:val="none"/>
              </w:rPr>
            </w:pPr>
            <w:r>
              <w:rPr>
                <w:rFonts w:asciiTheme="minorEastAsia" w:hAnsiTheme="minorEastAsia" w:eastAsiaTheme="minorEastAsia"/>
                <w:color w:val="auto"/>
                <w:szCs w:val="21"/>
                <w:highlight w:val="none"/>
              </w:rPr>
              <w:t>面积（平方米）</w:t>
            </w:r>
          </w:p>
        </w:tc>
        <w:tc>
          <w:tcPr>
            <w:tcW w:w="2356" w:type="dxa"/>
            <w:vAlign w:val="center"/>
          </w:tcPr>
          <w:p w14:paraId="41C6FFF0">
            <w:pPr>
              <w:jc w:val="center"/>
              <w:rPr>
                <w:rFonts w:asciiTheme="minorEastAsia" w:hAnsiTheme="minorEastAsia" w:eastAsiaTheme="minorEastAsia"/>
                <w:color w:val="auto"/>
                <w:highlight w:val="none"/>
              </w:rPr>
            </w:pPr>
            <w:r>
              <w:rPr>
                <w:rFonts w:asciiTheme="minorEastAsia" w:hAnsiTheme="minorEastAsia" w:eastAsiaTheme="minorEastAsia"/>
                <w:color w:val="auto"/>
                <w:szCs w:val="21"/>
                <w:highlight w:val="none"/>
              </w:rPr>
              <w:t>位置</w:t>
            </w:r>
          </w:p>
        </w:tc>
        <w:tc>
          <w:tcPr>
            <w:tcW w:w="2357" w:type="dxa"/>
            <w:vAlign w:val="center"/>
          </w:tcPr>
          <w:p w14:paraId="7FDF67CF">
            <w:pPr>
              <w:jc w:val="center"/>
              <w:rPr>
                <w:rFonts w:asciiTheme="minorEastAsia" w:hAnsiTheme="minorEastAsia" w:eastAsiaTheme="minorEastAsia"/>
                <w:color w:val="auto"/>
                <w:highlight w:val="none"/>
              </w:rPr>
            </w:pPr>
            <w:r>
              <w:rPr>
                <w:rFonts w:asciiTheme="minorEastAsia" w:hAnsiTheme="minorEastAsia" w:eastAsiaTheme="minorEastAsia"/>
                <w:color w:val="auto"/>
                <w:szCs w:val="21"/>
                <w:highlight w:val="none"/>
              </w:rPr>
              <w:t>需用时间</w:t>
            </w:r>
          </w:p>
        </w:tc>
      </w:tr>
      <w:tr w14:paraId="74130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356" w:type="dxa"/>
          </w:tcPr>
          <w:p w14:paraId="71E6AFAA">
            <w:pPr>
              <w:rPr>
                <w:rFonts w:asciiTheme="minorEastAsia" w:hAnsiTheme="minorEastAsia" w:eastAsiaTheme="minorEastAsia"/>
                <w:color w:val="auto"/>
                <w:highlight w:val="none"/>
              </w:rPr>
            </w:pPr>
          </w:p>
        </w:tc>
        <w:tc>
          <w:tcPr>
            <w:tcW w:w="2357" w:type="dxa"/>
          </w:tcPr>
          <w:p w14:paraId="7AB5C05A">
            <w:pPr>
              <w:rPr>
                <w:rFonts w:asciiTheme="minorEastAsia" w:hAnsiTheme="minorEastAsia" w:eastAsiaTheme="minorEastAsia"/>
                <w:color w:val="auto"/>
                <w:highlight w:val="none"/>
              </w:rPr>
            </w:pPr>
          </w:p>
        </w:tc>
        <w:tc>
          <w:tcPr>
            <w:tcW w:w="2356" w:type="dxa"/>
          </w:tcPr>
          <w:p w14:paraId="3E723FC5">
            <w:pPr>
              <w:rPr>
                <w:rFonts w:asciiTheme="minorEastAsia" w:hAnsiTheme="minorEastAsia" w:eastAsiaTheme="minorEastAsia"/>
                <w:color w:val="auto"/>
                <w:highlight w:val="none"/>
              </w:rPr>
            </w:pPr>
          </w:p>
        </w:tc>
        <w:tc>
          <w:tcPr>
            <w:tcW w:w="2357" w:type="dxa"/>
          </w:tcPr>
          <w:p w14:paraId="237CDA6E">
            <w:pPr>
              <w:rPr>
                <w:rFonts w:asciiTheme="minorEastAsia" w:hAnsiTheme="minorEastAsia" w:eastAsiaTheme="minorEastAsia"/>
                <w:color w:val="auto"/>
                <w:highlight w:val="none"/>
              </w:rPr>
            </w:pPr>
          </w:p>
        </w:tc>
      </w:tr>
      <w:tr w14:paraId="6D872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356" w:type="dxa"/>
          </w:tcPr>
          <w:p w14:paraId="43C140A4">
            <w:pPr>
              <w:rPr>
                <w:rFonts w:asciiTheme="minorEastAsia" w:hAnsiTheme="minorEastAsia" w:eastAsiaTheme="minorEastAsia"/>
                <w:color w:val="auto"/>
                <w:highlight w:val="none"/>
              </w:rPr>
            </w:pPr>
          </w:p>
        </w:tc>
        <w:tc>
          <w:tcPr>
            <w:tcW w:w="2357" w:type="dxa"/>
          </w:tcPr>
          <w:p w14:paraId="5308E728">
            <w:pPr>
              <w:rPr>
                <w:rFonts w:asciiTheme="minorEastAsia" w:hAnsiTheme="minorEastAsia" w:eastAsiaTheme="minorEastAsia"/>
                <w:color w:val="auto"/>
                <w:highlight w:val="none"/>
              </w:rPr>
            </w:pPr>
          </w:p>
        </w:tc>
        <w:tc>
          <w:tcPr>
            <w:tcW w:w="2356" w:type="dxa"/>
          </w:tcPr>
          <w:p w14:paraId="17E95855">
            <w:pPr>
              <w:rPr>
                <w:rFonts w:asciiTheme="minorEastAsia" w:hAnsiTheme="minorEastAsia" w:eastAsiaTheme="minorEastAsia"/>
                <w:color w:val="auto"/>
                <w:highlight w:val="none"/>
              </w:rPr>
            </w:pPr>
          </w:p>
        </w:tc>
        <w:tc>
          <w:tcPr>
            <w:tcW w:w="2357" w:type="dxa"/>
          </w:tcPr>
          <w:p w14:paraId="426CB0E0">
            <w:pPr>
              <w:rPr>
                <w:rFonts w:asciiTheme="minorEastAsia" w:hAnsiTheme="minorEastAsia" w:eastAsiaTheme="minorEastAsia"/>
                <w:color w:val="auto"/>
                <w:highlight w:val="none"/>
              </w:rPr>
            </w:pPr>
          </w:p>
        </w:tc>
      </w:tr>
      <w:tr w14:paraId="48E02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2356" w:type="dxa"/>
          </w:tcPr>
          <w:p w14:paraId="1A546F94">
            <w:pPr>
              <w:rPr>
                <w:rFonts w:asciiTheme="minorEastAsia" w:hAnsiTheme="minorEastAsia" w:eastAsiaTheme="minorEastAsia"/>
                <w:color w:val="auto"/>
                <w:highlight w:val="none"/>
              </w:rPr>
            </w:pPr>
          </w:p>
        </w:tc>
        <w:tc>
          <w:tcPr>
            <w:tcW w:w="2357" w:type="dxa"/>
          </w:tcPr>
          <w:p w14:paraId="1261D705">
            <w:pPr>
              <w:rPr>
                <w:rFonts w:asciiTheme="minorEastAsia" w:hAnsiTheme="minorEastAsia" w:eastAsiaTheme="minorEastAsia"/>
                <w:color w:val="auto"/>
                <w:highlight w:val="none"/>
              </w:rPr>
            </w:pPr>
          </w:p>
        </w:tc>
        <w:tc>
          <w:tcPr>
            <w:tcW w:w="2356" w:type="dxa"/>
          </w:tcPr>
          <w:p w14:paraId="19D25A1C">
            <w:pPr>
              <w:rPr>
                <w:rFonts w:asciiTheme="minorEastAsia" w:hAnsiTheme="minorEastAsia" w:eastAsiaTheme="minorEastAsia"/>
                <w:color w:val="auto"/>
                <w:highlight w:val="none"/>
              </w:rPr>
            </w:pPr>
          </w:p>
        </w:tc>
        <w:tc>
          <w:tcPr>
            <w:tcW w:w="2357" w:type="dxa"/>
          </w:tcPr>
          <w:p w14:paraId="2365C26B">
            <w:pPr>
              <w:rPr>
                <w:rFonts w:asciiTheme="minorEastAsia" w:hAnsiTheme="minorEastAsia" w:eastAsiaTheme="minorEastAsia"/>
                <w:color w:val="auto"/>
                <w:highlight w:val="none"/>
              </w:rPr>
            </w:pPr>
          </w:p>
        </w:tc>
      </w:tr>
      <w:tr w14:paraId="3AACE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356" w:type="dxa"/>
          </w:tcPr>
          <w:p w14:paraId="29464904">
            <w:pPr>
              <w:rPr>
                <w:rFonts w:asciiTheme="minorEastAsia" w:hAnsiTheme="minorEastAsia" w:eastAsiaTheme="minorEastAsia"/>
                <w:color w:val="auto"/>
                <w:highlight w:val="none"/>
              </w:rPr>
            </w:pPr>
          </w:p>
        </w:tc>
        <w:tc>
          <w:tcPr>
            <w:tcW w:w="2357" w:type="dxa"/>
          </w:tcPr>
          <w:p w14:paraId="6022AA67">
            <w:pPr>
              <w:rPr>
                <w:rFonts w:asciiTheme="minorEastAsia" w:hAnsiTheme="minorEastAsia" w:eastAsiaTheme="minorEastAsia"/>
                <w:color w:val="auto"/>
                <w:highlight w:val="none"/>
              </w:rPr>
            </w:pPr>
          </w:p>
        </w:tc>
        <w:tc>
          <w:tcPr>
            <w:tcW w:w="2356" w:type="dxa"/>
          </w:tcPr>
          <w:p w14:paraId="4E9D25A3">
            <w:pPr>
              <w:rPr>
                <w:rFonts w:asciiTheme="minorEastAsia" w:hAnsiTheme="minorEastAsia" w:eastAsiaTheme="minorEastAsia"/>
                <w:color w:val="auto"/>
                <w:highlight w:val="none"/>
              </w:rPr>
            </w:pPr>
          </w:p>
        </w:tc>
        <w:tc>
          <w:tcPr>
            <w:tcW w:w="2357" w:type="dxa"/>
          </w:tcPr>
          <w:p w14:paraId="53C8E210">
            <w:pPr>
              <w:rPr>
                <w:rFonts w:asciiTheme="minorEastAsia" w:hAnsiTheme="minorEastAsia" w:eastAsiaTheme="minorEastAsia"/>
                <w:color w:val="auto"/>
                <w:highlight w:val="none"/>
              </w:rPr>
            </w:pPr>
          </w:p>
        </w:tc>
      </w:tr>
    </w:tbl>
    <w:p w14:paraId="427089C7">
      <w:pPr>
        <w:pStyle w:val="128"/>
        <w:jc w:val="center"/>
        <w:rPr>
          <w:rFonts w:asciiTheme="minorEastAsia" w:hAnsiTheme="minorEastAsia" w:eastAsiaTheme="minorEastAsia"/>
          <w:color w:val="auto"/>
          <w:szCs w:val="20"/>
          <w:highlight w:val="none"/>
        </w:rPr>
      </w:pPr>
      <w:bookmarkStart w:id="1778" w:name="_Toc453681068"/>
      <w:bookmarkStart w:id="1779" w:name="_Toc453681541"/>
      <w:bookmarkStart w:id="1780" w:name="_Toc389065361"/>
    </w:p>
    <w:p w14:paraId="0BE95525">
      <w:pPr>
        <w:pStyle w:val="128"/>
        <w:jc w:val="center"/>
        <w:rPr>
          <w:rFonts w:asciiTheme="minorEastAsia" w:hAnsiTheme="minorEastAsia" w:eastAsiaTheme="minorEastAsia"/>
          <w:color w:val="auto"/>
          <w:szCs w:val="20"/>
          <w:highlight w:val="none"/>
        </w:rPr>
      </w:pPr>
    </w:p>
    <w:p w14:paraId="4BA527D9">
      <w:pPr>
        <w:pStyle w:val="128"/>
        <w:jc w:val="center"/>
        <w:rPr>
          <w:rFonts w:asciiTheme="minorEastAsia" w:hAnsiTheme="minorEastAsia" w:eastAsiaTheme="minorEastAsia"/>
          <w:color w:val="auto"/>
          <w:szCs w:val="20"/>
          <w:highlight w:val="none"/>
        </w:rPr>
      </w:pPr>
      <w:r>
        <w:rPr>
          <w:rFonts w:hint="eastAsia" w:asciiTheme="minorEastAsia" w:hAnsiTheme="minorEastAsia" w:eastAsiaTheme="minorEastAsia"/>
          <w:color w:val="auto"/>
          <w:szCs w:val="20"/>
          <w:highlight w:val="none"/>
        </w:rPr>
        <w:t>附表八：</w:t>
      </w:r>
      <w:r>
        <w:rPr>
          <w:rFonts w:asciiTheme="minorEastAsia" w:hAnsiTheme="minorEastAsia" w:eastAsiaTheme="minorEastAsia"/>
          <w:color w:val="auto"/>
          <w:szCs w:val="20"/>
          <w:highlight w:val="none"/>
        </w:rPr>
        <w:t>拟分包计划表</w:t>
      </w:r>
      <w:bookmarkEnd w:id="1778"/>
      <w:bookmarkEnd w:id="1779"/>
      <w:bookmarkEnd w:id="1780"/>
    </w:p>
    <w:tbl>
      <w:tblPr>
        <w:tblStyle w:val="5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8"/>
        <w:gridCol w:w="1843"/>
        <w:gridCol w:w="751"/>
        <w:gridCol w:w="950"/>
        <w:gridCol w:w="1123"/>
        <w:gridCol w:w="1090"/>
        <w:gridCol w:w="1197"/>
        <w:gridCol w:w="1268"/>
      </w:tblGrid>
      <w:tr w14:paraId="73D1A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restart"/>
            <w:tcMar>
              <w:left w:w="108" w:type="dxa"/>
              <w:right w:w="108" w:type="dxa"/>
            </w:tcMar>
            <w:vAlign w:val="center"/>
          </w:tcPr>
          <w:p w14:paraId="58BFE07C">
            <w:pPr>
              <w:jc w:val="center"/>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序</w:t>
            </w:r>
          </w:p>
          <w:p w14:paraId="6D1554EB">
            <w:pPr>
              <w:jc w:val="center"/>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号</w:t>
            </w:r>
          </w:p>
        </w:tc>
        <w:tc>
          <w:tcPr>
            <w:tcW w:w="1843" w:type="dxa"/>
            <w:vMerge w:val="restart"/>
            <w:tcMar>
              <w:left w:w="108" w:type="dxa"/>
              <w:right w:w="108" w:type="dxa"/>
            </w:tcMar>
            <w:vAlign w:val="center"/>
          </w:tcPr>
          <w:p w14:paraId="24781E19">
            <w:pPr>
              <w:jc w:val="center"/>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拟分包项目名称、范围及理由</w:t>
            </w:r>
          </w:p>
        </w:tc>
        <w:tc>
          <w:tcPr>
            <w:tcW w:w="5111" w:type="dxa"/>
            <w:gridSpan w:val="5"/>
            <w:tcMar>
              <w:left w:w="108" w:type="dxa"/>
              <w:right w:w="108" w:type="dxa"/>
            </w:tcMar>
            <w:vAlign w:val="center"/>
          </w:tcPr>
          <w:p w14:paraId="5006C116">
            <w:pPr>
              <w:jc w:val="center"/>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拟选分包人</w:t>
            </w:r>
          </w:p>
        </w:tc>
        <w:tc>
          <w:tcPr>
            <w:tcW w:w="1268" w:type="dxa"/>
            <w:vMerge w:val="restart"/>
            <w:tcMar>
              <w:left w:w="108" w:type="dxa"/>
              <w:right w:w="108" w:type="dxa"/>
            </w:tcMar>
            <w:vAlign w:val="center"/>
          </w:tcPr>
          <w:p w14:paraId="6712AEEF">
            <w:pPr>
              <w:jc w:val="center"/>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备注</w:t>
            </w:r>
          </w:p>
        </w:tc>
      </w:tr>
      <w:tr w14:paraId="49BC1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tcMar>
              <w:left w:w="108" w:type="dxa"/>
              <w:right w:w="108" w:type="dxa"/>
            </w:tcMar>
            <w:vAlign w:val="center"/>
          </w:tcPr>
          <w:p w14:paraId="0CB5F4F8">
            <w:pPr>
              <w:jc w:val="center"/>
              <w:rPr>
                <w:rFonts w:asciiTheme="minorEastAsia" w:hAnsiTheme="minorEastAsia" w:eastAsiaTheme="minorEastAsia"/>
                <w:color w:val="auto"/>
                <w:szCs w:val="21"/>
                <w:highlight w:val="none"/>
              </w:rPr>
            </w:pPr>
          </w:p>
        </w:tc>
        <w:tc>
          <w:tcPr>
            <w:tcW w:w="1843" w:type="dxa"/>
            <w:vMerge w:val="continue"/>
            <w:tcMar>
              <w:left w:w="108" w:type="dxa"/>
              <w:right w:w="108" w:type="dxa"/>
            </w:tcMar>
            <w:vAlign w:val="center"/>
          </w:tcPr>
          <w:p w14:paraId="0578F2CF">
            <w:pPr>
              <w:jc w:val="center"/>
              <w:rPr>
                <w:rFonts w:asciiTheme="minorEastAsia" w:hAnsiTheme="minorEastAsia" w:eastAsiaTheme="minorEastAsia"/>
                <w:color w:val="auto"/>
                <w:szCs w:val="21"/>
                <w:highlight w:val="none"/>
              </w:rPr>
            </w:pPr>
          </w:p>
        </w:tc>
        <w:tc>
          <w:tcPr>
            <w:tcW w:w="1701" w:type="dxa"/>
            <w:gridSpan w:val="2"/>
            <w:tcMar>
              <w:left w:w="108" w:type="dxa"/>
              <w:right w:w="108" w:type="dxa"/>
            </w:tcMar>
            <w:vAlign w:val="center"/>
          </w:tcPr>
          <w:p w14:paraId="52BB5CC3">
            <w:pPr>
              <w:jc w:val="center"/>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拟选分包人名称</w:t>
            </w:r>
          </w:p>
        </w:tc>
        <w:tc>
          <w:tcPr>
            <w:tcW w:w="1123" w:type="dxa"/>
            <w:tcMar>
              <w:left w:w="108" w:type="dxa"/>
              <w:right w:w="108" w:type="dxa"/>
            </w:tcMar>
            <w:vAlign w:val="center"/>
          </w:tcPr>
          <w:p w14:paraId="4F13BFA6">
            <w:pPr>
              <w:jc w:val="center"/>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注册地点</w:t>
            </w:r>
          </w:p>
        </w:tc>
        <w:tc>
          <w:tcPr>
            <w:tcW w:w="1090" w:type="dxa"/>
            <w:tcMar>
              <w:left w:w="108" w:type="dxa"/>
              <w:right w:w="108" w:type="dxa"/>
            </w:tcMar>
            <w:vAlign w:val="center"/>
          </w:tcPr>
          <w:p w14:paraId="14CDC032">
            <w:pPr>
              <w:jc w:val="center"/>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企业资质</w:t>
            </w:r>
          </w:p>
        </w:tc>
        <w:tc>
          <w:tcPr>
            <w:tcW w:w="1197" w:type="dxa"/>
            <w:tcMar>
              <w:left w:w="108" w:type="dxa"/>
              <w:right w:w="108" w:type="dxa"/>
            </w:tcMar>
            <w:vAlign w:val="center"/>
          </w:tcPr>
          <w:p w14:paraId="25B44DE6">
            <w:pPr>
              <w:jc w:val="center"/>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有关业绩</w:t>
            </w:r>
          </w:p>
        </w:tc>
        <w:tc>
          <w:tcPr>
            <w:tcW w:w="1268" w:type="dxa"/>
            <w:vMerge w:val="continue"/>
            <w:tcMar>
              <w:left w:w="108" w:type="dxa"/>
              <w:right w:w="108" w:type="dxa"/>
            </w:tcMar>
            <w:vAlign w:val="center"/>
          </w:tcPr>
          <w:p w14:paraId="0933125C">
            <w:pPr>
              <w:jc w:val="center"/>
              <w:rPr>
                <w:rFonts w:asciiTheme="minorEastAsia" w:hAnsiTheme="minorEastAsia" w:eastAsiaTheme="minorEastAsia"/>
                <w:color w:val="auto"/>
                <w:szCs w:val="21"/>
                <w:highlight w:val="none"/>
              </w:rPr>
            </w:pPr>
          </w:p>
        </w:tc>
      </w:tr>
      <w:tr w14:paraId="638C9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restart"/>
            <w:tcMar>
              <w:left w:w="108" w:type="dxa"/>
              <w:right w:w="108" w:type="dxa"/>
            </w:tcMar>
            <w:vAlign w:val="center"/>
          </w:tcPr>
          <w:p w14:paraId="163011E0">
            <w:pPr>
              <w:jc w:val="center"/>
              <w:rPr>
                <w:rFonts w:asciiTheme="minorEastAsia" w:hAnsiTheme="minorEastAsia" w:eastAsiaTheme="minorEastAsia"/>
                <w:color w:val="auto"/>
                <w:szCs w:val="21"/>
                <w:highlight w:val="none"/>
              </w:rPr>
            </w:pPr>
          </w:p>
        </w:tc>
        <w:tc>
          <w:tcPr>
            <w:tcW w:w="1843" w:type="dxa"/>
            <w:vMerge w:val="restart"/>
            <w:tcMar>
              <w:left w:w="108" w:type="dxa"/>
              <w:right w:w="108" w:type="dxa"/>
            </w:tcMar>
            <w:vAlign w:val="center"/>
          </w:tcPr>
          <w:p w14:paraId="7F61C51F">
            <w:pPr>
              <w:jc w:val="center"/>
              <w:rPr>
                <w:rFonts w:asciiTheme="minorEastAsia" w:hAnsiTheme="minorEastAsia" w:eastAsiaTheme="minorEastAsia"/>
                <w:color w:val="auto"/>
                <w:szCs w:val="21"/>
                <w:highlight w:val="none"/>
              </w:rPr>
            </w:pPr>
          </w:p>
        </w:tc>
        <w:tc>
          <w:tcPr>
            <w:tcW w:w="751" w:type="dxa"/>
            <w:tcMar>
              <w:left w:w="108" w:type="dxa"/>
              <w:right w:w="108" w:type="dxa"/>
            </w:tcMar>
            <w:vAlign w:val="center"/>
          </w:tcPr>
          <w:p w14:paraId="7841A586">
            <w:pPr>
              <w:jc w:val="center"/>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1</w:t>
            </w:r>
          </w:p>
        </w:tc>
        <w:tc>
          <w:tcPr>
            <w:tcW w:w="950" w:type="dxa"/>
            <w:tcMar>
              <w:left w:w="108" w:type="dxa"/>
              <w:right w:w="108" w:type="dxa"/>
            </w:tcMar>
            <w:vAlign w:val="center"/>
          </w:tcPr>
          <w:p w14:paraId="71997FA8">
            <w:pPr>
              <w:jc w:val="center"/>
              <w:rPr>
                <w:rFonts w:asciiTheme="minorEastAsia" w:hAnsiTheme="minorEastAsia" w:eastAsiaTheme="minorEastAsia"/>
                <w:color w:val="auto"/>
                <w:szCs w:val="21"/>
                <w:highlight w:val="none"/>
              </w:rPr>
            </w:pPr>
          </w:p>
        </w:tc>
        <w:tc>
          <w:tcPr>
            <w:tcW w:w="1123" w:type="dxa"/>
            <w:tcMar>
              <w:left w:w="108" w:type="dxa"/>
              <w:right w:w="108" w:type="dxa"/>
            </w:tcMar>
            <w:vAlign w:val="center"/>
          </w:tcPr>
          <w:p w14:paraId="19F2F0C1">
            <w:pPr>
              <w:jc w:val="center"/>
              <w:rPr>
                <w:rFonts w:asciiTheme="minorEastAsia" w:hAnsiTheme="minorEastAsia" w:eastAsiaTheme="minorEastAsia"/>
                <w:color w:val="auto"/>
                <w:szCs w:val="21"/>
                <w:highlight w:val="none"/>
              </w:rPr>
            </w:pPr>
          </w:p>
        </w:tc>
        <w:tc>
          <w:tcPr>
            <w:tcW w:w="1090" w:type="dxa"/>
            <w:tcMar>
              <w:left w:w="108" w:type="dxa"/>
              <w:right w:w="108" w:type="dxa"/>
            </w:tcMar>
            <w:vAlign w:val="center"/>
          </w:tcPr>
          <w:p w14:paraId="55A6A0E8">
            <w:pPr>
              <w:jc w:val="center"/>
              <w:rPr>
                <w:rFonts w:asciiTheme="minorEastAsia" w:hAnsiTheme="minorEastAsia" w:eastAsiaTheme="minorEastAsia"/>
                <w:color w:val="auto"/>
                <w:szCs w:val="21"/>
                <w:highlight w:val="none"/>
              </w:rPr>
            </w:pPr>
          </w:p>
        </w:tc>
        <w:tc>
          <w:tcPr>
            <w:tcW w:w="1197" w:type="dxa"/>
            <w:tcMar>
              <w:left w:w="108" w:type="dxa"/>
              <w:right w:w="108" w:type="dxa"/>
            </w:tcMar>
            <w:vAlign w:val="center"/>
          </w:tcPr>
          <w:p w14:paraId="4C2F7C03">
            <w:pPr>
              <w:jc w:val="center"/>
              <w:rPr>
                <w:rFonts w:asciiTheme="minorEastAsia" w:hAnsiTheme="minorEastAsia" w:eastAsiaTheme="minorEastAsia"/>
                <w:color w:val="auto"/>
                <w:szCs w:val="21"/>
                <w:highlight w:val="none"/>
              </w:rPr>
            </w:pPr>
          </w:p>
        </w:tc>
        <w:tc>
          <w:tcPr>
            <w:tcW w:w="1268" w:type="dxa"/>
            <w:tcMar>
              <w:left w:w="108" w:type="dxa"/>
              <w:right w:w="108" w:type="dxa"/>
            </w:tcMar>
            <w:vAlign w:val="center"/>
          </w:tcPr>
          <w:p w14:paraId="72CDE60C">
            <w:pPr>
              <w:jc w:val="center"/>
              <w:rPr>
                <w:rFonts w:asciiTheme="minorEastAsia" w:hAnsiTheme="minorEastAsia" w:eastAsiaTheme="minorEastAsia"/>
                <w:color w:val="auto"/>
                <w:szCs w:val="21"/>
                <w:highlight w:val="none"/>
              </w:rPr>
            </w:pPr>
          </w:p>
        </w:tc>
      </w:tr>
      <w:tr w14:paraId="28331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tcMar>
              <w:left w:w="108" w:type="dxa"/>
              <w:right w:w="108" w:type="dxa"/>
            </w:tcMar>
            <w:vAlign w:val="center"/>
          </w:tcPr>
          <w:p w14:paraId="73302422">
            <w:pPr>
              <w:jc w:val="center"/>
              <w:rPr>
                <w:rFonts w:asciiTheme="minorEastAsia" w:hAnsiTheme="minorEastAsia" w:eastAsiaTheme="minorEastAsia"/>
                <w:color w:val="auto"/>
                <w:szCs w:val="21"/>
                <w:highlight w:val="none"/>
              </w:rPr>
            </w:pPr>
          </w:p>
        </w:tc>
        <w:tc>
          <w:tcPr>
            <w:tcW w:w="1843" w:type="dxa"/>
            <w:vMerge w:val="continue"/>
            <w:tcMar>
              <w:left w:w="108" w:type="dxa"/>
              <w:right w:w="108" w:type="dxa"/>
            </w:tcMar>
            <w:vAlign w:val="center"/>
          </w:tcPr>
          <w:p w14:paraId="513E4FD8">
            <w:pPr>
              <w:jc w:val="center"/>
              <w:rPr>
                <w:rFonts w:asciiTheme="minorEastAsia" w:hAnsiTheme="minorEastAsia" w:eastAsiaTheme="minorEastAsia"/>
                <w:color w:val="auto"/>
                <w:szCs w:val="21"/>
                <w:highlight w:val="none"/>
              </w:rPr>
            </w:pPr>
          </w:p>
        </w:tc>
        <w:tc>
          <w:tcPr>
            <w:tcW w:w="751" w:type="dxa"/>
            <w:tcMar>
              <w:left w:w="108" w:type="dxa"/>
              <w:right w:w="108" w:type="dxa"/>
            </w:tcMar>
            <w:vAlign w:val="center"/>
          </w:tcPr>
          <w:p w14:paraId="3D6B1E49">
            <w:pPr>
              <w:jc w:val="center"/>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2</w:t>
            </w:r>
          </w:p>
        </w:tc>
        <w:tc>
          <w:tcPr>
            <w:tcW w:w="950" w:type="dxa"/>
            <w:tcMar>
              <w:left w:w="108" w:type="dxa"/>
              <w:right w:w="108" w:type="dxa"/>
            </w:tcMar>
            <w:vAlign w:val="center"/>
          </w:tcPr>
          <w:p w14:paraId="3070C435">
            <w:pPr>
              <w:jc w:val="center"/>
              <w:rPr>
                <w:rFonts w:asciiTheme="minorEastAsia" w:hAnsiTheme="minorEastAsia" w:eastAsiaTheme="minorEastAsia"/>
                <w:color w:val="auto"/>
                <w:szCs w:val="21"/>
                <w:highlight w:val="none"/>
              </w:rPr>
            </w:pPr>
          </w:p>
        </w:tc>
        <w:tc>
          <w:tcPr>
            <w:tcW w:w="1123" w:type="dxa"/>
            <w:tcMar>
              <w:left w:w="108" w:type="dxa"/>
              <w:right w:w="108" w:type="dxa"/>
            </w:tcMar>
            <w:vAlign w:val="center"/>
          </w:tcPr>
          <w:p w14:paraId="0F3A14AD">
            <w:pPr>
              <w:jc w:val="center"/>
              <w:rPr>
                <w:rFonts w:asciiTheme="minorEastAsia" w:hAnsiTheme="minorEastAsia" w:eastAsiaTheme="minorEastAsia"/>
                <w:color w:val="auto"/>
                <w:szCs w:val="21"/>
                <w:highlight w:val="none"/>
              </w:rPr>
            </w:pPr>
          </w:p>
        </w:tc>
        <w:tc>
          <w:tcPr>
            <w:tcW w:w="1090" w:type="dxa"/>
            <w:tcMar>
              <w:left w:w="108" w:type="dxa"/>
              <w:right w:w="108" w:type="dxa"/>
            </w:tcMar>
            <w:vAlign w:val="center"/>
          </w:tcPr>
          <w:p w14:paraId="057FD82B">
            <w:pPr>
              <w:jc w:val="center"/>
              <w:rPr>
                <w:rFonts w:asciiTheme="minorEastAsia" w:hAnsiTheme="minorEastAsia" w:eastAsiaTheme="minorEastAsia"/>
                <w:color w:val="auto"/>
                <w:szCs w:val="21"/>
                <w:highlight w:val="none"/>
              </w:rPr>
            </w:pPr>
          </w:p>
        </w:tc>
        <w:tc>
          <w:tcPr>
            <w:tcW w:w="1197" w:type="dxa"/>
            <w:tcMar>
              <w:left w:w="108" w:type="dxa"/>
              <w:right w:w="108" w:type="dxa"/>
            </w:tcMar>
            <w:vAlign w:val="center"/>
          </w:tcPr>
          <w:p w14:paraId="25A5A51A">
            <w:pPr>
              <w:jc w:val="center"/>
              <w:rPr>
                <w:rFonts w:asciiTheme="minorEastAsia" w:hAnsiTheme="minorEastAsia" w:eastAsiaTheme="minorEastAsia"/>
                <w:color w:val="auto"/>
                <w:szCs w:val="21"/>
                <w:highlight w:val="none"/>
              </w:rPr>
            </w:pPr>
          </w:p>
        </w:tc>
        <w:tc>
          <w:tcPr>
            <w:tcW w:w="1268" w:type="dxa"/>
            <w:tcMar>
              <w:left w:w="108" w:type="dxa"/>
              <w:right w:w="108" w:type="dxa"/>
            </w:tcMar>
            <w:vAlign w:val="center"/>
          </w:tcPr>
          <w:p w14:paraId="70309510">
            <w:pPr>
              <w:jc w:val="center"/>
              <w:rPr>
                <w:rFonts w:asciiTheme="minorEastAsia" w:hAnsiTheme="minorEastAsia" w:eastAsiaTheme="minorEastAsia"/>
                <w:color w:val="auto"/>
                <w:szCs w:val="21"/>
                <w:highlight w:val="none"/>
              </w:rPr>
            </w:pPr>
          </w:p>
        </w:tc>
      </w:tr>
      <w:tr w14:paraId="3C8DF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tcMar>
              <w:left w:w="108" w:type="dxa"/>
              <w:right w:w="108" w:type="dxa"/>
            </w:tcMar>
            <w:vAlign w:val="center"/>
          </w:tcPr>
          <w:p w14:paraId="457BC266">
            <w:pPr>
              <w:jc w:val="center"/>
              <w:rPr>
                <w:rFonts w:asciiTheme="minorEastAsia" w:hAnsiTheme="minorEastAsia" w:eastAsiaTheme="minorEastAsia"/>
                <w:color w:val="auto"/>
                <w:szCs w:val="21"/>
                <w:highlight w:val="none"/>
              </w:rPr>
            </w:pPr>
          </w:p>
        </w:tc>
        <w:tc>
          <w:tcPr>
            <w:tcW w:w="1843" w:type="dxa"/>
            <w:vMerge w:val="continue"/>
            <w:tcMar>
              <w:left w:w="108" w:type="dxa"/>
              <w:right w:w="108" w:type="dxa"/>
            </w:tcMar>
            <w:vAlign w:val="center"/>
          </w:tcPr>
          <w:p w14:paraId="5CEDF886">
            <w:pPr>
              <w:jc w:val="center"/>
              <w:rPr>
                <w:rFonts w:asciiTheme="minorEastAsia" w:hAnsiTheme="minorEastAsia" w:eastAsiaTheme="minorEastAsia"/>
                <w:color w:val="auto"/>
                <w:szCs w:val="21"/>
                <w:highlight w:val="none"/>
              </w:rPr>
            </w:pPr>
          </w:p>
        </w:tc>
        <w:tc>
          <w:tcPr>
            <w:tcW w:w="751" w:type="dxa"/>
            <w:tcMar>
              <w:left w:w="108" w:type="dxa"/>
              <w:right w:w="108" w:type="dxa"/>
            </w:tcMar>
            <w:vAlign w:val="center"/>
          </w:tcPr>
          <w:p w14:paraId="0B542970">
            <w:pPr>
              <w:jc w:val="center"/>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3</w:t>
            </w:r>
          </w:p>
        </w:tc>
        <w:tc>
          <w:tcPr>
            <w:tcW w:w="950" w:type="dxa"/>
            <w:tcMar>
              <w:left w:w="108" w:type="dxa"/>
              <w:right w:w="108" w:type="dxa"/>
            </w:tcMar>
            <w:vAlign w:val="center"/>
          </w:tcPr>
          <w:p w14:paraId="22A0C3EA">
            <w:pPr>
              <w:jc w:val="center"/>
              <w:rPr>
                <w:rFonts w:asciiTheme="minorEastAsia" w:hAnsiTheme="minorEastAsia" w:eastAsiaTheme="minorEastAsia"/>
                <w:color w:val="auto"/>
                <w:szCs w:val="21"/>
                <w:highlight w:val="none"/>
              </w:rPr>
            </w:pPr>
          </w:p>
        </w:tc>
        <w:tc>
          <w:tcPr>
            <w:tcW w:w="1123" w:type="dxa"/>
            <w:tcMar>
              <w:left w:w="108" w:type="dxa"/>
              <w:right w:w="108" w:type="dxa"/>
            </w:tcMar>
            <w:vAlign w:val="center"/>
          </w:tcPr>
          <w:p w14:paraId="7C25C127">
            <w:pPr>
              <w:jc w:val="center"/>
              <w:rPr>
                <w:rFonts w:asciiTheme="minorEastAsia" w:hAnsiTheme="minorEastAsia" w:eastAsiaTheme="minorEastAsia"/>
                <w:color w:val="auto"/>
                <w:szCs w:val="21"/>
                <w:highlight w:val="none"/>
              </w:rPr>
            </w:pPr>
          </w:p>
        </w:tc>
        <w:tc>
          <w:tcPr>
            <w:tcW w:w="1090" w:type="dxa"/>
            <w:tcMar>
              <w:left w:w="108" w:type="dxa"/>
              <w:right w:w="108" w:type="dxa"/>
            </w:tcMar>
            <w:vAlign w:val="center"/>
          </w:tcPr>
          <w:p w14:paraId="70CEF9EF">
            <w:pPr>
              <w:jc w:val="center"/>
              <w:rPr>
                <w:rFonts w:asciiTheme="minorEastAsia" w:hAnsiTheme="minorEastAsia" w:eastAsiaTheme="minorEastAsia"/>
                <w:color w:val="auto"/>
                <w:szCs w:val="21"/>
                <w:highlight w:val="none"/>
              </w:rPr>
            </w:pPr>
          </w:p>
        </w:tc>
        <w:tc>
          <w:tcPr>
            <w:tcW w:w="1197" w:type="dxa"/>
            <w:tcMar>
              <w:left w:w="108" w:type="dxa"/>
              <w:right w:w="108" w:type="dxa"/>
            </w:tcMar>
            <w:vAlign w:val="center"/>
          </w:tcPr>
          <w:p w14:paraId="3C40DEB8">
            <w:pPr>
              <w:jc w:val="center"/>
              <w:rPr>
                <w:rFonts w:asciiTheme="minorEastAsia" w:hAnsiTheme="minorEastAsia" w:eastAsiaTheme="minorEastAsia"/>
                <w:color w:val="auto"/>
                <w:szCs w:val="21"/>
                <w:highlight w:val="none"/>
              </w:rPr>
            </w:pPr>
          </w:p>
        </w:tc>
        <w:tc>
          <w:tcPr>
            <w:tcW w:w="1268" w:type="dxa"/>
            <w:tcMar>
              <w:left w:w="108" w:type="dxa"/>
              <w:right w:w="108" w:type="dxa"/>
            </w:tcMar>
            <w:vAlign w:val="center"/>
          </w:tcPr>
          <w:p w14:paraId="09DBDE02">
            <w:pPr>
              <w:jc w:val="center"/>
              <w:rPr>
                <w:rFonts w:asciiTheme="minorEastAsia" w:hAnsiTheme="minorEastAsia" w:eastAsiaTheme="minorEastAsia"/>
                <w:color w:val="auto"/>
                <w:szCs w:val="21"/>
                <w:highlight w:val="none"/>
              </w:rPr>
            </w:pPr>
          </w:p>
        </w:tc>
      </w:tr>
      <w:tr w14:paraId="336CB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restart"/>
            <w:tcMar>
              <w:left w:w="108" w:type="dxa"/>
              <w:right w:w="108" w:type="dxa"/>
            </w:tcMar>
            <w:vAlign w:val="center"/>
          </w:tcPr>
          <w:p w14:paraId="117FBBC5">
            <w:pPr>
              <w:jc w:val="center"/>
              <w:rPr>
                <w:rFonts w:asciiTheme="minorEastAsia" w:hAnsiTheme="minorEastAsia" w:eastAsiaTheme="minorEastAsia"/>
                <w:color w:val="auto"/>
                <w:szCs w:val="21"/>
                <w:highlight w:val="none"/>
              </w:rPr>
            </w:pPr>
          </w:p>
        </w:tc>
        <w:tc>
          <w:tcPr>
            <w:tcW w:w="1843" w:type="dxa"/>
            <w:vMerge w:val="restart"/>
            <w:tcMar>
              <w:left w:w="108" w:type="dxa"/>
              <w:right w:w="108" w:type="dxa"/>
            </w:tcMar>
            <w:vAlign w:val="center"/>
          </w:tcPr>
          <w:p w14:paraId="07EC7FAB">
            <w:pPr>
              <w:jc w:val="center"/>
              <w:rPr>
                <w:rFonts w:asciiTheme="minorEastAsia" w:hAnsiTheme="minorEastAsia" w:eastAsiaTheme="minorEastAsia"/>
                <w:color w:val="auto"/>
                <w:szCs w:val="21"/>
                <w:highlight w:val="none"/>
              </w:rPr>
            </w:pPr>
          </w:p>
        </w:tc>
        <w:tc>
          <w:tcPr>
            <w:tcW w:w="751" w:type="dxa"/>
            <w:tcMar>
              <w:left w:w="108" w:type="dxa"/>
              <w:right w:w="108" w:type="dxa"/>
            </w:tcMar>
            <w:vAlign w:val="center"/>
          </w:tcPr>
          <w:p w14:paraId="3EBDA6BF">
            <w:pPr>
              <w:jc w:val="center"/>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1</w:t>
            </w:r>
          </w:p>
        </w:tc>
        <w:tc>
          <w:tcPr>
            <w:tcW w:w="950" w:type="dxa"/>
            <w:tcMar>
              <w:left w:w="108" w:type="dxa"/>
              <w:right w:w="108" w:type="dxa"/>
            </w:tcMar>
            <w:vAlign w:val="center"/>
          </w:tcPr>
          <w:p w14:paraId="78DBD86D">
            <w:pPr>
              <w:jc w:val="center"/>
              <w:rPr>
                <w:rFonts w:asciiTheme="minorEastAsia" w:hAnsiTheme="minorEastAsia" w:eastAsiaTheme="minorEastAsia"/>
                <w:color w:val="auto"/>
                <w:szCs w:val="21"/>
                <w:highlight w:val="none"/>
              </w:rPr>
            </w:pPr>
          </w:p>
        </w:tc>
        <w:tc>
          <w:tcPr>
            <w:tcW w:w="1123" w:type="dxa"/>
            <w:tcMar>
              <w:left w:w="108" w:type="dxa"/>
              <w:right w:w="108" w:type="dxa"/>
            </w:tcMar>
            <w:vAlign w:val="center"/>
          </w:tcPr>
          <w:p w14:paraId="3444C78A">
            <w:pPr>
              <w:jc w:val="center"/>
              <w:rPr>
                <w:rFonts w:asciiTheme="minorEastAsia" w:hAnsiTheme="minorEastAsia" w:eastAsiaTheme="minorEastAsia"/>
                <w:color w:val="auto"/>
                <w:szCs w:val="21"/>
                <w:highlight w:val="none"/>
              </w:rPr>
            </w:pPr>
          </w:p>
        </w:tc>
        <w:tc>
          <w:tcPr>
            <w:tcW w:w="1090" w:type="dxa"/>
            <w:tcMar>
              <w:left w:w="108" w:type="dxa"/>
              <w:right w:w="108" w:type="dxa"/>
            </w:tcMar>
            <w:vAlign w:val="center"/>
          </w:tcPr>
          <w:p w14:paraId="48B26892">
            <w:pPr>
              <w:jc w:val="center"/>
              <w:rPr>
                <w:rFonts w:asciiTheme="minorEastAsia" w:hAnsiTheme="minorEastAsia" w:eastAsiaTheme="minorEastAsia"/>
                <w:color w:val="auto"/>
                <w:szCs w:val="21"/>
                <w:highlight w:val="none"/>
              </w:rPr>
            </w:pPr>
          </w:p>
        </w:tc>
        <w:tc>
          <w:tcPr>
            <w:tcW w:w="1197" w:type="dxa"/>
            <w:tcMar>
              <w:left w:w="108" w:type="dxa"/>
              <w:right w:w="108" w:type="dxa"/>
            </w:tcMar>
            <w:vAlign w:val="center"/>
          </w:tcPr>
          <w:p w14:paraId="6E6AA0D3">
            <w:pPr>
              <w:jc w:val="center"/>
              <w:rPr>
                <w:rFonts w:asciiTheme="minorEastAsia" w:hAnsiTheme="minorEastAsia" w:eastAsiaTheme="minorEastAsia"/>
                <w:color w:val="auto"/>
                <w:szCs w:val="21"/>
                <w:highlight w:val="none"/>
              </w:rPr>
            </w:pPr>
          </w:p>
        </w:tc>
        <w:tc>
          <w:tcPr>
            <w:tcW w:w="1268" w:type="dxa"/>
            <w:tcMar>
              <w:left w:w="108" w:type="dxa"/>
              <w:right w:w="108" w:type="dxa"/>
            </w:tcMar>
            <w:vAlign w:val="center"/>
          </w:tcPr>
          <w:p w14:paraId="5270BA9C">
            <w:pPr>
              <w:jc w:val="center"/>
              <w:rPr>
                <w:rFonts w:asciiTheme="minorEastAsia" w:hAnsiTheme="minorEastAsia" w:eastAsiaTheme="minorEastAsia"/>
                <w:color w:val="auto"/>
                <w:szCs w:val="21"/>
                <w:highlight w:val="none"/>
              </w:rPr>
            </w:pPr>
          </w:p>
        </w:tc>
      </w:tr>
      <w:tr w14:paraId="5FCEC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tcMar>
              <w:left w:w="108" w:type="dxa"/>
              <w:right w:w="108" w:type="dxa"/>
            </w:tcMar>
            <w:vAlign w:val="center"/>
          </w:tcPr>
          <w:p w14:paraId="5BA2DD43">
            <w:pPr>
              <w:jc w:val="center"/>
              <w:rPr>
                <w:rFonts w:asciiTheme="minorEastAsia" w:hAnsiTheme="minorEastAsia" w:eastAsiaTheme="minorEastAsia"/>
                <w:color w:val="auto"/>
                <w:szCs w:val="21"/>
                <w:highlight w:val="none"/>
              </w:rPr>
            </w:pPr>
          </w:p>
        </w:tc>
        <w:tc>
          <w:tcPr>
            <w:tcW w:w="1843" w:type="dxa"/>
            <w:vMerge w:val="continue"/>
            <w:tcMar>
              <w:left w:w="108" w:type="dxa"/>
              <w:right w:w="108" w:type="dxa"/>
            </w:tcMar>
            <w:vAlign w:val="center"/>
          </w:tcPr>
          <w:p w14:paraId="435A5BD1">
            <w:pPr>
              <w:jc w:val="center"/>
              <w:rPr>
                <w:rFonts w:asciiTheme="minorEastAsia" w:hAnsiTheme="minorEastAsia" w:eastAsiaTheme="minorEastAsia"/>
                <w:color w:val="auto"/>
                <w:szCs w:val="21"/>
                <w:highlight w:val="none"/>
              </w:rPr>
            </w:pPr>
          </w:p>
        </w:tc>
        <w:tc>
          <w:tcPr>
            <w:tcW w:w="751" w:type="dxa"/>
            <w:tcMar>
              <w:left w:w="108" w:type="dxa"/>
              <w:right w:w="108" w:type="dxa"/>
            </w:tcMar>
            <w:vAlign w:val="center"/>
          </w:tcPr>
          <w:p w14:paraId="7610EFD3">
            <w:pPr>
              <w:jc w:val="center"/>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2</w:t>
            </w:r>
          </w:p>
        </w:tc>
        <w:tc>
          <w:tcPr>
            <w:tcW w:w="950" w:type="dxa"/>
            <w:tcMar>
              <w:left w:w="108" w:type="dxa"/>
              <w:right w:w="108" w:type="dxa"/>
            </w:tcMar>
            <w:vAlign w:val="center"/>
          </w:tcPr>
          <w:p w14:paraId="4AEF0F1A">
            <w:pPr>
              <w:jc w:val="center"/>
              <w:rPr>
                <w:rFonts w:asciiTheme="minorEastAsia" w:hAnsiTheme="minorEastAsia" w:eastAsiaTheme="minorEastAsia"/>
                <w:color w:val="auto"/>
                <w:szCs w:val="21"/>
                <w:highlight w:val="none"/>
              </w:rPr>
            </w:pPr>
          </w:p>
        </w:tc>
        <w:tc>
          <w:tcPr>
            <w:tcW w:w="1123" w:type="dxa"/>
            <w:tcMar>
              <w:left w:w="108" w:type="dxa"/>
              <w:right w:w="108" w:type="dxa"/>
            </w:tcMar>
            <w:vAlign w:val="center"/>
          </w:tcPr>
          <w:p w14:paraId="4960F462">
            <w:pPr>
              <w:jc w:val="center"/>
              <w:rPr>
                <w:rFonts w:asciiTheme="minorEastAsia" w:hAnsiTheme="minorEastAsia" w:eastAsiaTheme="minorEastAsia"/>
                <w:color w:val="auto"/>
                <w:szCs w:val="21"/>
                <w:highlight w:val="none"/>
              </w:rPr>
            </w:pPr>
          </w:p>
        </w:tc>
        <w:tc>
          <w:tcPr>
            <w:tcW w:w="1090" w:type="dxa"/>
            <w:tcMar>
              <w:left w:w="108" w:type="dxa"/>
              <w:right w:w="108" w:type="dxa"/>
            </w:tcMar>
            <w:vAlign w:val="center"/>
          </w:tcPr>
          <w:p w14:paraId="5E9D2CAA">
            <w:pPr>
              <w:jc w:val="center"/>
              <w:rPr>
                <w:rFonts w:asciiTheme="minorEastAsia" w:hAnsiTheme="minorEastAsia" w:eastAsiaTheme="minorEastAsia"/>
                <w:color w:val="auto"/>
                <w:szCs w:val="21"/>
                <w:highlight w:val="none"/>
              </w:rPr>
            </w:pPr>
          </w:p>
        </w:tc>
        <w:tc>
          <w:tcPr>
            <w:tcW w:w="1197" w:type="dxa"/>
            <w:tcMar>
              <w:left w:w="108" w:type="dxa"/>
              <w:right w:w="108" w:type="dxa"/>
            </w:tcMar>
            <w:vAlign w:val="center"/>
          </w:tcPr>
          <w:p w14:paraId="6D6BE00D">
            <w:pPr>
              <w:jc w:val="center"/>
              <w:rPr>
                <w:rFonts w:asciiTheme="minorEastAsia" w:hAnsiTheme="minorEastAsia" w:eastAsiaTheme="minorEastAsia"/>
                <w:color w:val="auto"/>
                <w:szCs w:val="21"/>
                <w:highlight w:val="none"/>
              </w:rPr>
            </w:pPr>
          </w:p>
        </w:tc>
        <w:tc>
          <w:tcPr>
            <w:tcW w:w="1268" w:type="dxa"/>
            <w:tcMar>
              <w:left w:w="108" w:type="dxa"/>
              <w:right w:w="108" w:type="dxa"/>
            </w:tcMar>
            <w:vAlign w:val="center"/>
          </w:tcPr>
          <w:p w14:paraId="5E4CCFED">
            <w:pPr>
              <w:jc w:val="center"/>
              <w:rPr>
                <w:rFonts w:asciiTheme="minorEastAsia" w:hAnsiTheme="minorEastAsia" w:eastAsiaTheme="minorEastAsia"/>
                <w:color w:val="auto"/>
                <w:szCs w:val="21"/>
                <w:highlight w:val="none"/>
              </w:rPr>
            </w:pPr>
          </w:p>
        </w:tc>
      </w:tr>
      <w:tr w14:paraId="7C53D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tcMar>
              <w:left w:w="108" w:type="dxa"/>
              <w:right w:w="108" w:type="dxa"/>
            </w:tcMar>
            <w:vAlign w:val="center"/>
          </w:tcPr>
          <w:p w14:paraId="37947F5A">
            <w:pPr>
              <w:jc w:val="center"/>
              <w:rPr>
                <w:rFonts w:asciiTheme="minorEastAsia" w:hAnsiTheme="minorEastAsia" w:eastAsiaTheme="minorEastAsia"/>
                <w:color w:val="auto"/>
                <w:szCs w:val="21"/>
                <w:highlight w:val="none"/>
              </w:rPr>
            </w:pPr>
          </w:p>
        </w:tc>
        <w:tc>
          <w:tcPr>
            <w:tcW w:w="1843" w:type="dxa"/>
            <w:vMerge w:val="continue"/>
            <w:tcMar>
              <w:left w:w="108" w:type="dxa"/>
              <w:right w:w="108" w:type="dxa"/>
            </w:tcMar>
            <w:vAlign w:val="center"/>
          </w:tcPr>
          <w:p w14:paraId="177C4A34">
            <w:pPr>
              <w:jc w:val="center"/>
              <w:rPr>
                <w:rFonts w:asciiTheme="minorEastAsia" w:hAnsiTheme="minorEastAsia" w:eastAsiaTheme="minorEastAsia"/>
                <w:color w:val="auto"/>
                <w:szCs w:val="21"/>
                <w:highlight w:val="none"/>
              </w:rPr>
            </w:pPr>
          </w:p>
        </w:tc>
        <w:tc>
          <w:tcPr>
            <w:tcW w:w="751" w:type="dxa"/>
            <w:tcMar>
              <w:left w:w="108" w:type="dxa"/>
              <w:right w:w="108" w:type="dxa"/>
            </w:tcMar>
            <w:vAlign w:val="center"/>
          </w:tcPr>
          <w:p w14:paraId="0A622C38">
            <w:pPr>
              <w:jc w:val="center"/>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3</w:t>
            </w:r>
          </w:p>
        </w:tc>
        <w:tc>
          <w:tcPr>
            <w:tcW w:w="950" w:type="dxa"/>
            <w:tcMar>
              <w:left w:w="108" w:type="dxa"/>
              <w:right w:w="108" w:type="dxa"/>
            </w:tcMar>
            <w:vAlign w:val="center"/>
          </w:tcPr>
          <w:p w14:paraId="7D76EC38">
            <w:pPr>
              <w:jc w:val="center"/>
              <w:rPr>
                <w:rFonts w:asciiTheme="minorEastAsia" w:hAnsiTheme="minorEastAsia" w:eastAsiaTheme="minorEastAsia"/>
                <w:color w:val="auto"/>
                <w:szCs w:val="21"/>
                <w:highlight w:val="none"/>
              </w:rPr>
            </w:pPr>
          </w:p>
        </w:tc>
        <w:tc>
          <w:tcPr>
            <w:tcW w:w="1123" w:type="dxa"/>
            <w:tcMar>
              <w:left w:w="108" w:type="dxa"/>
              <w:right w:w="108" w:type="dxa"/>
            </w:tcMar>
            <w:vAlign w:val="center"/>
          </w:tcPr>
          <w:p w14:paraId="331E9F96">
            <w:pPr>
              <w:jc w:val="center"/>
              <w:rPr>
                <w:rFonts w:asciiTheme="minorEastAsia" w:hAnsiTheme="minorEastAsia" w:eastAsiaTheme="minorEastAsia"/>
                <w:color w:val="auto"/>
                <w:szCs w:val="21"/>
                <w:highlight w:val="none"/>
              </w:rPr>
            </w:pPr>
          </w:p>
        </w:tc>
        <w:tc>
          <w:tcPr>
            <w:tcW w:w="1090" w:type="dxa"/>
            <w:tcMar>
              <w:left w:w="108" w:type="dxa"/>
              <w:right w:w="108" w:type="dxa"/>
            </w:tcMar>
            <w:vAlign w:val="center"/>
          </w:tcPr>
          <w:p w14:paraId="2D718320">
            <w:pPr>
              <w:jc w:val="center"/>
              <w:rPr>
                <w:rFonts w:asciiTheme="minorEastAsia" w:hAnsiTheme="minorEastAsia" w:eastAsiaTheme="minorEastAsia"/>
                <w:color w:val="auto"/>
                <w:szCs w:val="21"/>
                <w:highlight w:val="none"/>
              </w:rPr>
            </w:pPr>
          </w:p>
        </w:tc>
        <w:tc>
          <w:tcPr>
            <w:tcW w:w="1197" w:type="dxa"/>
            <w:tcMar>
              <w:left w:w="108" w:type="dxa"/>
              <w:right w:w="108" w:type="dxa"/>
            </w:tcMar>
            <w:vAlign w:val="center"/>
          </w:tcPr>
          <w:p w14:paraId="5A9A31A6">
            <w:pPr>
              <w:jc w:val="center"/>
              <w:rPr>
                <w:rFonts w:asciiTheme="minorEastAsia" w:hAnsiTheme="minorEastAsia" w:eastAsiaTheme="minorEastAsia"/>
                <w:color w:val="auto"/>
                <w:szCs w:val="21"/>
                <w:highlight w:val="none"/>
              </w:rPr>
            </w:pPr>
          </w:p>
        </w:tc>
        <w:tc>
          <w:tcPr>
            <w:tcW w:w="1268" w:type="dxa"/>
            <w:tcMar>
              <w:left w:w="108" w:type="dxa"/>
              <w:right w:w="108" w:type="dxa"/>
            </w:tcMar>
            <w:vAlign w:val="center"/>
          </w:tcPr>
          <w:p w14:paraId="74998BA4">
            <w:pPr>
              <w:jc w:val="center"/>
              <w:rPr>
                <w:rFonts w:asciiTheme="minorEastAsia" w:hAnsiTheme="minorEastAsia" w:eastAsiaTheme="minorEastAsia"/>
                <w:color w:val="auto"/>
                <w:szCs w:val="21"/>
                <w:highlight w:val="none"/>
              </w:rPr>
            </w:pPr>
          </w:p>
        </w:tc>
      </w:tr>
    </w:tbl>
    <w:p w14:paraId="52B0F95B">
      <w:pPr>
        <w:spacing w:line="440" w:lineRule="exact"/>
        <w:ind w:right="420" w:firstLine="420" w:firstLineChars="200"/>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备注：本表所列分包仅限于承包人自行施工范围内的非主体、非关键工程。</w:t>
      </w:r>
    </w:p>
    <w:p w14:paraId="0CE18356">
      <w:pPr>
        <w:spacing w:line="440" w:lineRule="exact"/>
        <w:ind w:firstLine="420" w:firstLineChars="200"/>
        <w:rPr>
          <w:rFonts w:hAnsi="宋体"/>
          <w:color w:val="auto"/>
          <w:szCs w:val="21"/>
          <w:highlight w:val="none"/>
        </w:rPr>
      </w:pPr>
      <w:r>
        <w:rPr>
          <w:rFonts w:asciiTheme="minorEastAsia" w:hAnsiTheme="minorEastAsia" w:eastAsiaTheme="minorEastAsia"/>
          <w:color w:val="auto"/>
          <w:szCs w:val="21"/>
          <w:highlight w:val="none"/>
        </w:rPr>
        <w:t>日期：       年     月     日</w:t>
      </w:r>
    </w:p>
    <w:p w14:paraId="071B8D7D">
      <w:pPr>
        <w:pStyle w:val="2"/>
        <w:rPr>
          <w:color w:val="auto"/>
          <w:highlight w:val="none"/>
        </w:rPr>
      </w:pPr>
    </w:p>
    <w:p w14:paraId="4CCD90D0">
      <w:pPr>
        <w:spacing w:line="440" w:lineRule="exact"/>
        <w:ind w:firstLine="420" w:firstLineChars="200"/>
        <w:rPr>
          <w:rFonts w:hAnsi="宋体"/>
          <w:color w:val="auto"/>
          <w:szCs w:val="21"/>
          <w:highlight w:val="none"/>
        </w:rPr>
      </w:pPr>
    </w:p>
    <w:p w14:paraId="1E7B8496">
      <w:pPr>
        <w:spacing w:line="440" w:lineRule="exact"/>
        <w:ind w:firstLine="420" w:firstLineChars="200"/>
        <w:rPr>
          <w:rFonts w:hAnsi="宋体"/>
          <w:color w:val="auto"/>
          <w:szCs w:val="21"/>
          <w:highlight w:val="none"/>
        </w:rPr>
        <w:sectPr>
          <w:pgSz w:w="11906" w:h="16838"/>
          <w:pgMar w:top="1304" w:right="1304" w:bottom="1304" w:left="1304" w:header="720" w:footer="720" w:gutter="0"/>
          <w:cols w:space="720" w:num="1"/>
          <w:docGrid w:type="lines" w:linePitch="312" w:charSpace="0"/>
        </w:sectPr>
      </w:pPr>
    </w:p>
    <w:p w14:paraId="7A388EF8">
      <w:pPr>
        <w:spacing w:line="440" w:lineRule="exact"/>
        <w:ind w:firstLine="420" w:firstLineChars="200"/>
        <w:rPr>
          <w:rFonts w:hAnsi="宋体"/>
          <w:color w:val="auto"/>
          <w:szCs w:val="21"/>
          <w:highlight w:val="none"/>
        </w:rPr>
      </w:pPr>
      <w:r>
        <w:rPr>
          <w:rFonts w:hint="eastAsia" w:hAnsi="宋体"/>
          <w:color w:val="auto"/>
          <w:szCs w:val="21"/>
          <w:highlight w:val="none"/>
        </w:rPr>
        <w:t>9、供应商认为需要提供的有关资料。</w:t>
      </w:r>
    </w:p>
    <w:p w14:paraId="351D3E3A">
      <w:pPr>
        <w:spacing w:line="440" w:lineRule="exact"/>
        <w:ind w:right="420" w:firstLine="420" w:firstLineChars="200"/>
        <w:jc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供应商自行提供，格式自拟</w:t>
      </w:r>
    </w:p>
    <w:p w14:paraId="0872DF60">
      <w:pPr>
        <w:pStyle w:val="2"/>
        <w:jc w:val="center"/>
        <w:rPr>
          <w:color w:val="auto"/>
          <w:highlight w:val="none"/>
        </w:rPr>
        <w:sectPr>
          <w:pgSz w:w="11906" w:h="16838"/>
          <w:pgMar w:top="1304" w:right="1304" w:bottom="1304" w:left="1304" w:header="720" w:footer="720" w:gutter="0"/>
          <w:cols w:space="720" w:num="1"/>
          <w:docGrid w:type="lines" w:linePitch="312" w:charSpace="0"/>
        </w:sectPr>
      </w:pPr>
    </w:p>
    <w:p w14:paraId="7596D9F8">
      <w:pPr>
        <w:spacing w:line="500" w:lineRule="exact"/>
        <w:jc w:val="center"/>
        <w:rPr>
          <w:rFonts w:hAnsi="宋体"/>
          <w:color w:val="auto"/>
          <w:sz w:val="28"/>
          <w:szCs w:val="28"/>
          <w:highlight w:val="none"/>
        </w:rPr>
      </w:pPr>
    </w:p>
    <w:p w14:paraId="0D179284">
      <w:pPr>
        <w:spacing w:line="500" w:lineRule="exact"/>
        <w:jc w:val="center"/>
        <w:rPr>
          <w:rFonts w:hAnsi="宋体"/>
          <w:b/>
          <w:color w:val="auto"/>
          <w:sz w:val="44"/>
          <w:szCs w:val="32"/>
          <w:highlight w:val="none"/>
        </w:rPr>
      </w:pPr>
    </w:p>
    <w:p w14:paraId="75FB01BF">
      <w:pPr>
        <w:spacing w:line="500" w:lineRule="exact"/>
        <w:jc w:val="center"/>
        <w:rPr>
          <w:rFonts w:hAnsi="宋体"/>
          <w:b/>
          <w:color w:val="auto"/>
          <w:sz w:val="44"/>
          <w:szCs w:val="32"/>
          <w:highlight w:val="none"/>
        </w:rPr>
      </w:pPr>
    </w:p>
    <w:p w14:paraId="4BD88F1F">
      <w:pPr>
        <w:spacing w:line="500" w:lineRule="exact"/>
        <w:jc w:val="center"/>
        <w:rPr>
          <w:rFonts w:hAnsi="宋体"/>
          <w:b/>
          <w:color w:val="auto"/>
          <w:sz w:val="44"/>
          <w:szCs w:val="32"/>
          <w:highlight w:val="none"/>
        </w:rPr>
      </w:pPr>
    </w:p>
    <w:p w14:paraId="17E063E7">
      <w:pPr>
        <w:spacing w:line="500" w:lineRule="exact"/>
        <w:jc w:val="center"/>
        <w:rPr>
          <w:rFonts w:hAnsi="宋体"/>
          <w:b/>
          <w:color w:val="auto"/>
          <w:sz w:val="44"/>
          <w:szCs w:val="32"/>
          <w:highlight w:val="none"/>
        </w:rPr>
      </w:pPr>
    </w:p>
    <w:p w14:paraId="1856BF12">
      <w:pPr>
        <w:spacing w:line="500" w:lineRule="exact"/>
        <w:jc w:val="center"/>
        <w:rPr>
          <w:rFonts w:hAnsi="宋体"/>
          <w:b/>
          <w:color w:val="auto"/>
          <w:sz w:val="44"/>
          <w:szCs w:val="32"/>
          <w:highlight w:val="none"/>
        </w:rPr>
      </w:pPr>
    </w:p>
    <w:p w14:paraId="43F94093">
      <w:pPr>
        <w:spacing w:line="500" w:lineRule="exact"/>
        <w:jc w:val="center"/>
        <w:outlineLvl w:val="1"/>
        <w:rPr>
          <w:rFonts w:hAnsi="宋体"/>
          <w:b/>
          <w:color w:val="auto"/>
          <w:sz w:val="44"/>
          <w:szCs w:val="32"/>
          <w:highlight w:val="none"/>
        </w:rPr>
      </w:pPr>
      <w:bookmarkStart w:id="1781" w:name="_Toc13799"/>
      <w:r>
        <w:rPr>
          <w:rFonts w:hint="eastAsia" w:hAnsi="宋体"/>
          <w:b/>
          <w:color w:val="auto"/>
          <w:sz w:val="44"/>
          <w:szCs w:val="32"/>
          <w:highlight w:val="none"/>
        </w:rPr>
        <w:t>价格文件（封面）</w:t>
      </w:r>
      <w:bookmarkEnd w:id="1781"/>
    </w:p>
    <w:p w14:paraId="363218C0">
      <w:pPr>
        <w:spacing w:line="500" w:lineRule="exact"/>
        <w:jc w:val="center"/>
        <w:rPr>
          <w:rFonts w:hAnsi="宋体"/>
          <w:color w:val="auto"/>
          <w:sz w:val="28"/>
          <w:szCs w:val="28"/>
          <w:highlight w:val="none"/>
        </w:rPr>
      </w:pPr>
    </w:p>
    <w:p w14:paraId="589D22D3">
      <w:pPr>
        <w:spacing w:line="500" w:lineRule="exact"/>
        <w:jc w:val="center"/>
        <w:rPr>
          <w:rFonts w:hAnsi="宋体"/>
          <w:color w:val="auto"/>
          <w:sz w:val="28"/>
          <w:szCs w:val="28"/>
          <w:highlight w:val="none"/>
        </w:rPr>
      </w:pPr>
    </w:p>
    <w:p w14:paraId="70F09C81">
      <w:pPr>
        <w:spacing w:line="500" w:lineRule="exact"/>
        <w:ind w:firstLine="2550" w:firstLineChars="911"/>
        <w:rPr>
          <w:rFonts w:hAnsi="宋体"/>
          <w:color w:val="auto"/>
          <w:sz w:val="28"/>
          <w:szCs w:val="28"/>
          <w:highlight w:val="none"/>
          <w:u w:val="single"/>
        </w:rPr>
      </w:pPr>
      <w:r>
        <w:rPr>
          <w:rFonts w:hint="eastAsia" w:hAnsi="宋体"/>
          <w:color w:val="auto"/>
          <w:sz w:val="28"/>
          <w:szCs w:val="28"/>
          <w:highlight w:val="none"/>
        </w:rPr>
        <w:t>项目编号：</w:t>
      </w:r>
      <w:r>
        <w:rPr>
          <w:rFonts w:hint="eastAsia" w:hAnsi="宋体"/>
          <w:color w:val="auto"/>
          <w:sz w:val="28"/>
          <w:szCs w:val="28"/>
          <w:highlight w:val="none"/>
          <w:u w:val="single"/>
        </w:rPr>
        <w:t xml:space="preserve">                       </w:t>
      </w:r>
    </w:p>
    <w:p w14:paraId="74C3E2B0">
      <w:pPr>
        <w:tabs>
          <w:tab w:val="left" w:pos="3240"/>
        </w:tabs>
        <w:spacing w:line="500" w:lineRule="exact"/>
        <w:ind w:firstLine="2550" w:firstLineChars="911"/>
        <w:rPr>
          <w:rFonts w:hAnsi="宋体"/>
          <w:color w:val="auto"/>
          <w:sz w:val="28"/>
          <w:szCs w:val="28"/>
          <w:highlight w:val="none"/>
          <w:u w:val="single"/>
        </w:rPr>
      </w:pPr>
      <w:r>
        <w:rPr>
          <w:rFonts w:hint="eastAsia" w:hAnsi="宋体"/>
          <w:color w:val="auto"/>
          <w:sz w:val="28"/>
          <w:szCs w:val="28"/>
          <w:highlight w:val="none"/>
        </w:rPr>
        <w:t>项目名称：</w:t>
      </w:r>
      <w:r>
        <w:rPr>
          <w:rFonts w:hint="eastAsia" w:hAnsi="宋体"/>
          <w:color w:val="auto"/>
          <w:sz w:val="28"/>
          <w:szCs w:val="28"/>
          <w:highlight w:val="none"/>
          <w:u w:val="single"/>
        </w:rPr>
        <w:t xml:space="preserve">                       </w:t>
      </w:r>
    </w:p>
    <w:p w14:paraId="35393BB4">
      <w:pPr>
        <w:tabs>
          <w:tab w:val="left" w:pos="2625"/>
        </w:tabs>
        <w:spacing w:line="500" w:lineRule="exact"/>
        <w:ind w:firstLine="2550" w:firstLineChars="911"/>
        <w:jc w:val="left"/>
        <w:rPr>
          <w:rFonts w:hAnsi="宋体"/>
          <w:color w:val="auto"/>
          <w:sz w:val="28"/>
          <w:szCs w:val="28"/>
          <w:highlight w:val="none"/>
          <w:u w:val="single"/>
        </w:rPr>
      </w:pPr>
      <w:r>
        <w:rPr>
          <w:rFonts w:hint="eastAsia" w:hAnsi="宋体"/>
          <w:color w:val="auto"/>
          <w:sz w:val="28"/>
          <w:szCs w:val="28"/>
          <w:highlight w:val="none"/>
        </w:rPr>
        <w:t>供应商名称：</w:t>
      </w:r>
      <w:r>
        <w:rPr>
          <w:rFonts w:hint="eastAsia" w:hAnsi="宋体"/>
          <w:color w:val="auto"/>
          <w:sz w:val="28"/>
          <w:szCs w:val="28"/>
          <w:highlight w:val="none"/>
          <w:u w:val="single"/>
        </w:rPr>
        <w:t xml:space="preserve">                     </w:t>
      </w:r>
    </w:p>
    <w:p w14:paraId="7FC2D9BF">
      <w:pPr>
        <w:tabs>
          <w:tab w:val="left" w:pos="2625"/>
        </w:tabs>
        <w:spacing w:line="500" w:lineRule="exact"/>
        <w:ind w:firstLine="2550" w:firstLineChars="911"/>
        <w:jc w:val="left"/>
        <w:rPr>
          <w:rFonts w:hAnsi="宋体"/>
          <w:color w:val="auto"/>
          <w:sz w:val="28"/>
          <w:szCs w:val="28"/>
          <w:highlight w:val="none"/>
          <w:u w:val="single"/>
        </w:rPr>
      </w:pPr>
      <w:r>
        <w:rPr>
          <w:rFonts w:hint="eastAsia" w:hAnsi="宋体"/>
          <w:color w:val="auto"/>
          <w:sz w:val="28"/>
          <w:szCs w:val="28"/>
          <w:highlight w:val="none"/>
        </w:rPr>
        <w:t>供应商地址：</w:t>
      </w:r>
      <w:r>
        <w:rPr>
          <w:rFonts w:hint="eastAsia" w:hAnsi="宋体"/>
          <w:color w:val="auto"/>
          <w:sz w:val="28"/>
          <w:szCs w:val="28"/>
          <w:highlight w:val="none"/>
          <w:u w:val="single"/>
        </w:rPr>
        <w:t xml:space="preserve">                     </w:t>
      </w:r>
    </w:p>
    <w:p w14:paraId="13F2D0A9">
      <w:pPr>
        <w:spacing w:line="500" w:lineRule="exact"/>
        <w:rPr>
          <w:rFonts w:hAnsi="宋体"/>
          <w:color w:val="auto"/>
          <w:sz w:val="28"/>
          <w:szCs w:val="28"/>
          <w:highlight w:val="none"/>
        </w:rPr>
      </w:pPr>
    </w:p>
    <w:p w14:paraId="793BCCF1">
      <w:pPr>
        <w:spacing w:line="500" w:lineRule="exact"/>
        <w:jc w:val="center"/>
        <w:rPr>
          <w:rFonts w:hAnsi="宋体"/>
          <w:color w:val="auto"/>
          <w:sz w:val="28"/>
          <w:szCs w:val="28"/>
          <w:highlight w:val="none"/>
        </w:rPr>
      </w:pPr>
      <w:r>
        <w:rPr>
          <w:rFonts w:hint="eastAsia" w:hAnsi="宋体"/>
          <w:color w:val="auto"/>
          <w:sz w:val="28"/>
          <w:szCs w:val="28"/>
          <w:highlight w:val="none"/>
        </w:rPr>
        <w:t>年</w:t>
      </w:r>
      <w:r>
        <w:rPr>
          <w:rFonts w:hint="eastAsia" w:hAnsi="宋体" w:cs="宋体"/>
          <w:color w:val="auto"/>
          <w:sz w:val="28"/>
          <w:szCs w:val="28"/>
          <w:highlight w:val="none"/>
        </w:rPr>
        <w:t xml:space="preserve">    </w:t>
      </w:r>
      <w:r>
        <w:rPr>
          <w:rFonts w:hint="eastAsia" w:hAnsi="宋体"/>
          <w:color w:val="auto"/>
          <w:sz w:val="28"/>
          <w:szCs w:val="28"/>
          <w:highlight w:val="none"/>
        </w:rPr>
        <w:t>月    日</w:t>
      </w:r>
    </w:p>
    <w:p w14:paraId="29EAB92B">
      <w:pPr>
        <w:ind w:right="384" w:rightChars="183"/>
        <w:jc w:val="left"/>
        <w:rPr>
          <w:rFonts w:hAnsi="宋体"/>
          <w:b/>
          <w:color w:val="auto"/>
          <w:sz w:val="28"/>
          <w:szCs w:val="28"/>
          <w:highlight w:val="none"/>
        </w:rPr>
      </w:pPr>
    </w:p>
    <w:p w14:paraId="2A81177D">
      <w:pPr>
        <w:ind w:right="384" w:rightChars="183"/>
        <w:jc w:val="left"/>
        <w:rPr>
          <w:rFonts w:hAnsi="宋体"/>
          <w:b/>
          <w:color w:val="auto"/>
          <w:sz w:val="28"/>
          <w:szCs w:val="28"/>
          <w:highlight w:val="none"/>
        </w:rPr>
        <w:sectPr>
          <w:pgSz w:w="11906" w:h="16838"/>
          <w:pgMar w:top="1304" w:right="1304" w:bottom="1304" w:left="1304" w:header="720" w:footer="720" w:gutter="0"/>
          <w:cols w:space="720" w:num="1"/>
          <w:docGrid w:type="lines" w:linePitch="312" w:charSpace="0"/>
        </w:sectPr>
      </w:pPr>
    </w:p>
    <w:p w14:paraId="70B4C5AF">
      <w:pPr>
        <w:spacing w:line="400" w:lineRule="exact"/>
        <w:ind w:firstLine="317" w:firstLineChars="151"/>
        <w:jc w:val="center"/>
        <w:rPr>
          <w:rFonts w:hAnsi="宋体"/>
          <w:color w:val="auto"/>
          <w:szCs w:val="21"/>
          <w:highlight w:val="none"/>
        </w:rPr>
      </w:pPr>
    </w:p>
    <w:p w14:paraId="105C8688">
      <w:pPr>
        <w:spacing w:line="400" w:lineRule="exact"/>
        <w:ind w:firstLine="317" w:firstLineChars="151"/>
        <w:jc w:val="center"/>
        <w:rPr>
          <w:rFonts w:hAnsi="宋体"/>
          <w:color w:val="auto"/>
          <w:szCs w:val="21"/>
          <w:highlight w:val="none"/>
        </w:rPr>
      </w:pPr>
      <w:r>
        <w:rPr>
          <w:rFonts w:hint="eastAsia" w:hAnsi="宋体"/>
          <w:color w:val="auto"/>
          <w:szCs w:val="21"/>
          <w:highlight w:val="none"/>
        </w:rPr>
        <w:t>目录（页码自行编制）</w:t>
      </w:r>
    </w:p>
    <w:p w14:paraId="6B71DB83">
      <w:pPr>
        <w:spacing w:line="440" w:lineRule="exact"/>
        <w:ind w:firstLine="420" w:firstLineChars="200"/>
        <w:rPr>
          <w:rFonts w:hAnsi="宋体"/>
          <w:color w:val="auto"/>
          <w:szCs w:val="21"/>
          <w:highlight w:val="none"/>
        </w:rPr>
      </w:pPr>
    </w:p>
    <w:p w14:paraId="65FDB83E">
      <w:pPr>
        <w:spacing w:line="400" w:lineRule="exact"/>
        <w:ind w:firstLine="317" w:firstLineChars="151"/>
        <w:rPr>
          <w:rFonts w:asciiTheme="minorEastAsia" w:hAnsiTheme="minorEastAsia" w:eastAsiaTheme="minorEastAsia"/>
          <w:b/>
          <w:color w:val="auto"/>
          <w:szCs w:val="21"/>
          <w:highlight w:val="none"/>
        </w:rPr>
      </w:pPr>
      <w:r>
        <w:rPr>
          <w:rFonts w:hint="eastAsia" w:asciiTheme="minorEastAsia" w:hAnsiTheme="minorEastAsia" w:eastAsiaTheme="minorEastAsia"/>
          <w:color w:val="auto"/>
          <w:szCs w:val="21"/>
          <w:highlight w:val="none"/>
        </w:rPr>
        <w:t>1、磋商响应函及磋商函附录（格式见第七章）；</w:t>
      </w:r>
      <w:r>
        <w:rPr>
          <w:rFonts w:hint="eastAsia" w:asciiTheme="minorEastAsia" w:hAnsiTheme="minorEastAsia" w:eastAsiaTheme="minorEastAsia"/>
          <w:b/>
          <w:color w:val="auto"/>
          <w:szCs w:val="21"/>
          <w:highlight w:val="none"/>
        </w:rPr>
        <w:t>（必须提供，否则磋商无效）</w:t>
      </w:r>
    </w:p>
    <w:p w14:paraId="3DC59217">
      <w:pPr>
        <w:spacing w:line="400" w:lineRule="exact"/>
        <w:ind w:firstLine="317" w:firstLineChars="151"/>
        <w:rPr>
          <w:rFonts w:asciiTheme="minorEastAsia" w:hAnsiTheme="minorEastAsia" w:eastAsiaTheme="minorEastAsia"/>
          <w:b/>
          <w:color w:val="auto"/>
          <w:szCs w:val="21"/>
          <w:highlight w:val="none"/>
        </w:rPr>
      </w:pPr>
      <w:r>
        <w:rPr>
          <w:rFonts w:hint="eastAsia" w:asciiTheme="minorEastAsia" w:hAnsiTheme="minorEastAsia" w:eastAsiaTheme="minorEastAsia"/>
          <w:color w:val="auto"/>
          <w:szCs w:val="21"/>
          <w:highlight w:val="none"/>
        </w:rPr>
        <w:t>2、磋商报价表；</w:t>
      </w:r>
      <w:r>
        <w:rPr>
          <w:rFonts w:hint="eastAsia" w:asciiTheme="minorEastAsia" w:hAnsiTheme="minorEastAsia" w:eastAsiaTheme="minorEastAsia"/>
          <w:b/>
          <w:color w:val="auto"/>
          <w:szCs w:val="21"/>
          <w:highlight w:val="none"/>
        </w:rPr>
        <w:t>（必须提供，否则磋商无效）</w:t>
      </w:r>
    </w:p>
    <w:p w14:paraId="5D3EFC56">
      <w:pPr>
        <w:spacing w:line="400" w:lineRule="exact"/>
        <w:ind w:firstLine="317" w:firstLineChars="15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w:t>
      </w:r>
      <w:r>
        <w:rPr>
          <w:rFonts w:asciiTheme="minorEastAsia" w:hAnsiTheme="minorEastAsia" w:eastAsiaTheme="minorEastAsia"/>
          <w:color w:val="auto"/>
          <w:highlight w:val="none"/>
        </w:rPr>
        <w:t>已标价工程量清单</w:t>
      </w:r>
      <w:r>
        <w:rPr>
          <w:rFonts w:hint="eastAsia" w:asciiTheme="minorEastAsia" w:hAnsiTheme="minorEastAsia" w:eastAsiaTheme="minorEastAsia"/>
          <w:color w:val="auto"/>
          <w:szCs w:val="21"/>
          <w:highlight w:val="none"/>
        </w:rPr>
        <w:t>（格式见第七章）；</w:t>
      </w:r>
      <w:r>
        <w:rPr>
          <w:rFonts w:hint="eastAsia" w:asciiTheme="minorEastAsia" w:hAnsiTheme="minorEastAsia" w:eastAsiaTheme="minorEastAsia"/>
          <w:b/>
          <w:color w:val="auto"/>
          <w:szCs w:val="21"/>
          <w:highlight w:val="none"/>
        </w:rPr>
        <w:t>（必须提供，否则磋商无效）</w:t>
      </w:r>
    </w:p>
    <w:p w14:paraId="19C00AF1">
      <w:pPr>
        <w:spacing w:line="440" w:lineRule="exact"/>
        <w:ind w:firstLine="283" w:firstLineChars="135"/>
        <w:rPr>
          <w:rFonts w:hAnsi="宋体"/>
          <w:color w:val="auto"/>
          <w:szCs w:val="21"/>
          <w:highlight w:val="none"/>
        </w:rPr>
      </w:pPr>
      <w:r>
        <w:rPr>
          <w:rFonts w:hint="eastAsia" w:asciiTheme="minorEastAsia" w:hAnsiTheme="minorEastAsia" w:eastAsiaTheme="minorEastAsia"/>
          <w:color w:val="auto"/>
          <w:szCs w:val="21"/>
          <w:highlight w:val="none"/>
        </w:rPr>
        <w:t>4、供应商针对报价需要说明的其他文件和说明（格式自拟）</w:t>
      </w:r>
    </w:p>
    <w:p w14:paraId="2A58940D">
      <w:pPr>
        <w:spacing w:line="440" w:lineRule="exact"/>
        <w:ind w:firstLine="420" w:firstLineChars="200"/>
        <w:rPr>
          <w:rFonts w:hAnsi="宋体"/>
          <w:color w:val="auto"/>
          <w:szCs w:val="21"/>
          <w:highlight w:val="none"/>
        </w:rPr>
        <w:sectPr>
          <w:pgSz w:w="11906" w:h="16838"/>
          <w:pgMar w:top="1304" w:right="1304" w:bottom="1304" w:left="1304" w:header="720" w:footer="720" w:gutter="0"/>
          <w:cols w:space="720" w:num="1"/>
          <w:docGrid w:type="lines" w:linePitch="312" w:charSpace="0"/>
        </w:sectPr>
      </w:pPr>
    </w:p>
    <w:p w14:paraId="046E2B57">
      <w:pPr>
        <w:spacing w:line="440" w:lineRule="exact"/>
        <w:ind w:firstLine="420" w:firstLineChars="200"/>
        <w:jc w:val="left"/>
        <w:rPr>
          <w:rFonts w:hAnsi="宋体"/>
          <w:color w:val="auto"/>
          <w:szCs w:val="21"/>
          <w:highlight w:val="none"/>
        </w:rPr>
      </w:pPr>
      <w:r>
        <w:rPr>
          <w:rFonts w:hint="eastAsia" w:hAnsi="宋体"/>
          <w:color w:val="auto"/>
          <w:szCs w:val="21"/>
          <w:highlight w:val="none"/>
        </w:rPr>
        <w:t>1、</w:t>
      </w:r>
      <w:r>
        <w:rPr>
          <w:rFonts w:hint="eastAsia" w:asciiTheme="minorEastAsia" w:hAnsiTheme="minorEastAsia" w:eastAsiaTheme="minorEastAsia"/>
          <w:color w:val="auto"/>
          <w:szCs w:val="21"/>
          <w:highlight w:val="none"/>
        </w:rPr>
        <w:t>磋商响应函及磋商函附录</w:t>
      </w:r>
    </w:p>
    <w:p w14:paraId="43CEF003">
      <w:pPr>
        <w:spacing w:line="440" w:lineRule="exact"/>
        <w:ind w:firstLine="420" w:firstLineChars="200"/>
        <w:jc w:val="center"/>
        <w:rPr>
          <w:rFonts w:hAnsi="宋体"/>
          <w:color w:val="auto"/>
          <w:szCs w:val="21"/>
          <w:highlight w:val="none"/>
        </w:rPr>
      </w:pPr>
      <w:r>
        <w:rPr>
          <w:rFonts w:hint="eastAsia" w:hAnsi="宋体"/>
          <w:color w:val="auto"/>
          <w:szCs w:val="21"/>
          <w:highlight w:val="none"/>
        </w:rPr>
        <w:t>磋商响应函</w:t>
      </w:r>
    </w:p>
    <w:p w14:paraId="75B18D17">
      <w:pPr>
        <w:spacing w:line="440" w:lineRule="exact"/>
        <w:ind w:firstLine="420" w:firstLineChars="200"/>
        <w:rPr>
          <w:rFonts w:hAnsi="宋体"/>
          <w:color w:val="auto"/>
          <w:szCs w:val="21"/>
          <w:highlight w:val="none"/>
        </w:rPr>
      </w:pPr>
      <w:r>
        <w:rPr>
          <w:rFonts w:hint="eastAsia" w:hAnsi="宋体"/>
          <w:color w:val="auto"/>
          <w:szCs w:val="21"/>
          <w:highlight w:val="none"/>
        </w:rPr>
        <w:t>致：</w:t>
      </w:r>
      <w:r>
        <w:rPr>
          <w:rFonts w:cs="Arial" w:asciiTheme="minorEastAsia" w:hAnsiTheme="minorEastAsia" w:eastAsiaTheme="minorEastAsia"/>
          <w:color w:val="auto"/>
          <w:szCs w:val="21"/>
          <w:highlight w:val="none"/>
          <w:u w:val="single"/>
        </w:rPr>
        <w:t>（采购人名称）</w:t>
      </w:r>
    </w:p>
    <w:p w14:paraId="4505753A">
      <w:pPr>
        <w:spacing w:line="440" w:lineRule="exact"/>
        <w:ind w:firstLine="420" w:firstLineChars="200"/>
        <w:rPr>
          <w:rFonts w:hAnsi="宋体"/>
          <w:color w:val="auto"/>
          <w:szCs w:val="21"/>
          <w:highlight w:val="none"/>
        </w:rPr>
      </w:pPr>
      <w:r>
        <w:rPr>
          <w:rFonts w:hint="eastAsia" w:hAnsi="宋体"/>
          <w:color w:val="auto"/>
          <w:szCs w:val="21"/>
          <w:highlight w:val="none"/>
        </w:rPr>
        <w:t>我方已仔细阅读了贵方组织的</w:t>
      </w:r>
      <w:r>
        <w:rPr>
          <w:rFonts w:hint="eastAsia" w:hAnsi="宋体"/>
          <w:color w:val="auto"/>
          <w:szCs w:val="21"/>
          <w:highlight w:val="none"/>
          <w:u w:val="single"/>
        </w:rPr>
        <w:t xml:space="preserve">           </w:t>
      </w:r>
      <w:r>
        <w:rPr>
          <w:rFonts w:hint="eastAsia" w:hAnsi="宋体"/>
          <w:color w:val="auto"/>
          <w:szCs w:val="21"/>
          <w:highlight w:val="none"/>
        </w:rPr>
        <w:t>项目（项目编号：</w:t>
      </w:r>
      <w:r>
        <w:rPr>
          <w:rFonts w:hint="eastAsia" w:hAnsi="宋体"/>
          <w:color w:val="auto"/>
          <w:szCs w:val="21"/>
          <w:highlight w:val="none"/>
          <w:u w:val="single"/>
        </w:rPr>
        <w:t xml:space="preserve">         </w:t>
      </w:r>
      <w:r>
        <w:rPr>
          <w:rFonts w:hint="eastAsia" w:hAnsi="宋体"/>
          <w:color w:val="auto"/>
          <w:szCs w:val="21"/>
          <w:highlight w:val="none"/>
        </w:rPr>
        <w:t xml:space="preserve"> ）的竞争性磋商文件的的磋商须知、合同条款、工程建设标准及其他有关文件后，现正式递交下述文件参加贵方组织的本次政府采购活动：</w:t>
      </w:r>
    </w:p>
    <w:p w14:paraId="1D9ACDB6">
      <w:pPr>
        <w:spacing w:line="440" w:lineRule="exact"/>
        <w:ind w:firstLine="420" w:firstLineChars="200"/>
        <w:rPr>
          <w:rFonts w:hAnsi="宋体"/>
          <w:color w:val="auto"/>
          <w:szCs w:val="21"/>
          <w:highlight w:val="none"/>
        </w:rPr>
      </w:pPr>
      <w:r>
        <w:rPr>
          <w:rFonts w:hint="eastAsia" w:hAnsi="宋体"/>
          <w:color w:val="auto"/>
          <w:szCs w:val="21"/>
          <w:highlight w:val="none"/>
        </w:rPr>
        <w:t>一、首次价格文件电子版份（包含按编制要求提交的全部文件）；</w:t>
      </w:r>
    </w:p>
    <w:p w14:paraId="6BCA91B0">
      <w:pPr>
        <w:spacing w:line="440" w:lineRule="exact"/>
        <w:ind w:firstLine="420" w:firstLineChars="200"/>
        <w:rPr>
          <w:rFonts w:hAnsi="宋体"/>
          <w:color w:val="auto"/>
          <w:szCs w:val="21"/>
          <w:highlight w:val="none"/>
        </w:rPr>
      </w:pPr>
      <w:r>
        <w:rPr>
          <w:rFonts w:hint="eastAsia" w:hAnsi="宋体"/>
          <w:color w:val="auto"/>
          <w:szCs w:val="21"/>
          <w:highlight w:val="none"/>
        </w:rPr>
        <w:t>二、技术文件电子版份（包含按按编制要求提交的全部文件）；商务文件电子版份（包含按按编制要求提交的全部文件）；（商务、技术文件已合并成册）</w:t>
      </w:r>
    </w:p>
    <w:p w14:paraId="78746A6A">
      <w:pPr>
        <w:spacing w:line="440" w:lineRule="exact"/>
        <w:ind w:firstLine="420" w:firstLineChars="200"/>
        <w:rPr>
          <w:rFonts w:hAnsi="宋体"/>
          <w:color w:val="auto"/>
          <w:szCs w:val="21"/>
          <w:highlight w:val="none"/>
        </w:rPr>
      </w:pPr>
      <w:r>
        <w:rPr>
          <w:rFonts w:hint="eastAsia" w:hAnsi="宋体"/>
          <w:color w:val="auto"/>
          <w:szCs w:val="21"/>
          <w:highlight w:val="none"/>
        </w:rPr>
        <w:t>据此函，签字人兹宣布：</w:t>
      </w:r>
    </w:p>
    <w:p w14:paraId="1A196F94">
      <w:pPr>
        <w:spacing w:line="440" w:lineRule="exact"/>
        <w:ind w:firstLine="420" w:firstLineChars="200"/>
        <w:rPr>
          <w:rFonts w:hAnsi="宋体"/>
          <w:color w:val="auto"/>
          <w:szCs w:val="21"/>
          <w:highlight w:val="none"/>
        </w:rPr>
      </w:pPr>
      <w:r>
        <w:rPr>
          <w:rFonts w:hint="eastAsia" w:hAnsi="宋体"/>
          <w:color w:val="auto"/>
          <w:szCs w:val="21"/>
          <w:highlight w:val="none"/>
        </w:rPr>
        <w:t>1、我方愿意以（大写）人民币</w:t>
      </w:r>
      <w:r>
        <w:rPr>
          <w:rFonts w:hint="eastAsia" w:hAnsi="宋体"/>
          <w:color w:val="auto"/>
          <w:szCs w:val="21"/>
          <w:highlight w:val="none"/>
          <w:u w:val="single"/>
        </w:rPr>
        <w:t xml:space="preserve">              </w:t>
      </w:r>
      <w:r>
        <w:rPr>
          <w:rFonts w:hint="eastAsia" w:hAnsi="宋体"/>
          <w:color w:val="auto"/>
          <w:szCs w:val="21"/>
          <w:highlight w:val="none"/>
        </w:rPr>
        <w:t>（￥</w:t>
      </w:r>
      <w:r>
        <w:rPr>
          <w:rFonts w:hint="eastAsia" w:hAnsi="宋体"/>
          <w:color w:val="auto"/>
          <w:szCs w:val="21"/>
          <w:highlight w:val="none"/>
          <w:u w:val="single"/>
        </w:rPr>
        <w:t xml:space="preserve">                </w:t>
      </w:r>
      <w:r>
        <w:rPr>
          <w:rFonts w:hint="eastAsia" w:hAnsi="宋体"/>
          <w:color w:val="auto"/>
          <w:szCs w:val="21"/>
          <w:highlight w:val="none"/>
        </w:rPr>
        <w:t>元)的磋商总报价按上述合同条款、工程建设标准和工程量清单的条件要求承包上述工程的施工、竣工，并承担任何质量缺陷责任。</w:t>
      </w:r>
    </w:p>
    <w:p w14:paraId="55983BA6">
      <w:pPr>
        <w:spacing w:line="440" w:lineRule="exact"/>
        <w:ind w:firstLine="420" w:firstLineChars="200"/>
        <w:rPr>
          <w:rFonts w:hAnsi="宋体"/>
          <w:color w:val="auto"/>
          <w:szCs w:val="21"/>
          <w:highlight w:val="none"/>
        </w:rPr>
      </w:pPr>
      <w:r>
        <w:rPr>
          <w:rFonts w:hint="eastAsia" w:hAnsi="宋体"/>
          <w:color w:val="auto"/>
          <w:szCs w:val="21"/>
          <w:highlight w:val="none"/>
        </w:rPr>
        <w:t>2、我方同意自本项目竞争性磋商采购文件采购公告规定的递交响应文件截止时间起遵循本响应函，并承诺在“第二章 磋商须知及前附表”规定的响应有效期内不修改、撤销响应文件。</w:t>
      </w:r>
    </w:p>
    <w:p w14:paraId="62C4B4D7">
      <w:pPr>
        <w:spacing w:line="440" w:lineRule="exact"/>
        <w:ind w:firstLine="420" w:firstLineChars="200"/>
        <w:rPr>
          <w:rFonts w:hAnsi="宋体"/>
          <w:color w:val="auto"/>
          <w:szCs w:val="21"/>
          <w:highlight w:val="none"/>
        </w:rPr>
      </w:pPr>
      <w:r>
        <w:rPr>
          <w:rFonts w:hint="eastAsia" w:hAnsi="宋体"/>
          <w:color w:val="auto"/>
          <w:szCs w:val="21"/>
          <w:highlight w:val="none"/>
        </w:rPr>
        <w:t>3、我方在此声明，所递交的响应文件及有关资料内容完整、真实和准确。</w:t>
      </w:r>
    </w:p>
    <w:p w14:paraId="5F2459C1">
      <w:pPr>
        <w:spacing w:line="440" w:lineRule="exact"/>
        <w:ind w:firstLine="420" w:firstLineChars="200"/>
        <w:rPr>
          <w:rFonts w:hAnsi="宋体"/>
          <w:color w:val="auto"/>
          <w:szCs w:val="21"/>
          <w:highlight w:val="none"/>
        </w:rPr>
      </w:pPr>
      <w:r>
        <w:rPr>
          <w:rFonts w:hint="eastAsia" w:hAnsi="宋体"/>
          <w:color w:val="auto"/>
          <w:szCs w:val="21"/>
          <w:highlight w:val="none"/>
        </w:rPr>
        <w:t>4、如本项目采购内容涉及须符合国家强制规定的，我方承诺我方本次磋商均符合国家有关强制规定。</w:t>
      </w:r>
    </w:p>
    <w:p w14:paraId="2AF5588B">
      <w:pPr>
        <w:spacing w:line="440" w:lineRule="exact"/>
        <w:ind w:firstLine="420" w:firstLineChars="200"/>
        <w:rPr>
          <w:rFonts w:hAnsi="宋体"/>
          <w:color w:val="auto"/>
          <w:szCs w:val="21"/>
          <w:highlight w:val="none"/>
        </w:rPr>
      </w:pPr>
      <w:r>
        <w:rPr>
          <w:rFonts w:hint="eastAsia" w:hAnsi="宋体"/>
          <w:color w:val="auto"/>
          <w:szCs w:val="21"/>
          <w:highlight w:val="none"/>
        </w:rPr>
        <w:t>5、我方承诺未被列入失信被执行人、重大税收违法案件当事人名单、政府采购严重违法失信行为记录名单，并已经具备《中华人民共和国政府采购法》中规定的参加政府采购活动的供应商应当具备的条件：</w:t>
      </w:r>
    </w:p>
    <w:p w14:paraId="75763F1C">
      <w:pPr>
        <w:spacing w:line="440" w:lineRule="exact"/>
        <w:ind w:firstLine="420" w:firstLineChars="200"/>
        <w:rPr>
          <w:rFonts w:hAnsi="宋体"/>
          <w:color w:val="auto"/>
          <w:szCs w:val="21"/>
          <w:highlight w:val="none"/>
        </w:rPr>
      </w:pPr>
      <w:r>
        <w:rPr>
          <w:rFonts w:hint="eastAsia" w:hAnsi="宋体"/>
          <w:color w:val="auto"/>
          <w:szCs w:val="21"/>
          <w:highlight w:val="none"/>
        </w:rPr>
        <w:t>（1）具有独立承担民事责任的能力；</w:t>
      </w:r>
    </w:p>
    <w:p w14:paraId="5FA6E0EB">
      <w:pPr>
        <w:spacing w:line="440" w:lineRule="exact"/>
        <w:ind w:firstLine="420" w:firstLineChars="200"/>
        <w:rPr>
          <w:rFonts w:hAnsi="宋体"/>
          <w:color w:val="auto"/>
          <w:szCs w:val="21"/>
          <w:highlight w:val="none"/>
        </w:rPr>
      </w:pPr>
      <w:r>
        <w:rPr>
          <w:rFonts w:hint="eastAsia" w:hAnsi="宋体"/>
          <w:color w:val="auto"/>
          <w:szCs w:val="21"/>
          <w:highlight w:val="none"/>
        </w:rPr>
        <w:t>（2）具有良好的商业信誉和健全的财务会计制度；</w:t>
      </w:r>
    </w:p>
    <w:p w14:paraId="528FF3A0">
      <w:pPr>
        <w:spacing w:line="440" w:lineRule="exact"/>
        <w:ind w:firstLine="420" w:firstLineChars="200"/>
        <w:rPr>
          <w:rFonts w:hAnsi="宋体"/>
          <w:color w:val="auto"/>
          <w:szCs w:val="21"/>
          <w:highlight w:val="none"/>
        </w:rPr>
      </w:pPr>
      <w:r>
        <w:rPr>
          <w:rFonts w:hint="eastAsia" w:hAnsi="宋体"/>
          <w:color w:val="auto"/>
          <w:szCs w:val="21"/>
          <w:highlight w:val="none"/>
        </w:rPr>
        <w:t>（3）具有履行合同所必需的设备和专业技术能力；</w:t>
      </w:r>
    </w:p>
    <w:p w14:paraId="653F546A">
      <w:pPr>
        <w:spacing w:line="440" w:lineRule="exact"/>
        <w:ind w:firstLine="420" w:firstLineChars="200"/>
        <w:rPr>
          <w:rFonts w:hAnsi="宋体"/>
          <w:color w:val="auto"/>
          <w:szCs w:val="21"/>
          <w:highlight w:val="none"/>
        </w:rPr>
      </w:pPr>
      <w:r>
        <w:rPr>
          <w:rFonts w:hint="eastAsia" w:hAnsi="宋体"/>
          <w:color w:val="auto"/>
          <w:szCs w:val="21"/>
          <w:highlight w:val="none"/>
        </w:rPr>
        <w:t>（4）有依法缴纳税收和社会保障资金的良好记录；</w:t>
      </w:r>
    </w:p>
    <w:p w14:paraId="435EF5B4">
      <w:pPr>
        <w:spacing w:line="440" w:lineRule="exact"/>
        <w:ind w:firstLine="420" w:firstLineChars="200"/>
        <w:rPr>
          <w:rFonts w:hAnsi="宋体"/>
          <w:color w:val="auto"/>
          <w:szCs w:val="21"/>
          <w:highlight w:val="none"/>
        </w:rPr>
      </w:pPr>
      <w:r>
        <w:rPr>
          <w:rFonts w:hint="eastAsia" w:hAnsi="宋体"/>
          <w:color w:val="auto"/>
          <w:szCs w:val="21"/>
          <w:highlight w:val="none"/>
        </w:rPr>
        <w:t>（5）参加政府采购活动前三年内，在经营活动中没有重大违法记录；</w:t>
      </w:r>
    </w:p>
    <w:p w14:paraId="12C7FD71">
      <w:pPr>
        <w:spacing w:line="440" w:lineRule="exact"/>
        <w:ind w:firstLine="420" w:firstLineChars="200"/>
        <w:rPr>
          <w:rFonts w:hAnsi="宋体"/>
          <w:color w:val="auto"/>
          <w:szCs w:val="21"/>
          <w:highlight w:val="none"/>
        </w:rPr>
      </w:pPr>
      <w:r>
        <w:rPr>
          <w:rFonts w:hint="eastAsia" w:hAnsi="宋体"/>
          <w:color w:val="auto"/>
          <w:szCs w:val="21"/>
          <w:highlight w:val="none"/>
        </w:rPr>
        <w:t>（6）法律、行政法规规定的其他条件。</w:t>
      </w:r>
    </w:p>
    <w:p w14:paraId="4328024D">
      <w:pPr>
        <w:spacing w:line="440" w:lineRule="exact"/>
        <w:ind w:firstLine="420" w:firstLineChars="200"/>
        <w:rPr>
          <w:rFonts w:hAnsi="宋体"/>
          <w:color w:val="auto"/>
          <w:szCs w:val="21"/>
          <w:highlight w:val="none"/>
        </w:rPr>
      </w:pPr>
      <w:r>
        <w:rPr>
          <w:rFonts w:hint="eastAsia" w:hAnsi="宋体"/>
          <w:color w:val="auto"/>
          <w:szCs w:val="21"/>
          <w:highlight w:val="none"/>
        </w:rPr>
        <w:t>6、如我方成交，我方承诺在收到成交通知书后，在成交通知书规定的期限内，根据竞争性磋商采购文件、我方的响应文件及有关澄清承诺书的要求按第</w:t>
      </w:r>
      <w:r>
        <w:rPr>
          <w:rFonts w:hint="eastAsia" w:hAnsi="宋体"/>
          <w:color w:val="auto"/>
          <w:szCs w:val="21"/>
          <w:highlight w:val="none"/>
          <w:lang w:val="en-US" w:eastAsia="zh-CN"/>
        </w:rPr>
        <w:t>六</w:t>
      </w:r>
      <w:r>
        <w:rPr>
          <w:rFonts w:hint="eastAsia" w:hAnsi="宋体"/>
          <w:color w:val="auto"/>
          <w:szCs w:val="21"/>
          <w:highlight w:val="none"/>
        </w:rPr>
        <w:t>章“合同条款及格式”与采购人订立书面合同，并按照合同约定承担完成合同的责任和义务。</w:t>
      </w:r>
    </w:p>
    <w:p w14:paraId="3AE95F7A">
      <w:pPr>
        <w:spacing w:line="440" w:lineRule="exact"/>
        <w:ind w:firstLine="420" w:firstLineChars="200"/>
        <w:rPr>
          <w:rFonts w:hAnsi="宋体"/>
          <w:color w:val="auto"/>
          <w:szCs w:val="21"/>
          <w:highlight w:val="none"/>
        </w:rPr>
      </w:pPr>
      <w:r>
        <w:rPr>
          <w:rFonts w:hint="eastAsia" w:hAnsi="宋体"/>
          <w:color w:val="auto"/>
          <w:szCs w:val="21"/>
          <w:highlight w:val="none"/>
        </w:rPr>
        <w:t>7、我方已详细审核竞争性磋商采购文件，我方知道必须放弃提出含糊不清或误解问题的权利。</w:t>
      </w:r>
    </w:p>
    <w:p w14:paraId="3FD4078E">
      <w:pPr>
        <w:spacing w:line="440" w:lineRule="exact"/>
        <w:ind w:firstLine="420" w:firstLineChars="200"/>
        <w:rPr>
          <w:rFonts w:hAnsi="宋体"/>
          <w:color w:val="auto"/>
          <w:szCs w:val="21"/>
          <w:highlight w:val="none"/>
        </w:rPr>
      </w:pPr>
      <w:r>
        <w:rPr>
          <w:rFonts w:hint="eastAsia" w:hAnsi="宋体"/>
          <w:color w:val="auto"/>
          <w:szCs w:val="21"/>
          <w:highlight w:val="none"/>
        </w:rPr>
        <w:t>8、我方承诺满足竞争性磋商采购文件第</w:t>
      </w:r>
      <w:r>
        <w:rPr>
          <w:rFonts w:hint="eastAsia" w:hAnsi="宋体"/>
          <w:color w:val="auto"/>
          <w:szCs w:val="21"/>
          <w:highlight w:val="none"/>
          <w:lang w:val="en-US" w:eastAsia="zh-CN"/>
        </w:rPr>
        <w:t>六</w:t>
      </w:r>
      <w:r>
        <w:rPr>
          <w:rFonts w:hint="eastAsia" w:hAnsi="宋体"/>
          <w:color w:val="auto"/>
          <w:szCs w:val="21"/>
          <w:highlight w:val="none"/>
        </w:rPr>
        <w:t>章“</w:t>
      </w:r>
      <w:r>
        <w:rPr>
          <w:rFonts w:hint="eastAsia" w:asciiTheme="minorEastAsia" w:hAnsiTheme="minorEastAsia" w:eastAsiaTheme="minorEastAsia"/>
          <w:color w:val="auto"/>
          <w:szCs w:val="44"/>
          <w:highlight w:val="none"/>
        </w:rPr>
        <w:t>合同条款及格式</w:t>
      </w:r>
      <w:r>
        <w:rPr>
          <w:rFonts w:hint="eastAsia" w:hAnsi="宋体"/>
          <w:color w:val="auto"/>
          <w:szCs w:val="21"/>
          <w:highlight w:val="none"/>
        </w:rPr>
        <w:t>”的条款，承担完成合同的责任和义务。</w:t>
      </w:r>
    </w:p>
    <w:p w14:paraId="082C9FC0">
      <w:pPr>
        <w:spacing w:line="440" w:lineRule="exact"/>
        <w:ind w:firstLine="420" w:firstLineChars="200"/>
        <w:rPr>
          <w:rFonts w:hAnsi="宋体"/>
          <w:color w:val="auto"/>
          <w:szCs w:val="21"/>
          <w:highlight w:val="none"/>
        </w:rPr>
      </w:pPr>
      <w:r>
        <w:rPr>
          <w:rFonts w:hint="eastAsia" w:hAnsi="宋体"/>
          <w:color w:val="auto"/>
          <w:szCs w:val="21"/>
          <w:highlight w:val="none"/>
        </w:rPr>
        <w:t>9、我方同意应贵方要求提供与本磋商有关的任何数据或资料。若贵方需要，我方愿意提供我方作出的一切承诺的证明材料。</w:t>
      </w:r>
    </w:p>
    <w:p w14:paraId="52568A4A">
      <w:pPr>
        <w:spacing w:line="440" w:lineRule="exact"/>
        <w:ind w:firstLine="420" w:firstLineChars="200"/>
        <w:rPr>
          <w:rFonts w:hAnsi="宋体"/>
          <w:color w:val="auto"/>
          <w:szCs w:val="21"/>
          <w:highlight w:val="none"/>
        </w:rPr>
      </w:pPr>
      <w:r>
        <w:rPr>
          <w:rFonts w:hint="eastAsia" w:hAnsi="宋体"/>
          <w:color w:val="auto"/>
          <w:szCs w:val="21"/>
          <w:highlight w:val="none"/>
        </w:rPr>
        <w:t>10、我方完全理解贵方不一定接受响应报价最低的供应商为成交供应商的行为。</w:t>
      </w:r>
    </w:p>
    <w:p w14:paraId="0E1733B9">
      <w:pPr>
        <w:spacing w:line="440" w:lineRule="exact"/>
        <w:ind w:firstLine="420" w:firstLineChars="200"/>
        <w:rPr>
          <w:rFonts w:hAnsi="宋体"/>
          <w:color w:val="auto"/>
          <w:szCs w:val="21"/>
          <w:highlight w:val="none"/>
        </w:rPr>
      </w:pPr>
      <w:r>
        <w:rPr>
          <w:rFonts w:hint="eastAsia" w:hAnsi="宋体"/>
          <w:color w:val="auto"/>
          <w:szCs w:val="21"/>
          <w:highlight w:val="none"/>
        </w:rPr>
        <w:t>11、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05DE09FC">
      <w:pPr>
        <w:spacing w:line="440" w:lineRule="exact"/>
        <w:ind w:firstLine="420" w:firstLineChars="200"/>
        <w:rPr>
          <w:rFonts w:hAnsi="宋体"/>
          <w:color w:val="auto"/>
          <w:szCs w:val="21"/>
          <w:highlight w:val="none"/>
        </w:rPr>
      </w:pPr>
      <w:r>
        <w:rPr>
          <w:rFonts w:hint="eastAsia" w:hAnsi="宋体"/>
          <w:color w:val="auto"/>
          <w:szCs w:val="21"/>
          <w:highlight w:val="none"/>
        </w:rPr>
        <w:t>（1）提供虚假材料谋取中标、成交的；</w:t>
      </w:r>
    </w:p>
    <w:p w14:paraId="18E34558">
      <w:pPr>
        <w:spacing w:line="440" w:lineRule="exact"/>
        <w:ind w:firstLine="420" w:firstLineChars="200"/>
        <w:rPr>
          <w:rFonts w:hAnsi="宋体"/>
          <w:color w:val="auto"/>
          <w:szCs w:val="21"/>
          <w:highlight w:val="none"/>
        </w:rPr>
      </w:pPr>
      <w:r>
        <w:rPr>
          <w:rFonts w:hint="eastAsia" w:hAnsi="宋体"/>
          <w:color w:val="auto"/>
          <w:szCs w:val="21"/>
          <w:highlight w:val="none"/>
        </w:rPr>
        <w:t>（2）采取不正当手段诋毁、排挤其他供应商的；</w:t>
      </w:r>
    </w:p>
    <w:p w14:paraId="6632A283">
      <w:pPr>
        <w:spacing w:line="440" w:lineRule="exact"/>
        <w:ind w:firstLine="420" w:firstLineChars="200"/>
        <w:rPr>
          <w:rFonts w:hAnsi="宋体"/>
          <w:color w:val="auto"/>
          <w:szCs w:val="21"/>
          <w:highlight w:val="none"/>
        </w:rPr>
      </w:pPr>
      <w:r>
        <w:rPr>
          <w:rFonts w:hint="eastAsia" w:hAnsi="宋体"/>
          <w:color w:val="auto"/>
          <w:szCs w:val="21"/>
          <w:highlight w:val="none"/>
        </w:rPr>
        <w:t>（3）与采购人、其他供应商或者采购代理机构恶意串通的；</w:t>
      </w:r>
    </w:p>
    <w:p w14:paraId="009B4693">
      <w:pPr>
        <w:spacing w:line="440" w:lineRule="exact"/>
        <w:ind w:firstLine="420" w:firstLineChars="200"/>
        <w:rPr>
          <w:rFonts w:hAnsi="宋体"/>
          <w:color w:val="auto"/>
          <w:szCs w:val="21"/>
          <w:highlight w:val="none"/>
        </w:rPr>
      </w:pPr>
      <w:r>
        <w:rPr>
          <w:rFonts w:hint="eastAsia" w:hAnsi="宋体"/>
          <w:color w:val="auto"/>
          <w:szCs w:val="21"/>
          <w:highlight w:val="none"/>
        </w:rPr>
        <w:t>（4）向采购人、采购代理机构行贿或者提供其他不正当利益的；</w:t>
      </w:r>
    </w:p>
    <w:p w14:paraId="2244C4AC">
      <w:pPr>
        <w:spacing w:line="440" w:lineRule="exact"/>
        <w:ind w:firstLine="420" w:firstLineChars="200"/>
        <w:rPr>
          <w:rFonts w:hAnsi="宋体"/>
          <w:color w:val="auto"/>
          <w:szCs w:val="21"/>
          <w:highlight w:val="none"/>
        </w:rPr>
      </w:pPr>
      <w:r>
        <w:rPr>
          <w:rFonts w:hint="eastAsia" w:hAnsi="宋体"/>
          <w:color w:val="auto"/>
          <w:szCs w:val="21"/>
          <w:highlight w:val="none"/>
        </w:rPr>
        <w:t>（5）在采购过程中与采购人进行协商磋商的；</w:t>
      </w:r>
    </w:p>
    <w:p w14:paraId="39E0AA3F">
      <w:pPr>
        <w:spacing w:line="440" w:lineRule="exact"/>
        <w:ind w:firstLine="420" w:firstLineChars="200"/>
        <w:rPr>
          <w:rFonts w:hAnsi="宋体"/>
          <w:color w:val="auto"/>
          <w:szCs w:val="21"/>
          <w:highlight w:val="none"/>
        </w:rPr>
      </w:pPr>
      <w:r>
        <w:rPr>
          <w:rFonts w:hint="eastAsia" w:hAnsi="宋体"/>
          <w:color w:val="auto"/>
          <w:szCs w:val="21"/>
          <w:highlight w:val="none"/>
        </w:rPr>
        <w:t>（6）拒绝有关部门监督检查或提供虚假情况的。</w:t>
      </w:r>
    </w:p>
    <w:p w14:paraId="761C77BD">
      <w:pPr>
        <w:spacing w:line="440" w:lineRule="exact"/>
        <w:ind w:firstLine="420" w:firstLineChars="200"/>
        <w:rPr>
          <w:rFonts w:hAnsi="宋体"/>
          <w:color w:val="auto"/>
          <w:szCs w:val="21"/>
          <w:highlight w:val="none"/>
        </w:rPr>
      </w:pPr>
      <w:r>
        <w:rPr>
          <w:rFonts w:hint="eastAsia" w:hAnsi="宋体"/>
          <w:color w:val="auto"/>
          <w:szCs w:val="21"/>
          <w:highlight w:val="none"/>
        </w:rPr>
        <w:t>12.与本磋商有关的一切正式往来信函请寄：</w:t>
      </w:r>
    </w:p>
    <w:p w14:paraId="28576B36">
      <w:pPr>
        <w:wordWrap w:val="0"/>
        <w:spacing w:line="440" w:lineRule="exact"/>
        <w:ind w:firstLine="420" w:firstLineChars="200"/>
        <w:rPr>
          <w:rFonts w:hAnsi="宋体"/>
          <w:color w:val="auto"/>
          <w:szCs w:val="21"/>
          <w:highlight w:val="none"/>
          <w:u w:val="single"/>
        </w:rPr>
      </w:pPr>
      <w:r>
        <w:rPr>
          <w:rFonts w:hint="eastAsia" w:hAnsi="宋体"/>
          <w:color w:val="auto"/>
          <w:szCs w:val="21"/>
          <w:highlight w:val="none"/>
        </w:rPr>
        <w:t>地址：</w:t>
      </w:r>
      <w:r>
        <w:rPr>
          <w:rFonts w:hint="eastAsia" w:hAnsi="宋体"/>
          <w:color w:val="auto"/>
          <w:szCs w:val="21"/>
          <w:highlight w:val="none"/>
          <w:u w:val="single"/>
        </w:rPr>
        <w:t xml:space="preserve">                      </w:t>
      </w:r>
    </w:p>
    <w:p w14:paraId="6A82B9B7">
      <w:pPr>
        <w:wordWrap w:val="0"/>
        <w:spacing w:line="440" w:lineRule="exact"/>
        <w:ind w:firstLine="420" w:firstLineChars="200"/>
        <w:rPr>
          <w:rFonts w:hAnsi="宋体"/>
          <w:color w:val="auto"/>
          <w:szCs w:val="21"/>
          <w:highlight w:val="none"/>
        </w:rPr>
      </w:pPr>
      <w:r>
        <w:rPr>
          <w:rFonts w:hint="eastAsia" w:hAnsi="宋体"/>
          <w:color w:val="auto"/>
          <w:szCs w:val="21"/>
          <w:highlight w:val="none"/>
        </w:rPr>
        <w:t>电话：</w:t>
      </w:r>
      <w:r>
        <w:rPr>
          <w:rFonts w:hint="eastAsia" w:hAnsi="宋体"/>
          <w:color w:val="auto"/>
          <w:szCs w:val="21"/>
          <w:highlight w:val="none"/>
          <w:u w:val="single"/>
        </w:rPr>
        <w:t xml:space="preserve">                      </w:t>
      </w:r>
    </w:p>
    <w:p w14:paraId="0FB3B280">
      <w:pPr>
        <w:wordWrap w:val="0"/>
        <w:spacing w:line="440" w:lineRule="exact"/>
        <w:ind w:firstLine="420" w:firstLineChars="200"/>
        <w:rPr>
          <w:rFonts w:hAnsi="宋体"/>
          <w:color w:val="auto"/>
          <w:szCs w:val="21"/>
          <w:highlight w:val="none"/>
        </w:rPr>
      </w:pPr>
      <w:r>
        <w:rPr>
          <w:rFonts w:hint="eastAsia" w:hAnsi="宋体"/>
          <w:color w:val="auto"/>
          <w:szCs w:val="21"/>
          <w:highlight w:val="none"/>
        </w:rPr>
        <w:t>传真：</w:t>
      </w:r>
      <w:r>
        <w:rPr>
          <w:rFonts w:hint="eastAsia" w:hAnsi="宋体"/>
          <w:color w:val="auto"/>
          <w:szCs w:val="21"/>
          <w:highlight w:val="none"/>
          <w:u w:val="single"/>
        </w:rPr>
        <w:t xml:space="preserve">                      </w:t>
      </w:r>
    </w:p>
    <w:p w14:paraId="03E61DEF">
      <w:pPr>
        <w:wordWrap w:val="0"/>
        <w:spacing w:line="440" w:lineRule="exact"/>
        <w:ind w:firstLine="420" w:firstLineChars="200"/>
        <w:rPr>
          <w:rFonts w:hAnsi="宋体"/>
          <w:color w:val="auto"/>
          <w:szCs w:val="21"/>
          <w:highlight w:val="none"/>
        </w:rPr>
      </w:pPr>
      <w:r>
        <w:rPr>
          <w:rFonts w:hint="eastAsia" w:hAnsi="宋体"/>
          <w:color w:val="auto"/>
          <w:szCs w:val="21"/>
          <w:highlight w:val="none"/>
        </w:rPr>
        <w:t>邮政编码：</w:t>
      </w:r>
      <w:r>
        <w:rPr>
          <w:rFonts w:hint="eastAsia" w:hAnsi="宋体"/>
          <w:color w:val="auto"/>
          <w:szCs w:val="21"/>
          <w:highlight w:val="none"/>
          <w:u w:val="single"/>
        </w:rPr>
        <w:t xml:space="preserve">                      </w:t>
      </w:r>
    </w:p>
    <w:p w14:paraId="22C5DAAE">
      <w:pPr>
        <w:wordWrap w:val="0"/>
        <w:spacing w:line="440" w:lineRule="exact"/>
        <w:ind w:firstLine="420" w:firstLineChars="200"/>
        <w:rPr>
          <w:rFonts w:hAnsi="宋体"/>
          <w:color w:val="auto"/>
          <w:szCs w:val="21"/>
          <w:highlight w:val="none"/>
        </w:rPr>
      </w:pPr>
      <w:r>
        <w:rPr>
          <w:rFonts w:hint="eastAsia" w:hAnsi="宋体"/>
          <w:color w:val="auto"/>
          <w:szCs w:val="21"/>
          <w:highlight w:val="none"/>
        </w:rPr>
        <w:t>开户名称：</w:t>
      </w:r>
      <w:r>
        <w:rPr>
          <w:rFonts w:hint="eastAsia" w:hAnsi="宋体"/>
          <w:color w:val="auto"/>
          <w:szCs w:val="21"/>
          <w:highlight w:val="none"/>
          <w:u w:val="single"/>
        </w:rPr>
        <w:t xml:space="preserve">                      </w:t>
      </w:r>
    </w:p>
    <w:p w14:paraId="2286201A">
      <w:pPr>
        <w:wordWrap w:val="0"/>
        <w:spacing w:line="440" w:lineRule="exact"/>
        <w:ind w:firstLine="420" w:firstLineChars="200"/>
        <w:rPr>
          <w:rFonts w:hAnsi="宋体"/>
          <w:color w:val="auto"/>
          <w:szCs w:val="21"/>
          <w:highlight w:val="none"/>
        </w:rPr>
      </w:pPr>
      <w:r>
        <w:rPr>
          <w:rFonts w:hint="eastAsia" w:hAnsi="宋体"/>
          <w:color w:val="auto"/>
          <w:szCs w:val="21"/>
          <w:highlight w:val="none"/>
        </w:rPr>
        <w:t>开户银行：</w:t>
      </w:r>
      <w:r>
        <w:rPr>
          <w:rFonts w:hint="eastAsia" w:hAnsi="宋体"/>
          <w:color w:val="auto"/>
          <w:szCs w:val="21"/>
          <w:highlight w:val="none"/>
          <w:u w:val="single"/>
        </w:rPr>
        <w:t xml:space="preserve">                      </w:t>
      </w:r>
    </w:p>
    <w:p w14:paraId="58F12EF1">
      <w:pPr>
        <w:wordWrap w:val="0"/>
        <w:spacing w:line="440" w:lineRule="exact"/>
        <w:ind w:firstLine="420" w:firstLineChars="200"/>
        <w:rPr>
          <w:rFonts w:hAnsi="宋体"/>
          <w:color w:val="auto"/>
          <w:szCs w:val="21"/>
          <w:highlight w:val="none"/>
        </w:rPr>
      </w:pPr>
      <w:r>
        <w:rPr>
          <w:rFonts w:hint="eastAsia" w:hAnsi="宋体"/>
          <w:color w:val="auto"/>
          <w:szCs w:val="21"/>
          <w:highlight w:val="none"/>
        </w:rPr>
        <w:t>银行账号：</w:t>
      </w:r>
      <w:r>
        <w:rPr>
          <w:rFonts w:hint="eastAsia" w:hAnsi="宋体"/>
          <w:color w:val="auto"/>
          <w:szCs w:val="21"/>
          <w:highlight w:val="none"/>
          <w:u w:val="single"/>
        </w:rPr>
        <w:t xml:space="preserve">                      </w:t>
      </w:r>
    </w:p>
    <w:p w14:paraId="463D26CD">
      <w:pPr>
        <w:spacing w:line="440" w:lineRule="exact"/>
        <w:ind w:firstLine="420" w:firstLineChars="200"/>
        <w:rPr>
          <w:rFonts w:hAnsi="宋体"/>
          <w:color w:val="auto"/>
          <w:szCs w:val="21"/>
          <w:highlight w:val="none"/>
        </w:rPr>
      </w:pPr>
      <w:r>
        <w:rPr>
          <w:rFonts w:hint="eastAsia" w:hAnsi="宋体"/>
          <w:color w:val="auto"/>
          <w:szCs w:val="21"/>
          <w:highlight w:val="none"/>
        </w:rPr>
        <w:t>特此承诺。</w:t>
      </w:r>
      <w:r>
        <w:rPr>
          <w:rFonts w:hint="eastAsia" w:hAnsi="宋体"/>
          <w:color w:val="auto"/>
          <w:szCs w:val="21"/>
          <w:highlight w:val="none"/>
          <w:u w:val="single"/>
        </w:rPr>
        <w:t xml:space="preserve">                      </w:t>
      </w:r>
    </w:p>
    <w:p w14:paraId="531B5B47">
      <w:pPr>
        <w:wordWrap w:val="0"/>
        <w:spacing w:line="440" w:lineRule="exact"/>
        <w:jc w:val="right"/>
        <w:rPr>
          <w:rFonts w:hAnsi="宋体"/>
          <w:color w:val="auto"/>
          <w:szCs w:val="21"/>
          <w:highlight w:val="none"/>
        </w:rPr>
      </w:pPr>
      <w:r>
        <w:rPr>
          <w:rFonts w:hint="eastAsia" w:hAnsi="宋体"/>
          <w:color w:val="auto"/>
          <w:szCs w:val="21"/>
          <w:highlight w:val="none"/>
        </w:rPr>
        <w:t>供应商名称（盖章）：</w:t>
      </w:r>
      <w:r>
        <w:rPr>
          <w:rFonts w:hint="eastAsia" w:hAnsi="宋体"/>
          <w:color w:val="auto"/>
          <w:szCs w:val="21"/>
          <w:highlight w:val="none"/>
          <w:u w:val="single"/>
        </w:rPr>
        <w:t xml:space="preserve">                      </w:t>
      </w:r>
    </w:p>
    <w:p w14:paraId="1D8718BA">
      <w:pPr>
        <w:spacing w:line="440" w:lineRule="exact"/>
        <w:ind w:firstLine="5953" w:firstLineChars="2835"/>
        <w:rPr>
          <w:rFonts w:hAnsi="宋体"/>
          <w:color w:val="auto"/>
          <w:szCs w:val="21"/>
          <w:highlight w:val="none"/>
        </w:rPr>
      </w:pPr>
      <w:r>
        <w:rPr>
          <w:rFonts w:hint="eastAsia" w:hAnsi="宋体"/>
          <w:color w:val="auto"/>
          <w:szCs w:val="21"/>
          <w:highlight w:val="none"/>
        </w:rPr>
        <w:t>日期：   年    月   日</w:t>
      </w:r>
    </w:p>
    <w:p w14:paraId="5C04BC6C">
      <w:pPr>
        <w:spacing w:line="500" w:lineRule="exact"/>
        <w:rPr>
          <w:rFonts w:hAnsi="宋体"/>
          <w:color w:val="auto"/>
          <w:szCs w:val="21"/>
          <w:highlight w:val="none"/>
        </w:rPr>
        <w:sectPr>
          <w:pgSz w:w="11906" w:h="16838"/>
          <w:pgMar w:top="1304" w:right="1304" w:bottom="1304" w:left="1304" w:header="720" w:footer="720" w:gutter="0"/>
          <w:cols w:space="720" w:num="1"/>
          <w:docGrid w:type="lines" w:linePitch="312" w:charSpace="0"/>
        </w:sectPr>
      </w:pPr>
    </w:p>
    <w:p w14:paraId="402BA055">
      <w:pPr>
        <w:ind w:right="384" w:rightChars="183"/>
        <w:jc w:val="center"/>
        <w:rPr>
          <w:rFonts w:cs="Arial" w:asciiTheme="minorEastAsia" w:hAnsiTheme="minorEastAsia" w:eastAsiaTheme="minorEastAsia"/>
          <w:b/>
          <w:color w:val="auto"/>
          <w:sz w:val="28"/>
          <w:szCs w:val="28"/>
          <w:highlight w:val="none"/>
        </w:rPr>
      </w:pPr>
      <w:r>
        <w:rPr>
          <w:rFonts w:hint="eastAsia" w:cs="Arial" w:asciiTheme="minorEastAsia" w:hAnsiTheme="minorEastAsia" w:eastAsiaTheme="minorEastAsia"/>
          <w:b/>
          <w:color w:val="auto"/>
          <w:sz w:val="28"/>
          <w:szCs w:val="28"/>
          <w:highlight w:val="none"/>
        </w:rPr>
        <w:t>磋 商</w:t>
      </w:r>
      <w:r>
        <w:rPr>
          <w:rFonts w:cs="Arial" w:asciiTheme="minorEastAsia" w:hAnsiTheme="minorEastAsia" w:eastAsiaTheme="minorEastAsia"/>
          <w:b/>
          <w:color w:val="auto"/>
          <w:sz w:val="28"/>
          <w:szCs w:val="28"/>
          <w:highlight w:val="none"/>
        </w:rPr>
        <w:t xml:space="preserve"> 函 附 录</w:t>
      </w:r>
    </w:p>
    <w:p w14:paraId="612939FF">
      <w:pPr>
        <w:autoSpaceDE w:val="0"/>
        <w:autoSpaceDN w:val="0"/>
        <w:spacing w:line="300" w:lineRule="auto"/>
        <w:ind w:firstLine="570"/>
        <w:jc w:val="center"/>
        <w:rPr>
          <w:rFonts w:hAnsi="宋体" w:cs="宋体"/>
          <w:b/>
          <w:bCs/>
          <w:color w:val="auto"/>
          <w:sz w:val="24"/>
          <w:szCs w:val="24"/>
          <w:highlight w:val="none"/>
        </w:rPr>
      </w:pPr>
    </w:p>
    <w:tbl>
      <w:tblPr>
        <w:tblStyle w:val="57"/>
        <w:tblW w:w="8470" w:type="dxa"/>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
        <w:gridCol w:w="3084"/>
        <w:gridCol w:w="4536"/>
      </w:tblGrid>
      <w:tr w14:paraId="42E4F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6" w:hRule="atLeast"/>
        </w:trPr>
        <w:tc>
          <w:tcPr>
            <w:tcW w:w="850" w:type="dxa"/>
            <w:tcBorders>
              <w:top w:val="single" w:color="auto" w:sz="4" w:space="0"/>
              <w:left w:val="single" w:color="auto" w:sz="4" w:space="0"/>
              <w:bottom w:val="single" w:color="auto" w:sz="4" w:space="0"/>
              <w:right w:val="single" w:color="auto" w:sz="4" w:space="0"/>
            </w:tcBorders>
            <w:vAlign w:val="center"/>
          </w:tcPr>
          <w:p w14:paraId="61F60233">
            <w:pPr>
              <w:spacing w:line="300" w:lineRule="auto"/>
              <w:jc w:val="center"/>
              <w:rPr>
                <w:rFonts w:hAnsi="宋体" w:cs="宋体"/>
                <w:color w:val="auto"/>
                <w:szCs w:val="24"/>
                <w:highlight w:val="none"/>
              </w:rPr>
            </w:pPr>
            <w:r>
              <w:rPr>
                <w:rFonts w:hint="eastAsia" w:hAnsi="宋体" w:cs="宋体"/>
                <w:color w:val="auto"/>
                <w:highlight w:val="none"/>
              </w:rPr>
              <w:t>序号</w:t>
            </w:r>
          </w:p>
        </w:tc>
        <w:tc>
          <w:tcPr>
            <w:tcW w:w="3084" w:type="dxa"/>
            <w:tcBorders>
              <w:top w:val="single" w:color="auto" w:sz="4" w:space="0"/>
              <w:left w:val="single" w:color="auto" w:sz="4" w:space="0"/>
              <w:bottom w:val="single" w:color="auto" w:sz="4" w:space="0"/>
              <w:right w:val="single" w:color="auto" w:sz="4" w:space="0"/>
            </w:tcBorders>
            <w:vAlign w:val="center"/>
          </w:tcPr>
          <w:p w14:paraId="77BAB173">
            <w:pPr>
              <w:spacing w:line="300" w:lineRule="auto"/>
              <w:jc w:val="center"/>
              <w:rPr>
                <w:rFonts w:hAnsi="宋体" w:cs="宋体"/>
                <w:color w:val="auto"/>
                <w:szCs w:val="24"/>
                <w:highlight w:val="none"/>
              </w:rPr>
            </w:pPr>
            <w:r>
              <w:rPr>
                <w:rFonts w:hint="eastAsia" w:hAnsi="宋体" w:cs="宋体"/>
                <w:color w:val="auto"/>
                <w:highlight w:val="none"/>
              </w:rPr>
              <w:t>项 目 内 容</w:t>
            </w:r>
          </w:p>
        </w:tc>
        <w:tc>
          <w:tcPr>
            <w:tcW w:w="4536" w:type="dxa"/>
            <w:tcBorders>
              <w:top w:val="single" w:color="auto" w:sz="4" w:space="0"/>
              <w:left w:val="single" w:color="auto" w:sz="4" w:space="0"/>
              <w:bottom w:val="single" w:color="auto" w:sz="4" w:space="0"/>
              <w:right w:val="single" w:color="auto" w:sz="4" w:space="0"/>
            </w:tcBorders>
            <w:vAlign w:val="center"/>
          </w:tcPr>
          <w:p w14:paraId="563E2FCF">
            <w:pPr>
              <w:spacing w:line="300" w:lineRule="auto"/>
              <w:jc w:val="center"/>
              <w:rPr>
                <w:rFonts w:hAnsi="宋体" w:cs="宋体"/>
                <w:color w:val="auto"/>
                <w:szCs w:val="24"/>
                <w:highlight w:val="none"/>
              </w:rPr>
            </w:pPr>
            <w:r>
              <w:rPr>
                <w:rFonts w:hint="eastAsia" w:hAnsi="宋体" w:cs="宋体"/>
                <w:color w:val="auto"/>
                <w:highlight w:val="none"/>
              </w:rPr>
              <w:t>磋  商  响  应</w:t>
            </w:r>
          </w:p>
        </w:tc>
      </w:tr>
      <w:tr w14:paraId="020C0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6" w:hRule="atLeast"/>
        </w:trPr>
        <w:tc>
          <w:tcPr>
            <w:tcW w:w="850" w:type="dxa"/>
            <w:tcBorders>
              <w:top w:val="single" w:color="auto" w:sz="4" w:space="0"/>
              <w:left w:val="single" w:color="auto" w:sz="4" w:space="0"/>
              <w:bottom w:val="single" w:color="auto" w:sz="4" w:space="0"/>
              <w:right w:val="single" w:color="auto" w:sz="4" w:space="0"/>
            </w:tcBorders>
            <w:vAlign w:val="center"/>
          </w:tcPr>
          <w:p w14:paraId="6EE06B94">
            <w:pPr>
              <w:spacing w:line="300" w:lineRule="auto"/>
              <w:jc w:val="center"/>
              <w:rPr>
                <w:rFonts w:hAnsi="宋体" w:cs="宋体"/>
                <w:color w:val="auto"/>
                <w:szCs w:val="24"/>
                <w:highlight w:val="none"/>
              </w:rPr>
            </w:pPr>
            <w:r>
              <w:rPr>
                <w:rFonts w:hint="eastAsia" w:hAnsi="宋体" w:cs="宋体"/>
                <w:color w:val="auto"/>
                <w:highlight w:val="none"/>
              </w:rPr>
              <w:t>1</w:t>
            </w:r>
          </w:p>
        </w:tc>
        <w:tc>
          <w:tcPr>
            <w:tcW w:w="3084" w:type="dxa"/>
            <w:tcBorders>
              <w:top w:val="single" w:color="auto" w:sz="4" w:space="0"/>
              <w:left w:val="single" w:color="auto" w:sz="4" w:space="0"/>
              <w:bottom w:val="single" w:color="auto" w:sz="4" w:space="0"/>
              <w:right w:val="single" w:color="auto" w:sz="4" w:space="0"/>
            </w:tcBorders>
            <w:vAlign w:val="center"/>
          </w:tcPr>
          <w:p w14:paraId="3874DC1D">
            <w:pPr>
              <w:spacing w:line="300" w:lineRule="auto"/>
              <w:rPr>
                <w:rFonts w:hAnsi="宋体" w:cs="宋体"/>
                <w:color w:val="auto"/>
                <w:szCs w:val="24"/>
                <w:highlight w:val="none"/>
              </w:rPr>
            </w:pPr>
            <w:r>
              <w:rPr>
                <w:rFonts w:hint="eastAsia" w:hAnsi="宋体" w:cs="宋体"/>
                <w:color w:val="auto"/>
                <w:highlight w:val="none"/>
              </w:rPr>
              <w:t>磋商有效期</w:t>
            </w:r>
          </w:p>
        </w:tc>
        <w:tc>
          <w:tcPr>
            <w:tcW w:w="4536" w:type="dxa"/>
            <w:tcBorders>
              <w:top w:val="single" w:color="auto" w:sz="4" w:space="0"/>
              <w:left w:val="single" w:color="auto" w:sz="4" w:space="0"/>
              <w:bottom w:val="single" w:color="auto" w:sz="4" w:space="0"/>
              <w:right w:val="single" w:color="auto" w:sz="4" w:space="0"/>
            </w:tcBorders>
            <w:vAlign w:val="center"/>
          </w:tcPr>
          <w:p w14:paraId="66C11219">
            <w:pPr>
              <w:spacing w:line="300" w:lineRule="auto"/>
              <w:rPr>
                <w:rFonts w:hAnsi="宋体" w:cs="宋体"/>
                <w:color w:val="auto"/>
                <w:szCs w:val="24"/>
                <w:highlight w:val="none"/>
              </w:rPr>
            </w:pPr>
          </w:p>
        </w:tc>
      </w:tr>
      <w:tr w14:paraId="38EC1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7" w:hRule="atLeast"/>
        </w:trPr>
        <w:tc>
          <w:tcPr>
            <w:tcW w:w="850" w:type="dxa"/>
            <w:tcBorders>
              <w:top w:val="single" w:color="auto" w:sz="4" w:space="0"/>
              <w:left w:val="single" w:color="auto" w:sz="4" w:space="0"/>
              <w:bottom w:val="single" w:color="auto" w:sz="4" w:space="0"/>
              <w:right w:val="single" w:color="auto" w:sz="4" w:space="0"/>
            </w:tcBorders>
            <w:vAlign w:val="center"/>
          </w:tcPr>
          <w:p w14:paraId="35EADED0">
            <w:pPr>
              <w:spacing w:line="300" w:lineRule="auto"/>
              <w:jc w:val="center"/>
              <w:rPr>
                <w:rFonts w:hAnsi="宋体" w:cs="宋体"/>
                <w:color w:val="auto"/>
                <w:szCs w:val="24"/>
                <w:highlight w:val="none"/>
              </w:rPr>
            </w:pPr>
            <w:r>
              <w:rPr>
                <w:rFonts w:hint="eastAsia" w:hAnsi="宋体" w:cs="宋体"/>
                <w:color w:val="auto"/>
                <w:highlight w:val="none"/>
              </w:rPr>
              <w:t>2</w:t>
            </w:r>
          </w:p>
        </w:tc>
        <w:tc>
          <w:tcPr>
            <w:tcW w:w="3084" w:type="dxa"/>
            <w:tcBorders>
              <w:top w:val="single" w:color="auto" w:sz="4" w:space="0"/>
              <w:left w:val="single" w:color="auto" w:sz="4" w:space="0"/>
              <w:bottom w:val="single" w:color="auto" w:sz="4" w:space="0"/>
              <w:right w:val="single" w:color="auto" w:sz="4" w:space="0"/>
            </w:tcBorders>
            <w:vAlign w:val="center"/>
          </w:tcPr>
          <w:p w14:paraId="0F0DDFB9">
            <w:pPr>
              <w:spacing w:line="300" w:lineRule="auto"/>
              <w:rPr>
                <w:rFonts w:hAnsi="宋体" w:cs="宋体"/>
                <w:color w:val="auto"/>
                <w:szCs w:val="24"/>
                <w:highlight w:val="none"/>
              </w:rPr>
            </w:pPr>
            <w:r>
              <w:rPr>
                <w:rFonts w:hint="eastAsia" w:hAnsi="宋体" w:cs="宋体"/>
                <w:color w:val="auto"/>
                <w:highlight w:val="none"/>
              </w:rPr>
              <w:t>合同履行期限（工期）</w:t>
            </w:r>
          </w:p>
        </w:tc>
        <w:tc>
          <w:tcPr>
            <w:tcW w:w="4536" w:type="dxa"/>
            <w:tcBorders>
              <w:top w:val="single" w:color="auto" w:sz="4" w:space="0"/>
              <w:left w:val="single" w:color="auto" w:sz="4" w:space="0"/>
              <w:bottom w:val="single" w:color="auto" w:sz="4" w:space="0"/>
              <w:right w:val="single" w:color="auto" w:sz="4" w:space="0"/>
            </w:tcBorders>
            <w:vAlign w:val="center"/>
          </w:tcPr>
          <w:p w14:paraId="2EDA363F">
            <w:pPr>
              <w:spacing w:line="300" w:lineRule="auto"/>
              <w:rPr>
                <w:rFonts w:hAnsi="宋体" w:cs="宋体"/>
                <w:color w:val="auto"/>
                <w:szCs w:val="24"/>
                <w:highlight w:val="none"/>
              </w:rPr>
            </w:pPr>
          </w:p>
        </w:tc>
      </w:tr>
      <w:tr w14:paraId="69F2D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6" w:hRule="atLeast"/>
        </w:trPr>
        <w:tc>
          <w:tcPr>
            <w:tcW w:w="850" w:type="dxa"/>
            <w:tcBorders>
              <w:top w:val="single" w:color="auto" w:sz="4" w:space="0"/>
              <w:left w:val="single" w:color="auto" w:sz="4" w:space="0"/>
              <w:bottom w:val="single" w:color="auto" w:sz="4" w:space="0"/>
              <w:right w:val="single" w:color="auto" w:sz="4" w:space="0"/>
            </w:tcBorders>
            <w:vAlign w:val="center"/>
          </w:tcPr>
          <w:p w14:paraId="6E83A175">
            <w:pPr>
              <w:spacing w:line="300" w:lineRule="auto"/>
              <w:jc w:val="center"/>
              <w:rPr>
                <w:rFonts w:hAnsi="宋体" w:cs="宋体"/>
                <w:color w:val="auto"/>
                <w:szCs w:val="24"/>
                <w:highlight w:val="none"/>
              </w:rPr>
            </w:pPr>
            <w:r>
              <w:rPr>
                <w:rFonts w:hint="eastAsia" w:hAnsi="宋体" w:cs="宋体"/>
                <w:color w:val="auto"/>
                <w:highlight w:val="none"/>
              </w:rPr>
              <w:t>3</w:t>
            </w:r>
          </w:p>
        </w:tc>
        <w:tc>
          <w:tcPr>
            <w:tcW w:w="3084" w:type="dxa"/>
            <w:tcBorders>
              <w:top w:val="single" w:color="auto" w:sz="4" w:space="0"/>
              <w:left w:val="single" w:color="auto" w:sz="4" w:space="0"/>
              <w:bottom w:val="single" w:color="auto" w:sz="4" w:space="0"/>
              <w:right w:val="single" w:color="auto" w:sz="4" w:space="0"/>
            </w:tcBorders>
            <w:vAlign w:val="center"/>
          </w:tcPr>
          <w:p w14:paraId="0873D263">
            <w:pPr>
              <w:autoSpaceDE w:val="0"/>
              <w:autoSpaceDN w:val="0"/>
              <w:spacing w:line="300" w:lineRule="auto"/>
              <w:rPr>
                <w:rFonts w:hAnsi="宋体" w:cs="宋体"/>
                <w:color w:val="auto"/>
                <w:spacing w:val="20"/>
                <w:szCs w:val="24"/>
                <w:highlight w:val="none"/>
              </w:rPr>
            </w:pPr>
            <w:r>
              <w:rPr>
                <w:rFonts w:hint="eastAsia" w:hAnsi="宋体" w:cs="宋体"/>
                <w:color w:val="auto"/>
                <w:spacing w:val="20"/>
                <w:highlight w:val="none"/>
              </w:rPr>
              <w:t>延误工期赔偿金额</w:t>
            </w:r>
          </w:p>
        </w:tc>
        <w:tc>
          <w:tcPr>
            <w:tcW w:w="4536" w:type="dxa"/>
            <w:tcBorders>
              <w:top w:val="single" w:color="auto" w:sz="4" w:space="0"/>
              <w:left w:val="single" w:color="auto" w:sz="4" w:space="0"/>
              <w:bottom w:val="single" w:color="auto" w:sz="4" w:space="0"/>
              <w:right w:val="single" w:color="auto" w:sz="4" w:space="0"/>
            </w:tcBorders>
            <w:vAlign w:val="center"/>
          </w:tcPr>
          <w:p w14:paraId="476F15E3">
            <w:pPr>
              <w:spacing w:line="300" w:lineRule="auto"/>
              <w:ind w:firstLine="105" w:firstLineChars="50"/>
              <w:jc w:val="left"/>
              <w:rPr>
                <w:rFonts w:hAnsi="宋体" w:cs="宋体"/>
                <w:color w:val="auto"/>
                <w:szCs w:val="24"/>
                <w:highlight w:val="none"/>
              </w:rPr>
            </w:pPr>
          </w:p>
        </w:tc>
      </w:tr>
      <w:tr w14:paraId="032D1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7" w:hRule="atLeast"/>
        </w:trPr>
        <w:tc>
          <w:tcPr>
            <w:tcW w:w="850" w:type="dxa"/>
            <w:tcBorders>
              <w:top w:val="single" w:color="auto" w:sz="4" w:space="0"/>
              <w:left w:val="single" w:color="auto" w:sz="4" w:space="0"/>
              <w:bottom w:val="single" w:color="auto" w:sz="4" w:space="0"/>
              <w:right w:val="single" w:color="auto" w:sz="4" w:space="0"/>
            </w:tcBorders>
            <w:vAlign w:val="center"/>
          </w:tcPr>
          <w:p w14:paraId="40E4A45D">
            <w:pPr>
              <w:spacing w:line="300" w:lineRule="auto"/>
              <w:jc w:val="center"/>
              <w:rPr>
                <w:rFonts w:hAnsi="宋体" w:cs="宋体"/>
                <w:color w:val="auto"/>
                <w:szCs w:val="24"/>
                <w:highlight w:val="none"/>
              </w:rPr>
            </w:pPr>
            <w:r>
              <w:rPr>
                <w:rFonts w:hint="eastAsia" w:hAnsi="宋体" w:cs="宋体"/>
                <w:color w:val="auto"/>
                <w:highlight w:val="none"/>
              </w:rPr>
              <w:t>4</w:t>
            </w:r>
          </w:p>
        </w:tc>
        <w:tc>
          <w:tcPr>
            <w:tcW w:w="3084" w:type="dxa"/>
            <w:tcBorders>
              <w:top w:val="single" w:color="auto" w:sz="4" w:space="0"/>
              <w:left w:val="single" w:color="auto" w:sz="4" w:space="0"/>
              <w:bottom w:val="single" w:color="auto" w:sz="4" w:space="0"/>
              <w:right w:val="single" w:color="auto" w:sz="4" w:space="0"/>
            </w:tcBorders>
            <w:vAlign w:val="center"/>
          </w:tcPr>
          <w:p w14:paraId="0F7C54B4">
            <w:pPr>
              <w:autoSpaceDE w:val="0"/>
              <w:autoSpaceDN w:val="0"/>
              <w:spacing w:line="300" w:lineRule="auto"/>
              <w:jc w:val="left"/>
              <w:rPr>
                <w:rFonts w:hAnsi="宋体" w:cs="宋体"/>
                <w:color w:val="auto"/>
                <w:spacing w:val="20"/>
                <w:szCs w:val="24"/>
                <w:highlight w:val="none"/>
              </w:rPr>
            </w:pPr>
            <w:r>
              <w:rPr>
                <w:rFonts w:hint="eastAsia" w:hAnsi="宋体" w:cs="宋体"/>
                <w:color w:val="auto"/>
                <w:spacing w:val="20"/>
                <w:highlight w:val="none"/>
              </w:rPr>
              <w:t>延误工期赔偿金额限额</w:t>
            </w:r>
          </w:p>
        </w:tc>
        <w:tc>
          <w:tcPr>
            <w:tcW w:w="4536" w:type="dxa"/>
            <w:tcBorders>
              <w:top w:val="single" w:color="auto" w:sz="4" w:space="0"/>
              <w:left w:val="single" w:color="auto" w:sz="4" w:space="0"/>
              <w:bottom w:val="single" w:color="auto" w:sz="4" w:space="0"/>
              <w:right w:val="single" w:color="auto" w:sz="4" w:space="0"/>
            </w:tcBorders>
            <w:vAlign w:val="center"/>
          </w:tcPr>
          <w:p w14:paraId="3AB746D2">
            <w:pPr>
              <w:autoSpaceDE w:val="0"/>
              <w:autoSpaceDN w:val="0"/>
              <w:spacing w:line="300" w:lineRule="auto"/>
              <w:rPr>
                <w:rFonts w:hAnsi="宋体" w:cs="宋体"/>
                <w:color w:val="auto"/>
                <w:spacing w:val="20"/>
                <w:szCs w:val="24"/>
                <w:highlight w:val="none"/>
              </w:rPr>
            </w:pPr>
          </w:p>
        </w:tc>
      </w:tr>
    </w:tbl>
    <w:p w14:paraId="44B870ED">
      <w:pPr>
        <w:spacing w:line="360" w:lineRule="auto"/>
        <w:ind w:right="384" w:rightChars="183"/>
        <w:rPr>
          <w:rFonts w:asciiTheme="minorEastAsia" w:hAnsiTheme="minorEastAsia" w:eastAsiaTheme="minorEastAsia"/>
          <w:color w:val="auto"/>
          <w:highlight w:val="none"/>
        </w:rPr>
      </w:pPr>
    </w:p>
    <w:p w14:paraId="24B296DF">
      <w:pPr>
        <w:wordWrap w:val="0"/>
        <w:spacing w:line="440" w:lineRule="exact"/>
        <w:jc w:val="right"/>
        <w:rPr>
          <w:rFonts w:hAnsi="宋体"/>
          <w:color w:val="auto"/>
          <w:szCs w:val="21"/>
          <w:highlight w:val="none"/>
        </w:rPr>
      </w:pPr>
      <w:r>
        <w:rPr>
          <w:rFonts w:hint="eastAsia" w:hAnsi="宋体"/>
          <w:color w:val="auto"/>
          <w:szCs w:val="21"/>
          <w:highlight w:val="none"/>
        </w:rPr>
        <w:t>供应商名称（盖章）：</w:t>
      </w:r>
      <w:r>
        <w:rPr>
          <w:rFonts w:hint="eastAsia" w:hAnsi="宋体"/>
          <w:color w:val="auto"/>
          <w:szCs w:val="21"/>
          <w:highlight w:val="none"/>
          <w:u w:val="single"/>
        </w:rPr>
        <w:t xml:space="preserve">                      </w:t>
      </w:r>
    </w:p>
    <w:p w14:paraId="084B955C">
      <w:pPr>
        <w:spacing w:line="440" w:lineRule="exact"/>
        <w:ind w:firstLine="5953" w:firstLineChars="2835"/>
        <w:rPr>
          <w:rFonts w:hAnsi="宋体"/>
          <w:color w:val="auto"/>
          <w:szCs w:val="21"/>
          <w:highlight w:val="none"/>
        </w:rPr>
      </w:pPr>
      <w:r>
        <w:rPr>
          <w:rFonts w:hint="eastAsia" w:hAnsi="宋体"/>
          <w:color w:val="auto"/>
          <w:szCs w:val="21"/>
          <w:highlight w:val="none"/>
        </w:rPr>
        <w:t>日期：   年    月   日</w:t>
      </w:r>
    </w:p>
    <w:p w14:paraId="2C069A07">
      <w:pPr>
        <w:spacing w:line="440" w:lineRule="exact"/>
        <w:ind w:firstLine="420" w:firstLineChars="200"/>
        <w:jc w:val="left"/>
        <w:rPr>
          <w:rFonts w:hAnsi="宋体"/>
          <w:color w:val="auto"/>
          <w:szCs w:val="21"/>
          <w:highlight w:val="none"/>
        </w:rPr>
        <w:sectPr>
          <w:pgSz w:w="11906" w:h="16838"/>
          <w:pgMar w:top="1304" w:right="1304" w:bottom="1304" w:left="1304" w:header="720" w:footer="720" w:gutter="0"/>
          <w:cols w:space="720" w:num="1"/>
          <w:docGrid w:type="lines" w:linePitch="312" w:charSpace="0"/>
        </w:sectPr>
      </w:pPr>
    </w:p>
    <w:p w14:paraId="20272E45">
      <w:pPr>
        <w:spacing w:line="440" w:lineRule="exact"/>
        <w:ind w:firstLine="420" w:firstLineChars="200"/>
        <w:jc w:val="left"/>
        <w:rPr>
          <w:rFonts w:hAnsi="宋体"/>
          <w:color w:val="auto"/>
          <w:szCs w:val="21"/>
          <w:highlight w:val="none"/>
        </w:rPr>
      </w:pPr>
      <w:r>
        <w:rPr>
          <w:rFonts w:hint="eastAsia" w:hAnsi="宋体"/>
          <w:color w:val="auto"/>
          <w:szCs w:val="21"/>
          <w:highlight w:val="none"/>
        </w:rPr>
        <w:t>2、磋商报价表</w:t>
      </w:r>
    </w:p>
    <w:p w14:paraId="40FDE735">
      <w:pPr>
        <w:spacing w:line="500" w:lineRule="exact"/>
        <w:jc w:val="center"/>
        <w:rPr>
          <w:rFonts w:hAnsi="宋体"/>
          <w:b/>
          <w:color w:val="auto"/>
          <w:sz w:val="28"/>
          <w:szCs w:val="28"/>
          <w:highlight w:val="none"/>
        </w:rPr>
      </w:pPr>
      <w:r>
        <w:rPr>
          <w:rFonts w:hint="eastAsia" w:hAnsi="宋体"/>
          <w:b/>
          <w:color w:val="auto"/>
          <w:sz w:val="28"/>
          <w:szCs w:val="28"/>
          <w:highlight w:val="none"/>
        </w:rPr>
        <w:t>磋商报价表</w:t>
      </w:r>
    </w:p>
    <w:p w14:paraId="315F2F4F">
      <w:pPr>
        <w:ind w:left="-178" w:leftChars="-85" w:right="-512" w:rightChars="-244" w:firstLine="840" w:firstLineChars="400"/>
        <w:jc w:val="left"/>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项目名称：</w:t>
      </w:r>
      <w:r>
        <w:rPr>
          <w:rFonts w:asciiTheme="minorEastAsia" w:hAnsiTheme="minorEastAsia" w:eastAsiaTheme="minorEastAsia"/>
          <w:color w:val="auto"/>
          <w:highlight w:val="none"/>
        </w:rPr>
        <w:t xml:space="preserve">                                                  </w:t>
      </w:r>
      <w:r>
        <w:rPr>
          <w:rFonts w:hint="eastAsia" w:asciiTheme="minorEastAsia" w:hAnsiTheme="minorEastAsia" w:eastAsiaTheme="minorEastAsia"/>
          <w:color w:val="auto"/>
          <w:highlight w:val="none"/>
        </w:rPr>
        <w:t>币种：人民币</w:t>
      </w:r>
    </w:p>
    <w:tbl>
      <w:tblPr>
        <w:tblStyle w:val="5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68"/>
        <w:gridCol w:w="3884"/>
        <w:gridCol w:w="1696"/>
      </w:tblGrid>
      <w:tr w14:paraId="691F8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2" w:hRule="atLeast"/>
        </w:trPr>
        <w:tc>
          <w:tcPr>
            <w:tcW w:w="3168" w:type="dxa"/>
            <w:tcBorders>
              <w:top w:val="single" w:color="auto" w:sz="4" w:space="0"/>
              <w:left w:val="single" w:color="auto" w:sz="4" w:space="0"/>
              <w:bottom w:val="single" w:color="auto" w:sz="4" w:space="0"/>
              <w:right w:val="single" w:color="auto" w:sz="4" w:space="0"/>
            </w:tcBorders>
            <w:vAlign w:val="center"/>
          </w:tcPr>
          <w:p w14:paraId="65EEA3D6">
            <w:pPr>
              <w:autoSpaceDE w:val="0"/>
              <w:autoSpaceDN w:val="0"/>
              <w:adjustRightInd w:val="0"/>
              <w:spacing w:line="440" w:lineRule="exact"/>
              <w:jc w:val="center"/>
              <w:rPr>
                <w:rFonts w:hAnsi="宋体" w:cs="宋体"/>
                <w:color w:val="auto"/>
                <w:kern w:val="0"/>
                <w:szCs w:val="21"/>
                <w:highlight w:val="none"/>
              </w:rPr>
            </w:pPr>
            <w:r>
              <w:rPr>
                <w:rFonts w:hint="eastAsia" w:hAnsi="宋体" w:cs="宋体"/>
                <w:color w:val="auto"/>
                <w:kern w:val="0"/>
                <w:szCs w:val="21"/>
                <w:highlight w:val="none"/>
              </w:rPr>
              <w:t>项目内容</w:t>
            </w:r>
          </w:p>
        </w:tc>
        <w:tc>
          <w:tcPr>
            <w:tcW w:w="3884" w:type="dxa"/>
            <w:tcBorders>
              <w:top w:val="single" w:color="auto" w:sz="4" w:space="0"/>
              <w:left w:val="single" w:color="auto" w:sz="4" w:space="0"/>
              <w:bottom w:val="single" w:color="auto" w:sz="4" w:space="0"/>
              <w:right w:val="single" w:color="auto" w:sz="4" w:space="0"/>
            </w:tcBorders>
            <w:vAlign w:val="center"/>
          </w:tcPr>
          <w:p w14:paraId="51E5C1F3">
            <w:pPr>
              <w:autoSpaceDE w:val="0"/>
              <w:autoSpaceDN w:val="0"/>
              <w:adjustRightInd w:val="0"/>
              <w:spacing w:line="440" w:lineRule="exact"/>
              <w:jc w:val="center"/>
              <w:rPr>
                <w:rFonts w:hAnsi="宋体" w:cs="宋体"/>
                <w:color w:val="auto"/>
                <w:kern w:val="0"/>
                <w:szCs w:val="21"/>
                <w:highlight w:val="none"/>
              </w:rPr>
            </w:pPr>
            <w:r>
              <w:rPr>
                <w:rFonts w:hint="eastAsia" w:hAnsi="宋体" w:cs="宋体"/>
                <w:color w:val="auto"/>
                <w:kern w:val="0"/>
                <w:szCs w:val="21"/>
                <w:highlight w:val="none"/>
              </w:rPr>
              <w:t>金额</w:t>
            </w:r>
          </w:p>
        </w:tc>
        <w:tc>
          <w:tcPr>
            <w:tcW w:w="1696" w:type="dxa"/>
            <w:tcBorders>
              <w:top w:val="single" w:color="auto" w:sz="4" w:space="0"/>
              <w:left w:val="single" w:color="auto" w:sz="4" w:space="0"/>
              <w:bottom w:val="single" w:color="auto" w:sz="4" w:space="0"/>
              <w:right w:val="single" w:color="auto" w:sz="4" w:space="0"/>
            </w:tcBorders>
            <w:vAlign w:val="center"/>
          </w:tcPr>
          <w:p w14:paraId="3DE0EDFE">
            <w:pPr>
              <w:autoSpaceDE w:val="0"/>
              <w:autoSpaceDN w:val="0"/>
              <w:adjustRightInd w:val="0"/>
              <w:spacing w:line="440" w:lineRule="exact"/>
              <w:jc w:val="center"/>
              <w:rPr>
                <w:rFonts w:hAnsi="宋体" w:cs="宋体"/>
                <w:color w:val="auto"/>
                <w:kern w:val="0"/>
                <w:szCs w:val="21"/>
                <w:highlight w:val="none"/>
              </w:rPr>
            </w:pPr>
            <w:r>
              <w:rPr>
                <w:rFonts w:hint="eastAsia" w:hAnsi="宋体" w:cs="宋体"/>
                <w:color w:val="auto"/>
                <w:kern w:val="0"/>
                <w:szCs w:val="21"/>
                <w:highlight w:val="none"/>
              </w:rPr>
              <w:t>备注</w:t>
            </w:r>
          </w:p>
        </w:tc>
      </w:tr>
      <w:tr w14:paraId="5478F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3" w:hRule="atLeast"/>
        </w:trPr>
        <w:tc>
          <w:tcPr>
            <w:tcW w:w="3168" w:type="dxa"/>
            <w:tcBorders>
              <w:top w:val="single" w:color="auto" w:sz="4" w:space="0"/>
              <w:left w:val="single" w:color="auto" w:sz="4" w:space="0"/>
              <w:bottom w:val="single" w:color="auto" w:sz="4" w:space="0"/>
              <w:right w:val="single" w:color="auto" w:sz="4" w:space="0"/>
            </w:tcBorders>
            <w:vAlign w:val="center"/>
          </w:tcPr>
          <w:p w14:paraId="7FF474D4">
            <w:pPr>
              <w:autoSpaceDE w:val="0"/>
              <w:autoSpaceDN w:val="0"/>
              <w:adjustRightInd w:val="0"/>
              <w:spacing w:line="440" w:lineRule="exact"/>
              <w:ind w:left="200"/>
              <w:jc w:val="center"/>
              <w:rPr>
                <w:rFonts w:hAnsi="宋体" w:cs="宋体"/>
                <w:color w:val="auto"/>
                <w:kern w:val="0"/>
                <w:szCs w:val="21"/>
                <w:highlight w:val="none"/>
              </w:rPr>
            </w:pPr>
            <w:r>
              <w:rPr>
                <w:rFonts w:hint="eastAsia" w:hAnsi="宋体" w:cs="宋体"/>
                <w:color w:val="auto"/>
                <w:kern w:val="0"/>
                <w:szCs w:val="21"/>
                <w:highlight w:val="none"/>
              </w:rPr>
              <w:t>磋商总报价（大写）</w:t>
            </w:r>
          </w:p>
        </w:tc>
        <w:tc>
          <w:tcPr>
            <w:tcW w:w="3884" w:type="dxa"/>
            <w:tcBorders>
              <w:top w:val="single" w:color="auto" w:sz="4" w:space="0"/>
              <w:left w:val="single" w:color="auto" w:sz="4" w:space="0"/>
              <w:bottom w:val="single" w:color="auto" w:sz="4" w:space="0"/>
              <w:right w:val="single" w:color="auto" w:sz="4" w:space="0"/>
            </w:tcBorders>
            <w:vAlign w:val="center"/>
          </w:tcPr>
          <w:p w14:paraId="3399CD58">
            <w:pPr>
              <w:autoSpaceDE w:val="0"/>
              <w:autoSpaceDN w:val="0"/>
              <w:adjustRightInd w:val="0"/>
              <w:spacing w:line="440" w:lineRule="exact"/>
              <w:jc w:val="center"/>
              <w:rPr>
                <w:rFonts w:hAnsi="宋体" w:cs="宋体"/>
                <w:color w:val="auto"/>
                <w:kern w:val="0"/>
                <w:szCs w:val="21"/>
                <w:highlight w:val="none"/>
              </w:rPr>
            </w:pPr>
          </w:p>
        </w:tc>
        <w:tc>
          <w:tcPr>
            <w:tcW w:w="1696" w:type="dxa"/>
            <w:tcBorders>
              <w:top w:val="single" w:color="auto" w:sz="4" w:space="0"/>
              <w:left w:val="single" w:color="auto" w:sz="4" w:space="0"/>
              <w:bottom w:val="single" w:color="auto" w:sz="4" w:space="0"/>
              <w:right w:val="single" w:color="auto" w:sz="4" w:space="0"/>
            </w:tcBorders>
            <w:vAlign w:val="center"/>
          </w:tcPr>
          <w:p w14:paraId="3F082EB5">
            <w:pPr>
              <w:autoSpaceDE w:val="0"/>
              <w:autoSpaceDN w:val="0"/>
              <w:adjustRightInd w:val="0"/>
              <w:spacing w:line="440" w:lineRule="exact"/>
              <w:jc w:val="center"/>
              <w:rPr>
                <w:rFonts w:hAnsi="宋体" w:cs="宋体"/>
                <w:color w:val="auto"/>
                <w:kern w:val="0"/>
                <w:szCs w:val="21"/>
                <w:highlight w:val="none"/>
              </w:rPr>
            </w:pPr>
            <w:r>
              <w:rPr>
                <w:rFonts w:hint="eastAsia" w:hAnsi="宋体" w:cs="宋体"/>
                <w:color w:val="auto"/>
                <w:kern w:val="0"/>
                <w:szCs w:val="21"/>
                <w:highlight w:val="none"/>
              </w:rPr>
              <w:t>无</w:t>
            </w:r>
          </w:p>
        </w:tc>
      </w:tr>
      <w:tr w14:paraId="2F142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3" w:hRule="atLeast"/>
        </w:trPr>
        <w:tc>
          <w:tcPr>
            <w:tcW w:w="3168" w:type="dxa"/>
            <w:tcBorders>
              <w:top w:val="single" w:color="auto" w:sz="4" w:space="0"/>
              <w:left w:val="single" w:color="auto" w:sz="4" w:space="0"/>
              <w:bottom w:val="single" w:color="auto" w:sz="4" w:space="0"/>
              <w:right w:val="single" w:color="auto" w:sz="4" w:space="0"/>
            </w:tcBorders>
            <w:vAlign w:val="center"/>
          </w:tcPr>
          <w:p w14:paraId="5BD554CD">
            <w:pPr>
              <w:autoSpaceDE w:val="0"/>
              <w:autoSpaceDN w:val="0"/>
              <w:adjustRightInd w:val="0"/>
              <w:spacing w:line="440" w:lineRule="exact"/>
              <w:jc w:val="center"/>
              <w:rPr>
                <w:rFonts w:hAnsi="宋体" w:cs="宋体"/>
                <w:color w:val="auto"/>
                <w:kern w:val="0"/>
                <w:szCs w:val="21"/>
                <w:highlight w:val="none"/>
              </w:rPr>
            </w:pPr>
            <w:r>
              <w:rPr>
                <w:rFonts w:hint="eastAsia" w:hAnsi="宋体" w:cs="宋体"/>
                <w:color w:val="auto"/>
                <w:kern w:val="0"/>
                <w:szCs w:val="21"/>
                <w:highlight w:val="none"/>
              </w:rPr>
              <w:t xml:space="preserve"> 磋商总报价（小写）</w:t>
            </w:r>
          </w:p>
        </w:tc>
        <w:tc>
          <w:tcPr>
            <w:tcW w:w="3884" w:type="dxa"/>
            <w:tcBorders>
              <w:top w:val="single" w:color="auto" w:sz="4" w:space="0"/>
              <w:left w:val="single" w:color="auto" w:sz="4" w:space="0"/>
              <w:bottom w:val="single" w:color="auto" w:sz="4" w:space="0"/>
              <w:right w:val="single" w:color="auto" w:sz="4" w:space="0"/>
            </w:tcBorders>
            <w:vAlign w:val="center"/>
          </w:tcPr>
          <w:p w14:paraId="4A12B976">
            <w:pPr>
              <w:autoSpaceDE w:val="0"/>
              <w:autoSpaceDN w:val="0"/>
              <w:adjustRightInd w:val="0"/>
              <w:spacing w:line="440" w:lineRule="exact"/>
              <w:jc w:val="center"/>
              <w:rPr>
                <w:rFonts w:hAnsi="宋体" w:cs="宋体"/>
                <w:color w:val="auto"/>
                <w:kern w:val="0"/>
                <w:szCs w:val="21"/>
                <w:highlight w:val="none"/>
              </w:rPr>
            </w:pPr>
          </w:p>
        </w:tc>
        <w:tc>
          <w:tcPr>
            <w:tcW w:w="1696" w:type="dxa"/>
            <w:tcBorders>
              <w:top w:val="single" w:color="auto" w:sz="4" w:space="0"/>
              <w:left w:val="single" w:color="auto" w:sz="4" w:space="0"/>
              <w:bottom w:val="single" w:color="auto" w:sz="4" w:space="0"/>
              <w:right w:val="single" w:color="auto" w:sz="4" w:space="0"/>
            </w:tcBorders>
            <w:vAlign w:val="center"/>
          </w:tcPr>
          <w:p w14:paraId="767974A3">
            <w:pPr>
              <w:autoSpaceDE w:val="0"/>
              <w:autoSpaceDN w:val="0"/>
              <w:adjustRightInd w:val="0"/>
              <w:spacing w:line="440" w:lineRule="exact"/>
              <w:jc w:val="center"/>
              <w:rPr>
                <w:rFonts w:hAnsi="宋体" w:cs="宋体"/>
                <w:color w:val="auto"/>
                <w:kern w:val="0"/>
                <w:szCs w:val="21"/>
                <w:highlight w:val="none"/>
              </w:rPr>
            </w:pPr>
            <w:r>
              <w:rPr>
                <w:rFonts w:hint="eastAsia" w:hAnsi="宋体" w:cs="宋体"/>
                <w:color w:val="auto"/>
                <w:kern w:val="0"/>
                <w:szCs w:val="21"/>
                <w:highlight w:val="none"/>
              </w:rPr>
              <w:t>无</w:t>
            </w:r>
          </w:p>
        </w:tc>
      </w:tr>
      <w:tr w14:paraId="24777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3" w:hRule="atLeast"/>
        </w:trPr>
        <w:tc>
          <w:tcPr>
            <w:tcW w:w="3168" w:type="dxa"/>
            <w:tcBorders>
              <w:top w:val="single" w:color="auto" w:sz="4" w:space="0"/>
              <w:left w:val="single" w:color="auto" w:sz="4" w:space="0"/>
              <w:bottom w:val="single" w:color="auto" w:sz="4" w:space="0"/>
              <w:right w:val="single" w:color="auto" w:sz="4" w:space="0"/>
            </w:tcBorders>
            <w:vAlign w:val="center"/>
          </w:tcPr>
          <w:p w14:paraId="5765E840">
            <w:pPr>
              <w:autoSpaceDE w:val="0"/>
              <w:autoSpaceDN w:val="0"/>
              <w:spacing w:line="440" w:lineRule="exact"/>
              <w:ind w:left="108"/>
              <w:jc w:val="center"/>
              <w:rPr>
                <w:rFonts w:hAnsi="宋体" w:cs="宋体"/>
                <w:color w:val="auto"/>
                <w:kern w:val="0"/>
                <w:szCs w:val="21"/>
                <w:highlight w:val="none"/>
              </w:rPr>
            </w:pPr>
            <w:r>
              <w:rPr>
                <w:rFonts w:hint="eastAsia" w:hAnsi="宋体" w:cs="宋体"/>
                <w:color w:val="auto"/>
                <w:kern w:val="0"/>
                <w:szCs w:val="21"/>
                <w:highlight w:val="none"/>
              </w:rPr>
              <w:t>合同履行期限（工期）</w:t>
            </w:r>
          </w:p>
        </w:tc>
        <w:tc>
          <w:tcPr>
            <w:tcW w:w="5580" w:type="dxa"/>
            <w:gridSpan w:val="2"/>
            <w:tcBorders>
              <w:top w:val="single" w:color="auto" w:sz="4" w:space="0"/>
              <w:left w:val="single" w:color="auto" w:sz="4" w:space="0"/>
              <w:bottom w:val="single" w:color="auto" w:sz="4" w:space="0"/>
              <w:right w:val="single" w:color="auto" w:sz="4" w:space="0"/>
            </w:tcBorders>
            <w:vAlign w:val="center"/>
          </w:tcPr>
          <w:p w14:paraId="61DE49D3">
            <w:pPr>
              <w:autoSpaceDE w:val="0"/>
              <w:autoSpaceDN w:val="0"/>
              <w:spacing w:line="440" w:lineRule="exact"/>
              <w:ind w:left="108"/>
              <w:jc w:val="left"/>
              <w:rPr>
                <w:rFonts w:hAnsi="宋体" w:cs="宋体"/>
                <w:color w:val="auto"/>
                <w:kern w:val="0"/>
                <w:szCs w:val="21"/>
                <w:highlight w:val="none"/>
              </w:rPr>
            </w:pPr>
            <w:r>
              <w:rPr>
                <w:rFonts w:hint="eastAsia" w:hAnsi="宋体" w:cs="宋体"/>
                <w:color w:val="auto"/>
                <w:kern w:val="0"/>
                <w:szCs w:val="21"/>
                <w:highlight w:val="none"/>
                <w:u w:val="single"/>
              </w:rPr>
              <w:t xml:space="preserve">          </w:t>
            </w:r>
          </w:p>
        </w:tc>
      </w:tr>
      <w:tr w14:paraId="58B69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3" w:hRule="atLeast"/>
        </w:trPr>
        <w:tc>
          <w:tcPr>
            <w:tcW w:w="3168" w:type="dxa"/>
            <w:tcBorders>
              <w:top w:val="single" w:color="auto" w:sz="4" w:space="0"/>
              <w:left w:val="single" w:color="auto" w:sz="4" w:space="0"/>
              <w:bottom w:val="single" w:color="auto" w:sz="4" w:space="0"/>
              <w:right w:val="single" w:color="auto" w:sz="4" w:space="0"/>
            </w:tcBorders>
            <w:vAlign w:val="center"/>
          </w:tcPr>
          <w:p w14:paraId="303A40BB">
            <w:pPr>
              <w:autoSpaceDE w:val="0"/>
              <w:autoSpaceDN w:val="0"/>
              <w:spacing w:line="440" w:lineRule="exact"/>
              <w:ind w:left="108"/>
              <w:jc w:val="center"/>
              <w:rPr>
                <w:rFonts w:hAnsi="宋体" w:cs="宋体"/>
                <w:color w:val="auto"/>
                <w:kern w:val="0"/>
                <w:szCs w:val="21"/>
                <w:highlight w:val="none"/>
              </w:rPr>
            </w:pPr>
            <w:r>
              <w:rPr>
                <w:rFonts w:hint="eastAsia" w:hAnsi="宋体" w:cs="宋体"/>
                <w:color w:val="auto"/>
                <w:kern w:val="0"/>
                <w:szCs w:val="21"/>
                <w:highlight w:val="none"/>
              </w:rPr>
              <w:t>承诺工程质量</w:t>
            </w:r>
          </w:p>
        </w:tc>
        <w:tc>
          <w:tcPr>
            <w:tcW w:w="5580" w:type="dxa"/>
            <w:gridSpan w:val="2"/>
            <w:tcBorders>
              <w:top w:val="single" w:color="auto" w:sz="4" w:space="0"/>
              <w:left w:val="single" w:color="auto" w:sz="4" w:space="0"/>
              <w:bottom w:val="single" w:color="auto" w:sz="4" w:space="0"/>
              <w:right w:val="single" w:color="auto" w:sz="4" w:space="0"/>
            </w:tcBorders>
            <w:vAlign w:val="center"/>
          </w:tcPr>
          <w:p w14:paraId="524FA46B">
            <w:pPr>
              <w:autoSpaceDE w:val="0"/>
              <w:autoSpaceDN w:val="0"/>
              <w:spacing w:line="440" w:lineRule="exact"/>
              <w:ind w:left="108"/>
              <w:jc w:val="center"/>
              <w:rPr>
                <w:rFonts w:hAnsi="宋体" w:cs="宋体"/>
                <w:color w:val="auto"/>
                <w:kern w:val="0"/>
                <w:szCs w:val="21"/>
                <w:highlight w:val="none"/>
              </w:rPr>
            </w:pPr>
            <w:r>
              <w:rPr>
                <w:rFonts w:hint="eastAsia" w:hAnsi="宋体" w:cs="宋体"/>
                <w:color w:val="auto"/>
                <w:kern w:val="0"/>
                <w:szCs w:val="21"/>
                <w:highlight w:val="none"/>
              </w:rPr>
              <w:t xml:space="preserve"> </w:t>
            </w:r>
          </w:p>
        </w:tc>
      </w:tr>
    </w:tbl>
    <w:p w14:paraId="658D4266">
      <w:pPr>
        <w:wordWrap w:val="0"/>
        <w:adjustRightInd w:val="0"/>
        <w:snapToGrid w:val="0"/>
        <w:spacing w:line="480" w:lineRule="auto"/>
        <w:ind w:left="-88" w:leftChars="-42" w:firstLine="105" w:firstLineChars="50"/>
        <w:rPr>
          <w:rFonts w:hAnsi="宋体"/>
          <w:color w:val="auto"/>
          <w:szCs w:val="21"/>
          <w:highlight w:val="none"/>
        </w:rPr>
      </w:pPr>
    </w:p>
    <w:p w14:paraId="4A80C246">
      <w:pPr>
        <w:wordWrap w:val="0"/>
        <w:spacing w:line="440" w:lineRule="exact"/>
        <w:jc w:val="right"/>
        <w:rPr>
          <w:rFonts w:hAnsi="宋体"/>
          <w:color w:val="auto"/>
          <w:szCs w:val="21"/>
          <w:highlight w:val="none"/>
        </w:rPr>
      </w:pPr>
      <w:r>
        <w:rPr>
          <w:rFonts w:hint="eastAsia" w:hAnsi="宋体"/>
          <w:color w:val="auto"/>
          <w:szCs w:val="21"/>
          <w:highlight w:val="none"/>
        </w:rPr>
        <w:t>供应商名称（盖章）：</w:t>
      </w:r>
      <w:r>
        <w:rPr>
          <w:rFonts w:hint="eastAsia" w:hAnsi="宋体"/>
          <w:color w:val="auto"/>
          <w:szCs w:val="21"/>
          <w:highlight w:val="none"/>
          <w:u w:val="single"/>
        </w:rPr>
        <w:t xml:space="preserve">                      </w:t>
      </w:r>
    </w:p>
    <w:p w14:paraId="724A4F7D">
      <w:pPr>
        <w:spacing w:line="440" w:lineRule="exact"/>
        <w:ind w:firstLine="5953" w:firstLineChars="2835"/>
        <w:rPr>
          <w:rFonts w:hAnsi="宋体"/>
          <w:color w:val="auto"/>
          <w:szCs w:val="21"/>
          <w:highlight w:val="none"/>
        </w:rPr>
      </w:pPr>
      <w:r>
        <w:rPr>
          <w:rFonts w:hint="eastAsia" w:hAnsi="宋体"/>
          <w:color w:val="auto"/>
          <w:szCs w:val="21"/>
          <w:highlight w:val="none"/>
        </w:rPr>
        <w:t>日期：   年    月   日</w:t>
      </w:r>
    </w:p>
    <w:p w14:paraId="734B3B19">
      <w:pPr>
        <w:spacing w:line="440" w:lineRule="exact"/>
        <w:ind w:firstLine="420" w:firstLineChars="200"/>
        <w:jc w:val="left"/>
        <w:rPr>
          <w:rFonts w:hAnsi="宋体"/>
          <w:color w:val="auto"/>
          <w:szCs w:val="21"/>
          <w:highlight w:val="none"/>
        </w:rPr>
      </w:pPr>
    </w:p>
    <w:p w14:paraId="24C0A759">
      <w:pPr>
        <w:spacing w:line="440" w:lineRule="exact"/>
        <w:ind w:firstLine="420" w:firstLineChars="200"/>
        <w:jc w:val="left"/>
        <w:rPr>
          <w:rFonts w:hAnsi="宋体"/>
          <w:color w:val="auto"/>
          <w:szCs w:val="21"/>
          <w:highlight w:val="none"/>
        </w:rPr>
        <w:sectPr>
          <w:headerReference r:id="rId11" w:type="default"/>
          <w:footerReference r:id="rId12" w:type="default"/>
          <w:footerReference r:id="rId13" w:type="even"/>
          <w:pgSz w:w="11907" w:h="16840"/>
          <w:pgMar w:top="1440" w:right="1440" w:bottom="1440" w:left="1418" w:header="851" w:footer="851" w:gutter="0"/>
          <w:cols w:space="720" w:num="1"/>
          <w:docGrid w:linePitch="312" w:charSpace="0"/>
        </w:sectPr>
      </w:pPr>
    </w:p>
    <w:p w14:paraId="14E9BC11">
      <w:pPr>
        <w:spacing w:line="440" w:lineRule="exact"/>
        <w:ind w:firstLine="420" w:firstLineChars="200"/>
        <w:jc w:val="left"/>
        <w:rPr>
          <w:rFonts w:hAnsi="宋体"/>
          <w:color w:val="auto"/>
          <w:szCs w:val="21"/>
          <w:highlight w:val="none"/>
        </w:rPr>
      </w:pPr>
      <w:r>
        <w:rPr>
          <w:rFonts w:hint="eastAsia" w:hAnsi="宋体"/>
          <w:color w:val="auto"/>
          <w:szCs w:val="21"/>
          <w:highlight w:val="none"/>
        </w:rPr>
        <w:t>3、已标价工程量清单</w:t>
      </w:r>
    </w:p>
    <w:p w14:paraId="7F2452A7">
      <w:pPr>
        <w:spacing w:line="440" w:lineRule="exact"/>
        <w:ind w:firstLine="420" w:firstLineChars="200"/>
        <w:jc w:val="left"/>
        <w:rPr>
          <w:rFonts w:hAnsi="宋体"/>
          <w:color w:val="auto"/>
          <w:szCs w:val="21"/>
          <w:highlight w:val="none"/>
        </w:rPr>
      </w:pPr>
      <w:r>
        <w:rPr>
          <w:rFonts w:hint="eastAsia" w:asciiTheme="minorEastAsia" w:hAnsiTheme="minorEastAsia" w:eastAsiaTheme="minorEastAsia"/>
          <w:color w:val="auto"/>
          <w:szCs w:val="21"/>
          <w:highlight w:val="none"/>
        </w:rPr>
        <w:t xml:space="preserve">    已标价工程量清单应按第四章</w:t>
      </w:r>
      <w:r>
        <w:rPr>
          <w:rFonts w:asciiTheme="minorEastAsia" w:hAnsiTheme="minorEastAsia" w:eastAsiaTheme="minorEastAsia"/>
          <w:color w:val="auto"/>
          <w:szCs w:val="21"/>
          <w:highlight w:val="none"/>
        </w:rPr>
        <w:t>“</w:t>
      </w:r>
      <w:r>
        <w:rPr>
          <w:rFonts w:hint="eastAsia" w:asciiTheme="minorEastAsia" w:hAnsiTheme="minorEastAsia" w:eastAsiaTheme="minorEastAsia"/>
          <w:color w:val="auto"/>
          <w:szCs w:val="21"/>
          <w:highlight w:val="none"/>
        </w:rPr>
        <w:t>工程量清单</w:t>
      </w:r>
      <w:r>
        <w:rPr>
          <w:rFonts w:asciiTheme="minorEastAsia" w:hAnsiTheme="minorEastAsia" w:eastAsiaTheme="minorEastAsia"/>
          <w:color w:val="auto"/>
          <w:szCs w:val="21"/>
          <w:highlight w:val="none"/>
        </w:rPr>
        <w:t>”</w:t>
      </w:r>
      <w:r>
        <w:rPr>
          <w:rFonts w:hint="eastAsia" w:asciiTheme="minorEastAsia" w:hAnsiTheme="minorEastAsia" w:eastAsiaTheme="minorEastAsia"/>
          <w:color w:val="auto"/>
          <w:szCs w:val="21"/>
          <w:highlight w:val="none"/>
        </w:rPr>
        <w:t>中的相关表格填写。</w:t>
      </w:r>
    </w:p>
    <w:p w14:paraId="249268C0">
      <w:pPr>
        <w:spacing w:line="440" w:lineRule="exact"/>
        <w:ind w:firstLine="420" w:firstLineChars="200"/>
        <w:jc w:val="left"/>
        <w:rPr>
          <w:rFonts w:hAnsi="宋体"/>
          <w:color w:val="auto"/>
          <w:szCs w:val="21"/>
          <w:highlight w:val="none"/>
        </w:rPr>
      </w:pPr>
    </w:p>
    <w:p w14:paraId="2468BC00">
      <w:pPr>
        <w:spacing w:line="440" w:lineRule="exact"/>
        <w:ind w:firstLine="420" w:firstLineChars="200"/>
        <w:jc w:val="left"/>
        <w:rPr>
          <w:rFonts w:hAnsi="宋体"/>
          <w:color w:val="auto"/>
          <w:szCs w:val="21"/>
          <w:highlight w:val="none"/>
        </w:rPr>
      </w:pPr>
    </w:p>
    <w:p w14:paraId="0BF70AD8">
      <w:pPr>
        <w:spacing w:line="440" w:lineRule="exact"/>
        <w:ind w:firstLine="420" w:firstLineChars="200"/>
        <w:jc w:val="left"/>
        <w:rPr>
          <w:rFonts w:hAnsi="宋体"/>
          <w:color w:val="auto"/>
          <w:szCs w:val="21"/>
          <w:highlight w:val="none"/>
        </w:rPr>
      </w:pPr>
    </w:p>
    <w:p w14:paraId="1CDF5902">
      <w:pPr>
        <w:spacing w:line="440" w:lineRule="exact"/>
        <w:ind w:firstLine="420" w:firstLineChars="200"/>
        <w:jc w:val="left"/>
        <w:rPr>
          <w:rFonts w:hAnsi="宋体"/>
          <w:color w:val="auto"/>
          <w:szCs w:val="21"/>
          <w:highlight w:val="none"/>
        </w:rPr>
      </w:pPr>
    </w:p>
    <w:p w14:paraId="7D393A26">
      <w:pPr>
        <w:spacing w:line="440" w:lineRule="exact"/>
        <w:ind w:firstLine="420" w:firstLineChars="200"/>
        <w:jc w:val="left"/>
        <w:rPr>
          <w:rFonts w:hAnsi="宋体"/>
          <w:color w:val="auto"/>
          <w:szCs w:val="21"/>
          <w:highlight w:val="none"/>
        </w:rPr>
        <w:sectPr>
          <w:pgSz w:w="11907" w:h="16840"/>
          <w:pgMar w:top="1440" w:right="1440" w:bottom="1440" w:left="1418" w:header="851" w:footer="851" w:gutter="0"/>
          <w:cols w:space="720" w:num="1"/>
          <w:docGrid w:linePitch="312" w:charSpace="0"/>
        </w:sectPr>
      </w:pPr>
    </w:p>
    <w:p w14:paraId="3FD0A639">
      <w:pPr>
        <w:spacing w:line="440" w:lineRule="exact"/>
        <w:ind w:firstLine="420" w:firstLineChars="200"/>
        <w:jc w:val="left"/>
        <w:rPr>
          <w:rFonts w:hAnsi="宋体"/>
          <w:color w:val="auto"/>
          <w:szCs w:val="21"/>
          <w:highlight w:val="none"/>
        </w:rPr>
      </w:pPr>
      <w:r>
        <w:rPr>
          <w:rFonts w:hint="eastAsia" w:hAnsi="宋体"/>
          <w:color w:val="auto"/>
          <w:szCs w:val="21"/>
          <w:highlight w:val="none"/>
        </w:rPr>
        <w:t>4、供应商针对报价需要说明的其他文件和说明。</w:t>
      </w:r>
    </w:p>
    <w:p w14:paraId="4A4FE1D9">
      <w:pPr>
        <w:spacing w:line="440" w:lineRule="exact"/>
        <w:ind w:firstLine="420" w:firstLineChars="200"/>
        <w:jc w:val="center"/>
        <w:rPr>
          <w:rFonts w:hAnsi="宋体"/>
          <w:color w:val="auto"/>
          <w:szCs w:val="21"/>
          <w:highlight w:val="none"/>
        </w:rPr>
      </w:pPr>
      <w:r>
        <w:rPr>
          <w:rFonts w:hint="eastAsia" w:hAnsi="宋体"/>
          <w:color w:val="auto"/>
          <w:szCs w:val="21"/>
          <w:highlight w:val="none"/>
        </w:rPr>
        <w:t>供应商自行提供，格式自拟</w:t>
      </w:r>
    </w:p>
    <w:p w14:paraId="0C4AD21C">
      <w:pPr>
        <w:rPr>
          <w:color w:val="auto"/>
          <w:highlight w:val="none"/>
        </w:rPr>
      </w:pPr>
      <w:r>
        <w:rPr>
          <w:color w:val="auto"/>
          <w:highlight w:val="none"/>
        </w:rPr>
        <w:br w:type="page"/>
      </w:r>
    </w:p>
    <w:p w14:paraId="014BD16A">
      <w:pPr>
        <w:pStyle w:val="2"/>
        <w:jc w:val="left"/>
        <w:rPr>
          <w:b/>
          <w:bCs/>
          <w:color w:val="auto"/>
          <w:sz w:val="24"/>
          <w:szCs w:val="24"/>
          <w:highlight w:val="none"/>
        </w:rPr>
      </w:pPr>
      <w:r>
        <w:rPr>
          <w:rFonts w:hint="eastAsia"/>
          <w:b/>
          <w:bCs/>
          <w:color w:val="auto"/>
          <w:sz w:val="24"/>
          <w:szCs w:val="24"/>
          <w:highlight w:val="none"/>
        </w:rPr>
        <w:t>其他文书、文件格式</w:t>
      </w:r>
    </w:p>
    <w:p w14:paraId="4D177D8F">
      <w:pPr>
        <w:pStyle w:val="2"/>
        <w:rPr>
          <w:color w:val="auto"/>
          <w:highlight w:val="none"/>
        </w:rPr>
      </w:pPr>
    </w:p>
    <w:p w14:paraId="2756D3C4">
      <w:pPr>
        <w:spacing w:line="360" w:lineRule="auto"/>
        <w:jc w:val="center"/>
        <w:rPr>
          <w:rFonts w:hAnsi="宋体"/>
          <w:b/>
          <w:bCs/>
          <w:color w:val="auto"/>
          <w:sz w:val="32"/>
          <w:szCs w:val="32"/>
          <w:highlight w:val="none"/>
        </w:rPr>
      </w:pPr>
      <w:r>
        <w:rPr>
          <w:rFonts w:hint="eastAsia" w:ascii="Times New Roman" w:hAnsi="Times New Roman"/>
          <w:b/>
          <w:bCs/>
          <w:color w:val="auto"/>
          <w:sz w:val="28"/>
          <w:highlight w:val="none"/>
        </w:rPr>
        <w:t>质疑函（格式）</w:t>
      </w:r>
    </w:p>
    <w:p w14:paraId="2FD4EA3A">
      <w:pPr>
        <w:pStyle w:val="27"/>
        <w:spacing w:line="360" w:lineRule="auto"/>
        <w:ind w:firstLine="482" w:firstLineChars="200"/>
        <w:contextualSpacing/>
        <w:rPr>
          <w:rFonts w:hAnsi="宋体"/>
          <w:b/>
          <w:bCs/>
          <w:color w:val="auto"/>
          <w:sz w:val="24"/>
          <w:szCs w:val="24"/>
          <w:highlight w:val="none"/>
        </w:rPr>
      </w:pPr>
      <w:r>
        <w:rPr>
          <w:rFonts w:hint="eastAsia" w:hAnsi="宋体"/>
          <w:b/>
          <w:bCs/>
          <w:color w:val="auto"/>
          <w:sz w:val="24"/>
          <w:szCs w:val="24"/>
          <w:highlight w:val="none"/>
        </w:rPr>
        <w:t>一、质疑供应商基本信息：</w:t>
      </w:r>
    </w:p>
    <w:p w14:paraId="643F625A">
      <w:pPr>
        <w:pStyle w:val="27"/>
        <w:spacing w:line="360" w:lineRule="auto"/>
        <w:ind w:firstLine="480" w:firstLineChars="200"/>
        <w:contextualSpacing/>
        <w:rPr>
          <w:rFonts w:hAnsi="宋体"/>
          <w:bCs/>
          <w:color w:val="auto"/>
          <w:sz w:val="24"/>
          <w:szCs w:val="24"/>
          <w:highlight w:val="none"/>
          <w:u w:val="single"/>
        </w:rPr>
      </w:pPr>
      <w:r>
        <w:rPr>
          <w:rFonts w:hint="eastAsia" w:hAnsi="宋体"/>
          <w:bCs/>
          <w:color w:val="auto"/>
          <w:sz w:val="24"/>
          <w:szCs w:val="24"/>
          <w:highlight w:val="none"/>
        </w:rPr>
        <w:t>质疑供应商：</w:t>
      </w:r>
    </w:p>
    <w:p w14:paraId="45BFF6C1">
      <w:pPr>
        <w:pStyle w:val="27"/>
        <w:spacing w:line="360" w:lineRule="auto"/>
        <w:ind w:firstLine="480" w:firstLineChars="200"/>
        <w:contextualSpacing/>
        <w:rPr>
          <w:rFonts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Ansi="宋体"/>
          <w:bCs/>
          <w:color w:val="auto"/>
          <w:sz w:val="24"/>
          <w:szCs w:val="24"/>
          <w:highlight w:val="none"/>
        </w:rPr>
        <w:t>邮编</w:t>
      </w:r>
      <w:r>
        <w:rPr>
          <w:rFonts w:hint="eastAsia" w:hAnsi="宋体"/>
          <w:bCs/>
          <w:color w:val="auto"/>
          <w:sz w:val="24"/>
          <w:szCs w:val="24"/>
          <w:highlight w:val="none"/>
        </w:rPr>
        <w:t>：</w:t>
      </w:r>
    </w:p>
    <w:p w14:paraId="1AD9F147">
      <w:pPr>
        <w:pStyle w:val="27"/>
        <w:spacing w:line="360" w:lineRule="auto"/>
        <w:ind w:firstLine="480" w:firstLineChars="200"/>
        <w:contextualSpacing/>
        <w:rPr>
          <w:rFonts w:hAnsi="宋体"/>
          <w:bCs/>
          <w:color w:val="auto"/>
          <w:sz w:val="24"/>
          <w:szCs w:val="24"/>
          <w:highlight w:val="none"/>
        </w:rPr>
      </w:pPr>
      <w:r>
        <w:rPr>
          <w:rFonts w:hAnsi="宋体"/>
          <w:bCs/>
          <w:color w:val="auto"/>
          <w:sz w:val="24"/>
          <w:szCs w:val="24"/>
          <w:highlight w:val="none"/>
        </w:rPr>
        <w:t>联系人</w:t>
      </w:r>
      <w:r>
        <w:rPr>
          <w:rFonts w:hint="eastAsia" w:hAnsi="宋体"/>
          <w:bCs/>
          <w:color w:val="auto"/>
          <w:sz w:val="24"/>
          <w:szCs w:val="24"/>
          <w:highlight w:val="none"/>
        </w:rPr>
        <w:t>：</w:t>
      </w:r>
      <w:r>
        <w:rPr>
          <w:rFonts w:hAnsi="宋体"/>
          <w:bCs/>
          <w:color w:val="auto"/>
          <w:sz w:val="24"/>
          <w:szCs w:val="24"/>
          <w:highlight w:val="none"/>
        </w:rPr>
        <w:t>联系电话</w:t>
      </w:r>
      <w:r>
        <w:rPr>
          <w:rFonts w:hint="eastAsia" w:hAnsi="宋体"/>
          <w:bCs/>
          <w:color w:val="auto"/>
          <w:sz w:val="24"/>
          <w:szCs w:val="24"/>
          <w:highlight w:val="none"/>
        </w:rPr>
        <w:t>：</w:t>
      </w:r>
    </w:p>
    <w:p w14:paraId="418C6459">
      <w:pPr>
        <w:pStyle w:val="27"/>
        <w:spacing w:line="360" w:lineRule="auto"/>
        <w:ind w:firstLine="480" w:firstLineChars="200"/>
        <w:contextualSpacing/>
        <w:rPr>
          <w:rFonts w:hAnsi="宋体"/>
          <w:bCs/>
          <w:color w:val="auto"/>
          <w:sz w:val="24"/>
          <w:szCs w:val="24"/>
          <w:highlight w:val="none"/>
        </w:rPr>
      </w:pPr>
      <w:r>
        <w:rPr>
          <w:rFonts w:hint="eastAsia" w:hAnsi="宋体"/>
          <w:bCs/>
          <w:color w:val="auto"/>
          <w:sz w:val="24"/>
          <w:szCs w:val="24"/>
          <w:highlight w:val="none"/>
        </w:rPr>
        <w:t>授权代表：</w:t>
      </w:r>
    </w:p>
    <w:p w14:paraId="0489FC26">
      <w:pPr>
        <w:pStyle w:val="27"/>
        <w:spacing w:line="360" w:lineRule="auto"/>
        <w:ind w:firstLine="480" w:firstLineChars="200"/>
        <w:contextualSpacing/>
        <w:rPr>
          <w:rFonts w:hAnsi="宋体"/>
          <w:bCs/>
          <w:color w:val="auto"/>
          <w:sz w:val="24"/>
          <w:szCs w:val="24"/>
          <w:highlight w:val="none"/>
          <w:u w:val="single"/>
        </w:rPr>
      </w:pPr>
      <w:r>
        <w:rPr>
          <w:rFonts w:hAnsi="宋体"/>
          <w:bCs/>
          <w:color w:val="auto"/>
          <w:sz w:val="24"/>
          <w:szCs w:val="24"/>
          <w:highlight w:val="none"/>
        </w:rPr>
        <w:t>联系</w:t>
      </w:r>
      <w:r>
        <w:rPr>
          <w:rFonts w:hint="eastAsia" w:hAnsi="宋体"/>
          <w:bCs/>
          <w:color w:val="auto"/>
          <w:sz w:val="24"/>
          <w:szCs w:val="24"/>
          <w:highlight w:val="none"/>
        </w:rPr>
        <w:t>电话：</w:t>
      </w:r>
    </w:p>
    <w:p w14:paraId="4D64F1BA">
      <w:pPr>
        <w:pStyle w:val="27"/>
        <w:spacing w:line="360" w:lineRule="auto"/>
        <w:ind w:firstLine="480" w:firstLineChars="200"/>
        <w:contextualSpacing/>
        <w:rPr>
          <w:rFonts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Ansi="宋体"/>
          <w:bCs/>
          <w:color w:val="auto"/>
          <w:sz w:val="24"/>
          <w:szCs w:val="24"/>
          <w:highlight w:val="none"/>
        </w:rPr>
        <w:t>邮编</w:t>
      </w:r>
      <w:r>
        <w:rPr>
          <w:rFonts w:hint="eastAsia" w:hAnsi="宋体"/>
          <w:bCs/>
          <w:color w:val="auto"/>
          <w:sz w:val="24"/>
          <w:szCs w:val="24"/>
          <w:highlight w:val="none"/>
        </w:rPr>
        <w:t>：</w:t>
      </w:r>
    </w:p>
    <w:p w14:paraId="4790B852">
      <w:pPr>
        <w:pStyle w:val="27"/>
        <w:spacing w:line="360" w:lineRule="auto"/>
        <w:ind w:firstLine="482" w:firstLineChars="200"/>
        <w:contextualSpacing/>
        <w:rPr>
          <w:rFonts w:hAnsi="宋体"/>
          <w:b/>
          <w:bCs/>
          <w:color w:val="auto"/>
          <w:sz w:val="24"/>
          <w:szCs w:val="24"/>
          <w:highlight w:val="none"/>
        </w:rPr>
      </w:pPr>
      <w:r>
        <w:rPr>
          <w:rFonts w:hint="eastAsia" w:hAnsi="宋体"/>
          <w:b/>
          <w:bCs/>
          <w:color w:val="auto"/>
          <w:sz w:val="24"/>
          <w:szCs w:val="24"/>
          <w:highlight w:val="none"/>
        </w:rPr>
        <w:t>二、质疑项目基本情况：</w:t>
      </w:r>
    </w:p>
    <w:p w14:paraId="60799DF1">
      <w:pPr>
        <w:pStyle w:val="27"/>
        <w:spacing w:line="360" w:lineRule="auto"/>
        <w:ind w:left="25" w:leftChars="12" w:firstLine="472" w:firstLineChars="197"/>
        <w:contextualSpacing/>
        <w:rPr>
          <w:rFonts w:hAnsi="宋体"/>
          <w:color w:val="auto"/>
          <w:sz w:val="24"/>
          <w:szCs w:val="24"/>
          <w:highlight w:val="none"/>
        </w:rPr>
      </w:pPr>
      <w:r>
        <w:rPr>
          <w:rFonts w:hint="eastAsia" w:hAnsi="宋体"/>
          <w:bCs/>
          <w:color w:val="auto"/>
          <w:sz w:val="24"/>
          <w:szCs w:val="24"/>
          <w:highlight w:val="none"/>
        </w:rPr>
        <w:t>质疑</w:t>
      </w:r>
      <w:r>
        <w:rPr>
          <w:rFonts w:hint="eastAsia" w:hAnsi="宋体"/>
          <w:color w:val="auto"/>
          <w:sz w:val="24"/>
          <w:szCs w:val="24"/>
          <w:highlight w:val="none"/>
        </w:rPr>
        <w:t>项目的名称：</w:t>
      </w:r>
    </w:p>
    <w:p w14:paraId="5D27BC71">
      <w:pPr>
        <w:pStyle w:val="27"/>
        <w:spacing w:line="360" w:lineRule="auto"/>
        <w:ind w:left="25" w:leftChars="12" w:firstLine="472" w:firstLineChars="197"/>
        <w:contextualSpacing/>
        <w:rPr>
          <w:rFonts w:hAnsi="宋体"/>
          <w:color w:val="auto"/>
          <w:sz w:val="24"/>
          <w:szCs w:val="24"/>
          <w:highlight w:val="none"/>
        </w:rPr>
      </w:pPr>
      <w:r>
        <w:rPr>
          <w:rFonts w:hint="eastAsia" w:hAnsi="宋体"/>
          <w:bCs/>
          <w:color w:val="auto"/>
          <w:sz w:val="24"/>
          <w:szCs w:val="24"/>
          <w:highlight w:val="none"/>
        </w:rPr>
        <w:t>质疑</w:t>
      </w:r>
      <w:r>
        <w:rPr>
          <w:rFonts w:hint="eastAsia" w:hAnsi="宋体"/>
          <w:color w:val="auto"/>
          <w:sz w:val="24"/>
          <w:szCs w:val="24"/>
          <w:highlight w:val="none"/>
        </w:rPr>
        <w:t>项目的编号：</w:t>
      </w:r>
    </w:p>
    <w:p w14:paraId="01FB3536">
      <w:pPr>
        <w:pStyle w:val="27"/>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采购人名称：</w:t>
      </w:r>
    </w:p>
    <w:p w14:paraId="7D9B8AEA">
      <w:pPr>
        <w:pStyle w:val="27"/>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质疑事项：</w:t>
      </w:r>
    </w:p>
    <w:p w14:paraId="61F4A298">
      <w:pPr>
        <w:pStyle w:val="27"/>
        <w:spacing w:line="360" w:lineRule="auto"/>
        <w:ind w:left="25" w:leftChars="12" w:firstLine="352" w:firstLineChars="147"/>
        <w:contextualSpacing/>
        <w:rPr>
          <w:rFonts w:hAnsi="宋体"/>
          <w:color w:val="auto"/>
          <w:sz w:val="24"/>
          <w:szCs w:val="24"/>
          <w:highlight w:val="none"/>
        </w:rPr>
      </w:pPr>
      <w:r>
        <w:rPr>
          <w:rFonts w:hint="eastAsia" w:hAnsi="宋体"/>
          <w:color w:val="auto"/>
          <w:sz w:val="24"/>
          <w:szCs w:val="24"/>
          <w:highlight w:val="none"/>
        </w:rPr>
        <w:t>□采购文件   采购文件获取日期：</w:t>
      </w:r>
    </w:p>
    <w:p w14:paraId="4FA6670B">
      <w:pPr>
        <w:pStyle w:val="27"/>
        <w:spacing w:line="360" w:lineRule="auto"/>
        <w:ind w:left="25" w:leftChars="12" w:firstLine="352" w:firstLineChars="147"/>
        <w:contextualSpacing/>
        <w:rPr>
          <w:rFonts w:hAnsi="宋体"/>
          <w:color w:val="auto"/>
          <w:sz w:val="24"/>
          <w:szCs w:val="24"/>
          <w:highlight w:val="none"/>
        </w:rPr>
      </w:pPr>
      <w:r>
        <w:rPr>
          <w:rFonts w:hint="eastAsia" w:hAnsi="宋体"/>
          <w:color w:val="auto"/>
          <w:sz w:val="24"/>
          <w:szCs w:val="24"/>
          <w:highlight w:val="none"/>
        </w:rPr>
        <w:t xml:space="preserve">□采购过程   </w:t>
      </w:r>
    </w:p>
    <w:p w14:paraId="59B37BDC">
      <w:pPr>
        <w:pStyle w:val="27"/>
        <w:spacing w:line="360" w:lineRule="auto"/>
        <w:ind w:left="25" w:leftChars="12" w:firstLine="352" w:firstLineChars="147"/>
        <w:contextualSpacing/>
        <w:rPr>
          <w:rFonts w:hAnsi="宋体"/>
          <w:bCs/>
          <w:color w:val="auto"/>
          <w:sz w:val="24"/>
          <w:szCs w:val="24"/>
          <w:highlight w:val="none"/>
          <w:u w:val="single"/>
        </w:rPr>
      </w:pPr>
      <w:r>
        <w:rPr>
          <w:rFonts w:hint="eastAsia" w:hAnsi="宋体"/>
          <w:color w:val="auto"/>
          <w:sz w:val="24"/>
          <w:szCs w:val="24"/>
          <w:highlight w:val="none"/>
        </w:rPr>
        <w:t xml:space="preserve">□成交结果   </w:t>
      </w:r>
    </w:p>
    <w:p w14:paraId="3A871981">
      <w:pPr>
        <w:pStyle w:val="27"/>
        <w:spacing w:line="360" w:lineRule="auto"/>
        <w:ind w:left="25" w:leftChars="12" w:firstLine="472" w:firstLineChars="196"/>
        <w:contextualSpacing/>
        <w:rPr>
          <w:rFonts w:hAnsi="宋体"/>
          <w:b/>
          <w:color w:val="auto"/>
          <w:sz w:val="24"/>
          <w:szCs w:val="24"/>
          <w:highlight w:val="none"/>
        </w:rPr>
      </w:pPr>
      <w:r>
        <w:rPr>
          <w:rFonts w:hint="eastAsia" w:hAnsi="宋体"/>
          <w:b/>
          <w:color w:val="auto"/>
          <w:sz w:val="24"/>
          <w:szCs w:val="24"/>
          <w:highlight w:val="none"/>
        </w:rPr>
        <w:t>三、质疑事项具体内容</w:t>
      </w:r>
    </w:p>
    <w:p w14:paraId="1A6A009F">
      <w:pPr>
        <w:pStyle w:val="27"/>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质疑事项1：</w:t>
      </w:r>
    </w:p>
    <w:p w14:paraId="6011A383">
      <w:pPr>
        <w:pStyle w:val="27"/>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事实依据：</w:t>
      </w:r>
    </w:p>
    <w:p w14:paraId="1F556E6E">
      <w:pPr>
        <w:pStyle w:val="27"/>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法律依据：</w:t>
      </w:r>
    </w:p>
    <w:p w14:paraId="4321E974">
      <w:pPr>
        <w:pStyle w:val="27"/>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质疑事项2</w:t>
      </w:r>
    </w:p>
    <w:p w14:paraId="389A9E13">
      <w:pPr>
        <w:pStyle w:val="27"/>
        <w:spacing w:line="360" w:lineRule="auto"/>
        <w:ind w:left="25" w:leftChars="12" w:firstLine="472" w:firstLineChars="197"/>
        <w:contextualSpacing/>
        <w:rPr>
          <w:rFonts w:hAnsi="宋体"/>
          <w:color w:val="auto"/>
          <w:sz w:val="24"/>
          <w:szCs w:val="24"/>
          <w:highlight w:val="none"/>
        </w:rPr>
      </w:pPr>
      <w:r>
        <w:rPr>
          <w:rFonts w:hAnsi="宋体"/>
          <w:color w:val="auto"/>
          <w:sz w:val="24"/>
          <w:szCs w:val="24"/>
          <w:highlight w:val="none"/>
        </w:rPr>
        <w:t>……</w:t>
      </w:r>
    </w:p>
    <w:p w14:paraId="5D9463EB">
      <w:pPr>
        <w:pStyle w:val="27"/>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四、与质疑事项相关的质疑请求：</w:t>
      </w:r>
    </w:p>
    <w:p w14:paraId="3551FC51">
      <w:pPr>
        <w:pStyle w:val="27"/>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请求：</w:t>
      </w:r>
    </w:p>
    <w:p w14:paraId="34BFE256">
      <w:pPr>
        <w:pStyle w:val="27"/>
        <w:spacing w:line="360" w:lineRule="auto"/>
        <w:ind w:left="25" w:leftChars="12" w:firstLine="352" w:firstLineChars="147"/>
        <w:contextualSpacing/>
        <w:rPr>
          <w:rFonts w:hAnsi="宋体"/>
          <w:color w:val="auto"/>
          <w:sz w:val="24"/>
          <w:szCs w:val="24"/>
          <w:highlight w:val="none"/>
        </w:rPr>
      </w:pPr>
    </w:p>
    <w:p w14:paraId="6D048B66">
      <w:pPr>
        <w:pStyle w:val="27"/>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签字（签章）：                                       公章：</w:t>
      </w:r>
    </w:p>
    <w:p w14:paraId="2C98BC3F">
      <w:pPr>
        <w:pStyle w:val="27"/>
        <w:spacing w:line="360" w:lineRule="auto"/>
        <w:ind w:firstLine="480" w:firstLineChars="200"/>
        <w:contextualSpacing/>
        <w:rPr>
          <w:rFonts w:hAnsi="宋体"/>
          <w:color w:val="auto"/>
          <w:sz w:val="24"/>
          <w:szCs w:val="24"/>
          <w:highlight w:val="none"/>
        </w:rPr>
      </w:pPr>
    </w:p>
    <w:p w14:paraId="4F4C7BB2">
      <w:pPr>
        <w:pStyle w:val="27"/>
        <w:spacing w:line="360" w:lineRule="auto"/>
        <w:ind w:firstLine="480" w:firstLineChars="200"/>
        <w:contextualSpacing/>
        <w:rPr>
          <w:rFonts w:hAnsi="宋体"/>
          <w:b/>
          <w:color w:val="auto"/>
          <w:sz w:val="24"/>
          <w:szCs w:val="24"/>
          <w:highlight w:val="none"/>
        </w:rPr>
      </w:pPr>
      <w:r>
        <w:rPr>
          <w:rFonts w:hint="eastAsia" w:hAnsi="宋体"/>
          <w:color w:val="auto"/>
          <w:sz w:val="24"/>
          <w:szCs w:val="24"/>
          <w:highlight w:val="none"/>
        </w:rPr>
        <w:t>日期：</w:t>
      </w:r>
    </w:p>
    <w:p w14:paraId="39DDDE06">
      <w:pPr>
        <w:pStyle w:val="27"/>
        <w:spacing w:line="360" w:lineRule="auto"/>
        <w:contextualSpacing/>
        <w:rPr>
          <w:rFonts w:hAnsi="宋体"/>
          <w:b/>
          <w:color w:val="auto"/>
          <w:sz w:val="24"/>
          <w:szCs w:val="24"/>
          <w:highlight w:val="none"/>
        </w:rPr>
      </w:pPr>
    </w:p>
    <w:p w14:paraId="7203EADC">
      <w:pPr>
        <w:pStyle w:val="27"/>
        <w:spacing w:line="360" w:lineRule="auto"/>
        <w:contextualSpacing/>
        <w:rPr>
          <w:rFonts w:hAnsi="宋体"/>
          <w:b/>
          <w:color w:val="auto"/>
          <w:sz w:val="24"/>
          <w:szCs w:val="24"/>
          <w:highlight w:val="none"/>
        </w:rPr>
      </w:pPr>
    </w:p>
    <w:p w14:paraId="019D072B">
      <w:pPr>
        <w:pStyle w:val="27"/>
        <w:spacing w:line="360" w:lineRule="auto"/>
        <w:contextualSpacing/>
        <w:rPr>
          <w:rFonts w:hAnsi="宋体"/>
          <w:b/>
          <w:color w:val="auto"/>
          <w:sz w:val="24"/>
          <w:szCs w:val="24"/>
          <w:highlight w:val="none"/>
        </w:rPr>
      </w:pPr>
      <w:r>
        <w:rPr>
          <w:rFonts w:hint="eastAsia" w:hAnsi="宋体"/>
          <w:b/>
          <w:color w:val="auto"/>
          <w:sz w:val="24"/>
          <w:szCs w:val="24"/>
          <w:highlight w:val="none"/>
        </w:rPr>
        <w:t>说明：</w:t>
      </w:r>
    </w:p>
    <w:p w14:paraId="77CC3270">
      <w:pPr>
        <w:pStyle w:val="27"/>
        <w:spacing w:line="360" w:lineRule="auto"/>
        <w:ind w:left="25" w:leftChars="12" w:firstLine="354" w:firstLineChars="147"/>
        <w:contextualSpacing/>
        <w:rPr>
          <w:rFonts w:hAnsi="宋体"/>
          <w:b/>
          <w:bCs/>
          <w:color w:val="auto"/>
          <w:sz w:val="24"/>
          <w:szCs w:val="24"/>
          <w:highlight w:val="none"/>
        </w:rPr>
      </w:pPr>
      <w:r>
        <w:rPr>
          <w:rFonts w:hint="eastAsia" w:hAnsi="宋体"/>
          <w:b/>
          <w:color w:val="auto"/>
          <w:sz w:val="24"/>
          <w:szCs w:val="24"/>
          <w:highlight w:val="none"/>
        </w:rPr>
        <w:t>1.供应商提出质疑时，应提交质疑函和必要的证明材料</w:t>
      </w:r>
      <w:r>
        <w:rPr>
          <w:rFonts w:hint="eastAsia" w:hAnsi="宋体"/>
          <w:b/>
          <w:bCs/>
          <w:color w:val="auto"/>
          <w:sz w:val="24"/>
          <w:szCs w:val="24"/>
          <w:highlight w:val="none"/>
        </w:rPr>
        <w:t>。</w:t>
      </w:r>
    </w:p>
    <w:p w14:paraId="5A96E63A">
      <w:pPr>
        <w:pStyle w:val="27"/>
        <w:spacing w:line="360" w:lineRule="auto"/>
        <w:ind w:left="25" w:leftChars="12" w:firstLine="354" w:firstLineChars="147"/>
        <w:contextualSpacing/>
        <w:rPr>
          <w:rFonts w:hAnsi="宋体"/>
          <w:b/>
          <w:color w:val="auto"/>
          <w:sz w:val="24"/>
          <w:szCs w:val="24"/>
          <w:highlight w:val="none"/>
        </w:rPr>
      </w:pPr>
      <w:r>
        <w:rPr>
          <w:rFonts w:hint="eastAsia" w:hAnsi="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24FE76DA">
      <w:pPr>
        <w:pStyle w:val="27"/>
        <w:spacing w:line="360" w:lineRule="auto"/>
        <w:ind w:left="25" w:leftChars="12" w:firstLine="354" w:firstLineChars="147"/>
        <w:contextualSpacing/>
        <w:rPr>
          <w:rFonts w:hAnsi="宋体"/>
          <w:b/>
          <w:color w:val="auto"/>
          <w:sz w:val="24"/>
          <w:szCs w:val="24"/>
          <w:highlight w:val="none"/>
        </w:rPr>
      </w:pPr>
      <w:r>
        <w:rPr>
          <w:rFonts w:hint="eastAsia" w:hAnsi="宋体"/>
          <w:b/>
          <w:color w:val="auto"/>
          <w:sz w:val="24"/>
          <w:szCs w:val="24"/>
          <w:highlight w:val="none"/>
        </w:rPr>
        <w:t>3.质疑函的质疑事项应具体、明确，并有必要的事实依据和法律依据。</w:t>
      </w:r>
    </w:p>
    <w:p w14:paraId="71F6A9FA">
      <w:pPr>
        <w:pStyle w:val="27"/>
        <w:spacing w:line="360" w:lineRule="auto"/>
        <w:ind w:left="25" w:leftChars="12" w:firstLine="354" w:firstLineChars="147"/>
        <w:contextualSpacing/>
        <w:rPr>
          <w:rFonts w:hAnsi="宋体"/>
          <w:b/>
          <w:color w:val="auto"/>
          <w:sz w:val="24"/>
          <w:szCs w:val="24"/>
          <w:highlight w:val="none"/>
        </w:rPr>
      </w:pPr>
      <w:r>
        <w:rPr>
          <w:rFonts w:hint="eastAsia" w:hAnsi="宋体"/>
          <w:b/>
          <w:color w:val="auto"/>
          <w:sz w:val="24"/>
          <w:szCs w:val="24"/>
          <w:highlight w:val="none"/>
        </w:rPr>
        <w:t>4.质疑函的质疑请求应与质疑事项相关。</w:t>
      </w:r>
    </w:p>
    <w:p w14:paraId="76DF93C3">
      <w:pPr>
        <w:pStyle w:val="27"/>
        <w:spacing w:line="360" w:lineRule="auto"/>
        <w:ind w:left="25" w:leftChars="12" w:firstLine="354" w:firstLineChars="147"/>
        <w:contextualSpacing/>
        <w:rPr>
          <w:rFonts w:hAnsi="宋体"/>
          <w:b/>
          <w:color w:val="auto"/>
          <w:highlight w:val="none"/>
        </w:rPr>
      </w:pPr>
      <w:r>
        <w:rPr>
          <w:rFonts w:hint="eastAsia" w:hAnsi="宋体"/>
          <w:b/>
          <w:color w:val="auto"/>
          <w:sz w:val="24"/>
          <w:szCs w:val="24"/>
          <w:highlight w:val="none"/>
        </w:rPr>
        <w:t>5.质疑供应商为法人或者其他组织的，质疑函应由法定代表人、主要负责人，或者其授权代表签字或者盖章，并加盖公章。</w:t>
      </w:r>
    </w:p>
    <w:p w14:paraId="76587B67">
      <w:pPr>
        <w:pStyle w:val="27"/>
        <w:snapToGrid w:val="0"/>
        <w:rPr>
          <w:b/>
          <w:color w:val="auto"/>
          <w:sz w:val="24"/>
          <w:szCs w:val="24"/>
          <w:highlight w:val="none"/>
        </w:rPr>
      </w:pPr>
    </w:p>
    <w:p w14:paraId="7DD5AFBB">
      <w:pPr>
        <w:rPr>
          <w:color w:val="auto"/>
          <w:sz w:val="32"/>
          <w:szCs w:val="40"/>
          <w:highlight w:val="none"/>
        </w:rPr>
      </w:pPr>
    </w:p>
    <w:p w14:paraId="1F776FFA">
      <w:pPr>
        <w:rPr>
          <w:color w:val="auto"/>
          <w:sz w:val="32"/>
          <w:szCs w:val="40"/>
          <w:highlight w:val="none"/>
        </w:rPr>
      </w:pPr>
    </w:p>
    <w:p w14:paraId="34606F9E">
      <w:pPr>
        <w:rPr>
          <w:color w:val="auto"/>
          <w:sz w:val="32"/>
          <w:szCs w:val="40"/>
          <w:highlight w:val="none"/>
        </w:rPr>
      </w:pPr>
    </w:p>
    <w:p w14:paraId="14DA9B04">
      <w:pPr>
        <w:rPr>
          <w:color w:val="auto"/>
          <w:sz w:val="32"/>
          <w:szCs w:val="40"/>
          <w:highlight w:val="none"/>
        </w:rPr>
      </w:pPr>
    </w:p>
    <w:p w14:paraId="16D55E71">
      <w:pPr>
        <w:rPr>
          <w:color w:val="auto"/>
          <w:sz w:val="32"/>
          <w:szCs w:val="40"/>
          <w:highlight w:val="none"/>
        </w:rPr>
      </w:pPr>
    </w:p>
    <w:p w14:paraId="0E427AB3">
      <w:pPr>
        <w:rPr>
          <w:color w:val="auto"/>
          <w:sz w:val="32"/>
          <w:szCs w:val="40"/>
          <w:highlight w:val="none"/>
        </w:rPr>
      </w:pPr>
    </w:p>
    <w:p w14:paraId="703A0EEB">
      <w:pPr>
        <w:rPr>
          <w:color w:val="auto"/>
          <w:sz w:val="32"/>
          <w:szCs w:val="40"/>
          <w:highlight w:val="none"/>
        </w:rPr>
      </w:pPr>
    </w:p>
    <w:p w14:paraId="591B2A49">
      <w:pPr>
        <w:rPr>
          <w:color w:val="auto"/>
          <w:sz w:val="32"/>
          <w:szCs w:val="40"/>
          <w:highlight w:val="none"/>
        </w:rPr>
      </w:pPr>
    </w:p>
    <w:p w14:paraId="4099FBDD">
      <w:pPr>
        <w:rPr>
          <w:color w:val="auto"/>
          <w:sz w:val="32"/>
          <w:szCs w:val="40"/>
          <w:highlight w:val="none"/>
        </w:rPr>
      </w:pPr>
    </w:p>
    <w:p w14:paraId="251DD4E3">
      <w:pPr>
        <w:rPr>
          <w:color w:val="auto"/>
          <w:sz w:val="32"/>
          <w:szCs w:val="40"/>
          <w:highlight w:val="none"/>
        </w:rPr>
      </w:pPr>
    </w:p>
    <w:p w14:paraId="44F40F38">
      <w:pPr>
        <w:rPr>
          <w:color w:val="auto"/>
          <w:sz w:val="32"/>
          <w:szCs w:val="40"/>
          <w:highlight w:val="none"/>
        </w:rPr>
      </w:pPr>
    </w:p>
    <w:p w14:paraId="0E08153A">
      <w:pPr>
        <w:rPr>
          <w:color w:val="auto"/>
          <w:sz w:val="32"/>
          <w:szCs w:val="40"/>
          <w:highlight w:val="none"/>
        </w:rPr>
      </w:pPr>
    </w:p>
    <w:p w14:paraId="630A33E4">
      <w:pPr>
        <w:rPr>
          <w:color w:val="auto"/>
          <w:sz w:val="32"/>
          <w:szCs w:val="40"/>
          <w:highlight w:val="none"/>
        </w:rPr>
      </w:pPr>
    </w:p>
    <w:p w14:paraId="2E1DC94B">
      <w:pPr>
        <w:rPr>
          <w:color w:val="auto"/>
          <w:sz w:val="32"/>
          <w:szCs w:val="40"/>
          <w:highlight w:val="none"/>
        </w:rPr>
      </w:pPr>
    </w:p>
    <w:p w14:paraId="6760801B">
      <w:pPr>
        <w:rPr>
          <w:color w:val="auto"/>
          <w:sz w:val="32"/>
          <w:szCs w:val="40"/>
          <w:highlight w:val="none"/>
        </w:rPr>
      </w:pPr>
    </w:p>
    <w:p w14:paraId="360BBC08">
      <w:pPr>
        <w:pStyle w:val="69"/>
        <w:rPr>
          <w:color w:val="auto"/>
          <w:sz w:val="32"/>
          <w:szCs w:val="40"/>
          <w:highlight w:val="none"/>
        </w:rPr>
      </w:pPr>
    </w:p>
    <w:p w14:paraId="63796024">
      <w:pPr>
        <w:pStyle w:val="69"/>
        <w:rPr>
          <w:color w:val="auto"/>
          <w:sz w:val="32"/>
          <w:szCs w:val="40"/>
          <w:highlight w:val="none"/>
        </w:rPr>
      </w:pPr>
    </w:p>
    <w:p w14:paraId="2FD1E351">
      <w:pPr>
        <w:pStyle w:val="69"/>
        <w:rPr>
          <w:color w:val="auto"/>
          <w:sz w:val="32"/>
          <w:szCs w:val="40"/>
          <w:highlight w:val="none"/>
        </w:rPr>
      </w:pPr>
    </w:p>
    <w:p w14:paraId="041E162F">
      <w:pPr>
        <w:pStyle w:val="69"/>
        <w:rPr>
          <w:color w:val="auto"/>
          <w:sz w:val="32"/>
          <w:szCs w:val="40"/>
          <w:highlight w:val="none"/>
        </w:rPr>
      </w:pPr>
    </w:p>
    <w:p w14:paraId="6F7A8677">
      <w:pPr>
        <w:pStyle w:val="69"/>
        <w:rPr>
          <w:color w:val="auto"/>
          <w:sz w:val="32"/>
          <w:szCs w:val="40"/>
          <w:highlight w:val="none"/>
        </w:rPr>
      </w:pPr>
    </w:p>
    <w:p w14:paraId="01C590B9">
      <w:pPr>
        <w:pStyle w:val="69"/>
        <w:rPr>
          <w:color w:val="auto"/>
          <w:sz w:val="32"/>
          <w:szCs w:val="40"/>
          <w:highlight w:val="none"/>
        </w:rPr>
      </w:pPr>
    </w:p>
    <w:p w14:paraId="1BC20D76">
      <w:pPr>
        <w:spacing w:line="360" w:lineRule="auto"/>
        <w:jc w:val="center"/>
        <w:rPr>
          <w:rFonts w:ascii="方正小标宋简体" w:hAnsi="方正小标宋简体" w:eastAsia="方正小标宋简体" w:cs="方正小标宋简体"/>
          <w:color w:val="auto"/>
          <w:sz w:val="44"/>
          <w:szCs w:val="44"/>
          <w:highlight w:val="none"/>
        </w:rPr>
      </w:pPr>
      <w:r>
        <w:rPr>
          <w:rFonts w:hint="eastAsia" w:ascii="Times New Roman" w:hAnsi="Times New Roman"/>
          <w:b/>
          <w:bCs/>
          <w:color w:val="auto"/>
          <w:sz w:val="28"/>
          <w:highlight w:val="none"/>
        </w:rPr>
        <w:t>投诉书（格式）</w:t>
      </w:r>
    </w:p>
    <w:p w14:paraId="3FC62BA4">
      <w:pPr>
        <w:pStyle w:val="27"/>
        <w:snapToGrid w:val="0"/>
        <w:spacing w:line="360" w:lineRule="auto"/>
        <w:ind w:firstLine="482" w:firstLineChars="200"/>
        <w:rPr>
          <w:rFonts w:hAnsi="宋体"/>
          <w:b/>
          <w:bCs/>
          <w:color w:val="auto"/>
          <w:sz w:val="24"/>
          <w:szCs w:val="24"/>
          <w:highlight w:val="none"/>
        </w:rPr>
      </w:pPr>
      <w:r>
        <w:rPr>
          <w:rFonts w:hint="eastAsia" w:hAnsi="宋体"/>
          <w:b/>
          <w:bCs/>
          <w:color w:val="auto"/>
          <w:sz w:val="24"/>
          <w:szCs w:val="24"/>
          <w:highlight w:val="none"/>
        </w:rPr>
        <w:t>一、投诉相关主体基本情况：</w:t>
      </w:r>
    </w:p>
    <w:p w14:paraId="1B5EFEF4">
      <w:pPr>
        <w:pStyle w:val="27"/>
        <w:snapToGrid w:val="0"/>
        <w:spacing w:line="360" w:lineRule="auto"/>
        <w:ind w:firstLine="480" w:firstLineChars="200"/>
        <w:rPr>
          <w:rFonts w:hAnsi="宋体"/>
          <w:bCs/>
          <w:color w:val="auto"/>
          <w:sz w:val="24"/>
          <w:szCs w:val="24"/>
          <w:highlight w:val="none"/>
          <w:u w:val="single"/>
        </w:rPr>
      </w:pPr>
      <w:r>
        <w:rPr>
          <w:rFonts w:hint="eastAsia" w:hAnsi="宋体"/>
          <w:bCs/>
          <w:color w:val="auto"/>
          <w:sz w:val="24"/>
          <w:szCs w:val="24"/>
          <w:highlight w:val="none"/>
        </w:rPr>
        <w:t>供应商：</w:t>
      </w:r>
    </w:p>
    <w:p w14:paraId="722CD9E2">
      <w:pPr>
        <w:pStyle w:val="27"/>
        <w:snapToGrid w:val="0"/>
        <w:spacing w:line="360" w:lineRule="auto"/>
        <w:ind w:firstLine="480" w:firstLineChars="200"/>
        <w:rPr>
          <w:rFonts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Ansi="宋体"/>
          <w:bCs/>
          <w:color w:val="auto"/>
          <w:sz w:val="24"/>
          <w:szCs w:val="24"/>
          <w:highlight w:val="none"/>
        </w:rPr>
        <w:t>邮编</w:t>
      </w:r>
      <w:r>
        <w:rPr>
          <w:rFonts w:hint="eastAsia" w:hAnsi="宋体"/>
          <w:bCs/>
          <w:color w:val="auto"/>
          <w:sz w:val="24"/>
          <w:szCs w:val="24"/>
          <w:highlight w:val="none"/>
        </w:rPr>
        <w:t>：</w:t>
      </w:r>
    </w:p>
    <w:p w14:paraId="52BBF9A4">
      <w:pPr>
        <w:pStyle w:val="27"/>
        <w:snapToGrid w:val="0"/>
        <w:spacing w:line="360" w:lineRule="auto"/>
        <w:ind w:firstLine="480" w:firstLineChars="200"/>
        <w:rPr>
          <w:rFonts w:hAnsi="宋体"/>
          <w:bCs/>
          <w:color w:val="auto"/>
          <w:sz w:val="24"/>
          <w:szCs w:val="24"/>
          <w:highlight w:val="none"/>
          <w:u w:val="single"/>
        </w:rPr>
      </w:pPr>
      <w:r>
        <w:rPr>
          <w:rFonts w:hint="eastAsia" w:hAnsi="宋体"/>
          <w:bCs/>
          <w:color w:val="auto"/>
          <w:sz w:val="24"/>
          <w:szCs w:val="24"/>
          <w:highlight w:val="none"/>
        </w:rPr>
        <w:t>法定代表人/主要负责人：</w:t>
      </w:r>
    </w:p>
    <w:p w14:paraId="390EED74">
      <w:pPr>
        <w:pStyle w:val="27"/>
        <w:snapToGrid w:val="0"/>
        <w:spacing w:line="360" w:lineRule="auto"/>
        <w:ind w:firstLine="480" w:firstLineChars="200"/>
        <w:rPr>
          <w:rFonts w:hAnsi="宋体"/>
          <w:bCs/>
          <w:color w:val="auto"/>
          <w:sz w:val="24"/>
          <w:szCs w:val="24"/>
          <w:highlight w:val="none"/>
        </w:rPr>
      </w:pPr>
      <w:r>
        <w:rPr>
          <w:rFonts w:hAnsi="宋体"/>
          <w:bCs/>
          <w:color w:val="auto"/>
          <w:sz w:val="24"/>
          <w:szCs w:val="24"/>
          <w:highlight w:val="none"/>
        </w:rPr>
        <w:t>联系电话</w:t>
      </w:r>
      <w:r>
        <w:rPr>
          <w:rFonts w:hint="eastAsia" w:hAnsi="宋体"/>
          <w:bCs/>
          <w:color w:val="auto"/>
          <w:sz w:val="24"/>
          <w:szCs w:val="24"/>
          <w:highlight w:val="none"/>
        </w:rPr>
        <w:t>：</w:t>
      </w:r>
    </w:p>
    <w:p w14:paraId="03A9A0A2">
      <w:pPr>
        <w:pStyle w:val="27"/>
        <w:snapToGrid w:val="0"/>
        <w:spacing w:line="360" w:lineRule="auto"/>
        <w:ind w:firstLine="480" w:firstLineChars="200"/>
        <w:rPr>
          <w:rFonts w:hAnsi="宋体"/>
          <w:bCs/>
          <w:color w:val="auto"/>
          <w:sz w:val="24"/>
          <w:szCs w:val="24"/>
          <w:highlight w:val="none"/>
          <w:u w:val="single"/>
        </w:rPr>
      </w:pPr>
      <w:r>
        <w:rPr>
          <w:rFonts w:hint="eastAsia" w:hAnsi="宋体"/>
          <w:bCs/>
          <w:color w:val="auto"/>
          <w:sz w:val="24"/>
          <w:szCs w:val="24"/>
          <w:highlight w:val="none"/>
        </w:rPr>
        <w:t>授权代表：</w:t>
      </w:r>
      <w:r>
        <w:rPr>
          <w:rFonts w:hAnsi="宋体"/>
          <w:bCs/>
          <w:color w:val="auto"/>
          <w:sz w:val="24"/>
          <w:szCs w:val="24"/>
          <w:highlight w:val="none"/>
        </w:rPr>
        <w:t>联系</w:t>
      </w:r>
      <w:r>
        <w:rPr>
          <w:rFonts w:hint="eastAsia" w:hAnsi="宋体"/>
          <w:bCs/>
          <w:color w:val="auto"/>
          <w:sz w:val="24"/>
          <w:szCs w:val="24"/>
          <w:highlight w:val="none"/>
        </w:rPr>
        <w:t>电话：</w:t>
      </w:r>
    </w:p>
    <w:p w14:paraId="07A332BF">
      <w:pPr>
        <w:pStyle w:val="27"/>
        <w:snapToGrid w:val="0"/>
        <w:spacing w:line="360" w:lineRule="auto"/>
        <w:ind w:firstLine="480" w:firstLineChars="200"/>
        <w:rPr>
          <w:rFonts w:hAnsi="宋体"/>
          <w:bCs/>
          <w:color w:val="auto"/>
          <w:sz w:val="24"/>
          <w:szCs w:val="24"/>
          <w:highlight w:val="none"/>
          <w:u w:val="single"/>
        </w:rPr>
      </w:pPr>
      <w:r>
        <w:rPr>
          <w:rFonts w:hAnsi="宋体"/>
          <w:bCs/>
          <w:color w:val="auto"/>
          <w:sz w:val="24"/>
          <w:szCs w:val="24"/>
          <w:highlight w:val="none"/>
        </w:rPr>
        <w:t>地址</w:t>
      </w:r>
      <w:r>
        <w:rPr>
          <w:rFonts w:hint="eastAsia" w:hAnsi="宋体"/>
          <w:bCs/>
          <w:color w:val="auto"/>
          <w:sz w:val="24"/>
          <w:szCs w:val="24"/>
          <w:highlight w:val="none"/>
        </w:rPr>
        <w:t>：</w:t>
      </w:r>
    </w:p>
    <w:p w14:paraId="7B4C7886">
      <w:pPr>
        <w:pStyle w:val="27"/>
        <w:snapToGrid w:val="0"/>
        <w:spacing w:line="360" w:lineRule="auto"/>
        <w:ind w:firstLine="480" w:firstLineChars="200"/>
        <w:rPr>
          <w:rFonts w:hAnsi="宋体"/>
          <w:bCs/>
          <w:color w:val="auto"/>
          <w:sz w:val="24"/>
          <w:szCs w:val="24"/>
          <w:highlight w:val="none"/>
        </w:rPr>
      </w:pPr>
      <w:r>
        <w:rPr>
          <w:rFonts w:hAnsi="宋体"/>
          <w:bCs/>
          <w:color w:val="auto"/>
          <w:sz w:val="24"/>
          <w:szCs w:val="24"/>
          <w:highlight w:val="none"/>
        </w:rPr>
        <w:t>邮编</w:t>
      </w:r>
      <w:r>
        <w:rPr>
          <w:rFonts w:hint="eastAsia" w:hAnsi="宋体"/>
          <w:bCs/>
          <w:color w:val="auto"/>
          <w:sz w:val="24"/>
          <w:szCs w:val="24"/>
          <w:highlight w:val="none"/>
        </w:rPr>
        <w:t>：</w:t>
      </w:r>
    </w:p>
    <w:p w14:paraId="08537AFF">
      <w:pPr>
        <w:pStyle w:val="27"/>
        <w:snapToGrid w:val="0"/>
        <w:spacing w:line="360" w:lineRule="auto"/>
        <w:ind w:firstLine="480" w:firstLineChars="200"/>
        <w:rPr>
          <w:rFonts w:hAnsi="宋体"/>
          <w:bCs/>
          <w:color w:val="auto"/>
          <w:sz w:val="24"/>
          <w:szCs w:val="24"/>
          <w:highlight w:val="none"/>
        </w:rPr>
      </w:pPr>
      <w:r>
        <w:rPr>
          <w:rFonts w:hint="eastAsia" w:hAnsi="宋体"/>
          <w:bCs/>
          <w:color w:val="auto"/>
          <w:sz w:val="24"/>
          <w:szCs w:val="24"/>
          <w:highlight w:val="none"/>
        </w:rPr>
        <w:t>被投诉人1：</w:t>
      </w:r>
    </w:p>
    <w:p w14:paraId="50C23B29">
      <w:pPr>
        <w:pStyle w:val="27"/>
        <w:snapToGrid w:val="0"/>
        <w:spacing w:line="360" w:lineRule="auto"/>
        <w:ind w:firstLine="480" w:firstLineChars="200"/>
        <w:rPr>
          <w:rFonts w:hAnsi="宋体"/>
          <w:bCs/>
          <w:color w:val="auto"/>
          <w:sz w:val="24"/>
          <w:szCs w:val="24"/>
          <w:highlight w:val="none"/>
          <w:u w:val="single"/>
        </w:rPr>
      </w:pPr>
      <w:r>
        <w:rPr>
          <w:rFonts w:hint="eastAsia" w:hAnsi="宋体"/>
          <w:bCs/>
          <w:color w:val="auto"/>
          <w:sz w:val="24"/>
          <w:szCs w:val="24"/>
          <w:highlight w:val="none"/>
        </w:rPr>
        <w:t>地址：</w:t>
      </w:r>
    </w:p>
    <w:p w14:paraId="7FBF99D9">
      <w:pPr>
        <w:pStyle w:val="27"/>
        <w:snapToGrid w:val="0"/>
        <w:spacing w:line="360" w:lineRule="auto"/>
        <w:ind w:firstLine="480" w:firstLineChars="200"/>
        <w:rPr>
          <w:rFonts w:hAnsi="宋体"/>
          <w:bCs/>
          <w:color w:val="auto"/>
          <w:sz w:val="24"/>
          <w:szCs w:val="24"/>
          <w:highlight w:val="none"/>
        </w:rPr>
      </w:pPr>
      <w:r>
        <w:rPr>
          <w:rFonts w:hAnsi="宋体"/>
          <w:bCs/>
          <w:color w:val="auto"/>
          <w:sz w:val="24"/>
          <w:szCs w:val="24"/>
          <w:highlight w:val="none"/>
        </w:rPr>
        <w:t>邮编</w:t>
      </w:r>
      <w:r>
        <w:rPr>
          <w:rFonts w:hint="eastAsia" w:hAnsi="宋体"/>
          <w:bCs/>
          <w:color w:val="auto"/>
          <w:sz w:val="24"/>
          <w:szCs w:val="24"/>
          <w:highlight w:val="none"/>
        </w:rPr>
        <w:t>：</w:t>
      </w:r>
    </w:p>
    <w:p w14:paraId="646E95BF">
      <w:pPr>
        <w:pStyle w:val="27"/>
        <w:snapToGrid w:val="0"/>
        <w:spacing w:line="360" w:lineRule="auto"/>
        <w:ind w:firstLine="480" w:firstLineChars="200"/>
        <w:rPr>
          <w:rFonts w:hAnsi="宋体"/>
          <w:bCs/>
          <w:color w:val="auto"/>
          <w:sz w:val="24"/>
          <w:szCs w:val="24"/>
          <w:highlight w:val="none"/>
          <w:u w:val="single"/>
        </w:rPr>
      </w:pPr>
      <w:r>
        <w:rPr>
          <w:rFonts w:hint="eastAsia" w:hAnsi="宋体"/>
          <w:bCs/>
          <w:color w:val="auto"/>
          <w:sz w:val="24"/>
          <w:szCs w:val="24"/>
          <w:highlight w:val="none"/>
        </w:rPr>
        <w:t>联系人：</w:t>
      </w:r>
      <w:r>
        <w:rPr>
          <w:rFonts w:hAnsi="宋体"/>
          <w:bCs/>
          <w:color w:val="auto"/>
          <w:sz w:val="24"/>
          <w:szCs w:val="24"/>
          <w:highlight w:val="none"/>
        </w:rPr>
        <w:t>联系</w:t>
      </w:r>
      <w:r>
        <w:rPr>
          <w:rFonts w:hint="eastAsia" w:hAnsi="宋体"/>
          <w:bCs/>
          <w:color w:val="auto"/>
          <w:sz w:val="24"/>
          <w:szCs w:val="24"/>
          <w:highlight w:val="none"/>
        </w:rPr>
        <w:t>电话：</w:t>
      </w:r>
    </w:p>
    <w:p w14:paraId="1038645A">
      <w:pPr>
        <w:pStyle w:val="27"/>
        <w:snapToGrid w:val="0"/>
        <w:spacing w:line="360" w:lineRule="auto"/>
        <w:ind w:firstLine="480" w:firstLineChars="200"/>
        <w:rPr>
          <w:rFonts w:hAnsi="宋体"/>
          <w:bCs/>
          <w:color w:val="auto"/>
          <w:sz w:val="24"/>
          <w:szCs w:val="24"/>
          <w:highlight w:val="none"/>
        </w:rPr>
      </w:pPr>
      <w:r>
        <w:rPr>
          <w:rFonts w:hint="eastAsia" w:hAnsi="宋体"/>
          <w:bCs/>
          <w:color w:val="auto"/>
          <w:sz w:val="24"/>
          <w:szCs w:val="24"/>
          <w:highlight w:val="none"/>
        </w:rPr>
        <w:t>被投诉人2：</w:t>
      </w:r>
    </w:p>
    <w:p w14:paraId="775F8624">
      <w:pPr>
        <w:pStyle w:val="27"/>
        <w:snapToGrid w:val="0"/>
        <w:spacing w:line="360" w:lineRule="auto"/>
        <w:ind w:firstLine="480" w:firstLineChars="200"/>
        <w:rPr>
          <w:rFonts w:hAnsi="宋体"/>
          <w:bCs/>
          <w:color w:val="auto"/>
          <w:sz w:val="24"/>
          <w:szCs w:val="24"/>
          <w:highlight w:val="none"/>
        </w:rPr>
      </w:pPr>
      <w:r>
        <w:rPr>
          <w:rFonts w:hAnsi="宋体"/>
          <w:bCs/>
          <w:color w:val="auto"/>
          <w:sz w:val="24"/>
          <w:szCs w:val="24"/>
          <w:highlight w:val="none"/>
        </w:rPr>
        <w:t>……</w:t>
      </w:r>
    </w:p>
    <w:p w14:paraId="2EC77670">
      <w:pPr>
        <w:pStyle w:val="27"/>
        <w:snapToGrid w:val="0"/>
        <w:spacing w:line="360" w:lineRule="auto"/>
        <w:ind w:firstLine="480" w:firstLineChars="200"/>
        <w:rPr>
          <w:rFonts w:hAnsi="宋体"/>
          <w:bCs/>
          <w:color w:val="auto"/>
          <w:sz w:val="24"/>
          <w:szCs w:val="24"/>
          <w:highlight w:val="none"/>
          <w:u w:val="single"/>
        </w:rPr>
      </w:pPr>
      <w:r>
        <w:rPr>
          <w:rFonts w:hint="eastAsia" w:hAnsi="宋体"/>
          <w:bCs/>
          <w:color w:val="auto"/>
          <w:sz w:val="24"/>
          <w:szCs w:val="24"/>
          <w:highlight w:val="none"/>
        </w:rPr>
        <w:t>相关供应商：</w:t>
      </w:r>
    </w:p>
    <w:p w14:paraId="33FAB714">
      <w:pPr>
        <w:pStyle w:val="27"/>
        <w:snapToGrid w:val="0"/>
        <w:spacing w:line="360" w:lineRule="auto"/>
        <w:ind w:firstLine="480" w:firstLineChars="200"/>
        <w:rPr>
          <w:rFonts w:hAnsi="宋体"/>
          <w:bCs/>
          <w:color w:val="auto"/>
          <w:sz w:val="24"/>
          <w:szCs w:val="24"/>
          <w:highlight w:val="none"/>
          <w:u w:val="single"/>
        </w:rPr>
      </w:pPr>
      <w:r>
        <w:rPr>
          <w:rFonts w:hAnsi="宋体"/>
          <w:bCs/>
          <w:color w:val="auto"/>
          <w:sz w:val="24"/>
          <w:szCs w:val="24"/>
          <w:highlight w:val="none"/>
        </w:rPr>
        <w:t>地址</w:t>
      </w:r>
      <w:r>
        <w:rPr>
          <w:rFonts w:hint="eastAsia" w:hAnsi="宋体"/>
          <w:bCs/>
          <w:color w:val="auto"/>
          <w:sz w:val="24"/>
          <w:szCs w:val="24"/>
          <w:highlight w:val="none"/>
        </w:rPr>
        <w:t>：</w:t>
      </w:r>
      <w:r>
        <w:rPr>
          <w:rFonts w:hAnsi="宋体"/>
          <w:bCs/>
          <w:color w:val="auto"/>
          <w:sz w:val="24"/>
          <w:szCs w:val="24"/>
          <w:highlight w:val="none"/>
        </w:rPr>
        <w:t>邮编</w:t>
      </w:r>
      <w:r>
        <w:rPr>
          <w:rFonts w:hint="eastAsia" w:hAnsi="宋体"/>
          <w:bCs/>
          <w:color w:val="auto"/>
          <w:sz w:val="24"/>
          <w:szCs w:val="24"/>
          <w:highlight w:val="none"/>
        </w:rPr>
        <w:t>：</w:t>
      </w:r>
    </w:p>
    <w:p w14:paraId="2E312398">
      <w:pPr>
        <w:pStyle w:val="27"/>
        <w:snapToGrid w:val="0"/>
        <w:spacing w:line="360" w:lineRule="auto"/>
        <w:ind w:firstLine="480" w:firstLineChars="200"/>
        <w:rPr>
          <w:rFonts w:hAnsi="宋体"/>
          <w:bCs/>
          <w:color w:val="auto"/>
          <w:sz w:val="24"/>
          <w:szCs w:val="24"/>
          <w:highlight w:val="none"/>
        </w:rPr>
      </w:pPr>
      <w:r>
        <w:rPr>
          <w:rFonts w:hint="eastAsia" w:hAnsi="宋体"/>
          <w:bCs/>
          <w:color w:val="auto"/>
          <w:sz w:val="24"/>
          <w:szCs w:val="24"/>
          <w:highlight w:val="none"/>
        </w:rPr>
        <w:t>联系人：</w:t>
      </w:r>
      <w:r>
        <w:rPr>
          <w:rFonts w:hAnsi="宋体"/>
          <w:bCs/>
          <w:color w:val="auto"/>
          <w:sz w:val="24"/>
          <w:szCs w:val="24"/>
          <w:highlight w:val="none"/>
        </w:rPr>
        <w:t>联系</w:t>
      </w:r>
      <w:r>
        <w:rPr>
          <w:rFonts w:hint="eastAsia" w:hAnsi="宋体"/>
          <w:bCs/>
          <w:color w:val="auto"/>
          <w:sz w:val="24"/>
          <w:szCs w:val="24"/>
          <w:highlight w:val="none"/>
        </w:rPr>
        <w:t>电话：</w:t>
      </w:r>
    </w:p>
    <w:p w14:paraId="012932D8">
      <w:pPr>
        <w:pStyle w:val="27"/>
        <w:snapToGrid w:val="0"/>
        <w:spacing w:line="360" w:lineRule="auto"/>
        <w:ind w:firstLine="482" w:firstLineChars="200"/>
        <w:rPr>
          <w:rFonts w:hAnsi="宋体"/>
          <w:b/>
          <w:bCs/>
          <w:color w:val="auto"/>
          <w:sz w:val="24"/>
          <w:szCs w:val="24"/>
          <w:highlight w:val="none"/>
        </w:rPr>
      </w:pPr>
      <w:r>
        <w:rPr>
          <w:rFonts w:hint="eastAsia" w:hAnsi="宋体"/>
          <w:b/>
          <w:bCs/>
          <w:color w:val="auto"/>
          <w:sz w:val="24"/>
          <w:szCs w:val="24"/>
          <w:highlight w:val="none"/>
        </w:rPr>
        <w:t>二、投诉项目基本情况：</w:t>
      </w:r>
    </w:p>
    <w:p w14:paraId="23277F4D">
      <w:pPr>
        <w:pStyle w:val="27"/>
        <w:spacing w:line="360" w:lineRule="auto"/>
        <w:ind w:left="25" w:leftChars="12" w:firstLine="472" w:firstLineChars="197"/>
        <w:rPr>
          <w:rFonts w:hAnsi="宋体"/>
          <w:color w:val="auto"/>
          <w:sz w:val="24"/>
          <w:szCs w:val="24"/>
          <w:highlight w:val="none"/>
        </w:rPr>
      </w:pPr>
      <w:r>
        <w:rPr>
          <w:rFonts w:hint="eastAsia" w:hAnsi="宋体"/>
          <w:bCs/>
          <w:color w:val="auto"/>
          <w:sz w:val="24"/>
          <w:szCs w:val="24"/>
          <w:highlight w:val="none"/>
        </w:rPr>
        <w:t>采购</w:t>
      </w:r>
      <w:r>
        <w:rPr>
          <w:rFonts w:hint="eastAsia" w:hAnsi="宋体"/>
          <w:color w:val="auto"/>
          <w:sz w:val="24"/>
          <w:szCs w:val="24"/>
          <w:highlight w:val="none"/>
        </w:rPr>
        <w:t>项目的名称：</w:t>
      </w:r>
    </w:p>
    <w:p w14:paraId="2F8E51DF">
      <w:pPr>
        <w:pStyle w:val="27"/>
        <w:spacing w:line="360" w:lineRule="auto"/>
        <w:ind w:left="25" w:leftChars="12" w:firstLine="472" w:firstLineChars="197"/>
        <w:rPr>
          <w:rFonts w:hAnsi="宋体"/>
          <w:color w:val="auto"/>
          <w:sz w:val="24"/>
          <w:szCs w:val="24"/>
          <w:highlight w:val="none"/>
        </w:rPr>
      </w:pPr>
      <w:r>
        <w:rPr>
          <w:rFonts w:hint="eastAsia" w:hAnsi="宋体"/>
          <w:bCs/>
          <w:color w:val="auto"/>
          <w:sz w:val="24"/>
          <w:szCs w:val="24"/>
          <w:highlight w:val="none"/>
        </w:rPr>
        <w:t>采购</w:t>
      </w:r>
      <w:r>
        <w:rPr>
          <w:rFonts w:hint="eastAsia" w:hAnsi="宋体"/>
          <w:color w:val="auto"/>
          <w:sz w:val="24"/>
          <w:szCs w:val="24"/>
          <w:highlight w:val="none"/>
        </w:rPr>
        <w:t>项目的编号：</w:t>
      </w:r>
    </w:p>
    <w:p w14:paraId="00D7688A">
      <w:pPr>
        <w:pStyle w:val="27"/>
        <w:spacing w:line="360" w:lineRule="auto"/>
        <w:ind w:left="25" w:leftChars="12" w:firstLine="472" w:firstLineChars="197"/>
        <w:rPr>
          <w:rFonts w:hAnsi="宋体"/>
          <w:bCs/>
          <w:color w:val="auto"/>
          <w:sz w:val="24"/>
          <w:szCs w:val="24"/>
          <w:highlight w:val="none"/>
          <w:u w:val="single"/>
        </w:rPr>
      </w:pPr>
      <w:r>
        <w:rPr>
          <w:rFonts w:hint="eastAsia" w:hAnsi="宋体"/>
          <w:color w:val="auto"/>
          <w:sz w:val="24"/>
          <w:szCs w:val="24"/>
          <w:highlight w:val="none"/>
        </w:rPr>
        <w:t>采购人名称：</w:t>
      </w:r>
    </w:p>
    <w:p w14:paraId="25217362">
      <w:pPr>
        <w:pStyle w:val="27"/>
        <w:spacing w:line="360" w:lineRule="auto"/>
        <w:ind w:left="25" w:leftChars="12" w:firstLine="472" w:firstLineChars="197"/>
        <w:rPr>
          <w:rFonts w:hAnsi="宋体"/>
          <w:bCs/>
          <w:color w:val="auto"/>
          <w:sz w:val="24"/>
          <w:szCs w:val="24"/>
          <w:highlight w:val="none"/>
          <w:u w:val="single"/>
        </w:rPr>
      </w:pPr>
      <w:r>
        <w:rPr>
          <w:rFonts w:hint="eastAsia" w:hAnsi="宋体"/>
          <w:color w:val="auto"/>
          <w:sz w:val="24"/>
          <w:szCs w:val="24"/>
          <w:highlight w:val="none"/>
        </w:rPr>
        <w:t>代理机构名称：</w:t>
      </w:r>
    </w:p>
    <w:p w14:paraId="565ABE4D">
      <w:pPr>
        <w:pStyle w:val="27"/>
        <w:spacing w:line="360" w:lineRule="auto"/>
        <w:ind w:left="25" w:leftChars="12" w:firstLine="472" w:firstLineChars="197"/>
        <w:rPr>
          <w:rFonts w:hAnsi="宋体"/>
          <w:bCs/>
          <w:color w:val="auto"/>
          <w:sz w:val="24"/>
          <w:szCs w:val="24"/>
          <w:highlight w:val="none"/>
          <w:u w:val="single"/>
        </w:rPr>
      </w:pPr>
      <w:r>
        <w:rPr>
          <w:rFonts w:hint="eastAsia" w:hAnsi="宋体"/>
          <w:bCs/>
          <w:color w:val="auto"/>
          <w:sz w:val="24"/>
          <w:szCs w:val="24"/>
          <w:highlight w:val="none"/>
        </w:rPr>
        <w:t>采购文件公告：</w:t>
      </w:r>
      <w:r>
        <w:rPr>
          <w:rFonts w:hint="eastAsia" w:hAnsi="宋体"/>
          <w:bCs/>
          <w:color w:val="auto"/>
          <w:sz w:val="24"/>
          <w:szCs w:val="24"/>
          <w:highlight w:val="none"/>
          <w:u w:val="single"/>
        </w:rPr>
        <w:t>是/否</w:t>
      </w:r>
      <w:r>
        <w:rPr>
          <w:rFonts w:hint="eastAsia" w:hAnsi="宋体"/>
          <w:bCs/>
          <w:color w:val="auto"/>
          <w:sz w:val="24"/>
          <w:szCs w:val="24"/>
          <w:highlight w:val="none"/>
        </w:rPr>
        <w:t>公告期限：</w:t>
      </w:r>
    </w:p>
    <w:p w14:paraId="0FD66E64">
      <w:pPr>
        <w:pStyle w:val="27"/>
        <w:spacing w:line="360" w:lineRule="auto"/>
        <w:ind w:left="25" w:leftChars="12" w:firstLine="472" w:firstLineChars="197"/>
        <w:rPr>
          <w:rFonts w:hAnsi="宋体"/>
          <w:b/>
          <w:color w:val="auto"/>
          <w:sz w:val="24"/>
          <w:szCs w:val="24"/>
          <w:highlight w:val="none"/>
        </w:rPr>
      </w:pPr>
      <w:r>
        <w:rPr>
          <w:rFonts w:hint="eastAsia" w:hAnsi="宋体"/>
          <w:bCs/>
          <w:color w:val="auto"/>
          <w:sz w:val="24"/>
          <w:szCs w:val="24"/>
          <w:highlight w:val="none"/>
        </w:rPr>
        <w:t>采购结果公告：</w:t>
      </w:r>
      <w:r>
        <w:rPr>
          <w:rFonts w:hint="eastAsia" w:hAnsi="宋体"/>
          <w:bCs/>
          <w:color w:val="auto"/>
          <w:sz w:val="24"/>
          <w:szCs w:val="24"/>
          <w:highlight w:val="none"/>
          <w:u w:val="single"/>
        </w:rPr>
        <w:t>是/否</w:t>
      </w:r>
      <w:r>
        <w:rPr>
          <w:rFonts w:hint="eastAsia" w:hAnsi="宋体"/>
          <w:bCs/>
          <w:color w:val="auto"/>
          <w:sz w:val="24"/>
          <w:szCs w:val="24"/>
          <w:highlight w:val="none"/>
        </w:rPr>
        <w:t>公告期限：</w:t>
      </w:r>
    </w:p>
    <w:p w14:paraId="44FE5906">
      <w:pPr>
        <w:pStyle w:val="27"/>
        <w:spacing w:line="360" w:lineRule="auto"/>
        <w:ind w:left="25" w:leftChars="12" w:firstLine="472" w:firstLineChars="196"/>
        <w:rPr>
          <w:rFonts w:hAnsi="宋体"/>
          <w:b/>
          <w:color w:val="auto"/>
          <w:sz w:val="24"/>
          <w:szCs w:val="24"/>
          <w:highlight w:val="none"/>
        </w:rPr>
      </w:pPr>
      <w:r>
        <w:rPr>
          <w:rFonts w:hint="eastAsia" w:hAnsi="宋体"/>
          <w:b/>
          <w:color w:val="auto"/>
          <w:sz w:val="24"/>
          <w:szCs w:val="24"/>
          <w:highlight w:val="none"/>
        </w:rPr>
        <w:t>三、质疑基本情况</w:t>
      </w:r>
    </w:p>
    <w:p w14:paraId="66FD0801">
      <w:pPr>
        <w:pStyle w:val="27"/>
        <w:spacing w:line="360" w:lineRule="auto"/>
        <w:ind w:firstLine="480" w:firstLineChars="200"/>
        <w:rPr>
          <w:rFonts w:hAnsi="宋体"/>
          <w:bCs/>
          <w:color w:val="auto"/>
          <w:sz w:val="24"/>
          <w:szCs w:val="24"/>
          <w:highlight w:val="none"/>
          <w:u w:val="single"/>
        </w:rPr>
      </w:pPr>
      <w:r>
        <w:rPr>
          <w:rFonts w:hint="eastAsia" w:hAnsi="宋体"/>
          <w:color w:val="auto"/>
          <w:sz w:val="24"/>
          <w:szCs w:val="24"/>
          <w:highlight w:val="none"/>
        </w:rPr>
        <w:t>投诉人于年月日，向提出质疑，质疑事项为：</w:t>
      </w:r>
    </w:p>
    <w:p w14:paraId="5D97B326">
      <w:pPr>
        <w:pStyle w:val="27"/>
        <w:spacing w:line="360" w:lineRule="auto"/>
        <w:ind w:firstLine="480" w:firstLineChars="200"/>
        <w:rPr>
          <w:rFonts w:hAnsi="宋体"/>
          <w:color w:val="auto"/>
          <w:sz w:val="24"/>
          <w:szCs w:val="24"/>
          <w:highlight w:val="none"/>
        </w:rPr>
      </w:pPr>
      <w:r>
        <w:rPr>
          <w:rFonts w:hint="eastAsia" w:hAnsi="宋体"/>
          <w:bCs/>
          <w:color w:val="auto"/>
          <w:sz w:val="24"/>
          <w:szCs w:val="24"/>
          <w:highlight w:val="none"/>
          <w:u w:val="single"/>
        </w:rPr>
        <w:t>采购人/代理机构</w:t>
      </w:r>
      <w:r>
        <w:rPr>
          <w:rFonts w:hint="eastAsia" w:hAnsi="宋体"/>
          <w:bCs/>
          <w:color w:val="auto"/>
          <w:sz w:val="24"/>
          <w:szCs w:val="24"/>
          <w:highlight w:val="none"/>
        </w:rPr>
        <w:t>于</w:t>
      </w:r>
      <w:r>
        <w:rPr>
          <w:rFonts w:hint="eastAsia" w:hAnsi="宋体"/>
          <w:color w:val="auto"/>
          <w:sz w:val="24"/>
          <w:szCs w:val="24"/>
          <w:highlight w:val="none"/>
        </w:rPr>
        <w:t>年月日，</w:t>
      </w:r>
      <w:r>
        <w:rPr>
          <w:rFonts w:hint="eastAsia" w:hAnsi="宋体"/>
          <w:bCs/>
          <w:color w:val="auto"/>
          <w:sz w:val="24"/>
          <w:szCs w:val="24"/>
          <w:highlight w:val="none"/>
        </w:rPr>
        <w:t xml:space="preserve">就质疑事项作出了答复/没有在法定期限内作出答复。                                                                                             </w:t>
      </w:r>
    </w:p>
    <w:p w14:paraId="603E1961">
      <w:pPr>
        <w:pStyle w:val="27"/>
        <w:spacing w:line="360" w:lineRule="auto"/>
        <w:ind w:left="25" w:leftChars="12" w:firstLine="472" w:firstLineChars="196"/>
        <w:rPr>
          <w:rFonts w:hAnsi="宋体"/>
          <w:b/>
          <w:color w:val="auto"/>
          <w:sz w:val="24"/>
          <w:szCs w:val="24"/>
          <w:highlight w:val="none"/>
        </w:rPr>
      </w:pPr>
      <w:r>
        <w:rPr>
          <w:rFonts w:hint="eastAsia" w:hAnsi="宋体"/>
          <w:b/>
          <w:color w:val="auto"/>
          <w:sz w:val="24"/>
          <w:szCs w:val="24"/>
          <w:highlight w:val="none"/>
        </w:rPr>
        <w:t>四、投诉事项具体内容</w:t>
      </w:r>
    </w:p>
    <w:p w14:paraId="042E7FA6">
      <w:pPr>
        <w:pStyle w:val="27"/>
        <w:spacing w:line="360" w:lineRule="auto"/>
        <w:ind w:left="25" w:leftChars="12" w:firstLine="472" w:firstLineChars="197"/>
        <w:rPr>
          <w:rFonts w:hAnsi="宋体"/>
          <w:bCs/>
          <w:color w:val="auto"/>
          <w:sz w:val="24"/>
          <w:szCs w:val="24"/>
          <w:highlight w:val="none"/>
          <w:u w:val="single"/>
        </w:rPr>
      </w:pPr>
      <w:r>
        <w:rPr>
          <w:rFonts w:hint="eastAsia" w:hAnsi="宋体"/>
          <w:color w:val="auto"/>
          <w:sz w:val="24"/>
          <w:szCs w:val="24"/>
          <w:highlight w:val="none"/>
        </w:rPr>
        <w:t>投诉事项1：</w:t>
      </w:r>
    </w:p>
    <w:p w14:paraId="186CA9BC">
      <w:pPr>
        <w:pStyle w:val="27"/>
        <w:spacing w:line="360" w:lineRule="auto"/>
        <w:ind w:firstLine="480" w:firstLineChars="200"/>
        <w:rPr>
          <w:rFonts w:hAnsi="宋体"/>
          <w:bCs/>
          <w:color w:val="auto"/>
          <w:sz w:val="24"/>
          <w:szCs w:val="24"/>
          <w:highlight w:val="none"/>
          <w:u w:val="single"/>
        </w:rPr>
      </w:pPr>
      <w:r>
        <w:rPr>
          <w:rFonts w:hint="eastAsia" w:hAnsi="宋体"/>
          <w:bCs/>
          <w:color w:val="auto"/>
          <w:sz w:val="24"/>
          <w:szCs w:val="24"/>
          <w:highlight w:val="none"/>
        </w:rPr>
        <w:t>事实依据：</w:t>
      </w:r>
    </w:p>
    <w:p w14:paraId="55C19092">
      <w:pPr>
        <w:pStyle w:val="27"/>
        <w:spacing w:line="360" w:lineRule="auto"/>
        <w:ind w:left="25" w:leftChars="12" w:firstLine="472" w:firstLineChars="197"/>
        <w:rPr>
          <w:rFonts w:hAnsi="宋体"/>
          <w:color w:val="auto"/>
          <w:sz w:val="24"/>
          <w:szCs w:val="24"/>
          <w:highlight w:val="none"/>
        </w:rPr>
      </w:pPr>
    </w:p>
    <w:p w14:paraId="1BCB9220">
      <w:pPr>
        <w:pStyle w:val="27"/>
        <w:spacing w:line="360" w:lineRule="auto"/>
        <w:ind w:firstLine="480" w:firstLineChars="200"/>
        <w:rPr>
          <w:rFonts w:hAnsi="宋体"/>
          <w:bCs/>
          <w:color w:val="auto"/>
          <w:sz w:val="24"/>
          <w:szCs w:val="24"/>
          <w:highlight w:val="none"/>
          <w:u w:val="single"/>
        </w:rPr>
      </w:pPr>
      <w:r>
        <w:rPr>
          <w:rFonts w:hint="eastAsia" w:hAnsi="宋体"/>
          <w:bCs/>
          <w:color w:val="auto"/>
          <w:sz w:val="24"/>
          <w:szCs w:val="24"/>
          <w:highlight w:val="none"/>
        </w:rPr>
        <w:t>法律依据：</w:t>
      </w:r>
    </w:p>
    <w:p w14:paraId="108C0899">
      <w:pPr>
        <w:pStyle w:val="27"/>
        <w:spacing w:line="360" w:lineRule="auto"/>
        <w:ind w:left="25" w:leftChars="12" w:firstLine="352" w:firstLineChars="147"/>
        <w:rPr>
          <w:rFonts w:hAnsi="宋体"/>
          <w:bCs/>
          <w:color w:val="auto"/>
          <w:sz w:val="24"/>
          <w:szCs w:val="24"/>
          <w:highlight w:val="none"/>
          <w:u w:val="single"/>
        </w:rPr>
      </w:pPr>
    </w:p>
    <w:p w14:paraId="53330E2C">
      <w:pPr>
        <w:pStyle w:val="27"/>
        <w:spacing w:line="360" w:lineRule="auto"/>
        <w:ind w:left="25" w:leftChars="12" w:firstLine="472" w:firstLineChars="197"/>
        <w:rPr>
          <w:rFonts w:hAnsi="宋体"/>
          <w:bCs/>
          <w:color w:val="auto"/>
          <w:sz w:val="24"/>
          <w:szCs w:val="24"/>
          <w:highlight w:val="none"/>
        </w:rPr>
      </w:pPr>
      <w:r>
        <w:rPr>
          <w:rFonts w:hint="eastAsia" w:hAnsi="宋体"/>
          <w:color w:val="auto"/>
          <w:sz w:val="24"/>
          <w:szCs w:val="24"/>
          <w:highlight w:val="none"/>
        </w:rPr>
        <w:t xml:space="preserve">投诉事项2  </w:t>
      </w:r>
    </w:p>
    <w:p w14:paraId="41196903">
      <w:pPr>
        <w:pStyle w:val="27"/>
        <w:spacing w:line="360" w:lineRule="auto"/>
        <w:ind w:left="25" w:leftChars="12" w:firstLine="472" w:firstLineChars="197"/>
        <w:rPr>
          <w:rFonts w:hAnsi="宋体"/>
          <w:bCs/>
          <w:color w:val="auto"/>
          <w:sz w:val="24"/>
          <w:szCs w:val="24"/>
          <w:highlight w:val="none"/>
        </w:rPr>
      </w:pPr>
      <w:r>
        <w:rPr>
          <w:rFonts w:hAnsi="宋体"/>
          <w:bCs/>
          <w:color w:val="auto"/>
          <w:sz w:val="24"/>
          <w:szCs w:val="24"/>
          <w:highlight w:val="none"/>
        </w:rPr>
        <w:t>……</w:t>
      </w:r>
    </w:p>
    <w:p w14:paraId="4FA55354">
      <w:pPr>
        <w:pStyle w:val="27"/>
        <w:spacing w:line="360" w:lineRule="auto"/>
        <w:ind w:left="25" w:leftChars="12" w:firstLine="472" w:firstLineChars="196"/>
        <w:rPr>
          <w:rFonts w:hAnsi="宋体"/>
          <w:b/>
          <w:color w:val="auto"/>
          <w:sz w:val="24"/>
          <w:szCs w:val="24"/>
          <w:highlight w:val="none"/>
        </w:rPr>
      </w:pPr>
      <w:r>
        <w:rPr>
          <w:rFonts w:hint="eastAsia" w:hAnsi="宋体"/>
          <w:b/>
          <w:color w:val="auto"/>
          <w:sz w:val="24"/>
          <w:szCs w:val="24"/>
          <w:highlight w:val="none"/>
        </w:rPr>
        <w:t>五、与投诉事项相关的投诉请求：</w:t>
      </w:r>
    </w:p>
    <w:p w14:paraId="16C488B5">
      <w:pPr>
        <w:pStyle w:val="27"/>
        <w:spacing w:line="360" w:lineRule="auto"/>
        <w:ind w:left="25" w:leftChars="12" w:firstLine="472" w:firstLineChars="197"/>
        <w:rPr>
          <w:rFonts w:hAnsi="宋体"/>
          <w:color w:val="auto"/>
          <w:sz w:val="24"/>
          <w:szCs w:val="24"/>
          <w:highlight w:val="none"/>
        </w:rPr>
      </w:pPr>
      <w:r>
        <w:rPr>
          <w:rFonts w:hint="eastAsia" w:hAnsi="宋体"/>
          <w:color w:val="auto"/>
          <w:sz w:val="24"/>
          <w:szCs w:val="24"/>
          <w:highlight w:val="none"/>
        </w:rPr>
        <w:t>请求：</w:t>
      </w:r>
    </w:p>
    <w:p w14:paraId="2E80D4B5">
      <w:pPr>
        <w:pStyle w:val="27"/>
        <w:spacing w:line="360" w:lineRule="auto"/>
        <w:ind w:left="25" w:leftChars="12" w:firstLine="352" w:firstLineChars="147"/>
        <w:rPr>
          <w:rFonts w:hAnsi="宋体"/>
          <w:color w:val="auto"/>
          <w:sz w:val="24"/>
          <w:szCs w:val="24"/>
          <w:highlight w:val="none"/>
        </w:rPr>
      </w:pPr>
    </w:p>
    <w:p w14:paraId="5D1ADBE7">
      <w:pPr>
        <w:pStyle w:val="27"/>
        <w:spacing w:line="360" w:lineRule="auto"/>
        <w:ind w:left="25" w:leftChars="12" w:firstLine="472" w:firstLineChars="197"/>
        <w:rPr>
          <w:rFonts w:hAnsi="宋体"/>
          <w:color w:val="auto"/>
          <w:sz w:val="24"/>
          <w:szCs w:val="24"/>
          <w:highlight w:val="none"/>
        </w:rPr>
      </w:pPr>
      <w:r>
        <w:rPr>
          <w:rFonts w:hint="eastAsia" w:hAnsi="宋体"/>
          <w:color w:val="auto"/>
          <w:sz w:val="24"/>
          <w:szCs w:val="24"/>
          <w:highlight w:val="none"/>
        </w:rPr>
        <w:t>签字（签章）：                                       公章：</w:t>
      </w:r>
    </w:p>
    <w:p w14:paraId="782E7DA1">
      <w:pPr>
        <w:pStyle w:val="27"/>
        <w:spacing w:line="360" w:lineRule="auto"/>
        <w:ind w:left="25" w:leftChars="12" w:firstLine="352" w:firstLineChars="147"/>
        <w:rPr>
          <w:rFonts w:hAnsi="宋体"/>
          <w:color w:val="auto"/>
          <w:sz w:val="24"/>
          <w:szCs w:val="24"/>
          <w:highlight w:val="none"/>
        </w:rPr>
      </w:pPr>
    </w:p>
    <w:p w14:paraId="1F2AA230">
      <w:pPr>
        <w:pStyle w:val="27"/>
        <w:spacing w:line="360" w:lineRule="auto"/>
        <w:ind w:left="25" w:leftChars="12" w:firstLine="472" w:firstLineChars="197"/>
        <w:rPr>
          <w:rFonts w:hAnsi="宋体"/>
          <w:color w:val="auto"/>
          <w:sz w:val="24"/>
          <w:szCs w:val="24"/>
          <w:highlight w:val="none"/>
        </w:rPr>
      </w:pPr>
      <w:r>
        <w:rPr>
          <w:rFonts w:hint="eastAsia" w:hAnsi="宋体"/>
          <w:color w:val="auto"/>
          <w:sz w:val="24"/>
          <w:szCs w:val="24"/>
          <w:highlight w:val="none"/>
        </w:rPr>
        <w:t>日期：</w:t>
      </w:r>
    </w:p>
    <w:p w14:paraId="4D1365AE">
      <w:pPr>
        <w:pStyle w:val="27"/>
        <w:spacing w:line="360" w:lineRule="auto"/>
        <w:ind w:left="25" w:leftChars="12" w:firstLine="475" w:firstLineChars="197"/>
        <w:rPr>
          <w:rFonts w:hAnsi="宋体"/>
          <w:b/>
          <w:color w:val="auto"/>
          <w:sz w:val="24"/>
          <w:szCs w:val="24"/>
          <w:highlight w:val="none"/>
        </w:rPr>
      </w:pPr>
    </w:p>
    <w:p w14:paraId="792B71B3">
      <w:pPr>
        <w:pStyle w:val="27"/>
        <w:snapToGrid w:val="0"/>
        <w:spacing w:line="360" w:lineRule="auto"/>
        <w:rPr>
          <w:rFonts w:hAnsi="宋体"/>
          <w:b/>
          <w:color w:val="auto"/>
          <w:sz w:val="24"/>
          <w:szCs w:val="24"/>
          <w:highlight w:val="none"/>
        </w:rPr>
      </w:pPr>
      <w:r>
        <w:rPr>
          <w:rFonts w:hint="eastAsia" w:hAnsi="宋体"/>
          <w:b/>
          <w:color w:val="auto"/>
          <w:sz w:val="24"/>
          <w:szCs w:val="24"/>
          <w:highlight w:val="none"/>
        </w:rPr>
        <w:t>说明：</w:t>
      </w:r>
    </w:p>
    <w:p w14:paraId="4A342859">
      <w:pPr>
        <w:pStyle w:val="27"/>
        <w:spacing w:line="360" w:lineRule="auto"/>
        <w:ind w:left="25" w:leftChars="12" w:firstLine="354" w:firstLineChars="147"/>
        <w:rPr>
          <w:rFonts w:hAnsi="宋体"/>
          <w:b/>
          <w:bCs/>
          <w:color w:val="auto"/>
          <w:sz w:val="24"/>
          <w:szCs w:val="24"/>
          <w:highlight w:val="none"/>
        </w:rPr>
      </w:pPr>
      <w:r>
        <w:rPr>
          <w:rFonts w:hint="eastAsia" w:hAnsi="宋体"/>
          <w:b/>
          <w:color w:val="auto"/>
          <w:sz w:val="24"/>
          <w:szCs w:val="24"/>
          <w:highlight w:val="none"/>
        </w:rPr>
        <w:t>1.投诉人提起投诉时，应当提交投诉书和必要的证明材料，并按照被投诉人和与投诉事项有关的供应商数量提供投诉书副本</w:t>
      </w:r>
      <w:r>
        <w:rPr>
          <w:rFonts w:hint="eastAsia" w:hAnsi="宋体"/>
          <w:b/>
          <w:bCs/>
          <w:color w:val="auto"/>
          <w:sz w:val="24"/>
          <w:szCs w:val="24"/>
          <w:highlight w:val="none"/>
        </w:rPr>
        <w:t>。</w:t>
      </w:r>
    </w:p>
    <w:p w14:paraId="1F6CA0DB">
      <w:pPr>
        <w:pStyle w:val="27"/>
        <w:spacing w:line="360" w:lineRule="auto"/>
        <w:ind w:left="25" w:leftChars="12" w:firstLine="354" w:firstLineChars="147"/>
        <w:rPr>
          <w:rFonts w:hAnsi="宋体"/>
          <w:b/>
          <w:color w:val="auto"/>
          <w:sz w:val="24"/>
          <w:szCs w:val="24"/>
          <w:highlight w:val="none"/>
        </w:rPr>
      </w:pPr>
      <w:r>
        <w:rPr>
          <w:rFonts w:hint="eastAsia" w:hAnsi="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1379582B">
      <w:pPr>
        <w:pStyle w:val="27"/>
        <w:spacing w:line="360" w:lineRule="auto"/>
        <w:ind w:left="25" w:leftChars="12" w:firstLine="354" w:firstLineChars="147"/>
        <w:rPr>
          <w:rFonts w:hAnsi="宋体"/>
          <w:b/>
          <w:color w:val="auto"/>
          <w:sz w:val="24"/>
          <w:szCs w:val="24"/>
          <w:highlight w:val="none"/>
        </w:rPr>
      </w:pPr>
      <w:r>
        <w:rPr>
          <w:rFonts w:hint="eastAsia" w:hAnsi="宋体"/>
          <w:b/>
          <w:color w:val="auto"/>
          <w:sz w:val="24"/>
          <w:szCs w:val="24"/>
          <w:highlight w:val="none"/>
        </w:rPr>
        <w:t>3.投诉书应简要列明质疑事项，质疑函、质疑答复等作为附件材料提供。</w:t>
      </w:r>
    </w:p>
    <w:p w14:paraId="4955CE44">
      <w:pPr>
        <w:pStyle w:val="27"/>
        <w:spacing w:line="360" w:lineRule="auto"/>
        <w:ind w:left="25" w:leftChars="12" w:firstLine="354" w:firstLineChars="147"/>
        <w:rPr>
          <w:rFonts w:hAnsi="宋体"/>
          <w:b/>
          <w:color w:val="auto"/>
          <w:sz w:val="24"/>
          <w:szCs w:val="24"/>
          <w:highlight w:val="none"/>
        </w:rPr>
      </w:pPr>
      <w:r>
        <w:rPr>
          <w:rFonts w:hint="eastAsia" w:hAnsi="宋体"/>
          <w:b/>
          <w:color w:val="auto"/>
          <w:sz w:val="24"/>
          <w:szCs w:val="24"/>
          <w:highlight w:val="none"/>
        </w:rPr>
        <w:t>4.投诉书的投诉事项应具体、明确，并有必要的事实依据和法律依据。</w:t>
      </w:r>
    </w:p>
    <w:p w14:paraId="4DDDC9A8">
      <w:pPr>
        <w:pStyle w:val="27"/>
        <w:spacing w:line="360" w:lineRule="auto"/>
        <w:ind w:left="25" w:leftChars="12" w:firstLine="354" w:firstLineChars="147"/>
        <w:rPr>
          <w:rFonts w:hAnsi="宋体"/>
          <w:b/>
          <w:color w:val="auto"/>
          <w:sz w:val="24"/>
          <w:szCs w:val="24"/>
          <w:highlight w:val="none"/>
        </w:rPr>
      </w:pPr>
      <w:r>
        <w:rPr>
          <w:rFonts w:hint="eastAsia" w:hAnsi="宋体"/>
          <w:b/>
          <w:color w:val="auto"/>
          <w:sz w:val="24"/>
          <w:szCs w:val="24"/>
          <w:highlight w:val="none"/>
        </w:rPr>
        <w:t>5.投诉书的投诉请求应与投诉事项相关。</w:t>
      </w:r>
    </w:p>
    <w:p w14:paraId="55F3A7C0">
      <w:pPr>
        <w:pStyle w:val="27"/>
        <w:spacing w:line="360" w:lineRule="auto"/>
        <w:ind w:left="25" w:leftChars="12" w:firstLine="354" w:firstLineChars="147"/>
        <w:rPr>
          <w:rFonts w:hAnsi="宋体"/>
          <w:b/>
          <w:color w:val="auto"/>
          <w:highlight w:val="none"/>
        </w:rPr>
      </w:pPr>
      <w:r>
        <w:rPr>
          <w:rFonts w:hint="eastAsia" w:hAnsi="宋体"/>
          <w:b/>
          <w:color w:val="auto"/>
          <w:sz w:val="24"/>
          <w:szCs w:val="24"/>
          <w:highlight w:val="none"/>
        </w:rPr>
        <w:t>6.投诉人为法人或者其他组织的，投诉书应由法定代表人、主要负责人，或者其授权代表签字或者盖章，并加盖公章。</w:t>
      </w:r>
    </w:p>
    <w:p w14:paraId="7C31ACFA">
      <w:pPr>
        <w:pStyle w:val="2"/>
        <w:rPr>
          <w:color w:val="auto"/>
          <w:highlight w:val="none"/>
        </w:rPr>
      </w:pPr>
    </w:p>
    <w:p w14:paraId="62F42EFF">
      <w:pPr>
        <w:pStyle w:val="56"/>
        <w:rPr>
          <w:color w:val="auto"/>
          <w:highlight w:val="none"/>
        </w:rPr>
      </w:pPr>
    </w:p>
    <w:sectPr>
      <w:pgSz w:w="11907" w:h="16840"/>
      <w:pgMar w:top="1440" w:right="1440" w:bottom="1440" w:left="1418" w:header="851" w:footer="851"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EF129EE3-DC45-4CDA-9116-05D107B19300}"/>
  </w:font>
  <w:font w:name="黑体">
    <w:panose1 w:val="02010609060101010101"/>
    <w:charset w:val="86"/>
    <w:family w:val="auto"/>
    <w:pitch w:val="default"/>
    <w:sig w:usb0="800002BF" w:usb1="38CF7CFA" w:usb2="00000016" w:usb3="00000000" w:csb0="00040001" w:csb1="00000000"/>
    <w:embedRegular r:id="rId2" w:fontKey="{D87491A0-8107-40AB-B4C5-ABDCF34A4058}"/>
  </w:font>
  <w:font w:name="Courier New">
    <w:panose1 w:val="02070309020205020404"/>
    <w:charset w:val="01"/>
    <w:family w:val="modern"/>
    <w:pitch w:val="default"/>
    <w:sig w:usb0="E0002EFF" w:usb1="C0007843" w:usb2="00000009" w:usb3="00000000" w:csb0="400001FF" w:csb1="FFFF0000"/>
    <w:embedRegular r:id="rId3" w:fontKey="{5D8FA6D0-349E-46AE-AC5D-19637DCDAF9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18133193-9EE2-48AF-9E1F-F7D496864A5D}"/>
  </w:font>
  <w:font w:name="Cambria">
    <w:panose1 w:val="02040503050406030204"/>
    <w:charset w:val="00"/>
    <w:family w:val="roman"/>
    <w:pitch w:val="default"/>
    <w:sig w:usb0="E00006FF" w:usb1="420024FF" w:usb2="02000000" w:usb3="00000000" w:csb0="2000019F" w:csb1="00000000"/>
  </w:font>
  <w:font w:name="MS Sans Serif">
    <w:altName w:val="Courier New"/>
    <w:panose1 w:val="00000000000000000000"/>
    <w:charset w:val="00"/>
    <w:family w:val="swiss"/>
    <w:pitch w:val="default"/>
    <w:sig w:usb0="00000000" w:usb1="00000000" w:usb2="00000000" w:usb3="00000000" w:csb0="0000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embedRegular r:id="rId5" w:fontKey="{68FF7DA7-57D6-494B-8ABB-2AD1A00F6355}"/>
  </w:font>
  <w:font w:name="Tahoma">
    <w:panose1 w:val="020B0604030504040204"/>
    <w:charset w:val="00"/>
    <w:family w:val="swiss"/>
    <w:pitch w:val="default"/>
    <w:sig w:usb0="E1002EFF" w:usb1="C000605B" w:usb2="00000029" w:usb3="00000000" w:csb0="200101FF" w:csb1="20280000"/>
  </w:font>
  <w:font w:name="MS Mincho">
    <w:panose1 w:val="02020609040205080304"/>
    <w:charset w:val="80"/>
    <w:family w:val="modern"/>
    <w:pitch w:val="default"/>
    <w:sig w:usb0="A00002BF" w:usb1="68C7FCFB" w:usb2="00000010" w:usb3="00000000" w:csb0="4002009F" w:csb1="DFD70000"/>
    <w:embedRegular r:id="rId6" w:fontKey="{170B8439-4BAE-4E77-A591-063C01AD1A5C}"/>
  </w:font>
  <w:font w:name="Wingdings 2">
    <w:panose1 w:val="05020102010507070707"/>
    <w:charset w:val="00"/>
    <w:family w:val="auto"/>
    <w:pitch w:val="default"/>
    <w:sig w:usb0="00000000" w:usb1="00000000" w:usb2="00000000" w:usb3="00000000" w:csb0="80000000" w:csb1="00000000"/>
    <w:embedRegular r:id="rId7" w:fontKey="{96D36A92-8833-4D82-A097-F40E5084D6C3}"/>
  </w:font>
  <w:font w:name="仿宋">
    <w:panose1 w:val="02010609060101010101"/>
    <w:charset w:val="86"/>
    <w:family w:val="modern"/>
    <w:pitch w:val="default"/>
    <w:sig w:usb0="800002BF" w:usb1="38CF7CFA" w:usb2="00000016" w:usb3="00000000" w:csb0="00040001" w:csb1="00000000"/>
    <w:embedRegular r:id="rId8" w:fontKey="{5F96DF1B-BED0-4D97-9E27-44CAFF67C25F}"/>
  </w:font>
  <w:font w:name="微软雅黑">
    <w:panose1 w:val="020B0503020204020204"/>
    <w:charset w:val="86"/>
    <w:family w:val="auto"/>
    <w:pitch w:val="default"/>
    <w:sig w:usb0="80000287" w:usb1="2ACF3C50" w:usb2="00000016" w:usb3="00000000" w:csb0="0004001F" w:csb1="00000000"/>
    <w:embedRegular r:id="rId9" w:fontKey="{C0691BA7-F74A-4D25-A2DA-E8C1809EFF58}"/>
  </w:font>
  <w:font w:name="方正小标宋简体">
    <w:panose1 w:val="03000509000000000000"/>
    <w:charset w:val="86"/>
    <w:family w:val="script"/>
    <w:pitch w:val="default"/>
    <w:sig w:usb0="00000001" w:usb1="080E0000" w:usb2="00000000" w:usb3="00000000" w:csb0="00040000" w:csb1="00000000"/>
    <w:embedRegular r:id="rId10" w:fontKey="{1F236D89-8603-4FBC-AE31-FB58A5F38591}"/>
  </w:font>
  <w:font w:name="WPSEMBED2">
    <w:panose1 w:val="02020609040205080304"/>
    <w:charset w:val="80"/>
    <w:family w:val="auto"/>
    <w:pitch w:val="default"/>
    <w:sig w:usb0="A00002BF" w:usb1="68C7FCFB" w:usb2="00000010" w:usb3="00000000" w:csb0="4002009F" w:csb1="DFD70000"/>
  </w:font>
  <w:font w:name="WPSEMBED3">
    <w:panose1 w:val="05020102010507070707"/>
    <w:charset w:val="00"/>
    <w:family w:val="auto"/>
    <w:pitch w:val="default"/>
    <w:sig w:usb0="00000000" w:usb1="00000000" w:usb2="00000000" w:usb3="00000000" w:csb0="80000000" w:csb1="00000000"/>
  </w:font>
  <w:font w:name="WPSEMBED1">
    <w:panose1 w:val="02010609030101010101"/>
    <w:charset w:val="86"/>
    <w:family w:val="auto"/>
    <w:pitch w:val="default"/>
    <w:sig w:usb0="00000001" w:usb1="080E0000" w:usb2="00000000" w:usb3="00000000" w:csb0="00040000" w:csb1="00000000"/>
  </w:font>
  <w:font w:name="WPSEMBED4">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1361928"/>
      <w:showingPlcHdr/>
    </w:sdtPr>
    <w:sdtContent>
      <w:p w14:paraId="091AEA08">
        <w:pPr>
          <w:pStyle w:val="34"/>
          <w:jc w:val="center"/>
        </w:pPr>
        <w: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A19406">
    <w:pPr>
      <w:pStyle w:val="3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5D14EA">
                          <w:pPr>
                            <w:pStyle w:val="3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5D5D14EA">
                    <w:pPr>
                      <w:pStyle w:val="34"/>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0AFA42">
    <w:pPr>
      <w:pStyle w:val="34"/>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0ABE55">
                          <w:pPr>
                            <w:pStyle w:val="3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370ABE55">
                    <w:pPr>
                      <w:pStyle w:val="3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9BD7FE">
    <w:pPr>
      <w:pStyle w:val="34"/>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4F1554">
                          <w:pPr>
                            <w:pStyle w:val="34"/>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4A4F1554">
                    <w:pPr>
                      <w:pStyle w:val="34"/>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8D9A75">
    <w:pPr>
      <w:pStyle w:val="34"/>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215F63">
                          <w:pPr>
                            <w:pStyle w:val="34"/>
                          </w:pPr>
                          <w:r>
                            <w:fldChar w:fldCharType="begin"/>
                          </w:r>
                          <w:r>
                            <w:instrText xml:space="preserve"> PAGE  \* MERGEFORMAT </w:instrText>
                          </w:r>
                          <w:r>
                            <w:fldChar w:fldCharType="separate"/>
                          </w:r>
                          <w:r>
                            <w:t>27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3D215F63">
                    <w:pPr>
                      <w:pStyle w:val="34"/>
                    </w:pPr>
                    <w:r>
                      <w:fldChar w:fldCharType="begin"/>
                    </w:r>
                    <w:r>
                      <w:instrText xml:space="preserve"> PAGE  \* MERGEFORMAT </w:instrText>
                    </w:r>
                    <w:r>
                      <w:fldChar w:fldCharType="separate"/>
                    </w:r>
                    <w:r>
                      <w:t>27</w:t>
                    </w:r>
                    <w:r>
                      <w:fldChar w:fldCharType="end"/>
                    </w:r>
                  </w:p>
                </w:txbxContent>
              </v:textbox>
            </v:shape>
          </w:pict>
        </mc:Fallback>
      </mc:AlternateContent>
    </w:r>
  </w:p>
  <w:p w14:paraId="7465BEA9"/>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264A60">
    <w:pPr>
      <w:pStyle w:val="34"/>
      <w:jc w:val="center"/>
    </w:pPr>
    <w:r>
      <w:fldChar w:fldCharType="begin"/>
    </w:r>
    <w:r>
      <w:instrText xml:space="preserve">PAGE   \* MERGEFORMAT</w:instrText>
    </w:r>
    <w:r>
      <w:fldChar w:fldCharType="separate"/>
    </w:r>
    <w:r>
      <w:rPr>
        <w:lang w:val="zh-CN"/>
      </w:rPr>
      <w:t>22</w:t>
    </w:r>
    <w: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E37307">
    <w:pPr>
      <w:pStyle w:val="34"/>
      <w:tabs>
        <w:tab w:val="left" w:pos="5500"/>
        <w:tab w:val="clear" w:pos="8306"/>
      </w:tabs>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D6AF12">
                          <w:pPr>
                            <w:pStyle w:val="34"/>
                          </w:pPr>
                          <w:r>
                            <w:fldChar w:fldCharType="begin"/>
                          </w:r>
                          <w:r>
                            <w:instrText xml:space="preserve"> PAGE  \* MERGEFORMAT </w:instrText>
                          </w:r>
                          <w:r>
                            <w:fldChar w:fldCharType="separate"/>
                          </w:r>
                          <w:r>
                            <w:t>119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6DD6AF12">
                    <w:pPr>
                      <w:pStyle w:val="34"/>
                    </w:pPr>
                    <w:r>
                      <w:fldChar w:fldCharType="begin"/>
                    </w:r>
                    <w:r>
                      <w:instrText xml:space="preserve"> PAGE  \* MERGEFORMAT </w:instrText>
                    </w:r>
                    <w:r>
                      <w:fldChar w:fldCharType="separate"/>
                    </w:r>
                    <w:r>
                      <w:t>119</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910CD0">
    <w:pPr>
      <w:pStyle w:val="34"/>
      <w:framePr w:wrap="around" w:vAnchor="text" w:hAnchor="margin" w:xAlign="center" w:y="1"/>
      <w:rPr>
        <w:rStyle w:val="62"/>
      </w:rPr>
    </w:pPr>
    <w:r>
      <w:fldChar w:fldCharType="begin"/>
    </w:r>
    <w:r>
      <w:rPr>
        <w:rStyle w:val="62"/>
      </w:rPr>
      <w:instrText xml:space="preserve">PAGE  </w:instrText>
    </w:r>
    <w:r>
      <w:fldChar w:fldCharType="end"/>
    </w:r>
  </w:p>
  <w:p w14:paraId="43A38DA0">
    <w:pPr>
      <w:pStyle w:val="3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3D08C4">
    <w:pPr>
      <w:pStyle w:val="35"/>
    </w:pPr>
    <w:r>
      <w:rPr>
        <w:rFonts w:hint="eastAsia"/>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3E503C">
    <w:pPr>
      <w:pStyle w:val="3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F57CB8">
    <w:pPr>
      <w:pStyle w:val="35"/>
      <w:rPr>
        <w:szCs w:val="18"/>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75CB3D"/>
    <w:multiLevelType w:val="singleLevel"/>
    <w:tmpl w:val="9075CB3D"/>
    <w:lvl w:ilvl="0" w:tentative="0">
      <w:start w:val="9"/>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5"/>
  <w:drawingGridHorizontalSpacing w:val="105"/>
  <w:drawingGridVerticalSpacing w:val="33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I1Zjc1NGMwNGNiZjg0NTZkZmM5ZGVmZDM0OWNmMDMifQ=="/>
  </w:docVars>
  <w:rsids>
    <w:rsidRoot w:val="00172A27"/>
    <w:rsid w:val="00001166"/>
    <w:rsid w:val="0000138C"/>
    <w:rsid w:val="0000305A"/>
    <w:rsid w:val="0000491D"/>
    <w:rsid w:val="00007173"/>
    <w:rsid w:val="00007258"/>
    <w:rsid w:val="000077C7"/>
    <w:rsid w:val="00012100"/>
    <w:rsid w:val="0001231A"/>
    <w:rsid w:val="000137D3"/>
    <w:rsid w:val="000218B2"/>
    <w:rsid w:val="00024BAA"/>
    <w:rsid w:val="00025446"/>
    <w:rsid w:val="000309A7"/>
    <w:rsid w:val="00031074"/>
    <w:rsid w:val="00032C30"/>
    <w:rsid w:val="00034087"/>
    <w:rsid w:val="00037D9A"/>
    <w:rsid w:val="00042EB2"/>
    <w:rsid w:val="00046DF5"/>
    <w:rsid w:val="00047B6E"/>
    <w:rsid w:val="00057B3D"/>
    <w:rsid w:val="00082632"/>
    <w:rsid w:val="00082CAD"/>
    <w:rsid w:val="0008727F"/>
    <w:rsid w:val="0008762E"/>
    <w:rsid w:val="000878D5"/>
    <w:rsid w:val="00090DD7"/>
    <w:rsid w:val="00096C14"/>
    <w:rsid w:val="000A0D48"/>
    <w:rsid w:val="000A0EF3"/>
    <w:rsid w:val="000A3189"/>
    <w:rsid w:val="000A4173"/>
    <w:rsid w:val="000A578E"/>
    <w:rsid w:val="000A5B54"/>
    <w:rsid w:val="000A6384"/>
    <w:rsid w:val="000A7563"/>
    <w:rsid w:val="000A7AF5"/>
    <w:rsid w:val="000B0269"/>
    <w:rsid w:val="000B5E71"/>
    <w:rsid w:val="000C3431"/>
    <w:rsid w:val="000C3C6E"/>
    <w:rsid w:val="000C4E5F"/>
    <w:rsid w:val="000C5A00"/>
    <w:rsid w:val="000C74AB"/>
    <w:rsid w:val="000D0568"/>
    <w:rsid w:val="000D0795"/>
    <w:rsid w:val="000D252E"/>
    <w:rsid w:val="000D2EDD"/>
    <w:rsid w:val="000D4012"/>
    <w:rsid w:val="000D4AD7"/>
    <w:rsid w:val="000D60F2"/>
    <w:rsid w:val="000D687C"/>
    <w:rsid w:val="000D710E"/>
    <w:rsid w:val="000D7979"/>
    <w:rsid w:val="000E02F0"/>
    <w:rsid w:val="000E15BB"/>
    <w:rsid w:val="000F35C5"/>
    <w:rsid w:val="000F61A7"/>
    <w:rsid w:val="000F7057"/>
    <w:rsid w:val="00103A4D"/>
    <w:rsid w:val="00107758"/>
    <w:rsid w:val="001106BF"/>
    <w:rsid w:val="00111200"/>
    <w:rsid w:val="00112591"/>
    <w:rsid w:val="001126B2"/>
    <w:rsid w:val="00114490"/>
    <w:rsid w:val="001177F3"/>
    <w:rsid w:val="001178F9"/>
    <w:rsid w:val="00120223"/>
    <w:rsid w:val="00120910"/>
    <w:rsid w:val="00121C5A"/>
    <w:rsid w:val="00124C57"/>
    <w:rsid w:val="0012562D"/>
    <w:rsid w:val="00125849"/>
    <w:rsid w:val="00126163"/>
    <w:rsid w:val="00126E51"/>
    <w:rsid w:val="00127A6A"/>
    <w:rsid w:val="00127F58"/>
    <w:rsid w:val="00131E78"/>
    <w:rsid w:val="00134C70"/>
    <w:rsid w:val="00137544"/>
    <w:rsid w:val="0014138B"/>
    <w:rsid w:val="00142466"/>
    <w:rsid w:val="001424B4"/>
    <w:rsid w:val="00146182"/>
    <w:rsid w:val="00147499"/>
    <w:rsid w:val="0015025E"/>
    <w:rsid w:val="00154E4B"/>
    <w:rsid w:val="00162BD3"/>
    <w:rsid w:val="0016659F"/>
    <w:rsid w:val="00172A27"/>
    <w:rsid w:val="00177B8D"/>
    <w:rsid w:val="00181E6A"/>
    <w:rsid w:val="00193B69"/>
    <w:rsid w:val="001940AB"/>
    <w:rsid w:val="001A707D"/>
    <w:rsid w:val="001B1647"/>
    <w:rsid w:val="001B3D91"/>
    <w:rsid w:val="001B499A"/>
    <w:rsid w:val="001C0985"/>
    <w:rsid w:val="001C484D"/>
    <w:rsid w:val="001C4CB9"/>
    <w:rsid w:val="001C531D"/>
    <w:rsid w:val="001C76C3"/>
    <w:rsid w:val="001D12D3"/>
    <w:rsid w:val="001D3405"/>
    <w:rsid w:val="001D4E28"/>
    <w:rsid w:val="001D5B5D"/>
    <w:rsid w:val="001D6113"/>
    <w:rsid w:val="001E12B0"/>
    <w:rsid w:val="001E1FFF"/>
    <w:rsid w:val="001E2FB4"/>
    <w:rsid w:val="001E6AA8"/>
    <w:rsid w:val="001F14DC"/>
    <w:rsid w:val="001F1F50"/>
    <w:rsid w:val="001F4E74"/>
    <w:rsid w:val="001F69B2"/>
    <w:rsid w:val="001F6C2C"/>
    <w:rsid w:val="002015E3"/>
    <w:rsid w:val="00201F16"/>
    <w:rsid w:val="00202A31"/>
    <w:rsid w:val="00202F3F"/>
    <w:rsid w:val="00214851"/>
    <w:rsid w:val="00214C43"/>
    <w:rsid w:val="00216EB6"/>
    <w:rsid w:val="00216FBB"/>
    <w:rsid w:val="00217BC1"/>
    <w:rsid w:val="0022219E"/>
    <w:rsid w:val="00223A8B"/>
    <w:rsid w:val="00226A19"/>
    <w:rsid w:val="00230ADC"/>
    <w:rsid w:val="00231217"/>
    <w:rsid w:val="00233648"/>
    <w:rsid w:val="00233B0B"/>
    <w:rsid w:val="00233BDF"/>
    <w:rsid w:val="0024088B"/>
    <w:rsid w:val="00241AB0"/>
    <w:rsid w:val="00243E6E"/>
    <w:rsid w:val="00244877"/>
    <w:rsid w:val="002448E0"/>
    <w:rsid w:val="00245E32"/>
    <w:rsid w:val="00261316"/>
    <w:rsid w:val="00267B0C"/>
    <w:rsid w:val="0027251E"/>
    <w:rsid w:val="00276269"/>
    <w:rsid w:val="00276F1A"/>
    <w:rsid w:val="00281B4C"/>
    <w:rsid w:val="00283F3D"/>
    <w:rsid w:val="0028506D"/>
    <w:rsid w:val="00285AB0"/>
    <w:rsid w:val="002907C0"/>
    <w:rsid w:val="00291817"/>
    <w:rsid w:val="00292FDD"/>
    <w:rsid w:val="00296FE7"/>
    <w:rsid w:val="002A0357"/>
    <w:rsid w:val="002A2519"/>
    <w:rsid w:val="002A2BAC"/>
    <w:rsid w:val="002A31AA"/>
    <w:rsid w:val="002A32DF"/>
    <w:rsid w:val="002B012B"/>
    <w:rsid w:val="002B31EF"/>
    <w:rsid w:val="002B4B66"/>
    <w:rsid w:val="002B4CCA"/>
    <w:rsid w:val="002B6C11"/>
    <w:rsid w:val="002C0099"/>
    <w:rsid w:val="002C410C"/>
    <w:rsid w:val="002C7AED"/>
    <w:rsid w:val="002D0A44"/>
    <w:rsid w:val="002D3435"/>
    <w:rsid w:val="002D37FD"/>
    <w:rsid w:val="002D5BF3"/>
    <w:rsid w:val="002D7080"/>
    <w:rsid w:val="002D7ED5"/>
    <w:rsid w:val="002E1003"/>
    <w:rsid w:val="002E2676"/>
    <w:rsid w:val="002E48F6"/>
    <w:rsid w:val="002F1B9E"/>
    <w:rsid w:val="002F2864"/>
    <w:rsid w:val="002F32D0"/>
    <w:rsid w:val="002F5AF0"/>
    <w:rsid w:val="002F5B4F"/>
    <w:rsid w:val="002F6074"/>
    <w:rsid w:val="00300DD4"/>
    <w:rsid w:val="00301BA3"/>
    <w:rsid w:val="00302C04"/>
    <w:rsid w:val="00304067"/>
    <w:rsid w:val="003063B0"/>
    <w:rsid w:val="003122A4"/>
    <w:rsid w:val="0031251C"/>
    <w:rsid w:val="00312E41"/>
    <w:rsid w:val="0031530B"/>
    <w:rsid w:val="0031784E"/>
    <w:rsid w:val="0032262E"/>
    <w:rsid w:val="003256EA"/>
    <w:rsid w:val="0032631E"/>
    <w:rsid w:val="003269BF"/>
    <w:rsid w:val="00327EF5"/>
    <w:rsid w:val="003323A2"/>
    <w:rsid w:val="00333717"/>
    <w:rsid w:val="00336B4D"/>
    <w:rsid w:val="00343E32"/>
    <w:rsid w:val="00346B6F"/>
    <w:rsid w:val="00357EEE"/>
    <w:rsid w:val="00360553"/>
    <w:rsid w:val="00360663"/>
    <w:rsid w:val="00361EC8"/>
    <w:rsid w:val="00364A45"/>
    <w:rsid w:val="003667DF"/>
    <w:rsid w:val="00366B93"/>
    <w:rsid w:val="00380D6F"/>
    <w:rsid w:val="0038421C"/>
    <w:rsid w:val="00384D8D"/>
    <w:rsid w:val="00384E8E"/>
    <w:rsid w:val="00384F78"/>
    <w:rsid w:val="00386108"/>
    <w:rsid w:val="003867E9"/>
    <w:rsid w:val="00386ECF"/>
    <w:rsid w:val="00387289"/>
    <w:rsid w:val="003906FA"/>
    <w:rsid w:val="00390A0E"/>
    <w:rsid w:val="00391156"/>
    <w:rsid w:val="0039139C"/>
    <w:rsid w:val="0039146A"/>
    <w:rsid w:val="00392722"/>
    <w:rsid w:val="00394A9B"/>
    <w:rsid w:val="0039630D"/>
    <w:rsid w:val="003B1AD6"/>
    <w:rsid w:val="003B2D22"/>
    <w:rsid w:val="003B2D6E"/>
    <w:rsid w:val="003B4134"/>
    <w:rsid w:val="003B7507"/>
    <w:rsid w:val="003C14E6"/>
    <w:rsid w:val="003C1576"/>
    <w:rsid w:val="003C19A6"/>
    <w:rsid w:val="003C6037"/>
    <w:rsid w:val="003D18C1"/>
    <w:rsid w:val="003D4DD9"/>
    <w:rsid w:val="003D5E21"/>
    <w:rsid w:val="003D7F3D"/>
    <w:rsid w:val="003E1E0E"/>
    <w:rsid w:val="003E4621"/>
    <w:rsid w:val="003E7242"/>
    <w:rsid w:val="003E7BE8"/>
    <w:rsid w:val="003F24F9"/>
    <w:rsid w:val="003F4074"/>
    <w:rsid w:val="00402E1D"/>
    <w:rsid w:val="00402FB1"/>
    <w:rsid w:val="004073C8"/>
    <w:rsid w:val="00414A70"/>
    <w:rsid w:val="004152BD"/>
    <w:rsid w:val="0041782D"/>
    <w:rsid w:val="00422581"/>
    <w:rsid w:val="00423443"/>
    <w:rsid w:val="0042511A"/>
    <w:rsid w:val="00425B85"/>
    <w:rsid w:val="00433389"/>
    <w:rsid w:val="00436A0E"/>
    <w:rsid w:val="0043797A"/>
    <w:rsid w:val="0044233E"/>
    <w:rsid w:val="00444F03"/>
    <w:rsid w:val="00445C3F"/>
    <w:rsid w:val="00454393"/>
    <w:rsid w:val="004615BD"/>
    <w:rsid w:val="00461888"/>
    <w:rsid w:val="00462456"/>
    <w:rsid w:val="004633DA"/>
    <w:rsid w:val="004718C1"/>
    <w:rsid w:val="00471E91"/>
    <w:rsid w:val="00474D2B"/>
    <w:rsid w:val="00475D4C"/>
    <w:rsid w:val="00476EA1"/>
    <w:rsid w:val="00481513"/>
    <w:rsid w:val="00483481"/>
    <w:rsid w:val="0048407D"/>
    <w:rsid w:val="004907AA"/>
    <w:rsid w:val="004912D3"/>
    <w:rsid w:val="00492202"/>
    <w:rsid w:val="004A58FF"/>
    <w:rsid w:val="004B0917"/>
    <w:rsid w:val="004B4543"/>
    <w:rsid w:val="004B474A"/>
    <w:rsid w:val="004C2E19"/>
    <w:rsid w:val="004C5EA4"/>
    <w:rsid w:val="004C6BDE"/>
    <w:rsid w:val="004E21D5"/>
    <w:rsid w:val="004E2DA7"/>
    <w:rsid w:val="004E36BC"/>
    <w:rsid w:val="004E7F7B"/>
    <w:rsid w:val="004F2A18"/>
    <w:rsid w:val="004F7B40"/>
    <w:rsid w:val="004F7C64"/>
    <w:rsid w:val="0050086F"/>
    <w:rsid w:val="00501EE6"/>
    <w:rsid w:val="00502762"/>
    <w:rsid w:val="00504898"/>
    <w:rsid w:val="00505F06"/>
    <w:rsid w:val="005115DA"/>
    <w:rsid w:val="00511AF8"/>
    <w:rsid w:val="00513330"/>
    <w:rsid w:val="00513716"/>
    <w:rsid w:val="00514EC1"/>
    <w:rsid w:val="00514ECA"/>
    <w:rsid w:val="0051793C"/>
    <w:rsid w:val="00521B8A"/>
    <w:rsid w:val="00521C86"/>
    <w:rsid w:val="00522A7C"/>
    <w:rsid w:val="005236ED"/>
    <w:rsid w:val="00523AD6"/>
    <w:rsid w:val="00527123"/>
    <w:rsid w:val="00530E16"/>
    <w:rsid w:val="005320FF"/>
    <w:rsid w:val="00532DCE"/>
    <w:rsid w:val="005351AD"/>
    <w:rsid w:val="0053568D"/>
    <w:rsid w:val="00536D71"/>
    <w:rsid w:val="0054169F"/>
    <w:rsid w:val="00541726"/>
    <w:rsid w:val="00547679"/>
    <w:rsid w:val="005607CC"/>
    <w:rsid w:val="00564603"/>
    <w:rsid w:val="00564EF8"/>
    <w:rsid w:val="0056545D"/>
    <w:rsid w:val="005668F7"/>
    <w:rsid w:val="00573F83"/>
    <w:rsid w:val="00582510"/>
    <w:rsid w:val="0059082C"/>
    <w:rsid w:val="005910E0"/>
    <w:rsid w:val="00591A69"/>
    <w:rsid w:val="00594EF1"/>
    <w:rsid w:val="005953B9"/>
    <w:rsid w:val="00595933"/>
    <w:rsid w:val="005969CF"/>
    <w:rsid w:val="005A7815"/>
    <w:rsid w:val="005B07BD"/>
    <w:rsid w:val="005B1EA4"/>
    <w:rsid w:val="005B26C3"/>
    <w:rsid w:val="005B398B"/>
    <w:rsid w:val="005C0A73"/>
    <w:rsid w:val="005C4B10"/>
    <w:rsid w:val="005C7B5D"/>
    <w:rsid w:val="005D09D1"/>
    <w:rsid w:val="005D0A2D"/>
    <w:rsid w:val="005D7005"/>
    <w:rsid w:val="005E1C54"/>
    <w:rsid w:val="005E3DED"/>
    <w:rsid w:val="005E499E"/>
    <w:rsid w:val="005E7FB9"/>
    <w:rsid w:val="005F0DE8"/>
    <w:rsid w:val="005F581E"/>
    <w:rsid w:val="005F678B"/>
    <w:rsid w:val="00600080"/>
    <w:rsid w:val="0060051A"/>
    <w:rsid w:val="00600966"/>
    <w:rsid w:val="0060122F"/>
    <w:rsid w:val="006039B2"/>
    <w:rsid w:val="00604447"/>
    <w:rsid w:val="00604F30"/>
    <w:rsid w:val="00612147"/>
    <w:rsid w:val="00613704"/>
    <w:rsid w:val="0062122D"/>
    <w:rsid w:val="00621306"/>
    <w:rsid w:val="00621E06"/>
    <w:rsid w:val="00624AB7"/>
    <w:rsid w:val="0062604B"/>
    <w:rsid w:val="006307B2"/>
    <w:rsid w:val="0063231F"/>
    <w:rsid w:val="006332E5"/>
    <w:rsid w:val="00633E5D"/>
    <w:rsid w:val="006344D8"/>
    <w:rsid w:val="0063467A"/>
    <w:rsid w:val="0063784D"/>
    <w:rsid w:val="0065021C"/>
    <w:rsid w:val="0065023F"/>
    <w:rsid w:val="0065093A"/>
    <w:rsid w:val="006535D2"/>
    <w:rsid w:val="00655020"/>
    <w:rsid w:val="006550BD"/>
    <w:rsid w:val="00657711"/>
    <w:rsid w:val="00660F59"/>
    <w:rsid w:val="00663429"/>
    <w:rsid w:val="006643C2"/>
    <w:rsid w:val="00664489"/>
    <w:rsid w:val="00671253"/>
    <w:rsid w:val="00671585"/>
    <w:rsid w:val="00672F9A"/>
    <w:rsid w:val="00673ADA"/>
    <w:rsid w:val="00673F9A"/>
    <w:rsid w:val="006766D8"/>
    <w:rsid w:val="00684E25"/>
    <w:rsid w:val="0069530F"/>
    <w:rsid w:val="0069731D"/>
    <w:rsid w:val="0069737C"/>
    <w:rsid w:val="00697FE4"/>
    <w:rsid w:val="006A02CE"/>
    <w:rsid w:val="006A237C"/>
    <w:rsid w:val="006A2C1D"/>
    <w:rsid w:val="006B0F58"/>
    <w:rsid w:val="006B1A2C"/>
    <w:rsid w:val="006B2368"/>
    <w:rsid w:val="006B4464"/>
    <w:rsid w:val="006B468B"/>
    <w:rsid w:val="006B7C04"/>
    <w:rsid w:val="006C4A85"/>
    <w:rsid w:val="006C67B5"/>
    <w:rsid w:val="006D090F"/>
    <w:rsid w:val="006D37CB"/>
    <w:rsid w:val="006D6C4F"/>
    <w:rsid w:val="006D710D"/>
    <w:rsid w:val="006D76EA"/>
    <w:rsid w:val="006D7773"/>
    <w:rsid w:val="006D7A10"/>
    <w:rsid w:val="006E1692"/>
    <w:rsid w:val="006E5AF8"/>
    <w:rsid w:val="006E5F0A"/>
    <w:rsid w:val="006E6CB7"/>
    <w:rsid w:val="006F330C"/>
    <w:rsid w:val="006F47CD"/>
    <w:rsid w:val="006F5318"/>
    <w:rsid w:val="006F5997"/>
    <w:rsid w:val="00700406"/>
    <w:rsid w:val="00700A8C"/>
    <w:rsid w:val="007014D3"/>
    <w:rsid w:val="0070255F"/>
    <w:rsid w:val="00704E8E"/>
    <w:rsid w:val="00706BB8"/>
    <w:rsid w:val="0071091E"/>
    <w:rsid w:val="00710D2D"/>
    <w:rsid w:val="00713A9B"/>
    <w:rsid w:val="00714392"/>
    <w:rsid w:val="00716506"/>
    <w:rsid w:val="00717C54"/>
    <w:rsid w:val="00717EE0"/>
    <w:rsid w:val="0072194B"/>
    <w:rsid w:val="00722C26"/>
    <w:rsid w:val="007268A6"/>
    <w:rsid w:val="007278B7"/>
    <w:rsid w:val="00731F2D"/>
    <w:rsid w:val="00733DE7"/>
    <w:rsid w:val="0073530F"/>
    <w:rsid w:val="007371AE"/>
    <w:rsid w:val="007408A4"/>
    <w:rsid w:val="00740FB9"/>
    <w:rsid w:val="00743063"/>
    <w:rsid w:val="00752249"/>
    <w:rsid w:val="00757692"/>
    <w:rsid w:val="00757873"/>
    <w:rsid w:val="00761220"/>
    <w:rsid w:val="0076249E"/>
    <w:rsid w:val="00764FF6"/>
    <w:rsid w:val="00774216"/>
    <w:rsid w:val="00776706"/>
    <w:rsid w:val="00777436"/>
    <w:rsid w:val="00777DEE"/>
    <w:rsid w:val="007846DB"/>
    <w:rsid w:val="00790072"/>
    <w:rsid w:val="007919F2"/>
    <w:rsid w:val="00792FB9"/>
    <w:rsid w:val="00796636"/>
    <w:rsid w:val="00797387"/>
    <w:rsid w:val="00797FE9"/>
    <w:rsid w:val="007A1301"/>
    <w:rsid w:val="007A1A41"/>
    <w:rsid w:val="007B0313"/>
    <w:rsid w:val="007B07F9"/>
    <w:rsid w:val="007B1655"/>
    <w:rsid w:val="007B311F"/>
    <w:rsid w:val="007B4056"/>
    <w:rsid w:val="007B5D55"/>
    <w:rsid w:val="007B70A4"/>
    <w:rsid w:val="007C17DD"/>
    <w:rsid w:val="007C2C8E"/>
    <w:rsid w:val="007E00A3"/>
    <w:rsid w:val="007E1554"/>
    <w:rsid w:val="007F029D"/>
    <w:rsid w:val="007F0735"/>
    <w:rsid w:val="007F66C2"/>
    <w:rsid w:val="007F7285"/>
    <w:rsid w:val="007F7DCB"/>
    <w:rsid w:val="0080600F"/>
    <w:rsid w:val="0080752D"/>
    <w:rsid w:val="00814F18"/>
    <w:rsid w:val="0081523E"/>
    <w:rsid w:val="0081553C"/>
    <w:rsid w:val="00824C7F"/>
    <w:rsid w:val="008307CD"/>
    <w:rsid w:val="0083230D"/>
    <w:rsid w:val="00834992"/>
    <w:rsid w:val="00836B5E"/>
    <w:rsid w:val="00837166"/>
    <w:rsid w:val="00841C4A"/>
    <w:rsid w:val="0084492C"/>
    <w:rsid w:val="00844CC1"/>
    <w:rsid w:val="0084657C"/>
    <w:rsid w:val="00850C98"/>
    <w:rsid w:val="00852A96"/>
    <w:rsid w:val="00853129"/>
    <w:rsid w:val="00853EE7"/>
    <w:rsid w:val="00854C06"/>
    <w:rsid w:val="008563D3"/>
    <w:rsid w:val="008647BE"/>
    <w:rsid w:val="00864B41"/>
    <w:rsid w:val="00880178"/>
    <w:rsid w:val="00882ED0"/>
    <w:rsid w:val="00890126"/>
    <w:rsid w:val="00890576"/>
    <w:rsid w:val="00895B44"/>
    <w:rsid w:val="00896F20"/>
    <w:rsid w:val="00897013"/>
    <w:rsid w:val="008A3696"/>
    <w:rsid w:val="008A3A9B"/>
    <w:rsid w:val="008A7594"/>
    <w:rsid w:val="008B29D2"/>
    <w:rsid w:val="008B47A4"/>
    <w:rsid w:val="008B6221"/>
    <w:rsid w:val="008C028D"/>
    <w:rsid w:val="008D2FDA"/>
    <w:rsid w:val="008D4BE7"/>
    <w:rsid w:val="008D5873"/>
    <w:rsid w:val="008D7247"/>
    <w:rsid w:val="008E0377"/>
    <w:rsid w:val="008E6446"/>
    <w:rsid w:val="008F0FB6"/>
    <w:rsid w:val="008F2894"/>
    <w:rsid w:val="008F645D"/>
    <w:rsid w:val="008F70F9"/>
    <w:rsid w:val="008F7B00"/>
    <w:rsid w:val="00900997"/>
    <w:rsid w:val="00903402"/>
    <w:rsid w:val="009042C6"/>
    <w:rsid w:val="009072D5"/>
    <w:rsid w:val="00910B49"/>
    <w:rsid w:val="00910C87"/>
    <w:rsid w:val="009110E3"/>
    <w:rsid w:val="00924835"/>
    <w:rsid w:val="00925520"/>
    <w:rsid w:val="00934169"/>
    <w:rsid w:val="009342F7"/>
    <w:rsid w:val="00934CA8"/>
    <w:rsid w:val="00935957"/>
    <w:rsid w:val="00937B09"/>
    <w:rsid w:val="00951528"/>
    <w:rsid w:val="00951FD3"/>
    <w:rsid w:val="0095726C"/>
    <w:rsid w:val="00957DD4"/>
    <w:rsid w:val="00960CB3"/>
    <w:rsid w:val="009702EF"/>
    <w:rsid w:val="009718FF"/>
    <w:rsid w:val="00973972"/>
    <w:rsid w:val="009808F1"/>
    <w:rsid w:val="009820D5"/>
    <w:rsid w:val="00987712"/>
    <w:rsid w:val="00987A98"/>
    <w:rsid w:val="0099033C"/>
    <w:rsid w:val="00993ABE"/>
    <w:rsid w:val="00994328"/>
    <w:rsid w:val="009960A5"/>
    <w:rsid w:val="009963AE"/>
    <w:rsid w:val="0099746A"/>
    <w:rsid w:val="009A1DF2"/>
    <w:rsid w:val="009A4226"/>
    <w:rsid w:val="009A7CF6"/>
    <w:rsid w:val="009B042C"/>
    <w:rsid w:val="009B3300"/>
    <w:rsid w:val="009B6DC5"/>
    <w:rsid w:val="009C0A75"/>
    <w:rsid w:val="009C0BB9"/>
    <w:rsid w:val="009C5E16"/>
    <w:rsid w:val="009D20DE"/>
    <w:rsid w:val="009D21F0"/>
    <w:rsid w:val="009D29CE"/>
    <w:rsid w:val="009D6045"/>
    <w:rsid w:val="009E2AB2"/>
    <w:rsid w:val="009E5BE0"/>
    <w:rsid w:val="009E75DB"/>
    <w:rsid w:val="009F4920"/>
    <w:rsid w:val="009F6792"/>
    <w:rsid w:val="009F697F"/>
    <w:rsid w:val="00A0041B"/>
    <w:rsid w:val="00A012A3"/>
    <w:rsid w:val="00A01E55"/>
    <w:rsid w:val="00A03E71"/>
    <w:rsid w:val="00A062D3"/>
    <w:rsid w:val="00A066B7"/>
    <w:rsid w:val="00A06E74"/>
    <w:rsid w:val="00A10875"/>
    <w:rsid w:val="00A11617"/>
    <w:rsid w:val="00A11BDC"/>
    <w:rsid w:val="00A136D6"/>
    <w:rsid w:val="00A224D9"/>
    <w:rsid w:val="00A24D37"/>
    <w:rsid w:val="00A30579"/>
    <w:rsid w:val="00A419E6"/>
    <w:rsid w:val="00A4705B"/>
    <w:rsid w:val="00A474A5"/>
    <w:rsid w:val="00A531C3"/>
    <w:rsid w:val="00A55AD1"/>
    <w:rsid w:val="00A57912"/>
    <w:rsid w:val="00A611BF"/>
    <w:rsid w:val="00A7585D"/>
    <w:rsid w:val="00A77D33"/>
    <w:rsid w:val="00A839CA"/>
    <w:rsid w:val="00A84D43"/>
    <w:rsid w:val="00A864CA"/>
    <w:rsid w:val="00A86693"/>
    <w:rsid w:val="00A90102"/>
    <w:rsid w:val="00A9674B"/>
    <w:rsid w:val="00A96BB3"/>
    <w:rsid w:val="00AA53DC"/>
    <w:rsid w:val="00AA5991"/>
    <w:rsid w:val="00AB3E89"/>
    <w:rsid w:val="00AB4C93"/>
    <w:rsid w:val="00AB783A"/>
    <w:rsid w:val="00AB7968"/>
    <w:rsid w:val="00AB7F63"/>
    <w:rsid w:val="00AC38BD"/>
    <w:rsid w:val="00AC7526"/>
    <w:rsid w:val="00AD0A26"/>
    <w:rsid w:val="00AD2F09"/>
    <w:rsid w:val="00AD6A28"/>
    <w:rsid w:val="00AE049D"/>
    <w:rsid w:val="00AE2E82"/>
    <w:rsid w:val="00AE6E83"/>
    <w:rsid w:val="00AF04B2"/>
    <w:rsid w:val="00AF0D06"/>
    <w:rsid w:val="00AF47DF"/>
    <w:rsid w:val="00AF6336"/>
    <w:rsid w:val="00AF63A1"/>
    <w:rsid w:val="00B0078D"/>
    <w:rsid w:val="00B009B3"/>
    <w:rsid w:val="00B012E0"/>
    <w:rsid w:val="00B061B3"/>
    <w:rsid w:val="00B074AB"/>
    <w:rsid w:val="00B111A8"/>
    <w:rsid w:val="00B12E4D"/>
    <w:rsid w:val="00B13550"/>
    <w:rsid w:val="00B1487A"/>
    <w:rsid w:val="00B20209"/>
    <w:rsid w:val="00B23B0F"/>
    <w:rsid w:val="00B24D21"/>
    <w:rsid w:val="00B25281"/>
    <w:rsid w:val="00B2705B"/>
    <w:rsid w:val="00B27182"/>
    <w:rsid w:val="00B278F6"/>
    <w:rsid w:val="00B27B68"/>
    <w:rsid w:val="00B307E6"/>
    <w:rsid w:val="00B3110D"/>
    <w:rsid w:val="00B32474"/>
    <w:rsid w:val="00B32D99"/>
    <w:rsid w:val="00B337E2"/>
    <w:rsid w:val="00B340A1"/>
    <w:rsid w:val="00B3435B"/>
    <w:rsid w:val="00B356E2"/>
    <w:rsid w:val="00B409DE"/>
    <w:rsid w:val="00B43B80"/>
    <w:rsid w:val="00B44779"/>
    <w:rsid w:val="00B44DEF"/>
    <w:rsid w:val="00B45408"/>
    <w:rsid w:val="00B50BC3"/>
    <w:rsid w:val="00B514FA"/>
    <w:rsid w:val="00B51D1B"/>
    <w:rsid w:val="00B53DAA"/>
    <w:rsid w:val="00B54905"/>
    <w:rsid w:val="00B56C4A"/>
    <w:rsid w:val="00B6045E"/>
    <w:rsid w:val="00B62A69"/>
    <w:rsid w:val="00B64490"/>
    <w:rsid w:val="00B77936"/>
    <w:rsid w:val="00B82AFC"/>
    <w:rsid w:val="00B84C90"/>
    <w:rsid w:val="00B85185"/>
    <w:rsid w:val="00B977B5"/>
    <w:rsid w:val="00BA552D"/>
    <w:rsid w:val="00BB557D"/>
    <w:rsid w:val="00BC18B3"/>
    <w:rsid w:val="00BC75E5"/>
    <w:rsid w:val="00BD17A7"/>
    <w:rsid w:val="00BD2592"/>
    <w:rsid w:val="00BD7108"/>
    <w:rsid w:val="00BE6473"/>
    <w:rsid w:val="00BF4E31"/>
    <w:rsid w:val="00C00A8C"/>
    <w:rsid w:val="00C03471"/>
    <w:rsid w:val="00C03E68"/>
    <w:rsid w:val="00C03EAE"/>
    <w:rsid w:val="00C06121"/>
    <w:rsid w:val="00C06A63"/>
    <w:rsid w:val="00C121F2"/>
    <w:rsid w:val="00C14132"/>
    <w:rsid w:val="00C14CB4"/>
    <w:rsid w:val="00C15F5B"/>
    <w:rsid w:val="00C2023B"/>
    <w:rsid w:val="00C203F5"/>
    <w:rsid w:val="00C25C88"/>
    <w:rsid w:val="00C2719F"/>
    <w:rsid w:val="00C27E9F"/>
    <w:rsid w:val="00C371F3"/>
    <w:rsid w:val="00C377B0"/>
    <w:rsid w:val="00C41A7B"/>
    <w:rsid w:val="00C42ADE"/>
    <w:rsid w:val="00C44CBE"/>
    <w:rsid w:val="00C5055D"/>
    <w:rsid w:val="00C53EB3"/>
    <w:rsid w:val="00C54052"/>
    <w:rsid w:val="00C55789"/>
    <w:rsid w:val="00C55CBC"/>
    <w:rsid w:val="00C60C09"/>
    <w:rsid w:val="00C6426A"/>
    <w:rsid w:val="00C64E35"/>
    <w:rsid w:val="00C64EC2"/>
    <w:rsid w:val="00C66D50"/>
    <w:rsid w:val="00C71102"/>
    <w:rsid w:val="00C7166B"/>
    <w:rsid w:val="00C744B7"/>
    <w:rsid w:val="00C8102E"/>
    <w:rsid w:val="00C8256F"/>
    <w:rsid w:val="00C8487C"/>
    <w:rsid w:val="00C851A7"/>
    <w:rsid w:val="00C91B45"/>
    <w:rsid w:val="00C92AE7"/>
    <w:rsid w:val="00C93D71"/>
    <w:rsid w:val="00CA00CC"/>
    <w:rsid w:val="00CA1DD3"/>
    <w:rsid w:val="00CA5165"/>
    <w:rsid w:val="00CA7677"/>
    <w:rsid w:val="00CB0D64"/>
    <w:rsid w:val="00CB30E7"/>
    <w:rsid w:val="00CB31D1"/>
    <w:rsid w:val="00CB32CD"/>
    <w:rsid w:val="00CB516E"/>
    <w:rsid w:val="00CC0438"/>
    <w:rsid w:val="00CC1AEB"/>
    <w:rsid w:val="00CC1BA2"/>
    <w:rsid w:val="00CC2F6A"/>
    <w:rsid w:val="00CC4D2D"/>
    <w:rsid w:val="00CC5373"/>
    <w:rsid w:val="00CC63DC"/>
    <w:rsid w:val="00CC6E37"/>
    <w:rsid w:val="00CD211B"/>
    <w:rsid w:val="00CE492D"/>
    <w:rsid w:val="00CE5EBD"/>
    <w:rsid w:val="00CF01E2"/>
    <w:rsid w:val="00CF14A1"/>
    <w:rsid w:val="00CF22EA"/>
    <w:rsid w:val="00D00459"/>
    <w:rsid w:val="00D0203E"/>
    <w:rsid w:val="00D04AEC"/>
    <w:rsid w:val="00D05EB8"/>
    <w:rsid w:val="00D14E33"/>
    <w:rsid w:val="00D17E30"/>
    <w:rsid w:val="00D21584"/>
    <w:rsid w:val="00D27ED2"/>
    <w:rsid w:val="00D36A1A"/>
    <w:rsid w:val="00D407E6"/>
    <w:rsid w:val="00D42DCD"/>
    <w:rsid w:val="00D44EE3"/>
    <w:rsid w:val="00D45DE0"/>
    <w:rsid w:val="00D462FE"/>
    <w:rsid w:val="00D47314"/>
    <w:rsid w:val="00D47A1D"/>
    <w:rsid w:val="00D5256B"/>
    <w:rsid w:val="00D53734"/>
    <w:rsid w:val="00D56124"/>
    <w:rsid w:val="00D573B1"/>
    <w:rsid w:val="00D57A99"/>
    <w:rsid w:val="00D609A5"/>
    <w:rsid w:val="00D62272"/>
    <w:rsid w:val="00D63BDD"/>
    <w:rsid w:val="00D64786"/>
    <w:rsid w:val="00D70763"/>
    <w:rsid w:val="00D711D9"/>
    <w:rsid w:val="00D737D6"/>
    <w:rsid w:val="00D75210"/>
    <w:rsid w:val="00D758E3"/>
    <w:rsid w:val="00D801A7"/>
    <w:rsid w:val="00D8212C"/>
    <w:rsid w:val="00D844D8"/>
    <w:rsid w:val="00D8540D"/>
    <w:rsid w:val="00D85889"/>
    <w:rsid w:val="00D90E85"/>
    <w:rsid w:val="00D94B42"/>
    <w:rsid w:val="00D96127"/>
    <w:rsid w:val="00D97832"/>
    <w:rsid w:val="00DA3DE2"/>
    <w:rsid w:val="00DA5D37"/>
    <w:rsid w:val="00DB1AD2"/>
    <w:rsid w:val="00DB4E6B"/>
    <w:rsid w:val="00DB5948"/>
    <w:rsid w:val="00DC0433"/>
    <w:rsid w:val="00DC673A"/>
    <w:rsid w:val="00DC6D46"/>
    <w:rsid w:val="00DC7BAA"/>
    <w:rsid w:val="00DD5680"/>
    <w:rsid w:val="00DF264E"/>
    <w:rsid w:val="00E01C07"/>
    <w:rsid w:val="00E035F3"/>
    <w:rsid w:val="00E04575"/>
    <w:rsid w:val="00E051F2"/>
    <w:rsid w:val="00E05D4E"/>
    <w:rsid w:val="00E06692"/>
    <w:rsid w:val="00E0733B"/>
    <w:rsid w:val="00E11679"/>
    <w:rsid w:val="00E11F81"/>
    <w:rsid w:val="00E15FD2"/>
    <w:rsid w:val="00E21D7B"/>
    <w:rsid w:val="00E23D76"/>
    <w:rsid w:val="00E24230"/>
    <w:rsid w:val="00E24F95"/>
    <w:rsid w:val="00E251ED"/>
    <w:rsid w:val="00E25C0C"/>
    <w:rsid w:val="00E313DF"/>
    <w:rsid w:val="00E335E7"/>
    <w:rsid w:val="00E357B7"/>
    <w:rsid w:val="00E45A1E"/>
    <w:rsid w:val="00E507EB"/>
    <w:rsid w:val="00E5385E"/>
    <w:rsid w:val="00E569A6"/>
    <w:rsid w:val="00E56C75"/>
    <w:rsid w:val="00E575EF"/>
    <w:rsid w:val="00E60312"/>
    <w:rsid w:val="00E604BE"/>
    <w:rsid w:val="00E65139"/>
    <w:rsid w:val="00E65E53"/>
    <w:rsid w:val="00E65E75"/>
    <w:rsid w:val="00E679C6"/>
    <w:rsid w:val="00E70078"/>
    <w:rsid w:val="00E731A5"/>
    <w:rsid w:val="00E74688"/>
    <w:rsid w:val="00E7573A"/>
    <w:rsid w:val="00E77D2E"/>
    <w:rsid w:val="00E85A7B"/>
    <w:rsid w:val="00E87199"/>
    <w:rsid w:val="00E87E99"/>
    <w:rsid w:val="00E91170"/>
    <w:rsid w:val="00E915B4"/>
    <w:rsid w:val="00E91C27"/>
    <w:rsid w:val="00E964AC"/>
    <w:rsid w:val="00EA11D1"/>
    <w:rsid w:val="00EA5985"/>
    <w:rsid w:val="00EA5AC2"/>
    <w:rsid w:val="00EA6C7A"/>
    <w:rsid w:val="00EA76E7"/>
    <w:rsid w:val="00EB0305"/>
    <w:rsid w:val="00EB2729"/>
    <w:rsid w:val="00EB3642"/>
    <w:rsid w:val="00EB4B29"/>
    <w:rsid w:val="00EB4DE3"/>
    <w:rsid w:val="00EB6716"/>
    <w:rsid w:val="00EC157C"/>
    <w:rsid w:val="00ED0488"/>
    <w:rsid w:val="00ED189F"/>
    <w:rsid w:val="00ED3321"/>
    <w:rsid w:val="00ED418C"/>
    <w:rsid w:val="00EE17FA"/>
    <w:rsid w:val="00EE6AEF"/>
    <w:rsid w:val="00EF0421"/>
    <w:rsid w:val="00EF0FAD"/>
    <w:rsid w:val="00F109ED"/>
    <w:rsid w:val="00F21E54"/>
    <w:rsid w:val="00F23E45"/>
    <w:rsid w:val="00F25CD7"/>
    <w:rsid w:val="00F27271"/>
    <w:rsid w:val="00F32895"/>
    <w:rsid w:val="00F32F7D"/>
    <w:rsid w:val="00F37FEC"/>
    <w:rsid w:val="00F40724"/>
    <w:rsid w:val="00F46691"/>
    <w:rsid w:val="00F47B5E"/>
    <w:rsid w:val="00F56BE1"/>
    <w:rsid w:val="00F56EF0"/>
    <w:rsid w:val="00F57BB0"/>
    <w:rsid w:val="00F6326B"/>
    <w:rsid w:val="00F67CC3"/>
    <w:rsid w:val="00F7084C"/>
    <w:rsid w:val="00F72A50"/>
    <w:rsid w:val="00F73099"/>
    <w:rsid w:val="00F734D8"/>
    <w:rsid w:val="00F76CD8"/>
    <w:rsid w:val="00F831AB"/>
    <w:rsid w:val="00F842A8"/>
    <w:rsid w:val="00F85223"/>
    <w:rsid w:val="00F85BC1"/>
    <w:rsid w:val="00F92744"/>
    <w:rsid w:val="00F939E5"/>
    <w:rsid w:val="00F95F24"/>
    <w:rsid w:val="00F9714A"/>
    <w:rsid w:val="00FA0801"/>
    <w:rsid w:val="00FA1E35"/>
    <w:rsid w:val="00FB00EE"/>
    <w:rsid w:val="00FB32F8"/>
    <w:rsid w:val="00FB54F0"/>
    <w:rsid w:val="00FC0AB4"/>
    <w:rsid w:val="00FC1B4F"/>
    <w:rsid w:val="00FC47DB"/>
    <w:rsid w:val="00FC6867"/>
    <w:rsid w:val="00FD2309"/>
    <w:rsid w:val="00FD6B92"/>
    <w:rsid w:val="00FD73F6"/>
    <w:rsid w:val="00FD795D"/>
    <w:rsid w:val="00FE2FBB"/>
    <w:rsid w:val="00FE38A0"/>
    <w:rsid w:val="00FE554E"/>
    <w:rsid w:val="00FE57E5"/>
    <w:rsid w:val="00FE59ED"/>
    <w:rsid w:val="00FE702F"/>
    <w:rsid w:val="00FE7703"/>
    <w:rsid w:val="00FE795E"/>
    <w:rsid w:val="00FE7963"/>
    <w:rsid w:val="00FF452E"/>
    <w:rsid w:val="00FF6995"/>
    <w:rsid w:val="01800132"/>
    <w:rsid w:val="02205A33"/>
    <w:rsid w:val="02765207"/>
    <w:rsid w:val="027754FB"/>
    <w:rsid w:val="02D02048"/>
    <w:rsid w:val="033050C0"/>
    <w:rsid w:val="03565A5E"/>
    <w:rsid w:val="035B751F"/>
    <w:rsid w:val="037C1244"/>
    <w:rsid w:val="0471592F"/>
    <w:rsid w:val="051F3150"/>
    <w:rsid w:val="05756458"/>
    <w:rsid w:val="05AC5838"/>
    <w:rsid w:val="05BE1FE7"/>
    <w:rsid w:val="0654641A"/>
    <w:rsid w:val="06614560"/>
    <w:rsid w:val="067C3E4D"/>
    <w:rsid w:val="06A0650C"/>
    <w:rsid w:val="08722672"/>
    <w:rsid w:val="08B374B6"/>
    <w:rsid w:val="08C47915"/>
    <w:rsid w:val="0A2B777B"/>
    <w:rsid w:val="0AA51394"/>
    <w:rsid w:val="0ACB17C6"/>
    <w:rsid w:val="0B1B47DB"/>
    <w:rsid w:val="0B862971"/>
    <w:rsid w:val="0BA21070"/>
    <w:rsid w:val="0C4A529D"/>
    <w:rsid w:val="0E4D036A"/>
    <w:rsid w:val="0EB40FA2"/>
    <w:rsid w:val="0EE014AB"/>
    <w:rsid w:val="0F152C78"/>
    <w:rsid w:val="10036F74"/>
    <w:rsid w:val="10567D7D"/>
    <w:rsid w:val="10825116"/>
    <w:rsid w:val="11CE3087"/>
    <w:rsid w:val="11F1761D"/>
    <w:rsid w:val="12000E57"/>
    <w:rsid w:val="12380D04"/>
    <w:rsid w:val="12F33EFE"/>
    <w:rsid w:val="13AD5E47"/>
    <w:rsid w:val="154058E7"/>
    <w:rsid w:val="15722D8E"/>
    <w:rsid w:val="15DA10F2"/>
    <w:rsid w:val="16BE02A6"/>
    <w:rsid w:val="17382E93"/>
    <w:rsid w:val="176C3651"/>
    <w:rsid w:val="182D6765"/>
    <w:rsid w:val="18F62A39"/>
    <w:rsid w:val="19F575AD"/>
    <w:rsid w:val="1A125E48"/>
    <w:rsid w:val="1A2105F5"/>
    <w:rsid w:val="1AB05400"/>
    <w:rsid w:val="1AC5064D"/>
    <w:rsid w:val="1AE16104"/>
    <w:rsid w:val="1E461C18"/>
    <w:rsid w:val="1F203781"/>
    <w:rsid w:val="1FFA2494"/>
    <w:rsid w:val="204E7C60"/>
    <w:rsid w:val="20561532"/>
    <w:rsid w:val="215869F4"/>
    <w:rsid w:val="23271C21"/>
    <w:rsid w:val="23A4593F"/>
    <w:rsid w:val="23D613C8"/>
    <w:rsid w:val="241332CF"/>
    <w:rsid w:val="24957507"/>
    <w:rsid w:val="24B565D4"/>
    <w:rsid w:val="24D27253"/>
    <w:rsid w:val="25D73A22"/>
    <w:rsid w:val="26DE4A87"/>
    <w:rsid w:val="27674B44"/>
    <w:rsid w:val="27B521DE"/>
    <w:rsid w:val="27F7571D"/>
    <w:rsid w:val="2A0D0C41"/>
    <w:rsid w:val="2A2C120B"/>
    <w:rsid w:val="2A570191"/>
    <w:rsid w:val="2B9B220D"/>
    <w:rsid w:val="2C3B0ACC"/>
    <w:rsid w:val="2C7709B7"/>
    <w:rsid w:val="2D0E0DF8"/>
    <w:rsid w:val="2D932CD3"/>
    <w:rsid w:val="2DA850C6"/>
    <w:rsid w:val="2DF248C3"/>
    <w:rsid w:val="2E032E86"/>
    <w:rsid w:val="2E840E29"/>
    <w:rsid w:val="2F264FB3"/>
    <w:rsid w:val="302E5E9B"/>
    <w:rsid w:val="31520095"/>
    <w:rsid w:val="31554C62"/>
    <w:rsid w:val="318B5404"/>
    <w:rsid w:val="32566604"/>
    <w:rsid w:val="33196863"/>
    <w:rsid w:val="33526977"/>
    <w:rsid w:val="362D601C"/>
    <w:rsid w:val="362E61A6"/>
    <w:rsid w:val="36A71174"/>
    <w:rsid w:val="37362411"/>
    <w:rsid w:val="379F3E55"/>
    <w:rsid w:val="39172CD4"/>
    <w:rsid w:val="39AB70AC"/>
    <w:rsid w:val="3B6901D2"/>
    <w:rsid w:val="3BC81590"/>
    <w:rsid w:val="3BED5DAE"/>
    <w:rsid w:val="3C81441F"/>
    <w:rsid w:val="3C9456C7"/>
    <w:rsid w:val="3CD81C5C"/>
    <w:rsid w:val="3DE73E32"/>
    <w:rsid w:val="3DF42A74"/>
    <w:rsid w:val="3E2F6887"/>
    <w:rsid w:val="3E5E1C76"/>
    <w:rsid w:val="3EEA2F2A"/>
    <w:rsid w:val="3F655D38"/>
    <w:rsid w:val="40676C10"/>
    <w:rsid w:val="411F76A0"/>
    <w:rsid w:val="41740455"/>
    <w:rsid w:val="41772EE6"/>
    <w:rsid w:val="420B38E3"/>
    <w:rsid w:val="422957D9"/>
    <w:rsid w:val="43385520"/>
    <w:rsid w:val="454A7F6F"/>
    <w:rsid w:val="45E62745"/>
    <w:rsid w:val="47510223"/>
    <w:rsid w:val="47811F51"/>
    <w:rsid w:val="490343CA"/>
    <w:rsid w:val="4AFF3BDB"/>
    <w:rsid w:val="4BFE107A"/>
    <w:rsid w:val="4C4A4539"/>
    <w:rsid w:val="4C6E11A0"/>
    <w:rsid w:val="4C916C2A"/>
    <w:rsid w:val="4CF11154"/>
    <w:rsid w:val="4E0557BA"/>
    <w:rsid w:val="4E6D1482"/>
    <w:rsid w:val="4EA2737D"/>
    <w:rsid w:val="4F4453CF"/>
    <w:rsid w:val="4FD042DC"/>
    <w:rsid w:val="514771AE"/>
    <w:rsid w:val="51D50809"/>
    <w:rsid w:val="51DA20AB"/>
    <w:rsid w:val="52432C25"/>
    <w:rsid w:val="52A40D2D"/>
    <w:rsid w:val="537A6986"/>
    <w:rsid w:val="53CF12BA"/>
    <w:rsid w:val="563611BE"/>
    <w:rsid w:val="564E7DEA"/>
    <w:rsid w:val="56985C18"/>
    <w:rsid w:val="570514E4"/>
    <w:rsid w:val="574431BB"/>
    <w:rsid w:val="57964003"/>
    <w:rsid w:val="57EF2F07"/>
    <w:rsid w:val="57FE611D"/>
    <w:rsid w:val="5829466B"/>
    <w:rsid w:val="58F16CE8"/>
    <w:rsid w:val="5926318C"/>
    <w:rsid w:val="593C3F2A"/>
    <w:rsid w:val="59A04E9F"/>
    <w:rsid w:val="59D54DD3"/>
    <w:rsid w:val="59EC5950"/>
    <w:rsid w:val="5C0C4088"/>
    <w:rsid w:val="5C6D6CD9"/>
    <w:rsid w:val="5D242057"/>
    <w:rsid w:val="5D6F1721"/>
    <w:rsid w:val="5DC15084"/>
    <w:rsid w:val="5E4164B3"/>
    <w:rsid w:val="5E874524"/>
    <w:rsid w:val="5EF76547"/>
    <w:rsid w:val="5F8D4A72"/>
    <w:rsid w:val="5F9658BE"/>
    <w:rsid w:val="6052207C"/>
    <w:rsid w:val="60C4224E"/>
    <w:rsid w:val="60FC2464"/>
    <w:rsid w:val="624A049B"/>
    <w:rsid w:val="627A640E"/>
    <w:rsid w:val="62D86C30"/>
    <w:rsid w:val="639A641D"/>
    <w:rsid w:val="63EC21D1"/>
    <w:rsid w:val="63F90AB2"/>
    <w:rsid w:val="641C2867"/>
    <w:rsid w:val="64694E7A"/>
    <w:rsid w:val="65A80525"/>
    <w:rsid w:val="66860EDB"/>
    <w:rsid w:val="66E045A0"/>
    <w:rsid w:val="66EF00BF"/>
    <w:rsid w:val="670F2C7E"/>
    <w:rsid w:val="67200374"/>
    <w:rsid w:val="677F7E04"/>
    <w:rsid w:val="67902BC1"/>
    <w:rsid w:val="67F56318"/>
    <w:rsid w:val="67FF4E40"/>
    <w:rsid w:val="680C13AB"/>
    <w:rsid w:val="681E6650"/>
    <w:rsid w:val="691C3CDF"/>
    <w:rsid w:val="692D2AFD"/>
    <w:rsid w:val="6AD3206F"/>
    <w:rsid w:val="6ADC46E3"/>
    <w:rsid w:val="6B2667E8"/>
    <w:rsid w:val="6EA0255E"/>
    <w:rsid w:val="6EF918C2"/>
    <w:rsid w:val="6FAE0042"/>
    <w:rsid w:val="705360EC"/>
    <w:rsid w:val="708228FC"/>
    <w:rsid w:val="70D77780"/>
    <w:rsid w:val="71371A23"/>
    <w:rsid w:val="729B7ABC"/>
    <w:rsid w:val="73065E3A"/>
    <w:rsid w:val="733C304D"/>
    <w:rsid w:val="7463233F"/>
    <w:rsid w:val="749725AC"/>
    <w:rsid w:val="74B63DAF"/>
    <w:rsid w:val="752C1F90"/>
    <w:rsid w:val="75511E47"/>
    <w:rsid w:val="758E43FF"/>
    <w:rsid w:val="75937E8D"/>
    <w:rsid w:val="78CD30F8"/>
    <w:rsid w:val="79694470"/>
    <w:rsid w:val="79DA711C"/>
    <w:rsid w:val="79FF1065"/>
    <w:rsid w:val="7A2C6B8C"/>
    <w:rsid w:val="7BA44964"/>
    <w:rsid w:val="7BD858DD"/>
    <w:rsid w:val="7C332598"/>
    <w:rsid w:val="7C530F0A"/>
    <w:rsid w:val="7C5856D8"/>
    <w:rsid w:val="7D197F5B"/>
    <w:rsid w:val="7D6E27D0"/>
    <w:rsid w:val="7DCC327D"/>
    <w:rsid w:val="7E0E15ED"/>
    <w:rsid w:val="7E870EA9"/>
    <w:rsid w:val="7E9C3E41"/>
    <w:rsid w:val="7F36590B"/>
    <w:rsid w:val="7F8707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99"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99" w:semiHidden="0" w:name="Normal Indent"/>
    <w:lsdException w:qFormat="1" w:unhideWhenUsed="0" w:uiPriority="99"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99"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99"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99"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99" w:semiHidden="0" w:name="Emphasis"/>
    <w:lsdException w:qFormat="1" w:unhideWhenUsed="0" w:uiPriority="99"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Courier New" w:eastAsia="宋体" w:cs="Times New Roman"/>
      <w:kern w:val="2"/>
      <w:sz w:val="21"/>
      <w:lang w:val="en-US" w:eastAsia="zh-CN" w:bidi="ar-SA"/>
    </w:rPr>
  </w:style>
  <w:style w:type="paragraph" w:styleId="3">
    <w:name w:val="heading 1"/>
    <w:basedOn w:val="1"/>
    <w:next w:val="1"/>
    <w:link w:val="71"/>
    <w:qFormat/>
    <w:uiPriority w:val="99"/>
    <w:pPr>
      <w:keepNext/>
      <w:keepLines/>
      <w:spacing w:before="340" w:after="330" w:line="578" w:lineRule="auto"/>
      <w:outlineLvl w:val="0"/>
    </w:pPr>
    <w:rPr>
      <w:b/>
      <w:bCs/>
      <w:kern w:val="44"/>
      <w:sz w:val="44"/>
      <w:szCs w:val="44"/>
    </w:rPr>
  </w:style>
  <w:style w:type="paragraph" w:styleId="4">
    <w:name w:val="heading 2"/>
    <w:basedOn w:val="1"/>
    <w:next w:val="1"/>
    <w:link w:val="84"/>
    <w:qFormat/>
    <w:uiPriority w:val="99"/>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94"/>
    <w:qFormat/>
    <w:uiPriority w:val="99"/>
    <w:pPr>
      <w:keepNext/>
      <w:keepLines/>
      <w:spacing w:before="260" w:after="260" w:line="24" w:lineRule="auto"/>
      <w:outlineLvl w:val="2"/>
    </w:pPr>
    <w:rPr>
      <w:rFonts w:hAnsi="宋体"/>
      <w:b/>
      <w:bCs/>
      <w:kern w:val="0"/>
      <w:sz w:val="24"/>
      <w:szCs w:val="32"/>
    </w:rPr>
  </w:style>
  <w:style w:type="paragraph" w:styleId="6">
    <w:name w:val="heading 4"/>
    <w:basedOn w:val="1"/>
    <w:next w:val="1"/>
    <w:link w:val="81"/>
    <w:qFormat/>
    <w:uiPriority w:val="99"/>
    <w:pPr>
      <w:keepNext/>
      <w:keepLines/>
      <w:widowControl/>
      <w:spacing w:before="120" w:after="120" w:line="360" w:lineRule="auto"/>
      <w:ind w:left="2900" w:hanging="2900"/>
      <w:jc w:val="left"/>
      <w:outlineLvl w:val="3"/>
    </w:pPr>
    <w:rPr>
      <w:rFonts w:ascii="Arial" w:hAnsi="Arial" w:eastAsia="黑体"/>
      <w:color w:val="000000"/>
      <w:kern w:val="0"/>
      <w:sz w:val="28"/>
    </w:rPr>
  </w:style>
  <w:style w:type="paragraph" w:styleId="7">
    <w:name w:val="heading 5"/>
    <w:basedOn w:val="1"/>
    <w:next w:val="1"/>
    <w:link w:val="97"/>
    <w:qFormat/>
    <w:uiPriority w:val="99"/>
    <w:pPr>
      <w:keepNext/>
      <w:keepLines/>
      <w:widowControl/>
      <w:spacing w:before="120" w:after="120" w:line="360" w:lineRule="auto"/>
      <w:ind w:firstLine="499"/>
      <w:jc w:val="left"/>
      <w:outlineLvl w:val="4"/>
    </w:pPr>
    <w:rPr>
      <w:rFonts w:hAnsi="宋体"/>
      <w:b/>
      <w:kern w:val="0"/>
      <w:sz w:val="24"/>
    </w:rPr>
  </w:style>
  <w:style w:type="paragraph" w:styleId="8">
    <w:name w:val="heading 6"/>
    <w:basedOn w:val="1"/>
    <w:next w:val="1"/>
    <w:link w:val="75"/>
    <w:qFormat/>
    <w:uiPriority w:val="9"/>
    <w:pPr>
      <w:keepNext/>
      <w:keepLines/>
      <w:widowControl/>
      <w:tabs>
        <w:tab w:val="left" w:pos="1440"/>
      </w:tabs>
      <w:spacing w:before="240" w:after="64" w:line="319" w:lineRule="auto"/>
      <w:ind w:left="2940" w:hanging="420"/>
      <w:jc w:val="left"/>
      <w:outlineLvl w:val="5"/>
    </w:pPr>
    <w:rPr>
      <w:rFonts w:ascii="Arial" w:hAnsi="Arial" w:eastAsia="黑体"/>
      <w:b/>
      <w:kern w:val="0"/>
      <w:sz w:val="24"/>
    </w:rPr>
  </w:style>
  <w:style w:type="paragraph" w:styleId="9">
    <w:name w:val="heading 7"/>
    <w:basedOn w:val="1"/>
    <w:next w:val="1"/>
    <w:link w:val="83"/>
    <w:qFormat/>
    <w:uiPriority w:val="9"/>
    <w:pPr>
      <w:keepNext/>
      <w:keepLines/>
      <w:widowControl/>
      <w:tabs>
        <w:tab w:val="left" w:pos="2520"/>
      </w:tabs>
      <w:spacing w:before="240" w:after="64" w:line="319" w:lineRule="auto"/>
      <w:ind w:left="3360" w:hanging="420"/>
      <w:jc w:val="left"/>
      <w:outlineLvl w:val="6"/>
    </w:pPr>
    <w:rPr>
      <w:rFonts w:ascii="Times New Roman" w:hAnsi="Times New Roman"/>
      <w:b/>
      <w:kern w:val="0"/>
      <w:sz w:val="24"/>
    </w:rPr>
  </w:style>
  <w:style w:type="paragraph" w:styleId="10">
    <w:name w:val="heading 8"/>
    <w:basedOn w:val="1"/>
    <w:next w:val="1"/>
    <w:link w:val="101"/>
    <w:qFormat/>
    <w:uiPriority w:val="9"/>
    <w:pPr>
      <w:keepNext/>
      <w:keepLines/>
      <w:widowControl/>
      <w:tabs>
        <w:tab w:val="left" w:pos="1440"/>
      </w:tabs>
      <w:spacing w:before="240" w:after="64" w:line="319" w:lineRule="auto"/>
      <w:ind w:left="3780" w:hanging="420"/>
      <w:jc w:val="left"/>
      <w:outlineLvl w:val="7"/>
    </w:pPr>
    <w:rPr>
      <w:rFonts w:ascii="Arial" w:hAnsi="Arial" w:eastAsia="黑体"/>
      <w:kern w:val="0"/>
      <w:sz w:val="24"/>
    </w:rPr>
  </w:style>
  <w:style w:type="paragraph" w:styleId="11">
    <w:name w:val="heading 9"/>
    <w:basedOn w:val="1"/>
    <w:next w:val="1"/>
    <w:link w:val="73"/>
    <w:qFormat/>
    <w:uiPriority w:val="9"/>
    <w:pPr>
      <w:keepNext/>
      <w:keepLines/>
      <w:widowControl/>
      <w:tabs>
        <w:tab w:val="left" w:pos="1584"/>
      </w:tabs>
      <w:spacing w:before="240" w:after="64" w:line="319" w:lineRule="auto"/>
      <w:ind w:left="4200" w:hanging="420"/>
      <w:jc w:val="left"/>
      <w:outlineLvl w:val="8"/>
    </w:pPr>
    <w:rPr>
      <w:rFonts w:ascii="Arial" w:hAnsi="Arial" w:eastAsia="黑体"/>
      <w:kern w:val="0"/>
    </w:rPr>
  </w:style>
  <w:style w:type="character" w:default="1" w:styleId="59">
    <w:name w:val="Default Paragraph Font"/>
    <w:semiHidden/>
    <w:unhideWhenUsed/>
    <w:qFormat/>
    <w:uiPriority w:val="1"/>
  </w:style>
  <w:style w:type="table" w:default="1" w:styleId="57">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96"/>
    <w:qFormat/>
    <w:uiPriority w:val="99"/>
    <w:pPr>
      <w:spacing w:line="0" w:lineRule="atLeast"/>
    </w:pPr>
    <w:rPr>
      <w:rFonts w:ascii="Times New Roman" w:hAnsi="Times New Roman"/>
      <w:sz w:val="30"/>
    </w:rPr>
  </w:style>
  <w:style w:type="paragraph" w:styleId="12">
    <w:name w:val="toc 7"/>
    <w:basedOn w:val="1"/>
    <w:next w:val="1"/>
    <w:qFormat/>
    <w:uiPriority w:val="39"/>
    <w:pPr>
      <w:ind w:left="2520" w:leftChars="1200"/>
    </w:pPr>
  </w:style>
  <w:style w:type="paragraph" w:styleId="13">
    <w:name w:val="index 8"/>
    <w:basedOn w:val="1"/>
    <w:next w:val="1"/>
    <w:qFormat/>
    <w:uiPriority w:val="0"/>
    <w:pPr>
      <w:widowControl/>
      <w:ind w:left="1400" w:leftChars="1400"/>
      <w:jc w:val="left"/>
    </w:pPr>
    <w:rPr>
      <w:rFonts w:ascii="Times New Roman" w:hAnsi="Times New Roman"/>
      <w:kern w:val="0"/>
      <w:sz w:val="20"/>
    </w:rPr>
  </w:style>
  <w:style w:type="paragraph" w:styleId="14">
    <w:name w:val="Normal Indent"/>
    <w:basedOn w:val="1"/>
    <w:link w:val="203"/>
    <w:qFormat/>
    <w:uiPriority w:val="99"/>
    <w:pPr>
      <w:widowControl/>
      <w:spacing w:line="357" w:lineRule="atLeast"/>
      <w:ind w:firstLine="420"/>
      <w:textAlignment w:val="baseline"/>
    </w:pPr>
    <w:rPr>
      <w:rFonts w:ascii="Times New Roman" w:hAnsi="Times New Roman"/>
      <w:color w:val="000000"/>
      <w:kern w:val="0"/>
      <w:u w:color="000000"/>
    </w:rPr>
  </w:style>
  <w:style w:type="paragraph" w:styleId="15">
    <w:name w:val="caption"/>
    <w:basedOn w:val="1"/>
    <w:next w:val="1"/>
    <w:qFormat/>
    <w:uiPriority w:val="99"/>
    <w:rPr>
      <w:rFonts w:ascii="Cambria" w:hAnsi="Cambria" w:eastAsia="黑体"/>
      <w:sz w:val="20"/>
    </w:rPr>
  </w:style>
  <w:style w:type="paragraph" w:styleId="16">
    <w:name w:val="index 5"/>
    <w:basedOn w:val="1"/>
    <w:next w:val="1"/>
    <w:qFormat/>
    <w:uiPriority w:val="0"/>
    <w:pPr>
      <w:widowControl/>
      <w:ind w:left="800" w:leftChars="800"/>
      <w:jc w:val="left"/>
    </w:pPr>
    <w:rPr>
      <w:rFonts w:ascii="Times New Roman" w:hAnsi="Times New Roman"/>
      <w:kern w:val="0"/>
      <w:sz w:val="20"/>
    </w:rPr>
  </w:style>
  <w:style w:type="paragraph" w:styleId="17">
    <w:name w:val="Document Map"/>
    <w:basedOn w:val="1"/>
    <w:link w:val="78"/>
    <w:qFormat/>
    <w:uiPriority w:val="99"/>
    <w:pPr>
      <w:shd w:val="clear" w:color="auto" w:fill="000080"/>
    </w:pPr>
  </w:style>
  <w:style w:type="paragraph" w:styleId="18">
    <w:name w:val="annotation text"/>
    <w:basedOn w:val="1"/>
    <w:link w:val="79"/>
    <w:qFormat/>
    <w:uiPriority w:val="0"/>
    <w:pPr>
      <w:jc w:val="left"/>
    </w:pPr>
  </w:style>
  <w:style w:type="paragraph" w:styleId="19">
    <w:name w:val="index 6"/>
    <w:basedOn w:val="1"/>
    <w:next w:val="1"/>
    <w:qFormat/>
    <w:uiPriority w:val="0"/>
    <w:pPr>
      <w:widowControl/>
      <w:ind w:left="1000" w:leftChars="1000"/>
      <w:jc w:val="left"/>
    </w:pPr>
    <w:rPr>
      <w:rFonts w:ascii="Times New Roman" w:hAnsi="Times New Roman"/>
      <w:kern w:val="0"/>
      <w:sz w:val="20"/>
    </w:rPr>
  </w:style>
  <w:style w:type="paragraph" w:styleId="20">
    <w:name w:val="Body Text 3"/>
    <w:basedOn w:val="1"/>
    <w:link w:val="100"/>
    <w:qFormat/>
    <w:uiPriority w:val="0"/>
    <w:pPr>
      <w:adjustRightInd w:val="0"/>
      <w:spacing w:line="312" w:lineRule="atLeast"/>
    </w:pPr>
    <w:rPr>
      <w:rFonts w:ascii="黑体" w:hAnsi="Times New Roman" w:eastAsia="黑体"/>
      <w:sz w:val="28"/>
    </w:rPr>
  </w:style>
  <w:style w:type="paragraph" w:styleId="21">
    <w:name w:val="Body Text Indent"/>
    <w:basedOn w:val="1"/>
    <w:link w:val="93"/>
    <w:qFormat/>
    <w:uiPriority w:val="99"/>
    <w:pPr>
      <w:spacing w:line="520" w:lineRule="exact"/>
      <w:ind w:firstLine="525"/>
    </w:pPr>
    <w:rPr>
      <w:sz w:val="24"/>
    </w:rPr>
  </w:style>
  <w:style w:type="paragraph" w:styleId="22">
    <w:name w:val="List 2"/>
    <w:basedOn w:val="1"/>
    <w:qFormat/>
    <w:uiPriority w:val="0"/>
    <w:pPr>
      <w:ind w:left="840" w:hanging="420"/>
    </w:pPr>
    <w:rPr>
      <w:rFonts w:ascii="Times New Roman" w:hAnsi="Times New Roman"/>
    </w:rPr>
  </w:style>
  <w:style w:type="paragraph" w:styleId="23">
    <w:name w:val="Block Text"/>
    <w:basedOn w:val="1"/>
    <w:qFormat/>
    <w:uiPriority w:val="0"/>
    <w:pPr>
      <w:adjustRightInd w:val="0"/>
      <w:ind w:left="420" w:right="33"/>
      <w:jc w:val="left"/>
      <w:textAlignment w:val="baseline"/>
    </w:pPr>
    <w:rPr>
      <w:rFonts w:ascii="Times New Roman" w:hAnsi="Times New Roman"/>
      <w:kern w:val="0"/>
      <w:sz w:val="24"/>
    </w:rPr>
  </w:style>
  <w:style w:type="paragraph" w:styleId="24">
    <w:name w:val="index 4"/>
    <w:basedOn w:val="1"/>
    <w:next w:val="1"/>
    <w:qFormat/>
    <w:uiPriority w:val="99"/>
    <w:pPr>
      <w:widowControl/>
      <w:ind w:left="600" w:leftChars="600"/>
      <w:jc w:val="left"/>
    </w:pPr>
    <w:rPr>
      <w:rFonts w:ascii="Times New Roman" w:hAnsi="Times New Roman"/>
      <w:kern w:val="0"/>
      <w:sz w:val="20"/>
    </w:rPr>
  </w:style>
  <w:style w:type="paragraph" w:styleId="25">
    <w:name w:val="toc 5"/>
    <w:basedOn w:val="1"/>
    <w:next w:val="1"/>
    <w:qFormat/>
    <w:uiPriority w:val="39"/>
    <w:pPr>
      <w:ind w:left="1680" w:leftChars="800"/>
    </w:pPr>
  </w:style>
  <w:style w:type="paragraph" w:styleId="26">
    <w:name w:val="toc 3"/>
    <w:basedOn w:val="1"/>
    <w:next w:val="1"/>
    <w:qFormat/>
    <w:uiPriority w:val="39"/>
    <w:pPr>
      <w:ind w:left="840" w:leftChars="400"/>
    </w:pPr>
  </w:style>
  <w:style w:type="paragraph" w:styleId="27">
    <w:name w:val="Plain Text"/>
    <w:basedOn w:val="1"/>
    <w:link w:val="87"/>
    <w:qFormat/>
    <w:uiPriority w:val="0"/>
  </w:style>
  <w:style w:type="paragraph" w:styleId="28">
    <w:name w:val="toc 8"/>
    <w:basedOn w:val="1"/>
    <w:next w:val="1"/>
    <w:qFormat/>
    <w:uiPriority w:val="39"/>
    <w:pPr>
      <w:ind w:left="2940" w:leftChars="1400"/>
    </w:pPr>
  </w:style>
  <w:style w:type="paragraph" w:styleId="29">
    <w:name w:val="index 3"/>
    <w:basedOn w:val="1"/>
    <w:next w:val="1"/>
    <w:qFormat/>
    <w:uiPriority w:val="0"/>
    <w:pPr>
      <w:widowControl/>
      <w:ind w:left="400" w:leftChars="400"/>
      <w:jc w:val="left"/>
    </w:pPr>
    <w:rPr>
      <w:rFonts w:ascii="Times New Roman" w:hAnsi="Times New Roman"/>
      <w:kern w:val="0"/>
      <w:sz w:val="20"/>
    </w:rPr>
  </w:style>
  <w:style w:type="paragraph" w:styleId="30">
    <w:name w:val="Date"/>
    <w:basedOn w:val="1"/>
    <w:next w:val="1"/>
    <w:link w:val="95"/>
    <w:qFormat/>
    <w:uiPriority w:val="99"/>
    <w:pPr>
      <w:ind w:left="100" w:leftChars="2500"/>
    </w:pPr>
    <w:rPr>
      <w:bCs/>
    </w:rPr>
  </w:style>
  <w:style w:type="paragraph" w:styleId="31">
    <w:name w:val="Body Text Indent 2"/>
    <w:basedOn w:val="1"/>
    <w:link w:val="82"/>
    <w:qFormat/>
    <w:uiPriority w:val="99"/>
    <w:pPr>
      <w:widowControl/>
      <w:overflowPunct w:val="0"/>
      <w:autoSpaceDE w:val="0"/>
      <w:autoSpaceDN w:val="0"/>
      <w:adjustRightInd w:val="0"/>
      <w:spacing w:line="360" w:lineRule="auto"/>
      <w:ind w:firstLine="555"/>
      <w:textAlignment w:val="baseline"/>
    </w:pPr>
    <w:rPr>
      <w:rFonts w:hAnsi="MS Sans Serif"/>
      <w:spacing w:val="12"/>
      <w:kern w:val="0"/>
      <w:sz w:val="24"/>
    </w:rPr>
  </w:style>
  <w:style w:type="paragraph" w:styleId="32">
    <w:name w:val="endnote text"/>
    <w:basedOn w:val="1"/>
    <w:link w:val="91"/>
    <w:qFormat/>
    <w:uiPriority w:val="0"/>
    <w:pPr>
      <w:widowControl/>
      <w:snapToGrid w:val="0"/>
      <w:jc w:val="left"/>
    </w:pPr>
    <w:rPr>
      <w:rFonts w:ascii="Times New Roman" w:hAnsi="Times New Roman"/>
      <w:kern w:val="0"/>
      <w:sz w:val="20"/>
    </w:rPr>
  </w:style>
  <w:style w:type="paragraph" w:styleId="33">
    <w:name w:val="Balloon Text"/>
    <w:basedOn w:val="1"/>
    <w:link w:val="77"/>
    <w:qFormat/>
    <w:uiPriority w:val="99"/>
    <w:rPr>
      <w:sz w:val="18"/>
      <w:szCs w:val="18"/>
    </w:rPr>
  </w:style>
  <w:style w:type="paragraph" w:styleId="34">
    <w:name w:val="footer"/>
    <w:basedOn w:val="1"/>
    <w:link w:val="86"/>
    <w:qFormat/>
    <w:uiPriority w:val="99"/>
    <w:pPr>
      <w:tabs>
        <w:tab w:val="center" w:pos="4153"/>
        <w:tab w:val="right" w:pos="8306"/>
      </w:tabs>
      <w:snapToGrid w:val="0"/>
      <w:jc w:val="left"/>
    </w:pPr>
    <w:rPr>
      <w:sz w:val="18"/>
    </w:rPr>
  </w:style>
  <w:style w:type="paragraph" w:styleId="35">
    <w:name w:val="header"/>
    <w:basedOn w:val="1"/>
    <w:link w:val="92"/>
    <w:qFormat/>
    <w:uiPriority w:val="99"/>
    <w:pPr>
      <w:pBdr>
        <w:bottom w:val="single" w:color="auto" w:sz="6" w:space="1"/>
      </w:pBdr>
      <w:tabs>
        <w:tab w:val="center" w:pos="4153"/>
        <w:tab w:val="right" w:pos="8306"/>
      </w:tabs>
      <w:snapToGrid w:val="0"/>
      <w:jc w:val="center"/>
    </w:pPr>
    <w:rPr>
      <w:sz w:val="18"/>
    </w:rPr>
  </w:style>
  <w:style w:type="paragraph" w:styleId="36">
    <w:name w:val="toc 1"/>
    <w:basedOn w:val="1"/>
    <w:next w:val="1"/>
    <w:qFormat/>
    <w:uiPriority w:val="39"/>
    <w:pPr>
      <w:tabs>
        <w:tab w:val="right" w:leader="dot" w:pos="9030"/>
      </w:tabs>
    </w:pPr>
    <w:rPr>
      <w:color w:val="000000"/>
      <w:sz w:val="28"/>
    </w:rPr>
  </w:style>
  <w:style w:type="paragraph" w:styleId="37">
    <w:name w:val="toc 4"/>
    <w:basedOn w:val="1"/>
    <w:next w:val="1"/>
    <w:qFormat/>
    <w:uiPriority w:val="39"/>
    <w:pPr>
      <w:ind w:left="1260" w:leftChars="600"/>
    </w:pPr>
  </w:style>
  <w:style w:type="paragraph" w:styleId="38">
    <w:name w:val="index heading"/>
    <w:basedOn w:val="1"/>
    <w:next w:val="39"/>
    <w:qFormat/>
    <w:uiPriority w:val="0"/>
    <w:pPr>
      <w:widowControl/>
      <w:jc w:val="left"/>
    </w:pPr>
    <w:rPr>
      <w:rFonts w:ascii="Times New Roman" w:hAnsi="Times New Roman"/>
      <w:kern w:val="0"/>
      <w:sz w:val="20"/>
    </w:rPr>
  </w:style>
  <w:style w:type="paragraph" w:styleId="39">
    <w:name w:val="index 1"/>
    <w:basedOn w:val="1"/>
    <w:next w:val="1"/>
    <w:qFormat/>
    <w:uiPriority w:val="0"/>
  </w:style>
  <w:style w:type="paragraph" w:styleId="40">
    <w:name w:val="Subtitle"/>
    <w:basedOn w:val="1"/>
    <w:next w:val="1"/>
    <w:link w:val="195"/>
    <w:qFormat/>
    <w:uiPriority w:val="11"/>
    <w:pPr>
      <w:spacing w:before="240" w:after="60" w:line="312" w:lineRule="auto"/>
      <w:jc w:val="center"/>
      <w:outlineLvl w:val="1"/>
    </w:pPr>
    <w:rPr>
      <w:rFonts w:ascii="Cambria" w:hAnsi="Cambria"/>
      <w:b/>
      <w:bCs/>
      <w:kern w:val="28"/>
      <w:sz w:val="32"/>
      <w:szCs w:val="32"/>
    </w:rPr>
  </w:style>
  <w:style w:type="paragraph" w:styleId="41">
    <w:name w:val="footnote text"/>
    <w:basedOn w:val="1"/>
    <w:link w:val="80"/>
    <w:qFormat/>
    <w:uiPriority w:val="99"/>
    <w:pPr>
      <w:adjustRightInd w:val="0"/>
      <w:spacing w:line="312" w:lineRule="atLeast"/>
      <w:jc w:val="left"/>
      <w:textAlignment w:val="baseline"/>
    </w:pPr>
    <w:rPr>
      <w:rFonts w:ascii="Times New Roman" w:hAnsi="Times New Roman"/>
      <w:kern w:val="0"/>
      <w:sz w:val="18"/>
    </w:rPr>
  </w:style>
  <w:style w:type="paragraph" w:styleId="42">
    <w:name w:val="toc 6"/>
    <w:basedOn w:val="1"/>
    <w:next w:val="1"/>
    <w:qFormat/>
    <w:uiPriority w:val="39"/>
    <w:pPr>
      <w:ind w:left="2100" w:leftChars="1000"/>
    </w:pPr>
  </w:style>
  <w:style w:type="paragraph" w:styleId="43">
    <w:name w:val="List 5"/>
    <w:basedOn w:val="1"/>
    <w:qFormat/>
    <w:uiPriority w:val="0"/>
    <w:pPr>
      <w:ind w:left="2100" w:hanging="420"/>
    </w:pPr>
    <w:rPr>
      <w:rFonts w:ascii="Times New Roman" w:hAnsi="Times New Roman"/>
    </w:rPr>
  </w:style>
  <w:style w:type="paragraph" w:styleId="44">
    <w:name w:val="Body Text Indent 3"/>
    <w:basedOn w:val="1"/>
    <w:link w:val="76"/>
    <w:qFormat/>
    <w:uiPriority w:val="0"/>
    <w:pPr>
      <w:widowControl/>
      <w:overflowPunct w:val="0"/>
      <w:autoSpaceDE w:val="0"/>
      <w:autoSpaceDN w:val="0"/>
      <w:adjustRightInd w:val="0"/>
      <w:spacing w:line="360" w:lineRule="auto"/>
      <w:ind w:firstLine="540"/>
      <w:textAlignment w:val="baseline"/>
    </w:pPr>
    <w:rPr>
      <w:rFonts w:hAnsi="MS Sans Serif"/>
      <w:color w:val="000000"/>
      <w:kern w:val="0"/>
      <w:sz w:val="24"/>
    </w:rPr>
  </w:style>
  <w:style w:type="paragraph" w:styleId="45">
    <w:name w:val="index 7"/>
    <w:basedOn w:val="1"/>
    <w:next w:val="1"/>
    <w:qFormat/>
    <w:uiPriority w:val="0"/>
    <w:pPr>
      <w:widowControl/>
      <w:ind w:left="1200" w:leftChars="1200"/>
      <w:jc w:val="left"/>
    </w:pPr>
    <w:rPr>
      <w:rFonts w:ascii="Times New Roman" w:hAnsi="Times New Roman"/>
      <w:kern w:val="0"/>
      <w:sz w:val="20"/>
    </w:rPr>
  </w:style>
  <w:style w:type="paragraph" w:styleId="46">
    <w:name w:val="index 9"/>
    <w:basedOn w:val="1"/>
    <w:next w:val="1"/>
    <w:qFormat/>
    <w:uiPriority w:val="0"/>
    <w:pPr>
      <w:widowControl/>
      <w:ind w:left="1600" w:leftChars="1600"/>
      <w:jc w:val="left"/>
    </w:pPr>
    <w:rPr>
      <w:rFonts w:ascii="Times New Roman" w:hAnsi="Times New Roman"/>
      <w:kern w:val="0"/>
      <w:sz w:val="20"/>
    </w:rPr>
  </w:style>
  <w:style w:type="paragraph" w:styleId="47">
    <w:name w:val="toc 2"/>
    <w:basedOn w:val="1"/>
    <w:next w:val="1"/>
    <w:qFormat/>
    <w:uiPriority w:val="39"/>
    <w:pPr>
      <w:tabs>
        <w:tab w:val="right" w:leader="dot" w:pos="8810"/>
      </w:tabs>
      <w:ind w:left="420" w:leftChars="200"/>
    </w:pPr>
    <w:rPr>
      <w:rFonts w:hAnsi="宋体"/>
      <w:color w:val="000000"/>
    </w:rPr>
  </w:style>
  <w:style w:type="paragraph" w:styleId="48">
    <w:name w:val="toc 9"/>
    <w:basedOn w:val="1"/>
    <w:next w:val="1"/>
    <w:qFormat/>
    <w:uiPriority w:val="39"/>
    <w:pPr>
      <w:ind w:left="3360" w:leftChars="1600"/>
    </w:pPr>
  </w:style>
  <w:style w:type="paragraph" w:styleId="49">
    <w:name w:val="Body Text 2"/>
    <w:basedOn w:val="1"/>
    <w:link w:val="85"/>
    <w:qFormat/>
    <w:uiPriority w:val="0"/>
    <w:pPr>
      <w:adjustRightInd w:val="0"/>
      <w:spacing w:after="120" w:line="480" w:lineRule="auto"/>
      <w:textAlignment w:val="baseline"/>
    </w:pPr>
    <w:rPr>
      <w:rFonts w:ascii="Times New Roman" w:hAnsi="Times New Roman"/>
      <w:kern w:val="0"/>
    </w:rPr>
  </w:style>
  <w:style w:type="paragraph" w:styleId="50">
    <w:name w:val="HTML Preformatted"/>
    <w:basedOn w:val="1"/>
    <w:link w:val="208"/>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cs="Courier New"/>
      <w:kern w:val="0"/>
      <w:sz w:val="20"/>
    </w:rPr>
  </w:style>
  <w:style w:type="paragraph" w:styleId="51">
    <w:name w:val="Normal (Web)"/>
    <w:basedOn w:val="1"/>
    <w:qFormat/>
    <w:uiPriority w:val="0"/>
    <w:pPr>
      <w:widowControl/>
      <w:spacing w:before="100" w:beforeAutospacing="1" w:after="100" w:afterAutospacing="1"/>
      <w:jc w:val="left"/>
    </w:pPr>
    <w:rPr>
      <w:rFonts w:hAnsi="宋体"/>
      <w:kern w:val="0"/>
      <w:sz w:val="24"/>
    </w:rPr>
  </w:style>
  <w:style w:type="paragraph" w:styleId="52">
    <w:name w:val="index 2"/>
    <w:basedOn w:val="1"/>
    <w:next w:val="1"/>
    <w:qFormat/>
    <w:uiPriority w:val="0"/>
    <w:pPr>
      <w:widowControl/>
      <w:ind w:left="200" w:leftChars="200"/>
      <w:jc w:val="left"/>
    </w:pPr>
    <w:rPr>
      <w:rFonts w:ascii="Times New Roman" w:hAnsi="Times New Roman"/>
      <w:kern w:val="0"/>
      <w:sz w:val="20"/>
    </w:rPr>
  </w:style>
  <w:style w:type="paragraph" w:styleId="53">
    <w:name w:val="Title"/>
    <w:basedOn w:val="1"/>
    <w:next w:val="1"/>
    <w:link w:val="168"/>
    <w:qFormat/>
    <w:uiPriority w:val="99"/>
    <w:pPr>
      <w:spacing w:before="240" w:after="60"/>
      <w:jc w:val="center"/>
      <w:outlineLvl w:val="0"/>
    </w:pPr>
    <w:rPr>
      <w:rFonts w:ascii="Cambria" w:hAnsi="Cambria"/>
      <w:b/>
      <w:bCs/>
      <w:sz w:val="32"/>
      <w:szCs w:val="32"/>
    </w:rPr>
  </w:style>
  <w:style w:type="paragraph" w:styleId="54">
    <w:name w:val="annotation subject"/>
    <w:basedOn w:val="18"/>
    <w:next w:val="18"/>
    <w:link w:val="98"/>
    <w:qFormat/>
    <w:uiPriority w:val="99"/>
    <w:rPr>
      <w:b/>
      <w:bCs/>
    </w:rPr>
  </w:style>
  <w:style w:type="paragraph" w:styleId="55">
    <w:name w:val="Body Text First Indent"/>
    <w:basedOn w:val="2"/>
    <w:link w:val="205"/>
    <w:qFormat/>
    <w:uiPriority w:val="0"/>
    <w:pPr>
      <w:spacing w:after="120" w:line="240" w:lineRule="auto"/>
      <w:ind w:firstLine="420" w:firstLineChars="100"/>
    </w:pPr>
    <w:rPr>
      <w:rFonts w:ascii="Calibri" w:hAnsi="Calibri"/>
      <w:sz w:val="21"/>
      <w:szCs w:val="24"/>
    </w:rPr>
  </w:style>
  <w:style w:type="paragraph" w:styleId="56">
    <w:name w:val="Body Text First Indent 2"/>
    <w:basedOn w:val="21"/>
    <w:qFormat/>
    <w:uiPriority w:val="0"/>
    <w:pPr>
      <w:spacing w:after="120"/>
      <w:ind w:left="420" w:firstLine="210"/>
    </w:pPr>
    <w:rPr>
      <w:rFonts w:ascii="Calibri" w:hAnsi="Calibri"/>
      <w:sz w:val="21"/>
    </w:rPr>
  </w:style>
  <w:style w:type="table" w:styleId="58">
    <w:name w:val="Table Grid"/>
    <w:basedOn w:val="57"/>
    <w:qFormat/>
    <w:uiPriority w:val="0"/>
    <w:pPr>
      <w:widowControl w:val="0"/>
      <w:adjustRightInd w:val="0"/>
      <w:spacing w:line="312" w:lineRule="atLeast"/>
      <w:jc w:val="both"/>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0">
    <w:name w:val="Strong"/>
    <w:qFormat/>
    <w:uiPriority w:val="22"/>
    <w:rPr>
      <w:b/>
      <w:bCs/>
    </w:rPr>
  </w:style>
  <w:style w:type="character" w:styleId="61">
    <w:name w:val="endnote reference"/>
    <w:qFormat/>
    <w:uiPriority w:val="0"/>
    <w:rPr>
      <w:vertAlign w:val="superscript"/>
    </w:rPr>
  </w:style>
  <w:style w:type="character" w:styleId="62">
    <w:name w:val="page number"/>
    <w:basedOn w:val="59"/>
    <w:qFormat/>
    <w:uiPriority w:val="99"/>
  </w:style>
  <w:style w:type="character" w:styleId="63">
    <w:name w:val="FollowedHyperlink"/>
    <w:qFormat/>
    <w:uiPriority w:val="99"/>
    <w:rPr>
      <w:color w:val="800080"/>
      <w:u w:val="single"/>
    </w:rPr>
  </w:style>
  <w:style w:type="character" w:styleId="64">
    <w:name w:val="Emphasis"/>
    <w:qFormat/>
    <w:uiPriority w:val="99"/>
    <w:rPr>
      <w:i/>
      <w:iCs/>
    </w:rPr>
  </w:style>
  <w:style w:type="character" w:styleId="65">
    <w:name w:val="Hyperlink"/>
    <w:qFormat/>
    <w:uiPriority w:val="99"/>
    <w:rPr>
      <w:color w:val="0000FF"/>
      <w:u w:val="single"/>
    </w:rPr>
  </w:style>
  <w:style w:type="character" w:styleId="66">
    <w:name w:val="annotation reference"/>
    <w:qFormat/>
    <w:uiPriority w:val="0"/>
    <w:rPr>
      <w:sz w:val="21"/>
      <w:szCs w:val="21"/>
    </w:rPr>
  </w:style>
  <w:style w:type="character" w:styleId="67">
    <w:name w:val="footnote reference"/>
    <w:qFormat/>
    <w:uiPriority w:val="0"/>
    <w:rPr>
      <w:vertAlign w:val="superscript"/>
    </w:rPr>
  </w:style>
  <w:style w:type="paragraph" w:customStyle="1" w:styleId="68">
    <w:name w:val="首行缩进"/>
    <w:qFormat/>
    <w:uiPriority w:val="0"/>
    <w:pPr>
      <w:widowControl w:val="0"/>
      <w:spacing w:line="360" w:lineRule="auto"/>
      <w:ind w:firstLine="480" w:firstLineChars="200"/>
    </w:pPr>
    <w:rPr>
      <w:rFonts w:ascii="宋体" w:hAnsi="宋体" w:eastAsia="宋体" w:cs="Times New Roman"/>
      <w:kern w:val="2"/>
      <w:sz w:val="24"/>
      <w:lang w:val="en-US" w:eastAsia="zh-CN" w:bidi="ar-SA"/>
    </w:rPr>
  </w:style>
  <w:style w:type="paragraph" w:customStyle="1" w:styleId="69">
    <w:name w:val="Default"/>
    <w:qFormat/>
    <w:uiPriority w:val="99"/>
    <w:pPr>
      <w:widowControl w:val="0"/>
      <w:autoSpaceDE w:val="0"/>
      <w:autoSpaceDN w:val="0"/>
      <w:adjustRightInd w:val="0"/>
    </w:pPr>
    <w:rPr>
      <w:rFonts w:ascii="Times New Roman" w:hAnsi="Times New Roman" w:eastAsia="宋体" w:cs="Calibri"/>
      <w:color w:val="000000"/>
      <w:sz w:val="24"/>
      <w:szCs w:val="24"/>
      <w:lang w:val="en-US" w:eastAsia="zh-CN" w:bidi="ar-SA"/>
    </w:rPr>
  </w:style>
  <w:style w:type="paragraph" w:customStyle="1" w:styleId="70">
    <w:name w:val="正文 首行缩进:  2 字符"/>
    <w:qFormat/>
    <w:uiPriority w:val="99"/>
    <w:pPr>
      <w:widowControl w:val="0"/>
      <w:ind w:firstLine="579"/>
      <w:jc w:val="both"/>
    </w:pPr>
    <w:rPr>
      <w:rFonts w:ascii="Calibri" w:hAnsi="Calibri" w:eastAsia="宋体" w:cs="宋体"/>
      <w:kern w:val="2"/>
      <w:sz w:val="21"/>
      <w:lang w:val="en-US" w:eastAsia="zh-CN" w:bidi="ar-SA"/>
    </w:rPr>
  </w:style>
  <w:style w:type="character" w:customStyle="1" w:styleId="71">
    <w:name w:val="标题 1 字符"/>
    <w:link w:val="3"/>
    <w:qFormat/>
    <w:uiPriority w:val="99"/>
    <w:rPr>
      <w:rFonts w:ascii="宋体" w:hAnsi="Courier New" w:eastAsia="宋体"/>
      <w:b/>
      <w:bCs/>
      <w:kern w:val="44"/>
      <w:sz w:val="44"/>
      <w:szCs w:val="44"/>
      <w:lang w:val="en-US" w:eastAsia="zh-CN" w:bidi="ar-SA"/>
    </w:rPr>
  </w:style>
  <w:style w:type="character" w:customStyle="1" w:styleId="72">
    <w:name w:val="批注文字 Char1"/>
    <w:qFormat/>
    <w:uiPriority w:val="99"/>
    <w:rPr>
      <w:rFonts w:ascii="宋体" w:hAnsi="Courier New"/>
      <w:kern w:val="2"/>
      <w:sz w:val="21"/>
    </w:rPr>
  </w:style>
  <w:style w:type="character" w:customStyle="1" w:styleId="73">
    <w:name w:val="标题 9 字符"/>
    <w:link w:val="11"/>
    <w:qFormat/>
    <w:uiPriority w:val="9"/>
    <w:rPr>
      <w:rFonts w:ascii="Arial" w:hAnsi="Arial" w:eastAsia="黑体"/>
      <w:sz w:val="21"/>
    </w:rPr>
  </w:style>
  <w:style w:type="character" w:customStyle="1" w:styleId="74">
    <w:name w:val="Char Char2"/>
    <w:qFormat/>
    <w:uiPriority w:val="0"/>
    <w:rPr>
      <w:rFonts w:ascii="宋体" w:hAnsi="Courier New" w:eastAsia="宋体"/>
      <w:kern w:val="2"/>
      <w:sz w:val="21"/>
      <w:lang w:val="en-US" w:eastAsia="zh-CN" w:bidi="ar-SA"/>
    </w:rPr>
  </w:style>
  <w:style w:type="character" w:customStyle="1" w:styleId="75">
    <w:name w:val="标题 6 字符"/>
    <w:link w:val="8"/>
    <w:qFormat/>
    <w:uiPriority w:val="9"/>
    <w:rPr>
      <w:rFonts w:ascii="Arial" w:hAnsi="Arial" w:eastAsia="黑体"/>
      <w:b/>
      <w:sz w:val="24"/>
    </w:rPr>
  </w:style>
  <w:style w:type="character" w:customStyle="1" w:styleId="76">
    <w:name w:val="正文文本缩进 3 字符"/>
    <w:link w:val="44"/>
    <w:qFormat/>
    <w:uiPriority w:val="0"/>
    <w:rPr>
      <w:rFonts w:ascii="宋体" w:hAnsi="MS Sans Serif"/>
      <w:color w:val="000000"/>
      <w:sz w:val="24"/>
    </w:rPr>
  </w:style>
  <w:style w:type="character" w:customStyle="1" w:styleId="77">
    <w:name w:val="批注框文本 字符"/>
    <w:link w:val="33"/>
    <w:qFormat/>
    <w:uiPriority w:val="99"/>
    <w:rPr>
      <w:rFonts w:ascii="宋体" w:hAnsi="Courier New"/>
      <w:kern w:val="2"/>
      <w:sz w:val="18"/>
      <w:szCs w:val="18"/>
    </w:rPr>
  </w:style>
  <w:style w:type="character" w:customStyle="1" w:styleId="78">
    <w:name w:val="文档结构图 字符"/>
    <w:link w:val="17"/>
    <w:qFormat/>
    <w:uiPriority w:val="99"/>
    <w:rPr>
      <w:rFonts w:ascii="宋体" w:hAnsi="Courier New"/>
      <w:kern w:val="2"/>
      <w:sz w:val="21"/>
      <w:shd w:val="clear" w:color="auto" w:fill="000080"/>
    </w:rPr>
  </w:style>
  <w:style w:type="character" w:customStyle="1" w:styleId="79">
    <w:name w:val="批注文字 字符"/>
    <w:link w:val="18"/>
    <w:qFormat/>
    <w:uiPriority w:val="99"/>
    <w:rPr>
      <w:rFonts w:ascii="宋体" w:hAnsi="Courier New"/>
      <w:kern w:val="2"/>
      <w:sz w:val="21"/>
    </w:rPr>
  </w:style>
  <w:style w:type="character" w:customStyle="1" w:styleId="80">
    <w:name w:val="脚注文本 字符"/>
    <w:link w:val="41"/>
    <w:qFormat/>
    <w:uiPriority w:val="99"/>
    <w:rPr>
      <w:sz w:val="18"/>
    </w:rPr>
  </w:style>
  <w:style w:type="character" w:customStyle="1" w:styleId="81">
    <w:name w:val="标题 4 字符"/>
    <w:link w:val="6"/>
    <w:qFormat/>
    <w:uiPriority w:val="99"/>
    <w:rPr>
      <w:rFonts w:ascii="Arial" w:hAnsi="Arial" w:eastAsia="黑体"/>
      <w:color w:val="000000"/>
      <w:sz w:val="28"/>
    </w:rPr>
  </w:style>
  <w:style w:type="character" w:customStyle="1" w:styleId="82">
    <w:name w:val="正文文本缩进 2 字符"/>
    <w:link w:val="31"/>
    <w:qFormat/>
    <w:uiPriority w:val="99"/>
    <w:rPr>
      <w:rFonts w:ascii="宋体" w:hAnsi="MS Sans Serif"/>
      <w:spacing w:val="12"/>
      <w:sz w:val="24"/>
    </w:rPr>
  </w:style>
  <w:style w:type="character" w:customStyle="1" w:styleId="83">
    <w:name w:val="标题 7 字符"/>
    <w:link w:val="9"/>
    <w:qFormat/>
    <w:uiPriority w:val="9"/>
    <w:rPr>
      <w:b/>
      <w:sz w:val="24"/>
    </w:rPr>
  </w:style>
  <w:style w:type="character" w:customStyle="1" w:styleId="84">
    <w:name w:val="标题 2 字符"/>
    <w:link w:val="4"/>
    <w:qFormat/>
    <w:uiPriority w:val="99"/>
    <w:rPr>
      <w:rFonts w:ascii="Arial" w:hAnsi="Arial" w:eastAsia="黑体"/>
      <w:b/>
      <w:bCs/>
      <w:kern w:val="2"/>
      <w:sz w:val="32"/>
      <w:szCs w:val="32"/>
    </w:rPr>
  </w:style>
  <w:style w:type="character" w:customStyle="1" w:styleId="85">
    <w:name w:val="正文文本 2 字符"/>
    <w:link w:val="49"/>
    <w:qFormat/>
    <w:uiPriority w:val="0"/>
    <w:rPr>
      <w:sz w:val="21"/>
    </w:rPr>
  </w:style>
  <w:style w:type="character" w:customStyle="1" w:styleId="86">
    <w:name w:val="页脚 字符"/>
    <w:link w:val="34"/>
    <w:qFormat/>
    <w:uiPriority w:val="99"/>
    <w:rPr>
      <w:rFonts w:ascii="宋体" w:hAnsi="Courier New"/>
      <w:kern w:val="2"/>
      <w:sz w:val="18"/>
    </w:rPr>
  </w:style>
  <w:style w:type="character" w:customStyle="1" w:styleId="87">
    <w:name w:val="纯文本 字符1"/>
    <w:link w:val="27"/>
    <w:qFormat/>
    <w:uiPriority w:val="0"/>
    <w:rPr>
      <w:rFonts w:ascii="宋体" w:hAnsi="Courier New" w:eastAsia="宋体"/>
      <w:kern w:val="2"/>
      <w:sz w:val="21"/>
      <w:lang w:val="en-US" w:eastAsia="zh-CN" w:bidi="ar-SA"/>
    </w:rPr>
  </w:style>
  <w:style w:type="character" w:customStyle="1" w:styleId="88">
    <w:name w:val="Char Char Char"/>
    <w:qFormat/>
    <w:uiPriority w:val="0"/>
    <w:rPr>
      <w:rFonts w:ascii="宋体" w:hAnsi="Courier New" w:eastAsia="宋体"/>
      <w:kern w:val="2"/>
      <w:sz w:val="21"/>
      <w:lang w:val="en-US" w:eastAsia="zh-CN" w:bidi="ar-SA"/>
    </w:rPr>
  </w:style>
  <w:style w:type="character" w:customStyle="1" w:styleId="89">
    <w:name w:val="Char Char"/>
    <w:qFormat/>
    <w:uiPriority w:val="0"/>
    <w:rPr>
      <w:kern w:val="2"/>
      <w:sz w:val="18"/>
    </w:rPr>
  </w:style>
  <w:style w:type="character" w:customStyle="1" w:styleId="90">
    <w:name w:val="纯文本 Char1"/>
    <w:qFormat/>
    <w:uiPriority w:val="99"/>
    <w:rPr>
      <w:rFonts w:ascii="宋体" w:hAnsi="Courier New" w:eastAsia="宋体"/>
      <w:kern w:val="2"/>
      <w:sz w:val="21"/>
      <w:lang w:val="en-US" w:eastAsia="zh-CN" w:bidi="ar-SA"/>
    </w:rPr>
  </w:style>
  <w:style w:type="character" w:customStyle="1" w:styleId="91">
    <w:name w:val="尾注文本 字符"/>
    <w:basedOn w:val="59"/>
    <w:link w:val="32"/>
    <w:qFormat/>
    <w:uiPriority w:val="0"/>
  </w:style>
  <w:style w:type="character" w:customStyle="1" w:styleId="92">
    <w:name w:val="页眉 字符"/>
    <w:link w:val="35"/>
    <w:qFormat/>
    <w:uiPriority w:val="99"/>
    <w:rPr>
      <w:rFonts w:ascii="宋体" w:hAnsi="Courier New"/>
      <w:kern w:val="2"/>
      <w:sz w:val="18"/>
    </w:rPr>
  </w:style>
  <w:style w:type="character" w:customStyle="1" w:styleId="93">
    <w:name w:val="正文文本缩进 字符"/>
    <w:link w:val="21"/>
    <w:qFormat/>
    <w:uiPriority w:val="99"/>
    <w:rPr>
      <w:rFonts w:ascii="宋体" w:hAnsi="Courier New"/>
      <w:kern w:val="2"/>
      <w:sz w:val="24"/>
    </w:rPr>
  </w:style>
  <w:style w:type="character" w:customStyle="1" w:styleId="94">
    <w:name w:val="标题 3 字符"/>
    <w:link w:val="5"/>
    <w:qFormat/>
    <w:uiPriority w:val="99"/>
    <w:rPr>
      <w:rFonts w:ascii="宋体" w:hAnsi="宋体"/>
      <w:b/>
      <w:bCs/>
      <w:sz w:val="24"/>
      <w:szCs w:val="32"/>
    </w:rPr>
  </w:style>
  <w:style w:type="character" w:customStyle="1" w:styleId="95">
    <w:name w:val="日期 字符"/>
    <w:link w:val="30"/>
    <w:qFormat/>
    <w:uiPriority w:val="99"/>
    <w:rPr>
      <w:rFonts w:ascii="宋体" w:hAnsi="Courier New"/>
      <w:bCs/>
      <w:kern w:val="2"/>
      <w:sz w:val="21"/>
    </w:rPr>
  </w:style>
  <w:style w:type="character" w:customStyle="1" w:styleId="96">
    <w:name w:val="正文文本 字符"/>
    <w:link w:val="2"/>
    <w:qFormat/>
    <w:uiPriority w:val="99"/>
    <w:rPr>
      <w:kern w:val="2"/>
      <w:sz w:val="30"/>
    </w:rPr>
  </w:style>
  <w:style w:type="character" w:customStyle="1" w:styleId="97">
    <w:name w:val="标题 5 字符"/>
    <w:link w:val="7"/>
    <w:qFormat/>
    <w:uiPriority w:val="99"/>
    <w:rPr>
      <w:rFonts w:ascii="宋体" w:hAnsi="宋体"/>
      <w:b/>
      <w:sz w:val="24"/>
    </w:rPr>
  </w:style>
  <w:style w:type="character" w:customStyle="1" w:styleId="98">
    <w:name w:val="批注主题 字符"/>
    <w:link w:val="54"/>
    <w:qFormat/>
    <w:uiPriority w:val="99"/>
    <w:rPr>
      <w:rFonts w:ascii="宋体" w:hAnsi="Courier New"/>
      <w:b/>
      <w:bCs/>
      <w:kern w:val="2"/>
      <w:sz w:val="21"/>
    </w:rPr>
  </w:style>
  <w:style w:type="character" w:customStyle="1" w:styleId="99">
    <w:name w:val="Para head"/>
    <w:qFormat/>
    <w:uiPriority w:val="0"/>
    <w:rPr>
      <w:rFonts w:ascii="Arial" w:hAnsi="Arial" w:eastAsia="Times New Roman"/>
      <w:sz w:val="20"/>
    </w:rPr>
  </w:style>
  <w:style w:type="character" w:customStyle="1" w:styleId="100">
    <w:name w:val="正文文本 3 字符"/>
    <w:link w:val="20"/>
    <w:qFormat/>
    <w:uiPriority w:val="0"/>
    <w:rPr>
      <w:rFonts w:ascii="黑体" w:eastAsia="黑体"/>
      <w:kern w:val="2"/>
      <w:sz w:val="28"/>
    </w:rPr>
  </w:style>
  <w:style w:type="character" w:customStyle="1" w:styleId="101">
    <w:name w:val="标题 8 字符"/>
    <w:link w:val="10"/>
    <w:qFormat/>
    <w:uiPriority w:val="9"/>
    <w:rPr>
      <w:rFonts w:ascii="Arial" w:hAnsi="Arial" w:eastAsia="黑体"/>
      <w:sz w:val="24"/>
    </w:rPr>
  </w:style>
  <w:style w:type="character" w:customStyle="1" w:styleId="102">
    <w:name w:val="标题3 Char Char"/>
    <w:link w:val="103"/>
    <w:qFormat/>
    <w:uiPriority w:val="0"/>
    <w:rPr>
      <w:rFonts w:ascii="宋体" w:hAnsi="宋体" w:eastAsia="楷体_GB2312"/>
      <w:bCs/>
      <w:kern w:val="44"/>
      <w:sz w:val="28"/>
      <w:szCs w:val="24"/>
    </w:rPr>
  </w:style>
  <w:style w:type="paragraph" w:customStyle="1" w:styleId="103">
    <w:name w:val="标题3"/>
    <w:basedOn w:val="3"/>
    <w:link w:val="102"/>
    <w:qFormat/>
    <w:uiPriority w:val="0"/>
    <w:pPr>
      <w:spacing w:beforeLines="50" w:afterLines="50" w:line="400" w:lineRule="exact"/>
      <w:jc w:val="center"/>
    </w:pPr>
    <w:rPr>
      <w:rFonts w:hAnsi="宋体" w:eastAsia="楷体_GB2312"/>
      <w:b w:val="0"/>
      <w:sz w:val="28"/>
      <w:szCs w:val="24"/>
    </w:rPr>
  </w:style>
  <w:style w:type="character" w:customStyle="1" w:styleId="104">
    <w:name w:val="普通文字 Char Char2"/>
    <w:qFormat/>
    <w:uiPriority w:val="0"/>
    <w:rPr>
      <w:rFonts w:ascii="宋体" w:hAnsi="Courier New" w:eastAsia="宋体"/>
      <w:kern w:val="2"/>
      <w:sz w:val="21"/>
      <w:lang w:val="en-US" w:eastAsia="zh-CN" w:bidi="ar-SA"/>
    </w:rPr>
  </w:style>
  <w:style w:type="paragraph" w:customStyle="1" w:styleId="105">
    <w:name w:val="_Style 73"/>
    <w:next w:val="1"/>
    <w:qFormat/>
    <w:uiPriority w:val="0"/>
    <w:pPr>
      <w:widowControl w:val="0"/>
      <w:jc w:val="both"/>
    </w:pPr>
    <w:rPr>
      <w:rFonts w:ascii="宋体" w:hAnsi="Courier New" w:eastAsia="宋体" w:cs="Times New Roman"/>
      <w:kern w:val="2"/>
      <w:sz w:val="21"/>
      <w:lang w:val="en-US" w:eastAsia="zh-CN" w:bidi="ar-SA"/>
    </w:rPr>
  </w:style>
  <w:style w:type="paragraph" w:customStyle="1" w:styleId="106">
    <w:name w:val="ǲ页1"/>
    <w:basedOn w:val="4"/>
    <w:qFormat/>
    <w:uiPriority w:val="0"/>
    <w:pPr>
      <w:widowControl/>
      <w:spacing w:before="0" w:after="0" w:line="360" w:lineRule="auto"/>
      <w:jc w:val="center"/>
    </w:pPr>
    <w:rPr>
      <w:rFonts w:ascii="黑体" w:hAnsi="宋体" w:eastAsia="宋体"/>
      <w:b w:val="0"/>
      <w:bCs w:val="0"/>
      <w:color w:val="000000"/>
      <w:kern w:val="0"/>
      <w:sz w:val="52"/>
      <w:szCs w:val="20"/>
    </w:rPr>
  </w:style>
  <w:style w:type="paragraph" w:customStyle="1" w:styleId="107">
    <w:name w:val="Char"/>
    <w:basedOn w:val="1"/>
    <w:qFormat/>
    <w:uiPriority w:val="99"/>
    <w:rPr>
      <w:rFonts w:ascii="Times New Roman" w:hAnsi="Times New Roman"/>
      <w:szCs w:val="24"/>
    </w:rPr>
  </w:style>
  <w:style w:type="paragraph" w:customStyle="1" w:styleId="108">
    <w:name w:val="1"/>
    <w:basedOn w:val="1"/>
    <w:next w:val="27"/>
    <w:qFormat/>
    <w:uiPriority w:val="99"/>
  </w:style>
  <w:style w:type="paragraph" w:customStyle="1" w:styleId="109">
    <w:name w:val="Char Char Char Char"/>
    <w:basedOn w:val="1"/>
    <w:qFormat/>
    <w:uiPriority w:val="99"/>
    <w:pPr>
      <w:widowControl/>
      <w:spacing w:after="160" w:line="240" w:lineRule="exact"/>
      <w:jc w:val="left"/>
    </w:pPr>
    <w:rPr>
      <w:rFonts w:ascii="Times New Roman" w:hAnsi="Times New Roman"/>
      <w:szCs w:val="24"/>
    </w:rPr>
  </w:style>
  <w:style w:type="paragraph" w:customStyle="1" w:styleId="110">
    <w:name w:val="2ji"/>
    <w:basedOn w:val="4"/>
    <w:qFormat/>
    <w:uiPriority w:val="0"/>
    <w:pPr>
      <w:adjustRightInd w:val="0"/>
      <w:spacing w:before="0" w:after="0" w:line="360" w:lineRule="auto"/>
      <w:textAlignment w:val="baseline"/>
    </w:pPr>
    <w:rPr>
      <w:rFonts w:ascii="宋体" w:hAnsi="宋体" w:eastAsia="宋体"/>
      <w:kern w:val="0"/>
      <w:sz w:val="21"/>
      <w:szCs w:val="21"/>
    </w:rPr>
  </w:style>
  <w:style w:type="paragraph" w:customStyle="1" w:styleId="111">
    <w:name w:val="样式1"/>
    <w:basedOn w:val="1"/>
    <w:qFormat/>
    <w:uiPriority w:val="99"/>
    <w:pPr>
      <w:spacing w:before="120" w:after="120" w:line="300" w:lineRule="auto"/>
    </w:pPr>
    <w:rPr>
      <w:rFonts w:hAnsi="宋体"/>
      <w:b/>
      <w:sz w:val="24"/>
    </w:rPr>
  </w:style>
  <w:style w:type="paragraph" w:customStyle="1" w:styleId="112">
    <w:name w:val="Char1"/>
    <w:basedOn w:val="1"/>
    <w:qFormat/>
    <w:uiPriority w:val="99"/>
    <w:pPr>
      <w:widowControl/>
      <w:spacing w:after="160" w:line="240" w:lineRule="exact"/>
      <w:jc w:val="left"/>
    </w:pPr>
    <w:rPr>
      <w:rFonts w:ascii="Verdana" w:hAnsi="Verdana" w:eastAsia="仿宋_GB2312"/>
      <w:kern w:val="0"/>
      <w:sz w:val="24"/>
      <w:lang w:eastAsia="en-US"/>
    </w:rPr>
  </w:style>
  <w:style w:type="paragraph" w:styleId="113">
    <w:name w:val="List Paragraph"/>
    <w:basedOn w:val="1"/>
    <w:qFormat/>
    <w:uiPriority w:val="34"/>
    <w:pPr>
      <w:widowControl/>
      <w:ind w:firstLine="420" w:firstLineChars="200"/>
      <w:jc w:val="left"/>
    </w:pPr>
    <w:rPr>
      <w:rFonts w:ascii="Calibri" w:hAnsi="Calibri"/>
      <w:sz w:val="20"/>
      <w:szCs w:val="22"/>
    </w:rPr>
  </w:style>
  <w:style w:type="paragraph" w:customStyle="1" w:styleId="114">
    <w:name w:val="Char Char Char Char Char Char Char Char Char Char Char Char Char Char Char Char"/>
    <w:basedOn w:val="1"/>
    <w:qFormat/>
    <w:uiPriority w:val="0"/>
    <w:pPr>
      <w:tabs>
        <w:tab w:val="left" w:pos="360"/>
      </w:tabs>
      <w:spacing w:line="360" w:lineRule="auto"/>
      <w:ind w:left="482" w:firstLine="200" w:firstLineChars="200"/>
    </w:pPr>
    <w:rPr>
      <w:rFonts w:hAnsi="Times New Roman"/>
      <w:sz w:val="24"/>
      <w:szCs w:val="24"/>
    </w:rPr>
  </w:style>
  <w:style w:type="paragraph" w:customStyle="1" w:styleId="115">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kern w:val="0"/>
      <w:sz w:val="20"/>
    </w:rPr>
  </w:style>
  <w:style w:type="paragraph" w:customStyle="1" w:styleId="116">
    <w:name w:val="菲页1"/>
    <w:basedOn w:val="4"/>
    <w:qFormat/>
    <w:uiPriority w:val="0"/>
    <w:pPr>
      <w:widowControl/>
      <w:spacing w:before="0" w:after="0" w:line="360" w:lineRule="auto"/>
      <w:jc w:val="center"/>
    </w:pPr>
    <w:rPr>
      <w:rFonts w:ascii="黑体" w:hAnsi="宋体" w:eastAsia="宋体"/>
      <w:b w:val="0"/>
      <w:bCs w:val="0"/>
      <w:color w:val="000000"/>
      <w:kern w:val="0"/>
      <w:sz w:val="52"/>
      <w:szCs w:val="20"/>
    </w:rPr>
  </w:style>
  <w:style w:type="paragraph" w:customStyle="1" w:styleId="117">
    <w:name w:val="默认段落字体 Para Char Char Char Char Char Char Char Char Char Char"/>
    <w:basedOn w:val="1"/>
    <w:qFormat/>
    <w:uiPriority w:val="0"/>
    <w:rPr>
      <w:rFonts w:ascii="Tahoma" w:hAnsi="Tahoma"/>
      <w:sz w:val="24"/>
      <w:szCs w:val="24"/>
      <w:u w:val="single"/>
    </w:rPr>
  </w:style>
  <w:style w:type="paragraph" w:customStyle="1" w:styleId="118">
    <w:name w:val="菲页2"/>
    <w:basedOn w:val="5"/>
    <w:qFormat/>
    <w:uiPriority w:val="0"/>
    <w:pPr>
      <w:widowControl/>
      <w:spacing w:beforeLines="100" w:afterLines="50" w:line="360" w:lineRule="auto"/>
      <w:jc w:val="center"/>
    </w:pPr>
    <w:rPr>
      <w:rFonts w:ascii="黑体" w:eastAsia="黑体"/>
      <w:b w:val="0"/>
      <w:bCs w:val="0"/>
      <w:color w:val="000000"/>
      <w:sz w:val="44"/>
      <w:szCs w:val="20"/>
    </w:rPr>
  </w:style>
  <w:style w:type="paragraph" w:customStyle="1" w:styleId="119">
    <w:name w:val="目录文字"/>
    <w:basedOn w:val="1"/>
    <w:qFormat/>
    <w:uiPriority w:val="0"/>
    <w:pPr>
      <w:widowControl/>
      <w:spacing w:line="480" w:lineRule="auto"/>
      <w:jc w:val="left"/>
    </w:pPr>
    <w:rPr>
      <w:rFonts w:hAnsi="宋体"/>
      <w:kern w:val="0"/>
      <w:sz w:val="24"/>
    </w:rPr>
  </w:style>
  <w:style w:type="paragraph" w:customStyle="1" w:styleId="120">
    <w:name w:val="菲页(卷)"/>
    <w:basedOn w:val="3"/>
    <w:next w:val="121"/>
    <w:qFormat/>
    <w:uiPriority w:val="0"/>
    <w:pPr>
      <w:keepLines w:val="0"/>
      <w:widowControl/>
      <w:tabs>
        <w:tab w:val="left" w:pos="840"/>
      </w:tabs>
      <w:spacing w:before="0" w:after="0" w:line="240" w:lineRule="auto"/>
      <w:ind w:left="840" w:hanging="420"/>
      <w:jc w:val="center"/>
      <w:outlineLvl w:val="1"/>
    </w:pPr>
    <w:rPr>
      <w:rFonts w:ascii="黑体" w:hAnsi="Times New Roman" w:eastAsia="黑体"/>
      <w:b w:val="0"/>
      <w:bCs w:val="0"/>
      <w:kern w:val="0"/>
      <w:sz w:val="52"/>
      <w:szCs w:val="20"/>
    </w:rPr>
  </w:style>
  <w:style w:type="paragraph" w:customStyle="1" w:styleId="121">
    <w:name w:val="正文1"/>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22">
    <w:name w:val="批注框文本 Char Char"/>
    <w:basedOn w:val="1"/>
    <w:qFormat/>
    <w:uiPriority w:val="0"/>
    <w:rPr>
      <w:rFonts w:ascii="Times New Roman" w:hAnsi="Times New Roman"/>
      <w:sz w:val="18"/>
    </w:rPr>
  </w:style>
  <w:style w:type="paragraph" w:customStyle="1" w:styleId="123">
    <w:name w:val="样式 标题 2 + 小四 行距: 固定值 24 磅"/>
    <w:basedOn w:val="4"/>
    <w:qFormat/>
    <w:uiPriority w:val="0"/>
    <w:pPr>
      <w:spacing w:line="480" w:lineRule="exact"/>
    </w:pPr>
    <w:rPr>
      <w:rFonts w:eastAsia="宋体" w:cs="宋体"/>
      <w:kern w:val="0"/>
      <w:sz w:val="24"/>
      <w:szCs w:val="24"/>
    </w:rPr>
  </w:style>
  <w:style w:type="paragraph" w:customStyle="1" w:styleId="124">
    <w:name w:val="Char1 Char Char Char Char Char Char"/>
    <w:basedOn w:val="1"/>
    <w:qFormat/>
    <w:uiPriority w:val="0"/>
    <w:rPr>
      <w:rFonts w:ascii="Times New Roman" w:hAnsi="Times New Roman"/>
      <w:szCs w:val="24"/>
    </w:rPr>
  </w:style>
  <w:style w:type="paragraph" w:customStyle="1" w:styleId="125">
    <w:name w:val="目录"/>
    <w:basedOn w:val="1"/>
    <w:qFormat/>
    <w:uiPriority w:val="0"/>
    <w:pPr>
      <w:widowControl/>
      <w:jc w:val="center"/>
    </w:pPr>
    <w:rPr>
      <w:rFonts w:hAnsi="Times New Roman"/>
      <w:b/>
      <w:kern w:val="0"/>
      <w:sz w:val="36"/>
    </w:rPr>
  </w:style>
  <w:style w:type="paragraph" w:customStyle="1" w:styleId="126">
    <w:name w:val="2-2ji"/>
    <w:basedOn w:val="4"/>
    <w:qFormat/>
    <w:uiPriority w:val="99"/>
    <w:pPr>
      <w:tabs>
        <w:tab w:val="left" w:pos="1140"/>
      </w:tabs>
      <w:adjustRightInd w:val="0"/>
      <w:spacing w:before="0" w:after="0" w:line="360" w:lineRule="auto"/>
      <w:jc w:val="center"/>
      <w:textAlignment w:val="baseline"/>
    </w:pPr>
    <w:rPr>
      <w:rFonts w:ascii="宋体" w:hAnsi="宋体" w:eastAsia="宋体"/>
      <w:bCs w:val="0"/>
      <w:kern w:val="0"/>
      <w:szCs w:val="20"/>
    </w:rPr>
  </w:style>
  <w:style w:type="paragraph" w:customStyle="1" w:styleId="127">
    <w:name w:val="Default Paragraph Font Para Char Char Char Char Char Char"/>
    <w:basedOn w:val="1"/>
    <w:qFormat/>
    <w:uiPriority w:val="0"/>
    <w:pPr>
      <w:widowControl/>
      <w:spacing w:after="160" w:line="240" w:lineRule="exact"/>
      <w:jc w:val="left"/>
    </w:pPr>
    <w:rPr>
      <w:rFonts w:ascii="Times New Roman" w:hAnsi="Times New Roman"/>
    </w:rPr>
  </w:style>
  <w:style w:type="paragraph" w:styleId="128">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9">
    <w:name w:val="TOC 标题1"/>
    <w:basedOn w:val="3"/>
    <w:next w:val="1"/>
    <w:unhideWhenUsed/>
    <w:qFormat/>
    <w:uiPriority w:val="99"/>
    <w:pPr>
      <w:widowControl/>
      <w:spacing w:before="480" w:after="0" w:line="276" w:lineRule="auto"/>
      <w:jc w:val="left"/>
      <w:outlineLvl w:val="9"/>
    </w:pPr>
    <w:rPr>
      <w:rFonts w:ascii="Cambria" w:hAnsi="Cambria"/>
      <w:color w:val="365F91"/>
      <w:kern w:val="0"/>
      <w:sz w:val="28"/>
      <w:szCs w:val="28"/>
    </w:rPr>
  </w:style>
  <w:style w:type="character" w:customStyle="1" w:styleId="130">
    <w:name w:val="明显强调1"/>
    <w:qFormat/>
    <w:uiPriority w:val="99"/>
    <w:rPr>
      <w:b/>
      <w:bCs/>
      <w:i/>
      <w:iCs/>
      <w:color w:val="4F81BD"/>
    </w:rPr>
  </w:style>
  <w:style w:type="character" w:customStyle="1" w:styleId="131">
    <w:name w:val="Heading 3 Char1"/>
    <w:qFormat/>
    <w:uiPriority w:val="99"/>
    <w:rPr>
      <w:rFonts w:eastAsia="宋体"/>
      <w:b/>
      <w:bCs/>
      <w:kern w:val="2"/>
      <w:sz w:val="24"/>
      <w:szCs w:val="32"/>
      <w:lang w:val="en-US" w:eastAsia="zh-CN" w:bidi="ar-SA"/>
    </w:rPr>
  </w:style>
  <w:style w:type="character" w:customStyle="1" w:styleId="132">
    <w:name w:val="Balloon Text Char"/>
    <w:qFormat/>
    <w:uiPriority w:val="99"/>
    <w:rPr>
      <w:sz w:val="18"/>
      <w:lang w:bidi="ar-SA"/>
    </w:rPr>
  </w:style>
  <w:style w:type="character" w:customStyle="1" w:styleId="133">
    <w:name w:val="Char Char18"/>
    <w:qFormat/>
    <w:uiPriority w:val="99"/>
    <w:rPr>
      <w:rFonts w:ascii="Times New Roman" w:hAnsi="Times New Roman" w:eastAsia="宋体" w:cs="Times New Roman"/>
      <w:b/>
      <w:bCs/>
      <w:sz w:val="28"/>
      <w:szCs w:val="28"/>
    </w:rPr>
  </w:style>
  <w:style w:type="character" w:customStyle="1" w:styleId="134">
    <w:name w:val="书籍标题1"/>
    <w:qFormat/>
    <w:uiPriority w:val="99"/>
    <w:rPr>
      <w:b/>
      <w:bCs/>
      <w:smallCaps/>
      <w:spacing w:val="5"/>
    </w:rPr>
  </w:style>
  <w:style w:type="character" w:customStyle="1" w:styleId="135">
    <w:name w:val="批注主题 Char1"/>
    <w:qFormat/>
    <w:uiPriority w:val="99"/>
    <w:rPr>
      <w:rFonts w:ascii="Times New Roman" w:hAnsi="Times New Roman" w:eastAsia="宋体" w:cs="Times New Roman"/>
      <w:b/>
      <w:bCs/>
      <w:szCs w:val="24"/>
    </w:rPr>
  </w:style>
  <w:style w:type="character" w:customStyle="1" w:styleId="136">
    <w:name w:val="Char Char20"/>
    <w:qFormat/>
    <w:uiPriority w:val="99"/>
    <w:rPr>
      <w:rFonts w:ascii="Times New Roman" w:hAnsi="Times New Roman" w:eastAsia="宋体" w:cs="Times New Roman"/>
      <w:b/>
      <w:bCs/>
      <w:sz w:val="24"/>
      <w:szCs w:val="32"/>
    </w:rPr>
  </w:style>
  <w:style w:type="character" w:customStyle="1" w:styleId="137">
    <w:name w:val="Footer Char"/>
    <w:qFormat/>
    <w:uiPriority w:val="99"/>
    <w:rPr>
      <w:rFonts w:eastAsia="宋体"/>
      <w:kern w:val="2"/>
      <w:sz w:val="18"/>
      <w:szCs w:val="18"/>
      <w:lang w:val="en-US" w:eastAsia="zh-CN" w:bidi="ar-SA"/>
    </w:rPr>
  </w:style>
  <w:style w:type="character" w:customStyle="1" w:styleId="138">
    <w:name w:val="Body Text Indent 2 Char"/>
    <w:qFormat/>
    <w:uiPriority w:val="99"/>
    <w:rPr>
      <w:rFonts w:eastAsia="宋体"/>
      <w:kern w:val="2"/>
      <w:sz w:val="21"/>
      <w:szCs w:val="24"/>
      <w:lang w:val="en-US" w:eastAsia="zh-CN" w:bidi="ar-SA"/>
    </w:rPr>
  </w:style>
  <w:style w:type="character" w:customStyle="1" w:styleId="139">
    <w:name w:val="Comment Text Char"/>
    <w:qFormat/>
    <w:uiPriority w:val="99"/>
    <w:rPr>
      <w:rFonts w:cs="Times New Roman"/>
      <w:sz w:val="24"/>
      <w:szCs w:val="24"/>
    </w:rPr>
  </w:style>
  <w:style w:type="character" w:customStyle="1" w:styleId="140">
    <w:name w:val="Char Char23"/>
    <w:qFormat/>
    <w:uiPriority w:val="99"/>
    <w:rPr>
      <w:rFonts w:eastAsia="宋体"/>
      <w:b/>
      <w:bCs/>
      <w:kern w:val="44"/>
      <w:sz w:val="32"/>
      <w:szCs w:val="44"/>
      <w:lang w:val="en-US" w:eastAsia="zh-CN" w:bidi="ar-SA"/>
    </w:rPr>
  </w:style>
  <w:style w:type="character" w:customStyle="1" w:styleId="141">
    <w:name w:val="不明显强调1"/>
    <w:qFormat/>
    <w:uiPriority w:val="99"/>
    <w:rPr>
      <w:i/>
      <w:iCs/>
      <w:color w:val="808080"/>
    </w:rPr>
  </w:style>
  <w:style w:type="character" w:customStyle="1" w:styleId="142">
    <w:name w:val="标题4 Char Char"/>
    <w:link w:val="143"/>
    <w:qFormat/>
    <w:uiPriority w:val="99"/>
    <w:rPr>
      <w:rFonts w:ascii="Arial" w:hAnsi="Arial"/>
      <w:b/>
      <w:bCs/>
      <w:sz w:val="24"/>
      <w:szCs w:val="32"/>
    </w:rPr>
  </w:style>
  <w:style w:type="paragraph" w:customStyle="1" w:styleId="143">
    <w:name w:val="标题4"/>
    <w:basedOn w:val="4"/>
    <w:next w:val="24"/>
    <w:link w:val="142"/>
    <w:qFormat/>
    <w:uiPriority w:val="99"/>
    <w:pPr>
      <w:spacing w:before="60" w:after="60" w:line="413" w:lineRule="auto"/>
    </w:pPr>
    <w:rPr>
      <w:rFonts w:eastAsia="宋体"/>
      <w:kern w:val="0"/>
      <w:sz w:val="24"/>
    </w:rPr>
  </w:style>
  <w:style w:type="character" w:customStyle="1" w:styleId="144">
    <w:name w:val="标题 Char2"/>
    <w:qFormat/>
    <w:uiPriority w:val="99"/>
    <w:rPr>
      <w:rFonts w:ascii="Cambria" w:hAnsi="Cambria" w:eastAsia="宋体" w:cs="Times New Roman"/>
      <w:b/>
      <w:bCs/>
      <w:sz w:val="32"/>
      <w:szCs w:val="32"/>
    </w:rPr>
  </w:style>
  <w:style w:type="character" w:customStyle="1" w:styleId="145">
    <w:name w:val="Char Char22"/>
    <w:qFormat/>
    <w:uiPriority w:val="99"/>
    <w:rPr>
      <w:rFonts w:ascii="Times New Roman" w:hAnsi="Times New Roman" w:eastAsia="宋体" w:cs="Times New Roman"/>
      <w:b/>
      <w:bCs/>
      <w:kern w:val="44"/>
      <w:sz w:val="32"/>
      <w:szCs w:val="44"/>
    </w:rPr>
  </w:style>
  <w:style w:type="character" w:customStyle="1" w:styleId="146">
    <w:name w:val="Heading 1 Char"/>
    <w:qFormat/>
    <w:uiPriority w:val="99"/>
    <w:rPr>
      <w:rFonts w:eastAsia="宋体"/>
      <w:b/>
      <w:bCs/>
      <w:kern w:val="44"/>
      <w:sz w:val="32"/>
      <w:szCs w:val="44"/>
      <w:lang w:val="en-US" w:eastAsia="zh-CN" w:bidi="ar-SA"/>
    </w:rPr>
  </w:style>
  <w:style w:type="character" w:customStyle="1" w:styleId="147">
    <w:name w:val="明显引用 字符"/>
    <w:link w:val="148"/>
    <w:qFormat/>
    <w:uiPriority w:val="99"/>
    <w:rPr>
      <w:b/>
      <w:bCs/>
      <w:i/>
      <w:iCs/>
      <w:color w:val="4F81BD"/>
    </w:rPr>
  </w:style>
  <w:style w:type="paragraph" w:styleId="148">
    <w:name w:val="Intense Quote"/>
    <w:basedOn w:val="1"/>
    <w:next w:val="1"/>
    <w:link w:val="147"/>
    <w:qFormat/>
    <w:uiPriority w:val="0"/>
    <w:pPr>
      <w:pBdr>
        <w:bottom w:val="single" w:color="4F81BD" w:sz="4" w:space="4"/>
      </w:pBdr>
      <w:spacing w:before="200" w:after="280"/>
      <w:ind w:left="936" w:right="936"/>
    </w:pPr>
    <w:rPr>
      <w:rFonts w:ascii="Times New Roman" w:hAnsi="Times New Roman"/>
      <w:b/>
      <w:bCs/>
      <w:i/>
      <w:iCs/>
      <w:color w:val="4F81BD"/>
      <w:kern w:val="0"/>
      <w:sz w:val="20"/>
    </w:rPr>
  </w:style>
  <w:style w:type="character" w:customStyle="1" w:styleId="149">
    <w:name w:val="Char Char9"/>
    <w:qFormat/>
    <w:uiPriority w:val="99"/>
    <w:rPr>
      <w:rFonts w:eastAsia="宋体"/>
      <w:b/>
      <w:bCs/>
      <w:kern w:val="44"/>
      <w:sz w:val="32"/>
      <w:szCs w:val="44"/>
      <w:lang w:val="en-US" w:eastAsia="zh-CN" w:bidi="ar-SA"/>
    </w:rPr>
  </w:style>
  <w:style w:type="character" w:customStyle="1" w:styleId="150">
    <w:name w:val="不明显参考1"/>
    <w:qFormat/>
    <w:uiPriority w:val="99"/>
    <w:rPr>
      <w:smallCaps/>
      <w:color w:val="C0504D"/>
      <w:u w:val="single"/>
    </w:rPr>
  </w:style>
  <w:style w:type="character" w:customStyle="1" w:styleId="151">
    <w:name w:val="批注框文本 Char1"/>
    <w:qFormat/>
    <w:uiPriority w:val="99"/>
    <w:rPr>
      <w:rFonts w:ascii="Times New Roman" w:hAnsi="Times New Roman" w:eastAsia="宋体" w:cs="Times New Roman"/>
      <w:sz w:val="18"/>
      <w:szCs w:val="18"/>
    </w:rPr>
  </w:style>
  <w:style w:type="character" w:customStyle="1" w:styleId="152">
    <w:name w:val="Char Char21"/>
    <w:qFormat/>
    <w:uiPriority w:val="99"/>
    <w:rPr>
      <w:rFonts w:ascii="Arial" w:hAnsi="Arial" w:eastAsia="黑体" w:cs="Times New Roman"/>
      <w:b/>
      <w:bCs/>
      <w:sz w:val="32"/>
      <w:szCs w:val="32"/>
    </w:rPr>
  </w:style>
  <w:style w:type="character" w:customStyle="1" w:styleId="153">
    <w:name w:val="文档结构图 Char1"/>
    <w:qFormat/>
    <w:uiPriority w:val="99"/>
    <w:rPr>
      <w:rFonts w:ascii="宋体" w:hAnsi="Times New Roman" w:eastAsia="宋体" w:cs="Times New Roman"/>
      <w:sz w:val="18"/>
      <w:szCs w:val="18"/>
    </w:rPr>
  </w:style>
  <w:style w:type="character" w:customStyle="1" w:styleId="154">
    <w:name w:val="引用 字符"/>
    <w:link w:val="155"/>
    <w:qFormat/>
    <w:uiPriority w:val="99"/>
    <w:rPr>
      <w:i/>
      <w:iCs/>
      <w:color w:val="000000"/>
    </w:rPr>
  </w:style>
  <w:style w:type="paragraph" w:styleId="155">
    <w:name w:val="Quote"/>
    <w:basedOn w:val="1"/>
    <w:next w:val="1"/>
    <w:link w:val="154"/>
    <w:qFormat/>
    <w:uiPriority w:val="0"/>
    <w:rPr>
      <w:rFonts w:ascii="Times New Roman" w:hAnsi="Times New Roman"/>
      <w:i/>
      <w:iCs/>
      <w:color w:val="000000"/>
      <w:kern w:val="0"/>
      <w:sz w:val="20"/>
    </w:rPr>
  </w:style>
  <w:style w:type="character" w:customStyle="1" w:styleId="156">
    <w:name w:val="Comment Subject Char"/>
    <w:qFormat/>
    <w:uiPriority w:val="99"/>
    <w:rPr>
      <w:b/>
      <w:sz w:val="24"/>
      <w:lang w:bidi="ar-SA"/>
    </w:rPr>
  </w:style>
  <w:style w:type="character" w:customStyle="1" w:styleId="157">
    <w:name w:val="Title Char"/>
    <w:qFormat/>
    <w:uiPriority w:val="99"/>
    <w:rPr>
      <w:rFonts w:ascii="Cambria" w:hAnsi="Cambria"/>
      <w:b/>
      <w:sz w:val="32"/>
      <w:lang w:bidi="ar-SA"/>
    </w:rPr>
  </w:style>
  <w:style w:type="character" w:customStyle="1" w:styleId="158">
    <w:name w:val="Heading 5 Char"/>
    <w:qFormat/>
    <w:uiPriority w:val="99"/>
    <w:rPr>
      <w:rFonts w:eastAsia="宋体"/>
      <w:b/>
      <w:bCs/>
      <w:kern w:val="2"/>
      <w:sz w:val="28"/>
      <w:szCs w:val="28"/>
      <w:lang w:val="en-US" w:eastAsia="zh-CN" w:bidi="ar-SA"/>
    </w:rPr>
  </w:style>
  <w:style w:type="character" w:customStyle="1" w:styleId="159">
    <w:name w:val="Body Text Indent Char"/>
    <w:qFormat/>
    <w:uiPriority w:val="99"/>
    <w:rPr>
      <w:rFonts w:ascii="宋体" w:hAnsi="宋体" w:eastAsia="宋体"/>
      <w:kern w:val="2"/>
      <w:sz w:val="21"/>
      <w:lang w:val="en-US" w:eastAsia="zh-CN" w:bidi="ar-SA"/>
    </w:rPr>
  </w:style>
  <w:style w:type="character" w:customStyle="1" w:styleId="160">
    <w:name w:val="批注文字 Char Char"/>
    <w:qFormat/>
    <w:uiPriority w:val="99"/>
    <w:rPr>
      <w:rFonts w:ascii="宋体" w:hAnsi="Times New Roman" w:eastAsia="宋体" w:cs="Times New Roman"/>
      <w:sz w:val="28"/>
      <w:szCs w:val="20"/>
    </w:rPr>
  </w:style>
  <w:style w:type="character" w:customStyle="1" w:styleId="161">
    <w:name w:val="Footnote Text Char"/>
    <w:qFormat/>
    <w:uiPriority w:val="99"/>
    <w:rPr>
      <w:rFonts w:eastAsia="宋体"/>
      <w:sz w:val="18"/>
      <w:lang w:val="en-US" w:eastAsia="zh-CN" w:bidi="ar-SA"/>
    </w:rPr>
  </w:style>
  <w:style w:type="character" w:customStyle="1" w:styleId="162">
    <w:name w:val="引用 Char1"/>
    <w:qFormat/>
    <w:uiPriority w:val="99"/>
    <w:rPr>
      <w:rFonts w:ascii="Times New Roman" w:hAnsi="Times New Roman" w:eastAsia="宋体" w:cs="Times New Roman"/>
      <w:i/>
      <w:iCs/>
      <w:color w:val="000000"/>
      <w:szCs w:val="24"/>
    </w:rPr>
  </w:style>
  <w:style w:type="character" w:customStyle="1" w:styleId="163">
    <w:name w:val="标题 Char1"/>
    <w:qFormat/>
    <w:uiPriority w:val="99"/>
    <w:rPr>
      <w:rFonts w:ascii="Cambria" w:hAnsi="Cambria" w:eastAsia="宋体" w:cs="Times New Roman"/>
      <w:b/>
      <w:bCs/>
      <w:sz w:val="32"/>
      <w:szCs w:val="32"/>
    </w:rPr>
  </w:style>
  <w:style w:type="character" w:customStyle="1" w:styleId="164">
    <w:name w:val="Document Map Char"/>
    <w:qFormat/>
    <w:uiPriority w:val="99"/>
    <w:rPr>
      <w:rFonts w:eastAsia="宋体"/>
      <w:kern w:val="2"/>
      <w:sz w:val="21"/>
      <w:szCs w:val="24"/>
      <w:lang w:val="en-US" w:eastAsia="zh-CN" w:bidi="ar-SA"/>
    </w:rPr>
  </w:style>
  <w:style w:type="character" w:customStyle="1" w:styleId="165">
    <w:name w:val="Date Char"/>
    <w:qFormat/>
    <w:uiPriority w:val="99"/>
    <w:rPr>
      <w:rFonts w:eastAsia="宋体"/>
      <w:kern w:val="2"/>
      <w:sz w:val="21"/>
      <w:szCs w:val="24"/>
      <w:lang w:val="en-US" w:eastAsia="zh-CN" w:bidi="ar-SA"/>
    </w:rPr>
  </w:style>
  <w:style w:type="character" w:customStyle="1" w:styleId="166">
    <w:name w:val="日期 Char1"/>
    <w:qFormat/>
    <w:uiPriority w:val="99"/>
    <w:rPr>
      <w:rFonts w:ascii="Times New Roman" w:hAnsi="Times New Roman" w:eastAsia="宋体" w:cs="Times New Roman"/>
      <w:szCs w:val="24"/>
    </w:rPr>
  </w:style>
  <w:style w:type="character" w:customStyle="1" w:styleId="167">
    <w:name w:val="Header Char"/>
    <w:qFormat/>
    <w:uiPriority w:val="99"/>
    <w:rPr>
      <w:rFonts w:eastAsia="宋体"/>
      <w:kern w:val="2"/>
      <w:sz w:val="18"/>
      <w:szCs w:val="18"/>
      <w:lang w:val="en-US" w:eastAsia="zh-CN" w:bidi="ar-SA"/>
    </w:rPr>
  </w:style>
  <w:style w:type="character" w:customStyle="1" w:styleId="168">
    <w:name w:val="标题 字符"/>
    <w:link w:val="53"/>
    <w:qFormat/>
    <w:uiPriority w:val="99"/>
    <w:rPr>
      <w:rFonts w:ascii="Cambria" w:hAnsi="Cambria"/>
      <w:b/>
      <w:bCs/>
      <w:kern w:val="2"/>
      <w:sz w:val="32"/>
      <w:szCs w:val="32"/>
    </w:rPr>
  </w:style>
  <w:style w:type="character" w:customStyle="1" w:styleId="169">
    <w:name w:val="明显参考1"/>
    <w:qFormat/>
    <w:uiPriority w:val="99"/>
    <w:rPr>
      <w:b/>
      <w:bCs/>
      <w:smallCaps/>
      <w:color w:val="C0504D"/>
      <w:spacing w:val="5"/>
      <w:u w:val="single"/>
    </w:rPr>
  </w:style>
  <w:style w:type="character" w:customStyle="1" w:styleId="170">
    <w:name w:val="textcontents"/>
    <w:qFormat/>
    <w:uiPriority w:val="99"/>
    <w:rPr>
      <w:rFonts w:cs="Times New Roman"/>
    </w:rPr>
  </w:style>
  <w:style w:type="character" w:customStyle="1" w:styleId="171">
    <w:name w:val="Char Char19"/>
    <w:qFormat/>
    <w:uiPriority w:val="99"/>
    <w:rPr>
      <w:rFonts w:ascii="Arial" w:hAnsi="Arial" w:eastAsia="宋体" w:cs="Times New Roman"/>
      <w:b/>
      <w:bCs/>
      <w:szCs w:val="28"/>
    </w:rPr>
  </w:style>
  <w:style w:type="character" w:customStyle="1" w:styleId="172">
    <w:name w:val="批注文字 Char2"/>
    <w:qFormat/>
    <w:uiPriority w:val="0"/>
    <w:rPr>
      <w:kern w:val="2"/>
      <w:sz w:val="21"/>
      <w:szCs w:val="24"/>
      <w:lang w:bidi="ar-SA"/>
    </w:rPr>
  </w:style>
  <w:style w:type="character" w:customStyle="1" w:styleId="173">
    <w:name w:val="正文文本 Char1"/>
    <w:qFormat/>
    <w:uiPriority w:val="99"/>
    <w:rPr>
      <w:kern w:val="2"/>
      <w:sz w:val="21"/>
      <w:szCs w:val="22"/>
    </w:rPr>
  </w:style>
  <w:style w:type="character" w:customStyle="1" w:styleId="174">
    <w:name w:val="Plain Text Char"/>
    <w:qFormat/>
    <w:uiPriority w:val="99"/>
    <w:rPr>
      <w:rFonts w:ascii="宋体" w:hAnsi="Courier New" w:eastAsia="宋体"/>
      <w:sz w:val="24"/>
      <w:lang w:bidi="ar-SA"/>
    </w:rPr>
  </w:style>
  <w:style w:type="character" w:customStyle="1" w:styleId="175">
    <w:name w:val="明显引用 Char1"/>
    <w:qFormat/>
    <w:uiPriority w:val="99"/>
    <w:rPr>
      <w:rFonts w:ascii="Times New Roman" w:hAnsi="Times New Roman" w:eastAsia="宋体" w:cs="Times New Roman"/>
      <w:b/>
      <w:bCs/>
      <w:i/>
      <w:iCs/>
      <w:color w:val="4F81BD"/>
      <w:szCs w:val="24"/>
    </w:rPr>
  </w:style>
  <w:style w:type="character" w:customStyle="1" w:styleId="176">
    <w:name w:val="Heading 2 Char"/>
    <w:qFormat/>
    <w:uiPriority w:val="99"/>
    <w:rPr>
      <w:rFonts w:ascii="Arial" w:hAnsi="Arial" w:eastAsia="黑体"/>
      <w:b/>
      <w:bCs/>
      <w:kern w:val="2"/>
      <w:sz w:val="32"/>
      <w:szCs w:val="32"/>
      <w:lang w:val="en-US" w:eastAsia="zh-CN" w:bidi="ar-SA"/>
    </w:rPr>
  </w:style>
  <w:style w:type="character" w:customStyle="1" w:styleId="177">
    <w:name w:val="Heading 3 Char"/>
    <w:qFormat/>
    <w:uiPriority w:val="99"/>
    <w:rPr>
      <w:rFonts w:cs="Times New Roman"/>
      <w:b/>
      <w:bCs/>
      <w:kern w:val="2"/>
      <w:sz w:val="32"/>
      <w:szCs w:val="32"/>
    </w:rPr>
  </w:style>
  <w:style w:type="character" w:customStyle="1" w:styleId="178">
    <w:name w:val="Comment Text Char1"/>
    <w:qFormat/>
    <w:uiPriority w:val="99"/>
    <w:rPr>
      <w:sz w:val="24"/>
      <w:lang w:bidi="ar-SA"/>
    </w:rPr>
  </w:style>
  <w:style w:type="character" w:customStyle="1" w:styleId="179">
    <w:name w:val="Char Char24"/>
    <w:qFormat/>
    <w:uiPriority w:val="99"/>
    <w:rPr>
      <w:rFonts w:eastAsia="宋体"/>
      <w:b/>
      <w:bCs/>
      <w:kern w:val="44"/>
      <w:sz w:val="32"/>
      <w:szCs w:val="44"/>
      <w:lang w:val="en-US" w:eastAsia="zh-CN" w:bidi="ar-SA"/>
    </w:rPr>
  </w:style>
  <w:style w:type="character" w:customStyle="1" w:styleId="180">
    <w:name w:val="标题5 Char Char"/>
    <w:link w:val="181"/>
    <w:qFormat/>
    <w:uiPriority w:val="99"/>
    <w:rPr>
      <w:rFonts w:ascii="Arial" w:hAnsi="Arial"/>
      <w:b/>
      <w:bCs/>
      <w:sz w:val="24"/>
      <w:szCs w:val="32"/>
    </w:rPr>
  </w:style>
  <w:style w:type="paragraph" w:customStyle="1" w:styleId="181">
    <w:name w:val="标题5"/>
    <w:basedOn w:val="5"/>
    <w:link w:val="180"/>
    <w:qFormat/>
    <w:uiPriority w:val="99"/>
    <w:pPr>
      <w:spacing w:line="413" w:lineRule="auto"/>
    </w:pPr>
    <w:rPr>
      <w:rFonts w:ascii="Arial" w:hAnsi="Arial"/>
    </w:rPr>
  </w:style>
  <w:style w:type="character" w:customStyle="1" w:styleId="182">
    <w:name w:val="Char Char6"/>
    <w:qFormat/>
    <w:uiPriority w:val="99"/>
    <w:rPr>
      <w:rFonts w:eastAsia="宋体"/>
      <w:b/>
      <w:bCs/>
      <w:kern w:val="44"/>
      <w:sz w:val="32"/>
      <w:szCs w:val="44"/>
      <w:lang w:val="en-US" w:eastAsia="zh-CN" w:bidi="ar-SA"/>
    </w:rPr>
  </w:style>
  <w:style w:type="character" w:customStyle="1" w:styleId="183">
    <w:name w:val="Heading 4 Char"/>
    <w:qFormat/>
    <w:uiPriority w:val="99"/>
    <w:rPr>
      <w:rFonts w:ascii="Arial" w:hAnsi="Arial" w:eastAsia="宋体"/>
      <w:b/>
      <w:bCs/>
      <w:kern w:val="2"/>
      <w:sz w:val="21"/>
      <w:szCs w:val="28"/>
      <w:lang w:val="en-US" w:eastAsia="zh-CN" w:bidi="ar-SA"/>
    </w:rPr>
  </w:style>
  <w:style w:type="paragraph" w:customStyle="1" w:styleId="184">
    <w:name w:val="无间隔1"/>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185">
    <w:name w:val="列出段落1"/>
    <w:basedOn w:val="1"/>
    <w:qFormat/>
    <w:uiPriority w:val="99"/>
    <w:pPr>
      <w:ind w:firstLine="420" w:firstLineChars="200"/>
    </w:pPr>
    <w:rPr>
      <w:rFonts w:ascii="Calibri" w:hAnsi="Calibri"/>
      <w:szCs w:val="22"/>
    </w:rPr>
  </w:style>
  <w:style w:type="character" w:customStyle="1" w:styleId="186">
    <w:name w:val="明显引用 Char2"/>
    <w:basedOn w:val="59"/>
    <w:qFormat/>
    <w:uiPriority w:val="30"/>
    <w:rPr>
      <w:rFonts w:ascii="宋体" w:hAnsi="Courier New"/>
      <w:b/>
      <w:bCs/>
      <w:i/>
      <w:iCs/>
      <w:color w:val="4F81BD"/>
      <w:kern w:val="2"/>
      <w:sz w:val="21"/>
    </w:rPr>
  </w:style>
  <w:style w:type="paragraph" w:customStyle="1" w:styleId="187">
    <w:name w:val="样式 标题 3 + (中文) 黑体 小四 非加粗 段前: 7.8 磅 段后: 0 磅 行距: 固定值 20 磅"/>
    <w:basedOn w:val="5"/>
    <w:qFormat/>
    <w:uiPriority w:val="99"/>
    <w:pPr>
      <w:spacing w:before="0" w:after="0" w:line="400" w:lineRule="exact"/>
    </w:pPr>
    <w:rPr>
      <w:rFonts w:ascii="Times New Roman" w:hAnsi="Times New Roman" w:eastAsia="黑体" w:cs="宋体"/>
      <w:b w:val="0"/>
      <w:bCs w:val="0"/>
      <w:kern w:val="2"/>
      <w:sz w:val="21"/>
      <w:szCs w:val="20"/>
    </w:rPr>
  </w:style>
  <w:style w:type="character" w:customStyle="1" w:styleId="188">
    <w:name w:val="标题 Char3"/>
    <w:basedOn w:val="59"/>
    <w:qFormat/>
    <w:uiPriority w:val="99"/>
    <w:rPr>
      <w:rFonts w:ascii="Cambria" w:hAnsi="Cambria" w:cs="Times New Roman"/>
      <w:b/>
      <w:bCs/>
      <w:kern w:val="2"/>
      <w:sz w:val="32"/>
      <w:szCs w:val="32"/>
    </w:rPr>
  </w:style>
  <w:style w:type="paragraph" w:customStyle="1" w:styleId="189">
    <w:name w:val="flNote"/>
    <w:basedOn w:val="1"/>
    <w:qFormat/>
    <w:uiPriority w:val="99"/>
    <w:pPr>
      <w:adjustRightInd w:val="0"/>
      <w:spacing w:before="320" w:after="160" w:line="360" w:lineRule="atLeast"/>
      <w:jc w:val="center"/>
      <w:textAlignment w:val="baseline"/>
    </w:pPr>
    <w:rPr>
      <w:rFonts w:ascii="Arial" w:hAnsi="Times New Roman" w:eastAsia="黑体"/>
      <w:kern w:val="0"/>
      <w:sz w:val="30"/>
    </w:rPr>
  </w:style>
  <w:style w:type="paragraph" w:customStyle="1" w:styleId="190">
    <w:name w:val="p0"/>
    <w:basedOn w:val="1"/>
    <w:qFormat/>
    <w:uiPriority w:val="99"/>
    <w:pPr>
      <w:widowControl/>
    </w:pPr>
    <w:rPr>
      <w:rFonts w:ascii="Calibri" w:hAnsi="Calibri" w:cs="宋体"/>
      <w:kern w:val="0"/>
      <w:szCs w:val="21"/>
    </w:rPr>
  </w:style>
  <w:style w:type="paragraph" w:customStyle="1" w:styleId="191">
    <w:name w:val="Char Char Char Char Char Char Char"/>
    <w:basedOn w:val="1"/>
    <w:qFormat/>
    <w:uiPriority w:val="99"/>
    <w:pPr>
      <w:widowControl/>
      <w:spacing w:after="160" w:line="240" w:lineRule="exact"/>
      <w:jc w:val="left"/>
    </w:pPr>
    <w:rPr>
      <w:rFonts w:ascii="Times New Roman" w:hAnsi="Times New Roman"/>
      <w:szCs w:val="24"/>
    </w:rPr>
  </w:style>
  <w:style w:type="paragraph" w:customStyle="1" w:styleId="192">
    <w:name w:val="样式 标题 2 + Times New Roman 四号 非加粗 段前: 5 磅 段后: 0 磅 行距: 固定值 20..."/>
    <w:basedOn w:val="4"/>
    <w:qFormat/>
    <w:uiPriority w:val="99"/>
    <w:pPr>
      <w:spacing w:before="100" w:after="0" w:line="400" w:lineRule="exact"/>
    </w:pPr>
    <w:rPr>
      <w:rFonts w:ascii="Times New Roman" w:hAnsi="Times New Roman" w:cs="宋体"/>
      <w:b w:val="0"/>
      <w:bCs w:val="0"/>
      <w:kern w:val="0"/>
      <w:sz w:val="28"/>
      <w:szCs w:val="20"/>
    </w:rPr>
  </w:style>
  <w:style w:type="paragraph" w:customStyle="1" w:styleId="193">
    <w:name w:val="_Style 37"/>
    <w:basedOn w:val="1"/>
    <w:next w:val="1"/>
    <w:qFormat/>
    <w:uiPriority w:val="99"/>
    <w:rPr>
      <w:rFonts w:ascii="Times New Roman" w:hAnsi="Times New Roman"/>
      <w:szCs w:val="24"/>
    </w:rPr>
  </w:style>
  <w:style w:type="paragraph" w:customStyle="1" w:styleId="194">
    <w:name w:val="空半行"/>
    <w:basedOn w:val="1"/>
    <w:qFormat/>
    <w:uiPriority w:val="99"/>
    <w:pPr>
      <w:adjustRightInd w:val="0"/>
      <w:spacing w:line="120" w:lineRule="exact"/>
      <w:textAlignment w:val="baseline"/>
    </w:pPr>
    <w:rPr>
      <w:rFonts w:ascii="Times New Roman" w:hAnsi="Times New Roman" w:eastAsia="仿宋_GB2312"/>
      <w:color w:val="FFFFFF"/>
      <w:kern w:val="0"/>
      <w:sz w:val="30"/>
    </w:rPr>
  </w:style>
  <w:style w:type="character" w:customStyle="1" w:styleId="195">
    <w:name w:val="副标题 字符"/>
    <w:basedOn w:val="59"/>
    <w:link w:val="40"/>
    <w:qFormat/>
    <w:uiPriority w:val="11"/>
    <w:rPr>
      <w:rFonts w:ascii="Cambria" w:hAnsi="Cambria"/>
      <w:b/>
      <w:bCs/>
      <w:kern w:val="28"/>
      <w:sz w:val="32"/>
      <w:szCs w:val="32"/>
    </w:rPr>
  </w:style>
  <w:style w:type="paragraph" w:customStyle="1" w:styleId="196">
    <w:name w:val="修订1"/>
    <w:qFormat/>
    <w:uiPriority w:val="99"/>
    <w:rPr>
      <w:rFonts w:ascii="Times New Roman" w:hAnsi="Times New Roman" w:eastAsia="宋体" w:cs="Times New Roman"/>
      <w:kern w:val="2"/>
      <w:sz w:val="21"/>
      <w:szCs w:val="24"/>
      <w:lang w:val="en-US" w:eastAsia="zh-CN" w:bidi="ar-SA"/>
    </w:rPr>
  </w:style>
  <w:style w:type="character" w:customStyle="1" w:styleId="197">
    <w:name w:val="引用 Char2"/>
    <w:basedOn w:val="59"/>
    <w:qFormat/>
    <w:uiPriority w:val="29"/>
    <w:rPr>
      <w:rFonts w:ascii="宋体" w:hAnsi="Courier New"/>
      <w:i/>
      <w:iCs/>
      <w:color w:val="000000"/>
      <w:kern w:val="2"/>
      <w:sz w:val="21"/>
    </w:rPr>
  </w:style>
  <w:style w:type="paragraph" w:customStyle="1" w:styleId="198">
    <w:name w:val="reader-word-layer"/>
    <w:basedOn w:val="1"/>
    <w:qFormat/>
    <w:uiPriority w:val="99"/>
    <w:pPr>
      <w:widowControl/>
      <w:spacing w:before="100" w:beforeAutospacing="1" w:after="100" w:afterAutospacing="1"/>
      <w:jc w:val="left"/>
    </w:pPr>
    <w:rPr>
      <w:rFonts w:hAnsi="宋体" w:cs="宋体"/>
      <w:kern w:val="0"/>
      <w:sz w:val="24"/>
      <w:szCs w:val="24"/>
    </w:rPr>
  </w:style>
  <w:style w:type="paragraph" w:customStyle="1" w:styleId="199">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0">
    <w:name w:val="标题 1_2"/>
    <w:basedOn w:val="199"/>
    <w:next w:val="199"/>
    <w:qFormat/>
    <w:uiPriority w:val="0"/>
    <w:pPr>
      <w:keepNext/>
      <w:keepLines/>
      <w:spacing w:line="360" w:lineRule="auto"/>
      <w:outlineLvl w:val="0"/>
    </w:pPr>
    <w:rPr>
      <w:b/>
      <w:bCs/>
      <w:kern w:val="44"/>
      <w:sz w:val="32"/>
      <w:szCs w:val="44"/>
    </w:rPr>
  </w:style>
  <w:style w:type="paragraph" w:customStyle="1" w:styleId="201">
    <w:name w:val="正文_5"/>
    <w:qFormat/>
    <w:uiPriority w:val="0"/>
    <w:pPr>
      <w:widowControl w:val="0"/>
      <w:jc w:val="both"/>
    </w:pPr>
    <w:rPr>
      <w:rFonts w:ascii="Calibri" w:hAnsi="Calibri" w:eastAsia="宋体" w:cs="Times New Roman"/>
      <w:kern w:val="2"/>
      <w:sz w:val="21"/>
      <w:szCs w:val="22"/>
      <w:lang w:val="en-US" w:eastAsia="zh-CN" w:bidi="ar-SA"/>
    </w:rPr>
  </w:style>
  <w:style w:type="character" w:customStyle="1" w:styleId="202">
    <w:name w:val="正文文本缩进 2 Char1"/>
    <w:semiHidden/>
    <w:qFormat/>
    <w:uiPriority w:val="99"/>
    <w:rPr>
      <w:kern w:val="2"/>
      <w:sz w:val="21"/>
      <w:szCs w:val="24"/>
    </w:rPr>
  </w:style>
  <w:style w:type="character" w:customStyle="1" w:styleId="203">
    <w:name w:val="正文缩进 字符"/>
    <w:link w:val="14"/>
    <w:qFormat/>
    <w:uiPriority w:val="0"/>
    <w:rPr>
      <w:color w:val="000000"/>
      <w:sz w:val="21"/>
      <w:u w:color="000000"/>
    </w:rPr>
  </w:style>
  <w:style w:type="character" w:customStyle="1" w:styleId="204">
    <w:name w:val="纯文本 字符"/>
    <w:qFormat/>
    <w:uiPriority w:val="0"/>
    <w:rPr>
      <w:rFonts w:ascii="宋体" w:hAnsi="Courier New" w:eastAsia="宋体" w:cs="Times New Roman"/>
      <w:kern w:val="2"/>
      <w:sz w:val="21"/>
      <w:lang w:val="en-US" w:eastAsia="zh-CN" w:bidi="ar-SA"/>
    </w:rPr>
  </w:style>
  <w:style w:type="character" w:customStyle="1" w:styleId="205">
    <w:name w:val="正文文本首行缩进 字符"/>
    <w:link w:val="55"/>
    <w:qFormat/>
    <w:uiPriority w:val="0"/>
    <w:rPr>
      <w:rFonts w:ascii="Calibri" w:hAnsi="Calibri"/>
      <w:kern w:val="2"/>
      <w:sz w:val="21"/>
      <w:szCs w:val="24"/>
    </w:rPr>
  </w:style>
  <w:style w:type="character" w:customStyle="1" w:styleId="206">
    <w:name w:val="正文首行缩进 Char"/>
    <w:basedOn w:val="96"/>
    <w:qFormat/>
    <w:uiPriority w:val="0"/>
    <w:rPr>
      <w:rFonts w:ascii="宋体" w:hAnsi="Courier New"/>
      <w:kern w:val="2"/>
      <w:sz w:val="21"/>
    </w:rPr>
  </w:style>
  <w:style w:type="character" w:customStyle="1" w:styleId="207">
    <w:name w:val="纯文本 Char2"/>
    <w:qFormat/>
    <w:uiPriority w:val="0"/>
    <w:rPr>
      <w:rFonts w:ascii="宋体" w:hAnsi="Courier New" w:eastAsia="宋体" w:cs="Times New Roman"/>
      <w:kern w:val="2"/>
      <w:sz w:val="21"/>
      <w:lang w:val="en-US" w:eastAsia="zh-CN" w:bidi="ar-SA"/>
    </w:rPr>
  </w:style>
  <w:style w:type="character" w:customStyle="1" w:styleId="208">
    <w:name w:val="HTML 预设格式 字符"/>
    <w:link w:val="50"/>
    <w:qFormat/>
    <w:uiPriority w:val="0"/>
    <w:rPr>
      <w:rFonts w:ascii="黑体" w:hAnsi="Courier New" w:eastAsia="黑体" w:cs="Courier New"/>
    </w:rPr>
  </w:style>
  <w:style w:type="character" w:customStyle="1" w:styleId="209">
    <w:name w:val="HTML 预设格式 Char1"/>
    <w:basedOn w:val="59"/>
    <w:qFormat/>
    <w:uiPriority w:val="0"/>
    <w:rPr>
      <w:rFonts w:ascii="Courier New" w:hAnsi="Courier New" w:cs="Courier New"/>
      <w:kern w:val="2"/>
    </w:rPr>
  </w:style>
  <w:style w:type="paragraph" w:customStyle="1" w:styleId="210">
    <w:name w:val="TOC 标题2"/>
    <w:basedOn w:val="3"/>
    <w:next w:val="1"/>
    <w:unhideWhenUsed/>
    <w:qFormat/>
    <w:uiPriority w:val="0"/>
    <w:pPr>
      <w:widowControl/>
      <w:spacing w:before="480" w:after="0" w:line="276" w:lineRule="auto"/>
      <w:jc w:val="left"/>
      <w:outlineLvl w:val="9"/>
    </w:pPr>
    <w:rPr>
      <w:rFonts w:ascii="Cambria" w:hAnsi="Cambria"/>
      <w:color w:val="365F91"/>
      <w:kern w:val="0"/>
      <w:sz w:val="28"/>
      <w:szCs w:val="28"/>
    </w:rPr>
  </w:style>
  <w:style w:type="character" w:customStyle="1" w:styleId="211">
    <w:name w:val="明显强调2"/>
    <w:qFormat/>
    <w:uiPriority w:val="0"/>
    <w:rPr>
      <w:b/>
      <w:bCs/>
      <w:i/>
      <w:iCs/>
      <w:color w:val="4F81BD"/>
    </w:rPr>
  </w:style>
  <w:style w:type="character" w:customStyle="1" w:styleId="212">
    <w:name w:val="书籍标题2"/>
    <w:qFormat/>
    <w:uiPriority w:val="0"/>
    <w:rPr>
      <w:b/>
      <w:bCs/>
      <w:smallCaps/>
      <w:spacing w:val="5"/>
    </w:rPr>
  </w:style>
  <w:style w:type="character" w:customStyle="1" w:styleId="213">
    <w:name w:val="不明显强调2"/>
    <w:qFormat/>
    <w:uiPriority w:val="0"/>
    <w:rPr>
      <w:i/>
      <w:iCs/>
      <w:color w:val="808080"/>
    </w:rPr>
  </w:style>
  <w:style w:type="character" w:customStyle="1" w:styleId="214">
    <w:name w:val="不明显参考2"/>
    <w:qFormat/>
    <w:uiPriority w:val="0"/>
    <w:rPr>
      <w:smallCaps/>
      <w:color w:val="C0504D"/>
      <w:u w:val="single"/>
    </w:rPr>
  </w:style>
  <w:style w:type="character" w:customStyle="1" w:styleId="215">
    <w:name w:val="明显参考2"/>
    <w:qFormat/>
    <w:uiPriority w:val="0"/>
    <w:rPr>
      <w:b/>
      <w:bCs/>
      <w:smallCaps/>
      <w:color w:val="C0504D"/>
      <w:spacing w:val="5"/>
      <w:u w:val="single"/>
    </w:rPr>
  </w:style>
  <w:style w:type="paragraph" w:customStyle="1" w:styleId="216">
    <w:name w:val="修订2"/>
    <w:qFormat/>
    <w:uiPriority w:val="99"/>
    <w:rPr>
      <w:rFonts w:ascii="Times New Roman" w:hAnsi="Times New Roman" w:eastAsia="宋体" w:cs="Times New Roman"/>
      <w:kern w:val="2"/>
      <w:sz w:val="21"/>
      <w:szCs w:val="24"/>
      <w:lang w:val="en-US" w:eastAsia="zh-CN" w:bidi="ar-SA"/>
    </w:rPr>
  </w:style>
  <w:style w:type="character" w:customStyle="1" w:styleId="217">
    <w:name w:val="Char Char91"/>
    <w:qFormat/>
    <w:uiPriority w:val="99"/>
    <w:rPr>
      <w:rFonts w:eastAsia="宋体"/>
      <w:b/>
      <w:bCs/>
      <w:kern w:val="44"/>
      <w:sz w:val="44"/>
      <w:szCs w:val="44"/>
      <w:lang w:val="en-US" w:eastAsia="zh-CN"/>
    </w:rPr>
  </w:style>
  <w:style w:type="character" w:customStyle="1" w:styleId="218">
    <w:name w:val="Char Char181"/>
    <w:qFormat/>
    <w:uiPriority w:val="99"/>
    <w:rPr>
      <w:b/>
      <w:bCs/>
      <w:kern w:val="44"/>
      <w:sz w:val="44"/>
      <w:szCs w:val="44"/>
    </w:rPr>
  </w:style>
  <w:style w:type="paragraph" w:customStyle="1" w:styleId="219">
    <w:name w:val="正文_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220">
    <w:name w:val="列出段落2"/>
    <w:basedOn w:val="1"/>
    <w:qFormat/>
    <w:uiPriority w:val="99"/>
    <w:pPr>
      <w:ind w:firstLine="420" w:firstLineChars="200"/>
    </w:pPr>
    <w:rPr>
      <w:rFonts w:ascii="Calibri" w:hAnsi="Calibri" w:cs="Calibri"/>
      <w:szCs w:val="21"/>
    </w:rPr>
  </w:style>
  <w:style w:type="paragraph" w:customStyle="1" w:styleId="221">
    <w:name w:val="引用1"/>
    <w:basedOn w:val="1"/>
    <w:next w:val="1"/>
    <w:qFormat/>
    <w:uiPriority w:val="99"/>
    <w:rPr>
      <w:rFonts w:ascii="Times New Roman" w:hAnsi="Times New Roman"/>
      <w:i/>
      <w:iCs/>
      <w:color w:val="000000"/>
      <w:kern w:val="0"/>
      <w:sz w:val="20"/>
      <w:lang w:val="zh-CN"/>
    </w:rPr>
  </w:style>
  <w:style w:type="paragraph" w:customStyle="1" w:styleId="222">
    <w:name w:val="无间隔1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223">
    <w:name w:val="明显引用1"/>
    <w:basedOn w:val="1"/>
    <w:next w:val="1"/>
    <w:qFormat/>
    <w:uiPriority w:val="99"/>
    <w:pPr>
      <w:pBdr>
        <w:bottom w:val="single" w:color="4F81BD" w:sz="4" w:space="4"/>
      </w:pBdr>
      <w:spacing w:before="200" w:after="280"/>
      <w:ind w:left="936" w:right="936"/>
    </w:pPr>
    <w:rPr>
      <w:rFonts w:ascii="Times New Roman" w:hAnsi="Times New Roman"/>
      <w:b/>
      <w:bCs/>
      <w:i/>
      <w:iCs/>
      <w:color w:val="4F81BD"/>
      <w:kern w:val="0"/>
      <w:sz w:val="20"/>
      <w:lang w:val="zh-CN"/>
    </w:rPr>
  </w:style>
  <w:style w:type="character" w:customStyle="1" w:styleId="224">
    <w:name w:val="文档结构图 Char2"/>
    <w:semiHidden/>
    <w:qFormat/>
    <w:uiPriority w:val="99"/>
    <w:rPr>
      <w:rFonts w:hint="eastAsia" w:ascii="宋体" w:hAnsi="宋体" w:eastAsia="宋体"/>
      <w:kern w:val="2"/>
      <w:sz w:val="18"/>
      <w:szCs w:val="18"/>
    </w:rPr>
  </w:style>
  <w:style w:type="character" w:customStyle="1" w:styleId="225">
    <w:name w:val="脚注文本 Char1"/>
    <w:semiHidden/>
    <w:qFormat/>
    <w:uiPriority w:val="99"/>
    <w:rPr>
      <w:kern w:val="2"/>
      <w:sz w:val="18"/>
      <w:szCs w:val="18"/>
    </w:rPr>
  </w:style>
  <w:style w:type="character" w:customStyle="1" w:styleId="226">
    <w:name w:val="纯文本 Char3"/>
    <w:link w:val="227"/>
    <w:qFormat/>
    <w:uiPriority w:val="0"/>
    <w:rPr>
      <w:rFonts w:ascii="宋体" w:hAnsi="Courier New"/>
      <w:kern w:val="2"/>
      <w:sz w:val="21"/>
    </w:rPr>
  </w:style>
  <w:style w:type="paragraph" w:customStyle="1" w:styleId="227">
    <w:name w:val="纯文本_0"/>
    <w:basedOn w:val="228"/>
    <w:link w:val="226"/>
    <w:qFormat/>
    <w:uiPriority w:val="0"/>
    <w:rPr>
      <w:rFonts w:ascii="宋体" w:hAnsi="Courier New"/>
      <w:szCs w:val="20"/>
    </w:rPr>
  </w:style>
  <w:style w:type="paragraph" w:customStyle="1" w:styleId="228">
    <w:name w:val="正文_2"/>
    <w:next w:val="229"/>
    <w:qFormat/>
    <w:uiPriority w:val="0"/>
    <w:pPr>
      <w:widowControl w:val="0"/>
      <w:jc w:val="both"/>
    </w:pPr>
    <w:rPr>
      <w:rFonts w:ascii="Calibri" w:hAnsi="Calibri" w:eastAsia="宋体" w:cs="Times New Roman"/>
      <w:kern w:val="2"/>
      <w:sz w:val="21"/>
      <w:szCs w:val="22"/>
      <w:lang w:val="en-US" w:eastAsia="zh-CN" w:bidi="ar-SA"/>
    </w:rPr>
  </w:style>
  <w:style w:type="paragraph" w:customStyle="1" w:styleId="229">
    <w:name w:val="样式 正文 + 首行缩进:  2 字符_0"/>
    <w:basedOn w:val="228"/>
    <w:qFormat/>
    <w:uiPriority w:val="0"/>
  </w:style>
  <w:style w:type="character" w:customStyle="1" w:styleId="230">
    <w:name w:val="fontstyle31"/>
    <w:qFormat/>
    <w:uiPriority w:val="0"/>
    <w:rPr>
      <w:rFonts w:hint="eastAsia" w:ascii="黑体" w:hAnsi="黑体" w:eastAsia="黑体"/>
      <w:color w:val="000000"/>
      <w:sz w:val="28"/>
      <w:szCs w:val="28"/>
    </w:rPr>
  </w:style>
  <w:style w:type="character" w:customStyle="1" w:styleId="231">
    <w:name w:val="正文文本 Char2"/>
    <w:semiHidden/>
    <w:qFormat/>
    <w:uiPriority w:val="99"/>
    <w:rPr>
      <w:kern w:val="2"/>
      <w:sz w:val="21"/>
      <w:szCs w:val="21"/>
    </w:rPr>
  </w:style>
  <w:style w:type="character" w:customStyle="1" w:styleId="232">
    <w:name w:val="fontstyle01"/>
    <w:qFormat/>
    <w:uiPriority w:val="0"/>
    <w:rPr>
      <w:rFonts w:hint="eastAsia" w:ascii="宋体" w:hAnsi="宋体" w:eastAsia="宋体"/>
      <w:color w:val="000000"/>
      <w:sz w:val="22"/>
      <w:szCs w:val="22"/>
    </w:rPr>
  </w:style>
  <w:style w:type="character" w:customStyle="1" w:styleId="233">
    <w:name w:val="标题 2 Char_0"/>
    <w:link w:val="234"/>
    <w:qFormat/>
    <w:uiPriority w:val="99"/>
    <w:rPr>
      <w:rFonts w:ascii="Arial" w:hAnsi="Arial" w:eastAsia="黑体"/>
      <w:b/>
      <w:sz w:val="32"/>
    </w:rPr>
  </w:style>
  <w:style w:type="paragraph" w:customStyle="1" w:styleId="234">
    <w:name w:val="标题 2_0"/>
    <w:basedOn w:val="228"/>
    <w:next w:val="228"/>
    <w:link w:val="233"/>
    <w:qFormat/>
    <w:uiPriority w:val="99"/>
    <w:pPr>
      <w:keepNext/>
      <w:keepLines/>
      <w:spacing w:before="260" w:after="260" w:line="412" w:lineRule="auto"/>
      <w:outlineLvl w:val="1"/>
    </w:pPr>
    <w:rPr>
      <w:rFonts w:ascii="Arial" w:hAnsi="Arial" w:eastAsia="黑体"/>
      <w:b/>
      <w:kern w:val="0"/>
      <w:sz w:val="32"/>
      <w:szCs w:val="20"/>
    </w:rPr>
  </w:style>
  <w:style w:type="character" w:customStyle="1" w:styleId="235">
    <w:name w:val="批注主题 Char2"/>
    <w:semiHidden/>
    <w:qFormat/>
    <w:uiPriority w:val="99"/>
    <w:rPr>
      <w:b/>
      <w:bCs/>
      <w:kern w:val="2"/>
      <w:sz w:val="21"/>
      <w:szCs w:val="21"/>
    </w:rPr>
  </w:style>
  <w:style w:type="character" w:customStyle="1" w:styleId="236">
    <w:name w:val="日期 Char2"/>
    <w:semiHidden/>
    <w:qFormat/>
    <w:uiPriority w:val="99"/>
    <w:rPr>
      <w:kern w:val="2"/>
      <w:sz w:val="21"/>
      <w:szCs w:val="21"/>
    </w:rPr>
  </w:style>
  <w:style w:type="character" w:customStyle="1" w:styleId="237">
    <w:name w:val="fontstyle51"/>
    <w:qFormat/>
    <w:uiPriority w:val="0"/>
    <w:rPr>
      <w:rFonts w:hint="eastAsia" w:ascii="楷体" w:hAnsi="楷体" w:eastAsia="楷体"/>
      <w:color w:val="000000"/>
      <w:sz w:val="22"/>
      <w:szCs w:val="22"/>
    </w:rPr>
  </w:style>
  <w:style w:type="character" w:customStyle="1" w:styleId="238">
    <w:name w:val="正文文本 Char2_0"/>
    <w:link w:val="239"/>
    <w:qFormat/>
    <w:uiPriority w:val="0"/>
    <w:rPr>
      <w:kern w:val="2"/>
      <w:sz w:val="21"/>
      <w:szCs w:val="24"/>
    </w:rPr>
  </w:style>
  <w:style w:type="paragraph" w:customStyle="1" w:styleId="239">
    <w:name w:val="正文文本_0"/>
    <w:basedOn w:val="228"/>
    <w:link w:val="238"/>
    <w:qFormat/>
    <w:uiPriority w:val="0"/>
    <w:pPr>
      <w:spacing w:after="120"/>
    </w:pPr>
    <w:rPr>
      <w:rFonts w:ascii="Times New Roman" w:hAnsi="Times New Roman"/>
      <w:szCs w:val="24"/>
    </w:rPr>
  </w:style>
  <w:style w:type="character" w:customStyle="1" w:styleId="240">
    <w:name w:val="副标题 Char1"/>
    <w:qFormat/>
    <w:uiPriority w:val="11"/>
    <w:rPr>
      <w:rFonts w:hint="default" w:ascii="Cambria" w:hAnsi="Cambria" w:cs="Times New Roman"/>
      <w:b/>
      <w:bCs/>
      <w:kern w:val="28"/>
      <w:sz w:val="32"/>
      <w:szCs w:val="32"/>
    </w:rPr>
  </w:style>
  <w:style w:type="character" w:customStyle="1" w:styleId="241">
    <w:name w:val="正文文本缩进 Char1"/>
    <w:semiHidden/>
    <w:qFormat/>
    <w:uiPriority w:val="99"/>
    <w:rPr>
      <w:kern w:val="2"/>
      <w:sz w:val="21"/>
      <w:szCs w:val="21"/>
    </w:rPr>
  </w:style>
  <w:style w:type="character" w:customStyle="1" w:styleId="242">
    <w:name w:val="页眉 Char1"/>
    <w:semiHidden/>
    <w:qFormat/>
    <w:uiPriority w:val="99"/>
    <w:rPr>
      <w:kern w:val="2"/>
      <w:sz w:val="18"/>
      <w:szCs w:val="18"/>
    </w:rPr>
  </w:style>
  <w:style w:type="character" w:customStyle="1" w:styleId="243">
    <w:name w:val="fontstyle41"/>
    <w:qFormat/>
    <w:uiPriority w:val="0"/>
    <w:rPr>
      <w:rFonts w:hint="default" w:ascii="Times New Roman" w:hAnsi="Times New Roman" w:cs="Times New Roman"/>
      <w:color w:val="000000"/>
      <w:sz w:val="18"/>
      <w:szCs w:val="18"/>
    </w:rPr>
  </w:style>
  <w:style w:type="character" w:customStyle="1" w:styleId="244">
    <w:name w:val="fontstyle21"/>
    <w:qFormat/>
    <w:uiPriority w:val="0"/>
    <w:rPr>
      <w:rFonts w:hint="default" w:ascii="Times New Roman" w:hAnsi="Times New Roman" w:cs="Times New Roman"/>
      <w:b/>
      <w:bCs/>
      <w:color w:val="000000"/>
      <w:sz w:val="22"/>
      <w:szCs w:val="22"/>
    </w:rPr>
  </w:style>
  <w:style w:type="character" w:customStyle="1" w:styleId="245">
    <w:name w:val="页脚 Char1"/>
    <w:semiHidden/>
    <w:qFormat/>
    <w:uiPriority w:val="99"/>
    <w:rPr>
      <w:kern w:val="2"/>
      <w:sz w:val="18"/>
      <w:szCs w:val="18"/>
    </w:rPr>
  </w:style>
  <w:style w:type="character" w:customStyle="1" w:styleId="246">
    <w:name w:val="标题 3 Char_0"/>
    <w:link w:val="247"/>
    <w:qFormat/>
    <w:uiPriority w:val="99"/>
    <w:rPr>
      <w:b/>
      <w:bCs/>
      <w:kern w:val="2"/>
      <w:sz w:val="32"/>
      <w:szCs w:val="32"/>
    </w:rPr>
  </w:style>
  <w:style w:type="paragraph" w:customStyle="1" w:styleId="247">
    <w:name w:val="标题 3_0"/>
    <w:basedOn w:val="228"/>
    <w:next w:val="228"/>
    <w:link w:val="246"/>
    <w:unhideWhenUsed/>
    <w:qFormat/>
    <w:uiPriority w:val="99"/>
    <w:pPr>
      <w:keepNext/>
      <w:keepLines/>
      <w:spacing w:before="260" w:after="260" w:line="416" w:lineRule="auto"/>
      <w:outlineLvl w:val="2"/>
    </w:pPr>
    <w:rPr>
      <w:rFonts w:ascii="Times New Roman" w:hAnsi="Times New Roman"/>
      <w:b/>
      <w:bCs/>
      <w:sz w:val="32"/>
      <w:szCs w:val="32"/>
    </w:rPr>
  </w:style>
  <w:style w:type="character" w:customStyle="1" w:styleId="248">
    <w:name w:val="批注框文本 Char2"/>
    <w:semiHidden/>
    <w:qFormat/>
    <w:uiPriority w:val="99"/>
    <w:rPr>
      <w:kern w:val="2"/>
      <w:sz w:val="18"/>
      <w:szCs w:val="18"/>
    </w:rPr>
  </w:style>
  <w:style w:type="character" w:customStyle="1" w:styleId="249">
    <w:name w:val="批注文字 Char3"/>
    <w:semiHidden/>
    <w:qFormat/>
    <w:locked/>
    <w:uiPriority w:val="0"/>
    <w:rPr>
      <w:kern w:val="2"/>
      <w:sz w:val="21"/>
      <w:szCs w:val="21"/>
    </w:rPr>
  </w:style>
  <w:style w:type="paragraph" w:customStyle="1" w:styleId="250">
    <w:name w:val="Normal_0"/>
    <w:qFormat/>
    <w:uiPriority w:val="0"/>
    <w:rPr>
      <w:rFonts w:ascii="Times New Roman" w:hAnsi="Times New Roman" w:eastAsia="Times New Roman" w:cs="Times New Roman"/>
      <w:sz w:val="24"/>
      <w:szCs w:val="24"/>
      <w:lang w:val="en-US" w:eastAsia="zh-CN" w:bidi="ar-SA"/>
    </w:rPr>
  </w:style>
  <w:style w:type="paragraph" w:customStyle="1" w:styleId="251">
    <w:name w:val="_Style 58"/>
    <w:semiHidden/>
    <w:qFormat/>
    <w:uiPriority w:val="99"/>
    <w:rPr>
      <w:rFonts w:ascii="Times New Roman" w:hAnsi="Times New Roman" w:eastAsia="宋体" w:cs="Times New Roman"/>
      <w:kern w:val="2"/>
      <w:sz w:val="21"/>
      <w:szCs w:val="21"/>
      <w:lang w:val="en-US" w:eastAsia="zh-CN" w:bidi="ar-SA"/>
    </w:rPr>
  </w:style>
  <w:style w:type="paragraph" w:customStyle="1" w:styleId="252">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253">
    <w:name w:val="修订3"/>
    <w:semiHidden/>
    <w:qFormat/>
    <w:uiPriority w:val="99"/>
    <w:rPr>
      <w:rFonts w:ascii="Times New Roman" w:hAnsi="Times New Roman" w:eastAsia="宋体" w:cs="Times New Roman"/>
      <w:kern w:val="2"/>
      <w:sz w:val="21"/>
      <w:szCs w:val="21"/>
      <w:lang w:val="en-US" w:eastAsia="zh-CN" w:bidi="ar-SA"/>
    </w:rPr>
  </w:style>
  <w:style w:type="paragraph" w:customStyle="1" w:styleId="254">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55">
    <w:name w:val="表格文字"/>
    <w:basedOn w:val="21"/>
    <w:qFormat/>
    <w:uiPriority w:val="0"/>
    <w:pPr>
      <w:spacing w:before="25" w:after="25"/>
      <w:jc w:val="left"/>
    </w:pPr>
    <w:rPr>
      <w:bCs/>
      <w:spacing w:val="10"/>
      <w:kern w:val="0"/>
      <w:sz w:val="24"/>
      <w:szCs w:val="20"/>
    </w:rPr>
  </w:style>
  <w:style w:type="paragraph" w:customStyle="1" w:styleId="256">
    <w:name w:val="正文_2_0"/>
    <w:next w:val="257"/>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57">
    <w:name w:val="正文首行缩进_0"/>
    <w:basedOn w:val="258"/>
    <w:qFormat/>
    <w:uiPriority w:val="0"/>
    <w:pPr>
      <w:autoSpaceDE/>
      <w:autoSpaceDN/>
      <w:adjustRightInd/>
      <w:spacing w:after="120" w:line="240" w:lineRule="auto"/>
      <w:ind w:firstLine="420" w:firstLineChars="100"/>
    </w:pPr>
    <w:rPr>
      <w:rFonts w:ascii="Times New Roman" w:eastAsia="宋体"/>
      <w:color w:val="auto"/>
      <w:kern w:val="2"/>
      <w:sz w:val="21"/>
      <w:szCs w:val="24"/>
    </w:rPr>
  </w:style>
  <w:style w:type="paragraph" w:customStyle="1" w:styleId="258">
    <w:name w:val="正文文本_1"/>
    <w:basedOn w:val="256"/>
    <w:qFormat/>
    <w:uiPriority w:val="99"/>
    <w:pPr>
      <w:adjustRightInd w:val="0"/>
      <w:spacing w:after="60" w:line="360" w:lineRule="atLeast"/>
      <w:ind w:left="72" w:leftChars="30" w:right="30" w:rightChars="30"/>
      <w:jc w:val="center"/>
      <w:textAlignment w:val="baseline"/>
    </w:pPr>
    <w:rPr>
      <w:rFonts w:ascii="Times New Roman" w:hAnsi="Times New Roman"/>
    </w:r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header" Target="header3.xml"/><Relationship Id="rId10" Type="http://schemas.openxmlformats.org/officeDocument/2006/relationships/footer" Target="foot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0AFC0D6-0906-427B-A67F-A6CF398BCD6C}">
  <ds:schemaRefs/>
</ds:datastoreItem>
</file>

<file path=docProps/app.xml><?xml version="1.0" encoding="utf-8"?>
<Properties xmlns="http://schemas.openxmlformats.org/officeDocument/2006/extended-properties" xmlns:vt="http://schemas.openxmlformats.org/officeDocument/2006/docPropsVTypes">
  <Template>Normal</Template>
  <Pages>109</Pages>
  <Words>14724</Words>
  <Characters>15472</Characters>
  <Lines>572</Lines>
  <Paragraphs>161</Paragraphs>
  <TotalTime>96</TotalTime>
  <ScaleCrop>false</ScaleCrop>
  <LinksUpToDate>false</LinksUpToDate>
  <CharactersWithSpaces>15783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2023-08-17T11:30:00Z</dcterms:created>
  <dc:creator>Administrator</dc:creator>
  <cp:lastModifiedBy>Administrator</cp:lastModifiedBy>
  <cp:lastPrinted>2023-12-13T07:42:00Z</cp:lastPrinted>
  <dcterms:modified xsi:type="dcterms:W3CDTF">2026-08-06T06:03:36Z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FB82BB817D84458BB7FF9369832825C3_13</vt:lpwstr>
  </property>
  <property fmtid="{D5CDD505-2E9C-101B-9397-08002B2CF9AE}" pid="4" name="KSOTemplateDocerSaveRecord">
    <vt:lpwstr>eyJoZGlkIjoiYTljMzc1ZDIyMTNjM2IxZTQ4NGM2MTAxZDE4YzZjYzYiLCJ1c2VySWQiOiIxNDU2MjM0MDA4In0=</vt:lpwstr>
  </property>
</Properties>
</file>