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FCFC15">
      <w:pPr>
        <w:numPr>
          <w:numId w:val="0"/>
        </w:numPr>
        <w:shd w:val="clear" w:color="auto" w:fill="FFFFFF"/>
        <w:spacing w:line="600" w:lineRule="exact"/>
        <w:ind w:left="0" w:leftChars="0" w:right="0" w:rightChars="0" w:firstLine="0" w:firstLineChars="0"/>
        <w:jc w:val="center"/>
        <w:outlineLvl w:val="0"/>
        <w:rPr>
          <w:rFonts w:hint="eastAsia" w:ascii="宋体" w:hAnsi="宋体" w:eastAsia="宋体" w:cs="宋体"/>
          <w:b/>
          <w:bCs/>
          <w:color w:val="auto"/>
          <w:sz w:val="36"/>
          <w:szCs w:val="36"/>
          <w:highlight w:val="none"/>
        </w:rPr>
      </w:pPr>
      <w:bookmarkStart w:id="0" w:name="_Toc12510"/>
      <w:bookmarkStart w:id="1" w:name="OLE_LINK31"/>
      <w:bookmarkStart w:id="7" w:name="_GoBack"/>
      <w:bookmarkEnd w:id="7"/>
      <w:r>
        <w:rPr>
          <w:rFonts w:hint="eastAsia" w:ascii="宋体" w:hAnsi="宋体" w:eastAsia="宋体" w:cs="宋体"/>
          <w:b/>
          <w:bCs/>
          <w:color w:val="auto"/>
          <w:sz w:val="36"/>
          <w:szCs w:val="36"/>
          <w:highlight w:val="none"/>
        </w:rPr>
        <w:t>项目需求和说明</w:t>
      </w:r>
      <w:bookmarkEnd w:id="0"/>
    </w:p>
    <w:bookmarkEnd w:id="1"/>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2"/>
        <w:gridCol w:w="6670"/>
      </w:tblGrid>
      <w:tr w14:paraId="7E65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52912478">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w:t>
            </w:r>
          </w:p>
        </w:tc>
        <w:tc>
          <w:tcPr>
            <w:tcW w:w="6670" w:type="dxa"/>
            <w:noWrap w:val="0"/>
            <w:vAlign w:val="center"/>
          </w:tcPr>
          <w:p w14:paraId="4510CCCE">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highlight w:val="none"/>
                <w:lang w:eastAsia="zh-CN"/>
              </w:rPr>
              <w:t>2026年防城港市金湾实验幼儿园暖心工程项目</w:t>
            </w:r>
          </w:p>
        </w:tc>
      </w:tr>
      <w:tr w14:paraId="4AEE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0B66D6AF">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建设地点</w:t>
            </w:r>
          </w:p>
        </w:tc>
        <w:tc>
          <w:tcPr>
            <w:tcW w:w="6670" w:type="dxa"/>
            <w:noWrap w:val="0"/>
            <w:vAlign w:val="center"/>
          </w:tcPr>
          <w:p w14:paraId="2D4D6BBC">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jc w:val="lef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highlight w:val="none"/>
                <w:lang w:val="en-US" w:eastAsia="zh-CN"/>
              </w:rPr>
              <w:t>防城港市港口区</w:t>
            </w:r>
          </w:p>
        </w:tc>
      </w:tr>
      <w:tr w14:paraId="0BF0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402" w:type="dxa"/>
            <w:noWrap w:val="0"/>
            <w:vAlign w:val="center"/>
          </w:tcPr>
          <w:p w14:paraId="319F18E3">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建设内容</w:t>
            </w:r>
          </w:p>
        </w:tc>
        <w:tc>
          <w:tcPr>
            <w:tcW w:w="6670" w:type="dxa"/>
            <w:noWrap w:val="0"/>
            <w:vAlign w:val="center"/>
          </w:tcPr>
          <w:p w14:paraId="7AF03BAF">
            <w:pPr>
              <w:keepNext w:val="0"/>
              <w:keepLines w:val="0"/>
              <w:pageBreakBefore w:val="0"/>
              <w:widowControl w:val="0"/>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   本次建设内容建设范围及内容:</w:t>
            </w:r>
          </w:p>
          <w:p w14:paraId="4AC56154">
            <w:pPr>
              <w:keepNext w:val="0"/>
              <w:keepLines w:val="0"/>
              <w:pageBreakBefore w:val="0"/>
              <w:widowControl w:val="0"/>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1.原有木地板和踢脚拆除后更换新的木地板及踢脚线；</w:t>
            </w:r>
          </w:p>
          <w:p w14:paraId="5F56362E">
            <w:pPr>
              <w:keepNext w:val="0"/>
              <w:keepLines w:val="0"/>
              <w:pageBreakBefore w:val="0"/>
              <w:widowControl w:val="0"/>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2.原有楼梯平台栏杆拆除砖砌窗台1.1m高后加装窗户、地面架空做垫层后铺瓷砖及墙裙；</w:t>
            </w:r>
          </w:p>
          <w:p w14:paraId="617ECF85">
            <w:pPr>
              <w:keepNext w:val="0"/>
              <w:keepLines w:val="0"/>
              <w:pageBreakBefore w:val="0"/>
              <w:widowControl w:val="0"/>
              <w:kinsoku/>
              <w:wordWrap/>
              <w:overflowPunct/>
              <w:topLinePunct w:val="0"/>
              <w:autoSpaceDE/>
              <w:autoSpaceDN/>
              <w:bidi w:val="0"/>
              <w:adjustRightInd/>
              <w:snapToGrid/>
              <w:spacing w:line="350" w:lineRule="exact"/>
              <w:ind w:leftChars="0" w:firstLine="420" w:firstLineChars="200"/>
              <w:jc w:val="lef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u w:val="none"/>
                <w:lang w:val="en-US" w:eastAsia="zh-CN"/>
              </w:rPr>
              <w:t>3.原有连廊栏杆拆除后二次利用栏杆安装等，详见图纸及工程量清单。</w:t>
            </w:r>
          </w:p>
        </w:tc>
      </w:tr>
      <w:tr w14:paraId="0C37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0327DCE3">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工程预算（</w:t>
            </w:r>
            <w:r>
              <w:rPr>
                <w:rFonts w:hint="eastAsia" w:ascii="宋体" w:hAnsi="宋体" w:eastAsia="宋体" w:cs="宋体"/>
                <w:color w:val="auto"/>
                <w:sz w:val="21"/>
                <w:szCs w:val="21"/>
                <w:highlight w:val="none"/>
                <w:lang w:val="en-US" w:eastAsia="zh-CN"/>
              </w:rPr>
              <w:t>招标控制价</w:t>
            </w:r>
            <w:r>
              <w:rPr>
                <w:rFonts w:hint="eastAsia" w:ascii="宋体" w:hAnsi="宋体" w:eastAsia="宋体" w:cs="宋体"/>
                <w:color w:val="auto"/>
                <w:sz w:val="21"/>
                <w:szCs w:val="21"/>
                <w:highlight w:val="none"/>
              </w:rPr>
              <w:t>）</w:t>
            </w:r>
          </w:p>
        </w:tc>
        <w:tc>
          <w:tcPr>
            <w:tcW w:w="6670" w:type="dxa"/>
            <w:noWrap w:val="0"/>
            <w:vAlign w:val="center"/>
          </w:tcPr>
          <w:p w14:paraId="0237D977">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经</w:t>
            </w:r>
            <w:r>
              <w:rPr>
                <w:rFonts w:hint="eastAsia" w:ascii="宋体" w:hAnsi="宋体" w:eastAsia="宋体" w:cs="宋体"/>
                <w:b/>
                <w:bCs/>
                <w:color w:val="auto"/>
                <w:sz w:val="21"/>
                <w:szCs w:val="21"/>
                <w:highlight w:val="none"/>
                <w:lang w:val="en-US" w:eastAsia="zh-CN"/>
              </w:rPr>
              <w:t>采购</w:t>
            </w:r>
            <w:r>
              <w:rPr>
                <w:rFonts w:hint="eastAsia" w:ascii="宋体" w:hAnsi="宋体" w:eastAsia="宋体" w:cs="宋体"/>
                <w:b/>
                <w:bCs/>
                <w:color w:val="auto"/>
                <w:sz w:val="21"/>
                <w:szCs w:val="21"/>
                <w:highlight w:val="none"/>
                <w:lang w:eastAsia="zh-CN"/>
              </w:rPr>
              <w:t>人确认，本项目招标控制价</w:t>
            </w:r>
            <w:r>
              <w:rPr>
                <w:rFonts w:hint="eastAsia" w:ascii="宋体" w:hAnsi="宋体" w:eastAsia="宋体" w:cs="宋体"/>
                <w:b/>
                <w:bCs/>
                <w:color w:val="auto"/>
                <w:sz w:val="21"/>
                <w:szCs w:val="21"/>
                <w:highlight w:val="none"/>
                <w:lang w:val="en-US" w:eastAsia="zh-CN"/>
              </w:rPr>
              <w:t>为人民币玖拾玖万壹仟捌佰零贰元伍角玖分（¥991,802.59）</w:t>
            </w:r>
            <w:r>
              <w:rPr>
                <w:rFonts w:hint="eastAsia" w:ascii="宋体" w:hAnsi="宋体" w:eastAsia="宋体" w:cs="宋体"/>
                <w:b/>
                <w:bCs/>
                <w:color w:val="auto"/>
                <w:sz w:val="21"/>
                <w:szCs w:val="21"/>
                <w:highlight w:val="none"/>
                <w:u w:val="none"/>
                <w:lang w:val="en-US" w:eastAsia="zh-CN"/>
              </w:rPr>
              <w:t>，</w:t>
            </w:r>
            <w:r>
              <w:rPr>
                <w:rFonts w:hint="eastAsia" w:ascii="宋体" w:hAnsi="宋体" w:eastAsia="宋体" w:cs="宋体"/>
                <w:b/>
                <w:bCs/>
                <w:color w:val="auto"/>
                <w:sz w:val="21"/>
                <w:szCs w:val="21"/>
                <w:highlight w:val="none"/>
                <w:lang w:eastAsia="zh-CN"/>
              </w:rPr>
              <w:t>供应商的磋商报价不能超出此控制价，否则磋商无效。</w:t>
            </w:r>
          </w:p>
        </w:tc>
      </w:tr>
      <w:tr w14:paraId="1CF7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7ABA827E">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质量标准</w:t>
            </w:r>
          </w:p>
        </w:tc>
        <w:tc>
          <w:tcPr>
            <w:tcW w:w="6670" w:type="dxa"/>
            <w:noWrap w:val="0"/>
            <w:vAlign w:val="center"/>
          </w:tcPr>
          <w:p w14:paraId="4BD15788">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highlight w:val="none"/>
              </w:rPr>
              <w:t>符合现行国家及相关行业质量验收合格标准。</w:t>
            </w:r>
          </w:p>
        </w:tc>
      </w:tr>
      <w:tr w14:paraId="1F1A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569F94AC">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工期要求</w:t>
            </w:r>
          </w:p>
        </w:tc>
        <w:tc>
          <w:tcPr>
            <w:tcW w:w="6670" w:type="dxa"/>
            <w:noWrap w:val="0"/>
            <w:vAlign w:val="center"/>
          </w:tcPr>
          <w:p w14:paraId="739BD5FA">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textAlignment w:val="auto"/>
              <w:rPr>
                <w:rFonts w:hint="eastAsia" w:ascii="宋体" w:hAnsi="宋体" w:eastAsia="宋体" w:cs="宋体"/>
                <w:color w:val="auto"/>
                <w:sz w:val="21"/>
                <w:szCs w:val="21"/>
                <w:highlight w:val="none"/>
                <w:u w:val="none"/>
              </w:rPr>
            </w:pPr>
            <w:r>
              <w:rPr>
                <w:rFonts w:hint="eastAsia" w:ascii="宋体" w:hAnsi="宋体" w:eastAsia="宋体" w:cs="宋体"/>
                <w:b/>
                <w:bCs/>
                <w:color w:val="auto"/>
                <w:sz w:val="21"/>
                <w:highlight w:val="none"/>
                <w:u w:val="none"/>
                <w:lang w:val="en-US" w:eastAsia="zh-CN"/>
              </w:rPr>
              <w:t>本项目总工期14日历天，须按期完成全部施工内容并竣工验收交付。</w:t>
            </w:r>
          </w:p>
        </w:tc>
      </w:tr>
      <w:tr w14:paraId="3656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6E560060">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jc w:val="center"/>
              <w:textAlignment w:val="auto"/>
              <w:rPr>
                <w:rFonts w:hint="eastAsia" w:ascii="宋体" w:hAnsi="宋体" w:eastAsia="宋体" w:cs="宋体"/>
                <w:color w:val="auto"/>
                <w:sz w:val="21"/>
                <w:szCs w:val="21"/>
                <w:highlight w:val="none"/>
              </w:rPr>
            </w:pPr>
            <w:r>
              <w:rPr>
                <w:rFonts w:hint="eastAsia" w:ascii="宋体" w:hAnsi="Times New Roman" w:eastAsia="宋体" w:cs="宋体"/>
                <w:color w:val="auto"/>
                <w:sz w:val="21"/>
              </w:rPr>
              <w:t>采购标的对应的中小企业划分标准所属行业名称</w:t>
            </w:r>
          </w:p>
        </w:tc>
        <w:tc>
          <w:tcPr>
            <w:tcW w:w="6670" w:type="dxa"/>
            <w:noWrap w:val="0"/>
            <w:vAlign w:val="center"/>
          </w:tcPr>
          <w:p w14:paraId="372CC5AD">
            <w:pPr>
              <w:keepNext w:val="0"/>
              <w:keepLines w:val="0"/>
              <w:pageBreakBefore w:val="0"/>
              <w:widowControl w:val="0"/>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建筑业</w:t>
            </w:r>
          </w:p>
        </w:tc>
      </w:tr>
      <w:tr w14:paraId="3234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405273D6">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付款方式及其他要求</w:t>
            </w:r>
          </w:p>
        </w:tc>
        <w:tc>
          <w:tcPr>
            <w:tcW w:w="6670" w:type="dxa"/>
            <w:noWrap w:val="0"/>
            <w:vAlign w:val="center"/>
          </w:tcPr>
          <w:p w14:paraId="3A0698BC">
            <w:pPr>
              <w:keepNext w:val="0"/>
              <w:keepLines w:val="0"/>
              <w:pageBreakBefore w:val="0"/>
              <w:widowControl w:val="0"/>
              <w:kinsoku/>
              <w:wordWrap/>
              <w:overflowPunct/>
              <w:topLinePunct w:val="0"/>
              <w:autoSpaceDE/>
              <w:autoSpaceDN/>
              <w:bidi w:val="0"/>
              <w:adjustRightInd/>
              <w:snapToGrid/>
              <w:spacing w:line="420" w:lineRule="exact"/>
              <w:ind w:leftChars="0" w:firstLine="420"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1.本项目</w:t>
            </w:r>
            <w:bookmarkStart w:id="2" w:name="OLE_LINK61"/>
            <w:bookmarkStart w:id="3" w:name="OLE_LINK32"/>
            <w:r>
              <w:rPr>
                <w:rFonts w:hint="eastAsia" w:ascii="宋体" w:hAnsi="宋体" w:eastAsia="宋体" w:cs="宋体"/>
                <w:color w:val="auto"/>
                <w:sz w:val="21"/>
                <w:szCs w:val="21"/>
                <w:highlight w:val="none"/>
                <w:lang w:val="en-US" w:eastAsia="zh-CN"/>
              </w:rPr>
              <w:t>预付款</w:t>
            </w:r>
            <w:bookmarkEnd w:id="2"/>
            <w:r>
              <w:rPr>
                <w:rFonts w:hint="eastAsia" w:ascii="宋体" w:hAnsi="宋体" w:eastAsia="宋体" w:cs="宋体"/>
                <w:color w:val="auto"/>
                <w:sz w:val="21"/>
                <w:szCs w:val="21"/>
                <w:highlight w:val="none"/>
                <w:lang w:val="en-US" w:eastAsia="zh-CN"/>
              </w:rPr>
              <w:t>支付</w:t>
            </w:r>
            <w:bookmarkEnd w:id="3"/>
            <w:r>
              <w:rPr>
                <w:rFonts w:hint="eastAsia" w:ascii="宋体" w:hAnsi="宋体" w:eastAsia="宋体" w:cs="宋体"/>
                <w:color w:val="auto"/>
                <w:sz w:val="21"/>
                <w:szCs w:val="21"/>
                <w:highlight w:val="none"/>
                <w:lang w:val="en-US" w:eastAsia="zh-CN"/>
              </w:rPr>
              <w:t>比例为：</w:t>
            </w:r>
            <w:bookmarkStart w:id="4" w:name="OLE_LINK60"/>
            <w:r>
              <w:rPr>
                <w:rFonts w:hint="eastAsia" w:ascii="宋体" w:hAnsi="宋体" w:eastAsia="宋体" w:cs="宋体"/>
                <w:b/>
                <w:bCs/>
                <w:color w:val="auto"/>
                <w:sz w:val="21"/>
                <w:szCs w:val="21"/>
                <w:highlight w:val="none"/>
                <w:lang w:val="en-US" w:eastAsia="zh-CN"/>
              </w:rPr>
              <w:t>合同总价（扣除暂列金额）的30%。预付款抵扣的方式、抵扣比例和抵扣时间安排：</w:t>
            </w:r>
            <w:bookmarkEnd w:id="4"/>
            <w:r>
              <w:rPr>
                <w:rFonts w:hint="eastAsia" w:ascii="宋体" w:hAnsi="宋体" w:eastAsia="宋体" w:cs="宋体"/>
                <w:b/>
                <w:bCs/>
                <w:color w:val="auto"/>
                <w:sz w:val="21"/>
                <w:szCs w:val="21"/>
                <w:highlight w:val="none"/>
                <w:lang w:val="en-US" w:eastAsia="zh-CN"/>
              </w:rPr>
              <w:t>合同签订后，每月工程进度款先从预付款中扣除，原则上分两次扣完，每次扣预付款的50%。</w:t>
            </w:r>
          </w:p>
          <w:p w14:paraId="5CC8AD92">
            <w:pPr>
              <w:keepNext w:val="0"/>
              <w:keepLines w:val="0"/>
              <w:pageBreakBefore w:val="0"/>
              <w:widowControl w:val="0"/>
              <w:kinsoku/>
              <w:wordWrap/>
              <w:overflowPunct/>
              <w:topLinePunct w:val="0"/>
              <w:autoSpaceDE/>
              <w:autoSpaceDN/>
              <w:bidi w:val="0"/>
              <w:adjustRightInd/>
              <w:snapToGrid/>
              <w:spacing w:line="420" w:lineRule="exact"/>
              <w:ind w:leftChars="0"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2.关于付款周期的约定：</w:t>
            </w:r>
            <w:bookmarkStart w:id="5" w:name="OLE_LINK59"/>
            <w:r>
              <w:rPr>
                <w:rFonts w:hint="eastAsia" w:ascii="宋体" w:hAnsi="宋体" w:eastAsia="宋体" w:cs="宋体"/>
                <w:color w:val="auto"/>
                <w:sz w:val="21"/>
                <w:szCs w:val="21"/>
                <w:highlight w:val="none"/>
                <w:lang w:val="en-US" w:eastAsia="zh-CN"/>
              </w:rPr>
              <w:t>按每月20—25日（逾期不提交的待下月同期再提交）承包人应向发包人提交当月工程完成工程形象进度报表，同时在进度报表中附加农民工工资支付计划并提交上一期农民工工资支付情况表，经建设单位核实后，合同内按每月完成工程量的80%支付工程进度款；在工程竣工结算评审后支付至工程款总额的97%，总额的3%作为质量保证金，质保金在缺陷责任期满后21个工作日内一次性无息付清。合同外工程款待工程竣工结算后一并支付</w:t>
            </w:r>
            <w:bookmarkEnd w:id="5"/>
            <w:r>
              <w:rPr>
                <w:rFonts w:hint="eastAsia" w:ascii="宋体" w:hAnsi="宋体" w:eastAsia="宋体" w:cs="宋体"/>
                <w:color w:val="auto"/>
                <w:sz w:val="21"/>
                <w:szCs w:val="21"/>
                <w:highlight w:val="none"/>
                <w:lang w:val="en-US" w:eastAsia="zh-CN"/>
              </w:rPr>
              <w:t>。</w:t>
            </w:r>
          </w:p>
          <w:p w14:paraId="4EBEE2CC">
            <w:pPr>
              <w:keepNext w:val="0"/>
              <w:keepLines w:val="0"/>
              <w:pageBreakBefore w:val="0"/>
              <w:widowControl w:val="0"/>
              <w:kinsoku/>
              <w:wordWrap/>
              <w:overflowPunct/>
              <w:topLinePunct w:val="0"/>
              <w:autoSpaceDE/>
              <w:autoSpaceDN/>
              <w:bidi w:val="0"/>
              <w:adjustRightInd/>
              <w:snapToGrid/>
              <w:spacing w:line="420" w:lineRule="exact"/>
              <w:ind w:leftChars="0" w:firstLine="42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采购人在具备付款条件且收到成交人发票10个工作日内完成支付。</w:t>
            </w:r>
          </w:p>
        </w:tc>
      </w:tr>
      <w:tr w14:paraId="0A01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627D9423">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保修要求</w:t>
            </w:r>
          </w:p>
        </w:tc>
        <w:tc>
          <w:tcPr>
            <w:tcW w:w="6670" w:type="dxa"/>
            <w:noWrap w:val="0"/>
            <w:vAlign w:val="center"/>
          </w:tcPr>
          <w:p w14:paraId="0D03FFAC">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按照有关法律规定和合同约定，承担工程质量保修责任</w:t>
            </w:r>
            <w:r>
              <w:rPr>
                <w:rFonts w:hint="eastAsia" w:ascii="宋体" w:hAnsi="宋体" w:eastAsia="宋体" w:cs="宋体"/>
                <w:color w:val="auto"/>
                <w:sz w:val="21"/>
                <w:szCs w:val="21"/>
                <w:highlight w:val="none"/>
                <w:lang w:eastAsia="zh-CN"/>
              </w:rPr>
              <w:t>。</w:t>
            </w:r>
          </w:p>
        </w:tc>
      </w:tr>
      <w:tr w14:paraId="46EE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6E6EC2E1">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工程量清单</w:t>
            </w:r>
          </w:p>
        </w:tc>
        <w:tc>
          <w:tcPr>
            <w:tcW w:w="6670" w:type="dxa"/>
            <w:noWrap w:val="0"/>
            <w:vAlign w:val="center"/>
          </w:tcPr>
          <w:p w14:paraId="0536883A">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（另册）</w:t>
            </w:r>
          </w:p>
        </w:tc>
      </w:tr>
      <w:tr w14:paraId="0AF7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07C8803D">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预算控制价计算参考依据</w:t>
            </w:r>
          </w:p>
        </w:tc>
        <w:tc>
          <w:tcPr>
            <w:tcW w:w="6670" w:type="dxa"/>
            <w:noWrap w:val="0"/>
            <w:vAlign w:val="center"/>
          </w:tcPr>
          <w:p w14:paraId="22BF70D6">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1、《建设工程工程量清单计价规范》广西壮族自治区实施细则(GB50500-2024)；</w:t>
            </w:r>
          </w:p>
          <w:p w14:paraId="0C0E106B">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2、《建设工程工程量计算规范》广西壮族自治区实施细则(GB50854~GB50862-2024)；</w:t>
            </w:r>
          </w:p>
          <w:p w14:paraId="32120495">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3、2024年版《广西壮族自治区建筑装饰装修工程消耗量定额》及其计价相关规定；</w:t>
            </w:r>
          </w:p>
          <w:p w14:paraId="21A1502B">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4、2024年版《广西壮族自治区建筑装饰装修工程费用定额》；</w:t>
            </w:r>
          </w:p>
          <w:p w14:paraId="40CC7A22">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5、2024年版《广西壮族自治区建筑装饰工程人工材料配合比机械台班基期价》；</w:t>
            </w:r>
          </w:p>
          <w:p w14:paraId="567FAF15">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6、2024年版《广西壮族自治区建筑工程拆除消耗量定额》；</w:t>
            </w:r>
          </w:p>
          <w:p w14:paraId="3250B2DE">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7、2023年版《广西壮族自治区安装工程消耗量定额》；</w:t>
            </w:r>
          </w:p>
          <w:p w14:paraId="1CBFD95F">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8、2022年版《广西壮族自治区市政消耗量定额》；</w:t>
            </w:r>
          </w:p>
          <w:p w14:paraId="195C37B3">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9、《关于调整建设工程检验试验费和检验试验配合费计取方式的通知》(桂建标字[2009】7号)及桂建标[2013】47号；</w:t>
            </w:r>
          </w:p>
          <w:p w14:paraId="668B0C66">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10、《自治区住房城乡建设厅关于调整建设工程定额人工费及有关费率的通知》桂建标(2023)7号；</w:t>
            </w:r>
          </w:p>
          <w:p w14:paraId="6E68491A">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11、《广西壮族自治区建筑安装工程劳动保险费管理办法的通知》(桂政发[2012】42号)。</w:t>
            </w:r>
          </w:p>
          <w:p w14:paraId="36622A22">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12、《关于建设工程工伤保险费计算规定的通知》(桂建管[2008]37号)。</w:t>
            </w:r>
          </w:p>
          <w:p w14:paraId="0A62AAF1">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13、《自治区住房城乡建设厅关于建筑业实施营业税改增值税后广西壮族自治区建设工程计价依据调整的通知》(桂建标[2016]17号；对营改增后工程计价依据是采用一般计税方法中的清单计价方法。</w:t>
            </w:r>
          </w:p>
          <w:p w14:paraId="3DCBBAFE">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14、自治区住房城乡建设厅关于调整建设工程计价增值税税率的通知(桂建标(2019)10号)一般计税方法的增值税税率由10%调整为9%及2016年《广西壮族自治区建设工程费用定额》。</w:t>
            </w:r>
          </w:p>
          <w:p w14:paraId="329800A0">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15、《自治区住房城乡建设厅关于印发广西壮族自治区房屋建筑和市政基础设施工程安全生产责任保险计价规定的通知》(桂建发(2023)6号)；</w:t>
            </w:r>
          </w:p>
          <w:p w14:paraId="030299E4">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16、现行的有关文件以及施工设计图纸和补充资料。</w:t>
            </w:r>
          </w:p>
          <w:p w14:paraId="76F2F83D">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17、材料信息价按2026年《防城港市建设工程造价信息》第5期除税信息价，防城港市没有信息价的参考周边城市及按市场询价</w:t>
            </w:r>
          </w:p>
          <w:p w14:paraId="21BFDB40">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18、本工程安全生产责任保险费暂估价为1979.65元，结算按实调整。</w:t>
            </w:r>
          </w:p>
        </w:tc>
      </w:tr>
      <w:tr w14:paraId="1980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6D27567C">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技术规范</w:t>
            </w:r>
          </w:p>
        </w:tc>
        <w:tc>
          <w:tcPr>
            <w:tcW w:w="6670" w:type="dxa"/>
            <w:noWrap w:val="0"/>
            <w:vAlign w:val="center"/>
          </w:tcPr>
          <w:p w14:paraId="3CF6827A">
            <w:pPr>
              <w:keepNext w:val="0"/>
              <w:keepLines w:val="0"/>
              <w:pageBreakBefore w:val="0"/>
              <w:widowControl w:val="0"/>
              <w:kinsoku/>
              <w:wordWrap/>
              <w:overflowPunct/>
              <w:topLinePunct w:val="0"/>
              <w:autoSpaceDE/>
              <w:autoSpaceDN/>
              <w:bidi w:val="0"/>
              <w:adjustRightInd/>
              <w:snapToGrid/>
              <w:spacing w:line="390" w:lineRule="exact"/>
              <w:ind w:leftChars="0"/>
              <w:textAlignment w:val="auto"/>
              <w:rPr>
                <w:rFonts w:hint="eastAsia" w:ascii="宋体" w:hAnsi="宋体" w:eastAsia="宋体" w:cs="宋体"/>
                <w:color w:val="auto"/>
                <w:sz w:val="21"/>
                <w:highlight w:val="none"/>
              </w:rPr>
            </w:pPr>
            <w:r>
              <w:rPr>
                <w:rFonts w:hint="eastAsia" w:ascii="宋体" w:hAnsi="宋体" w:eastAsia="宋体" w:cs="宋体"/>
                <w:color w:val="auto"/>
                <w:sz w:val="21"/>
                <w:szCs w:val="21"/>
                <w:highlight w:val="none"/>
              </w:rPr>
              <w:t>按照</w:t>
            </w:r>
            <w:r>
              <w:rPr>
                <w:rFonts w:hint="eastAsia" w:ascii="宋体" w:hAnsi="宋体" w:eastAsia="宋体" w:cs="宋体"/>
                <w:color w:val="auto"/>
                <w:sz w:val="21"/>
                <w:szCs w:val="21"/>
                <w:highlight w:val="none"/>
                <w:lang w:val="en-US" w:eastAsia="zh-CN"/>
              </w:rPr>
              <w:t>工程量清单</w:t>
            </w:r>
            <w:r>
              <w:rPr>
                <w:rFonts w:hint="eastAsia" w:ascii="宋体" w:hAnsi="宋体" w:eastAsia="宋体" w:cs="宋体"/>
                <w:color w:val="auto"/>
                <w:sz w:val="21"/>
                <w:szCs w:val="21"/>
                <w:highlight w:val="none"/>
              </w:rPr>
              <w:t>的要求进行施工，同时也要严格执行国家现行行业验收标准、专业相关的现行标准和技术规范。</w:t>
            </w:r>
          </w:p>
        </w:tc>
      </w:tr>
      <w:tr w14:paraId="0992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2402" w:type="dxa"/>
            <w:noWrap w:val="0"/>
            <w:vAlign w:val="center"/>
          </w:tcPr>
          <w:p w14:paraId="24374770">
            <w:pPr>
              <w:keepNext w:val="0"/>
              <w:keepLines w:val="0"/>
              <w:pageBreakBefore w:val="0"/>
              <w:widowControl w:val="0"/>
              <w:shd w:val="clear" w:color="auto" w:fill="FFFFFF"/>
              <w:kinsoku/>
              <w:wordWrap/>
              <w:overflowPunct/>
              <w:topLinePunct w:val="0"/>
              <w:autoSpaceDE/>
              <w:autoSpaceDN/>
              <w:bidi w:val="0"/>
              <w:adjustRightInd/>
              <w:snapToGrid/>
              <w:spacing w:line="390" w:lineRule="exact"/>
              <w:ind w:leftChars="0"/>
              <w:jc w:val="center"/>
              <w:textAlignment w:val="auto"/>
              <w:rPr>
                <w:rFonts w:hint="eastAsia" w:ascii="宋体" w:hAnsi="宋体" w:eastAsia="宋体" w:cs="宋体"/>
                <w:color w:val="auto"/>
                <w:sz w:val="21"/>
                <w:szCs w:val="21"/>
                <w:highlight w:val="none"/>
              </w:rPr>
            </w:pPr>
            <w:r>
              <w:rPr>
                <w:rFonts w:hint="eastAsia" w:ascii="Times New Roman" w:hAnsi="Times New Roman" w:eastAsia="宋体" w:cs="黑体"/>
                <w:color w:val="auto"/>
                <w:sz w:val="21"/>
                <w:highlight w:val="none"/>
              </w:rPr>
              <w:t>技术标准和要求</w:t>
            </w:r>
          </w:p>
        </w:tc>
        <w:tc>
          <w:tcPr>
            <w:tcW w:w="6670" w:type="dxa"/>
            <w:noWrap w:val="0"/>
            <w:vAlign w:val="center"/>
          </w:tcPr>
          <w:p w14:paraId="539F006D">
            <w:pPr>
              <w:keepNext w:val="0"/>
              <w:keepLines w:val="0"/>
              <w:pageBreakBefore w:val="0"/>
              <w:widowControl w:val="0"/>
              <w:kinsoku/>
              <w:wordWrap/>
              <w:overflowPunct/>
              <w:topLinePunct w:val="0"/>
              <w:autoSpaceDE/>
              <w:autoSpaceDN/>
              <w:bidi w:val="0"/>
              <w:adjustRightInd/>
              <w:snapToGrid/>
              <w:spacing w:line="390" w:lineRule="exact"/>
              <w:ind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1.木地板颜色：木地板具体颜色，在合同成交后，由采购人（业主）选定确认，成交供应商须无条件配合执行。</w:t>
            </w:r>
          </w:p>
          <w:p w14:paraId="0407A37A">
            <w:pPr>
              <w:keepNext w:val="0"/>
              <w:keepLines w:val="0"/>
              <w:pageBreakBefore w:val="0"/>
              <w:widowControl w:val="0"/>
              <w:kinsoku/>
              <w:wordWrap/>
              <w:overflowPunct/>
              <w:topLinePunct w:val="0"/>
              <w:autoSpaceDE/>
              <w:autoSpaceDN/>
              <w:bidi w:val="0"/>
              <w:adjustRightInd/>
              <w:snapToGrid/>
              <w:spacing w:line="390" w:lineRule="exact"/>
              <w:ind w:leftChars="0" w:firstLine="422" w:firstLineChars="200"/>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2.木地板材质标准要求：</w:t>
            </w:r>
          </w:p>
          <w:p w14:paraId="772BED27">
            <w:pPr>
              <w:keepNext w:val="0"/>
              <w:keepLines w:val="0"/>
              <w:pageBreakBefore w:val="0"/>
              <w:widowControl w:val="0"/>
              <w:kinsoku/>
              <w:wordWrap/>
              <w:overflowPunct/>
              <w:topLinePunct w:val="0"/>
              <w:autoSpaceDE/>
              <w:autoSpaceDN/>
              <w:bidi w:val="0"/>
              <w:adjustRightInd/>
              <w:snapToGrid/>
              <w:spacing w:line="390" w:lineRule="exact"/>
              <w:ind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木地板材料须满足幼儿园场所安全规范，符合以下现行国家规范：</w:t>
            </w:r>
          </w:p>
          <w:p w14:paraId="586CDEE0">
            <w:pPr>
              <w:keepNext w:val="0"/>
              <w:keepLines w:val="0"/>
              <w:pageBreakBefore w:val="0"/>
              <w:widowControl w:val="0"/>
              <w:kinsoku/>
              <w:wordWrap/>
              <w:overflowPunct/>
              <w:topLinePunct w:val="0"/>
              <w:autoSpaceDE/>
              <w:autoSpaceDN/>
              <w:bidi w:val="0"/>
              <w:adjustRightInd/>
              <w:snapToGrid/>
              <w:spacing w:line="390" w:lineRule="exact"/>
              <w:ind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《托儿所、幼儿园建筑设计规范》JGJ39-2016（2019版）、GB18580-2025《室内装饰装修材料 人造板及其制品中甲醛释放限量》、GB50222-2017《建筑内部装修设计防火规范》。</w:t>
            </w:r>
          </w:p>
          <w:p w14:paraId="48CC3C47">
            <w:pPr>
              <w:keepNext w:val="0"/>
              <w:keepLines w:val="0"/>
              <w:pageBreakBefore w:val="0"/>
              <w:widowControl w:val="0"/>
              <w:kinsoku/>
              <w:wordWrap/>
              <w:overflowPunct/>
              <w:topLinePunct w:val="0"/>
              <w:autoSpaceDE/>
              <w:autoSpaceDN/>
              <w:bidi w:val="0"/>
              <w:adjustRightInd/>
              <w:snapToGrid/>
              <w:spacing w:line="390" w:lineRule="exact"/>
              <w:ind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成交供应商供货时须同步提供木地板产品合格证、CMA资质有效检测报告；板材甲醛释放量达到E0级及以上，燃烧性能等级不低于B1级；地板具备防滑、耐磨、易清洁特性，适合幼儿活动使用。</w:t>
            </w:r>
          </w:p>
          <w:p w14:paraId="65F40221">
            <w:pPr>
              <w:keepNext w:val="0"/>
              <w:keepLines w:val="0"/>
              <w:pageBreakBefore w:val="0"/>
              <w:widowControl w:val="0"/>
              <w:kinsoku/>
              <w:wordWrap/>
              <w:overflowPunct/>
              <w:topLinePunct w:val="0"/>
              <w:autoSpaceDE/>
              <w:autoSpaceDN/>
              <w:bidi w:val="0"/>
              <w:adjustRightInd/>
              <w:snapToGrid/>
              <w:spacing w:line="390" w:lineRule="exact"/>
              <w:ind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3.木地板铺装样式：木地板铺装拼法（如常规直铺、人字拼等），待成交后由采购人确定，成交供应商按照选定方案组织施工。</w:t>
            </w:r>
          </w:p>
          <w:p w14:paraId="3CFA26A0">
            <w:pPr>
              <w:keepNext w:val="0"/>
              <w:keepLines w:val="0"/>
              <w:pageBreakBefore w:val="0"/>
              <w:widowControl w:val="0"/>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4.供应商</w:t>
            </w:r>
            <w:r>
              <w:rPr>
                <w:rFonts w:hint="eastAsia" w:ascii="宋体" w:hAnsi="宋体" w:eastAsia="宋体" w:cs="宋体"/>
                <w:color w:val="auto"/>
                <w:sz w:val="21"/>
                <w:szCs w:val="21"/>
                <w:highlight w:val="none"/>
              </w:rPr>
              <w:t>必须自行为其</w:t>
            </w:r>
            <w:r>
              <w:rPr>
                <w:rFonts w:hint="eastAsia" w:ascii="宋体" w:hAnsi="宋体" w:eastAsia="宋体" w:cs="宋体"/>
                <w:color w:val="auto"/>
                <w:sz w:val="21"/>
                <w:szCs w:val="21"/>
                <w:highlight w:val="none"/>
                <w:lang w:val="en-US" w:eastAsia="zh-CN"/>
              </w:rPr>
              <w:t>竞</w:t>
            </w:r>
            <w:r>
              <w:rPr>
                <w:rFonts w:hint="eastAsia" w:ascii="宋体" w:hAnsi="宋体" w:eastAsia="宋体" w:cs="宋体"/>
                <w:color w:val="auto"/>
                <w:sz w:val="21"/>
                <w:szCs w:val="21"/>
                <w:highlight w:val="none"/>
              </w:rPr>
              <w:t>标产品侵权其他</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或专利人的专利成果承担相应法律责任；同时，具有产品专利的</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应在其</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文件中提供与其自有产品专利相关的有效证明材料，否则，不能就其产品的专利在本项目</w:t>
            </w:r>
            <w:r>
              <w:rPr>
                <w:rFonts w:hint="eastAsia" w:ascii="宋体" w:hAnsi="宋体" w:eastAsia="宋体" w:cs="宋体"/>
                <w:color w:val="auto"/>
                <w:sz w:val="21"/>
                <w:szCs w:val="21"/>
                <w:highlight w:val="none"/>
                <w:lang w:val="en-US" w:eastAsia="zh-CN"/>
              </w:rPr>
              <w:t>竞</w:t>
            </w:r>
            <w:r>
              <w:rPr>
                <w:rFonts w:hint="eastAsia" w:ascii="宋体" w:hAnsi="宋体" w:eastAsia="宋体" w:cs="宋体"/>
                <w:color w:val="auto"/>
                <w:sz w:val="21"/>
                <w:szCs w:val="21"/>
                <w:highlight w:val="none"/>
              </w:rPr>
              <w:t>标过程中被侵权问题提出异议</w:t>
            </w:r>
            <w:r>
              <w:rPr>
                <w:rFonts w:hint="eastAsia" w:ascii="宋体" w:hAnsi="宋体" w:eastAsia="宋体" w:cs="宋体"/>
                <w:color w:val="auto"/>
                <w:sz w:val="21"/>
                <w:szCs w:val="21"/>
                <w:highlight w:val="none"/>
                <w:lang w:eastAsia="zh-CN"/>
              </w:rPr>
              <w:t>；</w:t>
            </w:r>
          </w:p>
          <w:p w14:paraId="6F42FDE1">
            <w:pPr>
              <w:keepNext w:val="0"/>
              <w:keepLines w:val="0"/>
              <w:pageBreakBefore w:val="0"/>
              <w:widowControl w:val="0"/>
              <w:kinsoku/>
              <w:wordWrap/>
              <w:overflowPunct/>
              <w:topLinePunct w:val="0"/>
              <w:autoSpaceDE/>
              <w:autoSpaceDN/>
              <w:bidi w:val="0"/>
              <w:adjustRightInd/>
              <w:snapToGrid/>
              <w:spacing w:line="390" w:lineRule="exact"/>
              <w:ind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5.供应商</w:t>
            </w:r>
            <w:r>
              <w:rPr>
                <w:rFonts w:hint="eastAsia" w:ascii="宋体" w:hAnsi="宋体" w:eastAsia="宋体" w:cs="宋体"/>
                <w:color w:val="auto"/>
                <w:sz w:val="21"/>
                <w:szCs w:val="21"/>
                <w:highlight w:val="none"/>
              </w:rPr>
              <w:t>投入本项目</w:t>
            </w:r>
            <w:r>
              <w:rPr>
                <w:rFonts w:hint="eastAsia" w:ascii="宋体" w:hAnsi="宋体" w:eastAsia="宋体" w:cs="宋体"/>
                <w:color w:val="auto"/>
                <w:sz w:val="21"/>
                <w:szCs w:val="21"/>
                <w:highlight w:val="none"/>
                <w:lang w:val="en-US" w:eastAsia="zh-CN"/>
              </w:rPr>
              <w:t>与工程有关的</w:t>
            </w:r>
            <w:r>
              <w:rPr>
                <w:rFonts w:hint="eastAsia" w:ascii="宋体" w:hAnsi="宋体" w:eastAsia="宋体" w:cs="宋体"/>
                <w:color w:val="auto"/>
                <w:sz w:val="21"/>
                <w:szCs w:val="21"/>
                <w:highlight w:val="none"/>
              </w:rPr>
              <w:t>设备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材料及服务</w:t>
            </w:r>
            <w:r>
              <w:rPr>
                <w:rFonts w:hint="eastAsia" w:ascii="宋体" w:hAnsi="宋体" w:eastAsia="宋体" w:cs="宋体"/>
                <w:color w:val="auto"/>
                <w:sz w:val="21"/>
                <w:szCs w:val="21"/>
                <w:highlight w:val="none"/>
              </w:rPr>
              <w:t>需符合设计文件、国家标准，且具有质量证明文件，选材要遵循环保性、耐用性、安装或使用的便捷性，应选用</w:t>
            </w:r>
            <w:bookmarkStart w:id="6" w:name="OLE_LINK22"/>
            <w:r>
              <w:rPr>
                <w:rFonts w:hint="eastAsia" w:ascii="宋体" w:hAnsi="宋体" w:eastAsia="宋体" w:cs="宋体"/>
                <w:color w:val="auto"/>
                <w:sz w:val="21"/>
                <w:szCs w:val="21"/>
                <w:highlight w:val="none"/>
              </w:rPr>
              <w:t>整体性价比强</w:t>
            </w:r>
            <w:bookmarkEnd w:id="6"/>
            <w:r>
              <w:rPr>
                <w:rFonts w:hint="eastAsia" w:ascii="宋体" w:hAnsi="宋体" w:eastAsia="宋体" w:cs="宋体"/>
                <w:color w:val="auto"/>
                <w:sz w:val="21"/>
                <w:szCs w:val="21"/>
                <w:highlight w:val="none"/>
              </w:rPr>
              <w:t>的材料</w:t>
            </w:r>
            <w:r>
              <w:rPr>
                <w:rFonts w:hint="eastAsia" w:ascii="宋体" w:hAnsi="宋体" w:eastAsia="宋体" w:cs="宋体"/>
                <w:color w:val="auto"/>
                <w:sz w:val="21"/>
                <w:szCs w:val="21"/>
                <w:highlight w:val="none"/>
                <w:lang w:eastAsia="zh-CN"/>
              </w:rPr>
              <w:t>；</w:t>
            </w:r>
          </w:p>
          <w:p w14:paraId="147B7661">
            <w:pPr>
              <w:keepNext w:val="0"/>
              <w:keepLines w:val="0"/>
              <w:pageBreakBefore w:val="0"/>
              <w:widowControl w:val="0"/>
              <w:kinsoku/>
              <w:wordWrap/>
              <w:overflowPunct/>
              <w:topLinePunct w:val="0"/>
              <w:autoSpaceDE/>
              <w:autoSpaceDN/>
              <w:bidi w:val="0"/>
              <w:adjustRightInd/>
              <w:snapToGrid/>
              <w:spacing w:line="390" w:lineRule="exact"/>
              <w:ind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6.</w:t>
            </w:r>
            <w:r>
              <w:rPr>
                <w:rFonts w:hint="default" w:ascii="Times New Roman" w:hAnsi="Times New Roman" w:eastAsia="宋体" w:cs="Times New Roman"/>
                <w:b/>
                <w:bCs/>
                <w:color w:val="auto"/>
                <w:sz w:val="21"/>
                <w:highlight w:val="none"/>
                <w:lang w:val="en-US" w:eastAsia="zh-CN"/>
              </w:rPr>
              <w:t>为防止供应商出现严重不平衡报价，本工程对所有工程量清单实行最高限价，即供应商响应文件中相应项目的单价不能超出经采购人或采购代理机构公布的招标控制价的相应项目单价。</w:t>
            </w:r>
            <w:r>
              <w:rPr>
                <w:rFonts w:hint="eastAsia" w:ascii="宋体" w:hAnsi="宋体" w:eastAsia="宋体" w:cs="宋体"/>
                <w:b/>
                <w:bCs/>
                <w:color w:val="auto"/>
                <w:sz w:val="21"/>
                <w:szCs w:val="21"/>
                <w:highlight w:val="none"/>
                <w:lang w:val="en-US" w:eastAsia="zh-CN"/>
              </w:rPr>
              <w:t>供应商必须就所竞标项目的全部内容作完整唯一报价，漏项报价的或有选择的或有条件的报价，或总价报价或单价报价超出本项目采购文件规定的对应最高限价的，其磋商将视为无效。</w:t>
            </w:r>
          </w:p>
          <w:p w14:paraId="55AB47B7">
            <w:pPr>
              <w:keepNext w:val="0"/>
              <w:keepLines w:val="0"/>
              <w:pageBreakBefore w:val="0"/>
              <w:widowControl w:val="0"/>
              <w:kinsoku/>
              <w:wordWrap/>
              <w:overflowPunct/>
              <w:topLinePunct w:val="0"/>
              <w:autoSpaceDE/>
              <w:autoSpaceDN/>
              <w:bidi w:val="0"/>
              <w:adjustRightInd/>
              <w:snapToGrid/>
              <w:spacing w:line="390" w:lineRule="exact"/>
              <w:ind w:leftChars="0" w:firstLine="422" w:firstLineChars="200"/>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7.安全生产责任保险费按分部分项工程费及措施项目费（含单价及总价措施项目费）为计算基数乘以0.2%计入暂估价，工程结算时，由发承包双方根据工程实际情况确认的安全生产责任保险费计入工程造价。</w:t>
            </w:r>
          </w:p>
          <w:p w14:paraId="09C248FE">
            <w:pPr>
              <w:keepNext w:val="0"/>
              <w:keepLines w:val="0"/>
              <w:pageBreakBefore w:val="0"/>
              <w:widowControl w:val="0"/>
              <w:kinsoku/>
              <w:wordWrap/>
              <w:overflowPunct/>
              <w:topLinePunct w:val="0"/>
              <w:autoSpaceDE/>
              <w:autoSpaceDN/>
              <w:bidi w:val="0"/>
              <w:adjustRightInd/>
              <w:snapToGrid/>
              <w:spacing w:line="390" w:lineRule="exact"/>
              <w:ind w:leftChars="0" w:firstLine="422" w:firstLineChars="200"/>
              <w:textAlignment w:val="auto"/>
              <w:rPr>
                <w:rFonts w:hint="default" w:ascii="Times New Roman" w:hAnsi="Times New Roman" w:eastAsia="宋体" w:cs="Times New Roman"/>
                <w:color w:val="auto"/>
                <w:sz w:val="21"/>
                <w:highlight w:val="none"/>
                <w:lang w:val="en-US" w:eastAsia="zh-CN"/>
              </w:rPr>
            </w:pPr>
            <w:r>
              <w:rPr>
                <w:rFonts w:hint="eastAsia" w:ascii="宋体" w:hAnsi="宋体" w:eastAsia="宋体" w:cs="宋体"/>
                <w:b/>
                <w:bCs/>
                <w:color w:val="auto"/>
                <w:sz w:val="21"/>
                <w:szCs w:val="21"/>
                <w:highlight w:val="none"/>
                <w:lang w:val="en-US" w:eastAsia="zh-CN"/>
              </w:rPr>
              <w:t>8.供应商在编制磋商报价文件时，安全生产责任保险应按采购工程量清单中给出的安全生产责任保险暂估价的具体金额填写，不得调整，否则响应文件作无效响应处理。</w:t>
            </w:r>
          </w:p>
        </w:tc>
      </w:tr>
    </w:tbl>
    <w:p w14:paraId="6D51BE66">
      <w:pPr>
        <w:keepNext/>
        <w:keepLines/>
        <w:pageBreakBefore w:val="0"/>
        <w:widowControl w:val="0"/>
        <w:kinsoku/>
        <w:wordWrap/>
        <w:overflowPunct/>
        <w:topLinePunct w:val="0"/>
        <w:autoSpaceDE/>
        <w:autoSpaceDN/>
        <w:bidi w:val="0"/>
        <w:adjustRightInd/>
        <w:snapToGrid/>
        <w:spacing w:before="0" w:after="0" w:line="240" w:lineRule="auto"/>
        <w:ind w:firstLine="0" w:firstLineChars="0"/>
        <w:jc w:val="both"/>
        <w:textAlignment w:val="auto"/>
        <w:outlineLvl w:val="0"/>
        <w:rPr>
          <w:rFonts w:hint="eastAsia" w:ascii="宋体" w:hAnsi="宋体" w:eastAsia="宋体" w:cs="宋体"/>
          <w:b w:val="0"/>
          <w:bCs/>
          <w:color w:val="auto"/>
          <w:kern w:val="44"/>
          <w:sz w:val="32"/>
          <w:szCs w:val="32"/>
          <w:highlight w:val="none"/>
          <w:lang w:val="en-US" w:eastAsia="zh-CN" w:bidi="ar-SA"/>
        </w:rPr>
      </w:pPr>
    </w:p>
    <w:p w14:paraId="061974E1">
      <w:pPr>
        <w:ind w:leftChars="0"/>
        <w:rPr>
          <w:rFonts w:hint="eastAsia" w:ascii="宋体" w:hAnsi="宋体" w:eastAsia="宋体" w:cs="宋体"/>
          <w:b w:val="0"/>
          <w:color w:val="auto"/>
          <w:sz w:val="32"/>
          <w:szCs w:val="32"/>
          <w:highlight w:val="none"/>
          <w:lang w:val="en-US" w:eastAsia="zh-CN"/>
        </w:rPr>
      </w:pPr>
    </w:p>
    <w:p w14:paraId="5ACED9D8">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left="240"/>
      </w:pPr>
      <w:r>
        <w:separator/>
      </w:r>
    </w:p>
  </w:endnote>
  <w:endnote w:type="continuationSeparator" w:id="1">
    <w:p>
      <w:pPr>
        <w:ind w:lef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left="240"/>
      </w:pPr>
      <w:r>
        <w:separator/>
      </w:r>
    </w:p>
  </w:footnote>
  <w:footnote w:type="continuationSeparator" w:id="1">
    <w:p>
      <w:pPr>
        <w:ind w:left="2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D92A3D"/>
    <w:multiLevelType w:val="multilevel"/>
    <w:tmpl w:val="10D92A3D"/>
    <w:lvl w:ilvl="0" w:tentative="0">
      <w:start w:val="1"/>
      <w:numFmt w:val="decimal"/>
      <w:suff w:val="space"/>
      <w:lvlText w:val="%1"/>
      <w:lvlJc w:val="left"/>
      <w:pPr>
        <w:ind w:left="0" w:firstLine="0"/>
      </w:pPr>
      <w:rPr>
        <w:rFonts w:hint="eastAsia"/>
      </w:rPr>
    </w:lvl>
    <w:lvl w:ilvl="1" w:tentative="0">
      <w:start w:val="1"/>
      <w:numFmt w:val="decimal"/>
      <w:pStyle w:val="3"/>
      <w:suff w:val="space"/>
      <w:lvlText w:val="%1.%2"/>
      <w:lvlJc w:val="left"/>
      <w:pPr>
        <w:ind w:left="0" w:firstLine="0"/>
      </w:pPr>
      <w:rPr>
        <w:rFonts w:hint="eastAsia"/>
      </w:rPr>
    </w:lvl>
    <w:lvl w:ilvl="2" w:tentative="0">
      <w:start w:val="1"/>
      <w:numFmt w:val="decimal"/>
      <w:pStyle w:val="4"/>
      <w:suff w:val="space"/>
      <w:lvlText w:val="%1.%2.%3"/>
      <w:lvlJc w:val="left"/>
      <w:pPr>
        <w:ind w:left="0" w:firstLine="0"/>
      </w:pPr>
      <w:rPr>
        <w:rFonts w:hint="eastAsia"/>
      </w:rPr>
    </w:lvl>
    <w:lvl w:ilvl="3" w:tentative="0">
      <w:start w:val="1"/>
      <w:numFmt w:val="decimal"/>
      <w:pStyle w:val="5"/>
      <w:suff w:val="space"/>
      <w:lvlText w:val="%1.%2.%3.%4"/>
      <w:lvlJc w:val="left"/>
      <w:pPr>
        <w:ind w:left="0" w:firstLine="0"/>
      </w:pPr>
      <w:rPr>
        <w:rFonts w:hint="eastAsia"/>
      </w:rPr>
    </w:lvl>
    <w:lvl w:ilvl="4" w:tentative="0">
      <w:start w:val="1"/>
      <w:numFmt w:val="decimal"/>
      <w:pStyle w:val="6"/>
      <w:suff w:val="space"/>
      <w:lvlText w:val="%1.%2.%3.%4.%5"/>
      <w:lvlJc w:val="left"/>
      <w:pPr>
        <w:ind w:left="0" w:firstLine="0"/>
      </w:pPr>
      <w:rPr>
        <w:rFonts w:hint="eastAsia"/>
      </w:rPr>
    </w:lvl>
    <w:lvl w:ilvl="5" w:tentative="0">
      <w:start w:val="1"/>
      <w:numFmt w:val="decimal"/>
      <w:pStyle w:val="7"/>
      <w:suff w:val="space"/>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B97831"/>
    <w:rsid w:val="0B7E4DF0"/>
    <w:rsid w:val="1C4C6724"/>
    <w:rsid w:val="288C1EC7"/>
    <w:rsid w:val="383D0C57"/>
    <w:rsid w:val="44B71BC8"/>
    <w:rsid w:val="4BC624D6"/>
    <w:rsid w:val="67296979"/>
    <w:rsid w:val="69686B2D"/>
    <w:rsid w:val="6CFF7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leftChars="100"/>
      <w:jc w:val="both"/>
    </w:pPr>
    <w:rPr>
      <w:rFonts w:ascii="Times New Roman" w:hAnsi="Times New Roman" w:eastAsia="仿宋" w:cs="Times New Roman"/>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ind w:leftChars="0"/>
      <w:outlineLvl w:val="0"/>
    </w:pPr>
    <w:rPr>
      <w:rFonts w:ascii="Times New Roman" w:hAnsi="Times New Roman" w:cs="Times New Roman"/>
      <w:b/>
      <w:kern w:val="44"/>
      <w:sz w:val="32"/>
    </w:rPr>
  </w:style>
  <w:style w:type="paragraph" w:styleId="3">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Chars="0"/>
      <w:outlineLvl w:val="1"/>
    </w:pPr>
    <w:rPr>
      <w:rFonts w:ascii="Arial" w:hAnsi="Arial" w:eastAsia="黑体"/>
      <w:b/>
      <w:sz w:val="32"/>
    </w:rPr>
  </w:style>
  <w:style w:type="paragraph" w:styleId="4">
    <w:name w:val="heading 3"/>
    <w:basedOn w:val="1"/>
    <w:next w:val="1"/>
    <w:semiHidden/>
    <w:unhideWhenUsed/>
    <w:qFormat/>
    <w:uiPriority w:val="0"/>
    <w:pPr>
      <w:keepNext/>
      <w:keepLines/>
      <w:pageBreakBefore/>
      <w:numPr>
        <w:ilvl w:val="2"/>
        <w:numId w:val="1"/>
      </w:numPr>
      <w:spacing w:before="260" w:beforeLines="0" w:beforeAutospacing="0" w:after="260" w:afterLines="0" w:afterAutospacing="0" w:line="413" w:lineRule="auto"/>
      <w:outlineLvl w:val="2"/>
    </w:pPr>
    <w:rPr>
      <w:rFonts w:ascii="Times New Roman" w:hAnsi="Times New Roman" w:eastAsia="宋体" w:cs="Times New Roman"/>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Chars="0"/>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Chars="0"/>
      <w:outlineLvl w:val="5"/>
    </w:pPr>
    <w:rPr>
      <w:rFonts w:ascii="Arial" w:hAnsi="Arial" w:eastAsia="黑体"/>
      <w:b/>
      <w:sz w:val="24"/>
    </w:rPr>
  </w:style>
  <w:style w:type="character" w:default="1" w:styleId="9">
    <w:name w:val="Default Paragraph Font"/>
    <w:autoRedefine/>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10">
    <w:name w:val="投标正文"/>
    <w:basedOn w:val="1"/>
    <w:qFormat/>
    <w:uiPriority w:val="0"/>
    <w:pPr>
      <w:spacing w:line="360" w:lineRule="auto"/>
      <w:ind w:firstLine="480" w:firstLineChars="200"/>
      <w:contextualSpacing/>
    </w:pPr>
    <w:rPr>
      <w:rFonts w:hint="eastAsia" w:ascii="宋体" w:hAnsi="宋体" w:eastAsia="仿宋"/>
      <w:color w:val="auto"/>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2024-04-16T08:15:00Z</dcterms:created>
  <dc:creator>Administrator</dc:creator>
  <cp:lastModifiedBy>oho</cp:lastModifiedBy>
  <dcterms:modified xsi:type="dcterms:W3CDTF">2026-08-02T09:48:18Z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52464D54D0134E728D979A153ECEBD23_12</vt:lpwstr>
  </property>
  <property fmtid="{D5CDD505-2E9C-101B-9397-08002B2CF9AE}" pid="4" name="KSOTemplateDocerSaveRecord">
    <vt:lpwstr>eyJoZGlkIjoiOTYxZjEyODIzZDgwNTQwYjJmMzJiYzBjZDdlNTkzYTEiLCJ1c2VySWQiOiIzODEwOTA4NzUifQ==</vt:lpwstr>
  </property>
</Properties>
</file>