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80E0F5">
      <w:pPr>
        <w:jc w:val="center"/>
        <w:rPr>
          <w:rFonts w:hint="eastAsia" w:ascii="宋体" w:hAnsi="宋体" w:eastAsia="宋体" w:cs="宋体"/>
          <w:b/>
          <w:color w:val="000000" w:themeColor="text1"/>
          <w:sz w:val="52"/>
          <w:lang w:val="en-US" w:eastAsia="zh-CN"/>
          <w14:textFill>
            <w14:solidFill>
              <w14:schemeClr w14:val="tx1"/>
            </w14:solidFill>
          </w14:textFill>
        </w:rPr>
      </w:pPr>
      <w:r>
        <w:rPr>
          <w:rFonts w:hint="eastAsia" w:ascii="宋体" w:hAnsi="宋体" w:eastAsia="宋体" w:cs="宋体"/>
          <w:b/>
          <w:color w:val="000000" w:themeColor="text1"/>
          <w:sz w:val="52"/>
          <w:lang w:val="en-US" w:eastAsia="zh-CN"/>
          <w14:textFill>
            <w14:solidFill>
              <w14:schemeClr w14:val="tx1"/>
            </w14:solidFill>
          </w14:textFill>
        </w:rPr>
        <w:t>防 城 港 市 政 府 采 购 中 心</w:t>
      </w:r>
    </w:p>
    <w:p w14:paraId="7A551165">
      <w:pPr>
        <w:jc w:val="center"/>
        <w:rPr>
          <w:rFonts w:hint="eastAsia" w:ascii="宋体" w:hAnsi="宋体" w:eastAsia="宋体" w:cs="宋体"/>
          <w:b/>
          <w:color w:val="000000" w:themeColor="text1"/>
          <w:sz w:val="52"/>
          <w:lang w:val="en-US" w:eastAsia="zh-CN"/>
          <w14:textFill>
            <w14:solidFill>
              <w14:schemeClr w14:val="tx1"/>
            </w14:solidFill>
          </w14:textFill>
        </w:rPr>
      </w:pPr>
    </w:p>
    <w:p w14:paraId="792E389C">
      <w:pPr>
        <w:pStyle w:val="15"/>
        <w:rPr>
          <w:rFonts w:ascii="宋体" w:hAnsi="宋体" w:cs="宋体"/>
          <w:b/>
          <w:bCs/>
          <w:color w:val="000000" w:themeColor="text1"/>
          <w:sz w:val="52"/>
          <w:szCs w:val="52"/>
          <w14:textFill>
            <w14:solidFill>
              <w14:schemeClr w14:val="tx1"/>
            </w14:solidFill>
          </w14:textFill>
        </w:rPr>
      </w:pPr>
    </w:p>
    <w:p w14:paraId="532040CC">
      <w:pPr>
        <w:pStyle w:val="15"/>
        <w:rPr>
          <w:rFonts w:ascii="宋体" w:hAnsi="宋体" w:cs="宋体"/>
          <w:b/>
          <w:bCs/>
          <w:color w:val="000000" w:themeColor="text1"/>
          <w:sz w:val="52"/>
          <w:szCs w:val="52"/>
          <w14:textFill>
            <w14:solidFill>
              <w14:schemeClr w14:val="tx1"/>
            </w14:solidFill>
          </w14:textFill>
        </w:rPr>
      </w:pPr>
    </w:p>
    <w:p w14:paraId="4C9A2C41">
      <w:pPr>
        <w:spacing w:beforeLines="100" w:afterLines="50"/>
        <w:jc w:val="center"/>
        <w:rPr>
          <w:rFonts w:hint="eastAsia" w:ascii="宋体" w:hAnsi="宋体" w:cs="宋体"/>
          <w:b/>
          <w:color w:val="000000" w:themeColor="text1"/>
          <w:spacing w:val="93"/>
          <w:sz w:val="72"/>
          <w:szCs w:val="72"/>
          <w14:textFill>
            <w14:solidFill>
              <w14:schemeClr w14:val="tx1"/>
            </w14:solidFill>
          </w14:textFill>
        </w:rPr>
      </w:pPr>
      <w:r>
        <w:rPr>
          <w:rFonts w:hint="eastAsia" w:ascii="宋体" w:hAnsi="宋体" w:cs="宋体"/>
          <w:b/>
          <w:color w:val="000000" w:themeColor="text1"/>
          <w:spacing w:val="93"/>
          <w:sz w:val="72"/>
          <w:szCs w:val="72"/>
          <w14:textFill>
            <w14:solidFill>
              <w14:schemeClr w14:val="tx1"/>
            </w14:solidFill>
          </w14:textFill>
        </w:rPr>
        <w:t>公开招标文件</w:t>
      </w:r>
    </w:p>
    <w:p w14:paraId="4FFEB55E">
      <w:pPr>
        <w:spacing w:beforeLines="100" w:afterLines="50"/>
        <w:jc w:val="center"/>
        <w:rPr>
          <w:rFonts w:ascii="宋体" w:hAnsi="宋体" w:cs="宋体"/>
          <w:color w:val="auto"/>
          <w:sz w:val="40"/>
          <w:szCs w:val="40"/>
        </w:rPr>
      </w:pPr>
      <w:r>
        <w:rPr>
          <w:rFonts w:hint="eastAsia" w:ascii="宋体" w:hAnsi="宋体" w:cs="宋体"/>
          <w:color w:val="auto"/>
          <w:sz w:val="40"/>
          <w:szCs w:val="40"/>
        </w:rPr>
        <w:t>（全流程电子化采购）</w:t>
      </w:r>
    </w:p>
    <w:p w14:paraId="71591BC4">
      <w:pPr>
        <w:jc w:val="center"/>
        <w:rPr>
          <w:rFonts w:ascii="宋体" w:hAnsi="宋体" w:cs="宋体"/>
          <w:b/>
          <w:bCs/>
          <w:color w:val="000000" w:themeColor="text1"/>
          <w:sz w:val="52"/>
          <w:szCs w:val="52"/>
          <w14:textFill>
            <w14:solidFill>
              <w14:schemeClr w14:val="tx1"/>
            </w14:solidFill>
          </w14:textFill>
        </w:rPr>
      </w:pPr>
    </w:p>
    <w:p w14:paraId="36CB6521">
      <w:pPr>
        <w:jc w:val="center"/>
        <w:rPr>
          <w:rFonts w:ascii="宋体" w:hAnsi="宋体" w:cs="宋体"/>
          <w:b/>
          <w:bCs/>
          <w:color w:val="000000" w:themeColor="text1"/>
          <w:sz w:val="52"/>
          <w:szCs w:val="52"/>
          <w14:textFill>
            <w14:solidFill>
              <w14:schemeClr w14:val="tx1"/>
            </w14:solidFill>
          </w14:textFill>
        </w:rPr>
      </w:pPr>
    </w:p>
    <w:p w14:paraId="6A1B18C2">
      <w:pPr>
        <w:jc w:val="center"/>
        <w:rPr>
          <w:rFonts w:ascii="宋体" w:hAnsi="宋体" w:cs="宋体"/>
          <w:b/>
          <w:bCs/>
          <w:color w:val="000000" w:themeColor="text1"/>
          <w:sz w:val="52"/>
          <w:szCs w:val="52"/>
          <w14:textFill>
            <w14:solidFill>
              <w14:schemeClr w14:val="tx1"/>
            </w14:solidFill>
          </w14:textFill>
        </w:rPr>
      </w:pPr>
    </w:p>
    <w:p w14:paraId="1A4AA71A">
      <w:pPr>
        <w:pStyle w:val="14"/>
        <w:adjustRightInd w:val="0"/>
        <w:snapToGrid w:val="0"/>
        <w:spacing w:line="360" w:lineRule="auto"/>
        <w:ind w:firstLine="321" w:firstLineChars="100"/>
        <w:jc w:val="left"/>
        <w:rPr>
          <w:rFonts w:hint="default" w:ascii="宋体" w:hAnsi="宋体" w:eastAsia="宋体" w:cs="宋体"/>
          <w:b/>
          <w:bCs/>
          <w:color w:val="000000" w:themeColor="text1"/>
          <w:sz w:val="32"/>
          <w:szCs w:val="32"/>
          <w:u w:val="single"/>
          <w:lang w:val="en-US" w:eastAsia="zh-CN"/>
          <w14:textFill>
            <w14:solidFill>
              <w14:schemeClr w14:val="tx1"/>
            </w14:solidFill>
          </w14:textFill>
        </w:rPr>
      </w:pPr>
      <w:r>
        <w:rPr>
          <w:rFonts w:hint="eastAsia" w:hAnsi="宋体" w:eastAsia="宋体" w:cs="宋体"/>
          <w:b/>
          <w:color w:val="auto"/>
          <w:sz w:val="32"/>
          <w:szCs w:val="32"/>
        </w:rPr>
        <w:t>项目名称：防城港市政务云资源服务采购项目</w:t>
      </w:r>
    </w:p>
    <w:p w14:paraId="0403F1EC">
      <w:pPr>
        <w:pStyle w:val="14"/>
        <w:adjustRightInd w:val="0"/>
        <w:snapToGrid w:val="0"/>
        <w:spacing w:line="360" w:lineRule="auto"/>
        <w:ind w:firstLine="321" w:firstLineChars="100"/>
        <w:jc w:val="left"/>
        <w:rPr>
          <w:rFonts w:hint="default" w:hAnsi="宋体" w:eastAsia="宋体" w:cs="宋体"/>
          <w:b/>
          <w:color w:val="auto"/>
          <w:sz w:val="32"/>
          <w:szCs w:val="32"/>
          <w:lang w:val="en-US" w:eastAsia="zh-CN"/>
        </w:rPr>
      </w:pPr>
      <w:r>
        <w:rPr>
          <w:rFonts w:hint="eastAsia" w:hAnsi="宋体" w:eastAsia="宋体" w:cs="宋体"/>
          <w:b/>
          <w:color w:val="auto"/>
          <w:sz w:val="32"/>
          <w:szCs w:val="32"/>
        </w:rPr>
        <w:t>项目编号：FCZC2026-G3-990127-FCGS</w:t>
      </w:r>
    </w:p>
    <w:p w14:paraId="3F23FCDF">
      <w:pPr>
        <w:jc w:val="both"/>
        <w:rPr>
          <w:rFonts w:ascii="宋体" w:hAnsi="宋体" w:cs="宋体"/>
          <w:color w:val="000000" w:themeColor="text1"/>
          <w:sz w:val="32"/>
          <w:szCs w:val="32"/>
          <w14:textFill>
            <w14:solidFill>
              <w14:schemeClr w14:val="tx1"/>
            </w14:solidFill>
          </w14:textFill>
        </w:rPr>
      </w:pPr>
    </w:p>
    <w:p w14:paraId="5E6C1872">
      <w:pPr>
        <w:rPr>
          <w:rFonts w:ascii="宋体" w:hAnsi="宋体" w:cs="宋体"/>
          <w:color w:val="000000" w:themeColor="text1"/>
          <w:sz w:val="32"/>
          <w:szCs w:val="32"/>
          <w14:textFill>
            <w14:solidFill>
              <w14:schemeClr w14:val="tx1"/>
            </w14:solidFill>
          </w14:textFill>
        </w:rPr>
      </w:pPr>
    </w:p>
    <w:p w14:paraId="64989C08">
      <w:pPr>
        <w:pStyle w:val="15"/>
        <w:rPr>
          <w:rFonts w:hint="eastAsia" w:ascii="宋体" w:hAnsi="宋体" w:cs="宋体" w:eastAsiaTheme="minorEastAsia"/>
          <w:b/>
          <w:bCs/>
          <w:color w:val="000000" w:themeColor="text1"/>
          <w:kern w:val="2"/>
          <w:sz w:val="32"/>
          <w:szCs w:val="32"/>
          <w:u w:val="none"/>
          <w:lang w:val="en-US" w:eastAsia="zh-CN" w:bidi="ar-SA"/>
          <w14:textFill>
            <w14:solidFill>
              <w14:schemeClr w14:val="tx1"/>
            </w14:solidFill>
          </w14:textFill>
        </w:rPr>
      </w:pPr>
    </w:p>
    <w:p w14:paraId="1BA87E38">
      <w:pPr>
        <w:pStyle w:val="14"/>
        <w:adjustRightInd w:val="0"/>
        <w:snapToGrid w:val="0"/>
        <w:spacing w:line="360" w:lineRule="auto"/>
        <w:ind w:firstLine="321" w:firstLineChars="100"/>
        <w:jc w:val="left"/>
        <w:rPr>
          <w:rFonts w:hint="eastAsia" w:hAnsi="宋体" w:eastAsia="宋体" w:cs="宋体"/>
          <w:b/>
          <w:color w:val="auto"/>
          <w:sz w:val="32"/>
          <w:szCs w:val="32"/>
          <w:lang w:val="en-US" w:eastAsia="zh-CN"/>
        </w:rPr>
      </w:pPr>
      <w:r>
        <w:rPr>
          <w:rFonts w:hint="eastAsia" w:hAnsi="宋体" w:eastAsia="宋体" w:cs="宋体"/>
          <w:b/>
          <w:color w:val="auto"/>
          <w:sz w:val="32"/>
          <w:szCs w:val="32"/>
          <w:lang w:val="en-US" w:eastAsia="zh-CN"/>
        </w:rPr>
        <w:t>采购单位：防城港市大数据和行政审批局</w:t>
      </w:r>
    </w:p>
    <w:p w14:paraId="55F89284">
      <w:pPr>
        <w:pStyle w:val="14"/>
        <w:adjustRightInd w:val="0"/>
        <w:snapToGrid w:val="0"/>
        <w:spacing w:line="360" w:lineRule="auto"/>
        <w:ind w:firstLine="321" w:firstLineChars="100"/>
        <w:jc w:val="left"/>
        <w:rPr>
          <w:rFonts w:hint="eastAsia" w:hAnsi="宋体" w:eastAsia="宋体" w:cs="宋体"/>
          <w:b/>
          <w:color w:val="auto"/>
          <w:sz w:val="32"/>
          <w:szCs w:val="32"/>
          <w:lang w:val="en-US" w:eastAsia="zh-CN"/>
        </w:rPr>
      </w:pPr>
      <w:r>
        <w:rPr>
          <w:rFonts w:hint="eastAsia" w:hAnsi="宋体" w:eastAsia="宋体" w:cs="宋体"/>
          <w:b/>
          <w:color w:val="auto"/>
          <w:sz w:val="32"/>
          <w:szCs w:val="32"/>
          <w:lang w:val="en-US" w:eastAsia="zh-CN"/>
        </w:rPr>
        <w:t>采购代理机构：防城港市政府采购中心</w:t>
      </w:r>
    </w:p>
    <w:p w14:paraId="4C7DF6A4">
      <w:pPr>
        <w:rPr>
          <w:rFonts w:hint="eastAsia"/>
          <w:color w:val="auto"/>
          <w:lang w:val="en-US" w:eastAsia="zh-CN"/>
        </w:rPr>
      </w:pPr>
    </w:p>
    <w:p w14:paraId="2DA24A42">
      <w:pPr>
        <w:pStyle w:val="15"/>
        <w:rPr>
          <w:rFonts w:hint="eastAsia"/>
          <w:color w:val="auto"/>
          <w:lang w:val="en-US" w:eastAsia="zh-CN"/>
        </w:rPr>
      </w:pPr>
    </w:p>
    <w:p w14:paraId="0107CFA6">
      <w:pPr>
        <w:pStyle w:val="15"/>
        <w:rPr>
          <w:rFonts w:hint="eastAsia"/>
          <w:color w:val="auto"/>
          <w:lang w:val="en-US" w:eastAsia="zh-CN"/>
        </w:rPr>
      </w:pPr>
    </w:p>
    <w:p w14:paraId="32B0706E">
      <w:pPr>
        <w:pStyle w:val="15"/>
        <w:rPr>
          <w:rFonts w:hint="eastAsia"/>
          <w:color w:val="auto"/>
          <w:lang w:val="en-US" w:eastAsia="zh-CN"/>
        </w:rPr>
      </w:pPr>
    </w:p>
    <w:p w14:paraId="512E77E7">
      <w:pPr>
        <w:pStyle w:val="15"/>
        <w:rPr>
          <w:rFonts w:hint="eastAsia"/>
          <w:color w:val="auto"/>
          <w:lang w:val="en-US" w:eastAsia="zh-CN"/>
        </w:rPr>
      </w:pPr>
    </w:p>
    <w:p w14:paraId="002B2E3D">
      <w:pPr>
        <w:pStyle w:val="15"/>
        <w:rPr>
          <w:rFonts w:hint="eastAsia"/>
          <w:color w:val="auto"/>
          <w:lang w:val="en-US" w:eastAsia="zh-CN"/>
        </w:rPr>
      </w:pPr>
    </w:p>
    <w:p w14:paraId="466EBF14">
      <w:pPr>
        <w:pStyle w:val="15"/>
        <w:jc w:val="center"/>
        <w:rPr>
          <w:rFonts w:hint="eastAsia" w:ascii="宋体" w:hAnsi="宋体" w:cs="宋体" w:eastAsiaTheme="minorEastAsia"/>
          <w:b/>
          <w:bCs/>
          <w:color w:val="auto"/>
          <w:kern w:val="2"/>
          <w:sz w:val="32"/>
          <w:szCs w:val="32"/>
          <w:lang w:val="en-US" w:eastAsia="zh-CN" w:bidi="ar-SA"/>
        </w:rPr>
      </w:pPr>
      <w:r>
        <w:rPr>
          <w:rFonts w:hint="eastAsia" w:ascii="宋体" w:hAnsi="宋体" w:cs="宋体" w:eastAsiaTheme="minorEastAsia"/>
          <w:b/>
          <w:bCs/>
          <w:color w:val="auto"/>
          <w:kern w:val="2"/>
          <w:sz w:val="32"/>
          <w:szCs w:val="32"/>
          <w:lang w:val="en-US" w:eastAsia="zh-CN" w:bidi="ar-SA"/>
        </w:rPr>
        <w:t>202</w:t>
      </w:r>
      <w:r>
        <w:rPr>
          <w:rFonts w:hint="eastAsia" w:ascii="宋体" w:hAnsi="宋体" w:cs="宋体"/>
          <w:b/>
          <w:bCs/>
          <w:color w:val="auto"/>
          <w:kern w:val="2"/>
          <w:sz w:val="32"/>
          <w:szCs w:val="32"/>
          <w:lang w:val="en-US" w:eastAsia="zh-CN" w:bidi="ar-SA"/>
        </w:rPr>
        <w:t>6</w:t>
      </w:r>
      <w:r>
        <w:rPr>
          <w:rFonts w:hint="eastAsia" w:ascii="宋体" w:hAnsi="宋体" w:cs="宋体" w:eastAsiaTheme="minorEastAsia"/>
          <w:b/>
          <w:bCs/>
          <w:color w:val="auto"/>
          <w:kern w:val="2"/>
          <w:sz w:val="32"/>
          <w:szCs w:val="32"/>
          <w:lang w:val="en-US" w:eastAsia="zh-CN" w:bidi="ar-SA"/>
        </w:rPr>
        <w:t>年</w:t>
      </w:r>
      <w:r>
        <w:rPr>
          <w:rFonts w:hint="eastAsia" w:ascii="宋体" w:hAnsi="宋体" w:cs="宋体"/>
          <w:b/>
          <w:bCs/>
          <w:color w:val="auto"/>
          <w:kern w:val="2"/>
          <w:sz w:val="32"/>
          <w:szCs w:val="32"/>
          <w:lang w:val="en-US" w:eastAsia="zh-CN" w:bidi="ar-SA"/>
        </w:rPr>
        <w:t>8</w:t>
      </w:r>
      <w:r>
        <w:rPr>
          <w:rFonts w:hint="eastAsia" w:ascii="宋体" w:hAnsi="宋体" w:cs="宋体" w:eastAsiaTheme="minorEastAsia"/>
          <w:b/>
          <w:bCs/>
          <w:color w:val="auto"/>
          <w:kern w:val="2"/>
          <w:sz w:val="32"/>
          <w:szCs w:val="32"/>
          <w:lang w:val="en-US" w:eastAsia="zh-CN" w:bidi="ar-SA"/>
        </w:rPr>
        <w:t>月</w:t>
      </w:r>
      <w:r>
        <w:rPr>
          <w:rFonts w:hint="eastAsia" w:ascii="宋体" w:hAnsi="宋体" w:cs="宋体"/>
          <w:b/>
          <w:bCs/>
          <w:color w:val="auto"/>
          <w:kern w:val="2"/>
          <w:sz w:val="32"/>
          <w:szCs w:val="32"/>
          <w:lang w:val="en-US" w:eastAsia="zh-CN" w:bidi="ar-SA"/>
        </w:rPr>
        <w:t>11</w:t>
      </w:r>
      <w:r>
        <w:rPr>
          <w:rFonts w:hint="eastAsia" w:ascii="宋体" w:hAnsi="宋体" w:cs="宋体" w:eastAsiaTheme="minorEastAsia"/>
          <w:b/>
          <w:bCs/>
          <w:color w:val="auto"/>
          <w:kern w:val="2"/>
          <w:sz w:val="32"/>
          <w:szCs w:val="32"/>
          <w:lang w:val="en-US" w:eastAsia="zh-CN" w:bidi="ar-SA"/>
        </w:rPr>
        <w:t>日</w:t>
      </w:r>
    </w:p>
    <w:p w14:paraId="4F84FA32">
      <w:pPr>
        <w:rPr>
          <w:rFonts w:hint="eastAsia"/>
          <w:color w:val="auto"/>
          <w:lang w:val="en-US" w:eastAsia="zh-CN"/>
        </w:rPr>
        <w:sectPr>
          <w:headerReference r:id="rId3" w:type="default"/>
          <w:pgSz w:w="11910" w:h="16840"/>
          <w:pgMar w:top="1440" w:right="1080" w:bottom="1440" w:left="1080" w:header="698" w:footer="912" w:gutter="0"/>
          <w:pgNumType w:fmt="decimal" w:start="1"/>
          <w:cols w:space="720" w:num="1"/>
        </w:sectPr>
      </w:pPr>
    </w:p>
    <w:sdt>
      <w:sdtPr>
        <w:rPr>
          <w:rFonts w:ascii="宋体" w:hAnsi="宋体" w:eastAsia="宋体" w:cstheme="minorBidi"/>
          <w:b/>
          <w:bCs/>
          <w:color w:val="auto"/>
          <w:kern w:val="2"/>
          <w:sz w:val="44"/>
          <w:szCs w:val="44"/>
          <w:lang w:val="en-US" w:eastAsia="zh-CN" w:bidi="ar-SA"/>
        </w:rPr>
        <w:id w:val="147472812"/>
        <w15:color w:val="DBDBDB"/>
        <w:docPartObj>
          <w:docPartGallery w:val="Table of Contents"/>
          <w:docPartUnique/>
        </w:docPartObj>
      </w:sdtPr>
      <w:sdtEndPr>
        <w:rPr>
          <w:rFonts w:ascii="宋体" w:hAnsi="宋体" w:eastAsia="宋体" w:cstheme="minorBidi"/>
          <w:b/>
          <w:bCs/>
          <w:color w:val="auto"/>
          <w:kern w:val="2"/>
          <w:sz w:val="44"/>
          <w:szCs w:val="44"/>
          <w:lang w:val="en-US" w:eastAsia="zh-CN" w:bidi="ar-SA"/>
        </w:rPr>
      </w:sdtEndPr>
      <w:sdtContent>
        <w:p w14:paraId="47886944">
          <w:pPr>
            <w:spacing w:before="0" w:beforeLines="0" w:after="0" w:afterLines="0" w:line="240" w:lineRule="auto"/>
            <w:ind w:left="0" w:leftChars="0" w:right="0" w:rightChars="0" w:firstLine="0" w:firstLineChars="0"/>
            <w:jc w:val="center"/>
            <w:rPr>
              <w:rFonts w:ascii="宋体" w:hAnsi="宋体" w:eastAsia="宋体" w:cstheme="minorBidi"/>
              <w:b/>
              <w:bCs/>
              <w:color w:val="auto"/>
              <w:kern w:val="2"/>
              <w:sz w:val="44"/>
              <w:szCs w:val="44"/>
              <w:lang w:val="en-US" w:eastAsia="zh-CN" w:bidi="ar-SA"/>
            </w:rPr>
          </w:pPr>
          <w:r>
            <w:rPr>
              <w:rFonts w:ascii="宋体" w:hAnsi="宋体" w:eastAsia="宋体" w:cstheme="minorBidi"/>
              <w:b/>
              <w:bCs/>
              <w:color w:val="auto"/>
              <w:kern w:val="2"/>
              <w:sz w:val="44"/>
              <w:szCs w:val="44"/>
              <w:lang w:val="en-US" w:eastAsia="zh-CN" w:bidi="ar-SA"/>
            </w:rPr>
            <w:t>目录</w:t>
          </w:r>
        </w:p>
        <w:p w14:paraId="68482CF4">
          <w:pPr>
            <w:pStyle w:val="17"/>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color w:val="auto"/>
              <w:sz w:val="24"/>
              <w:szCs w:val="24"/>
            </w:rPr>
          </w:pPr>
          <w:r>
            <w:rPr>
              <w:color w:val="auto"/>
            </w:rPr>
            <w:fldChar w:fldCharType="begin"/>
          </w:r>
          <w:r>
            <w:rPr>
              <w:color w:val="auto"/>
            </w:rPr>
            <w:instrText xml:space="preserve">TOC \o "1-1" \h \u </w:instrText>
          </w:r>
          <w:r>
            <w:rPr>
              <w:color w:val="auto"/>
            </w:rPr>
            <w:fldChar w:fldCharType="separate"/>
          </w:r>
          <w:r>
            <w:rPr>
              <w:color w:val="auto"/>
              <w:sz w:val="24"/>
              <w:szCs w:val="24"/>
            </w:rPr>
            <w:fldChar w:fldCharType="begin"/>
          </w:r>
          <w:r>
            <w:rPr>
              <w:color w:val="auto"/>
              <w:sz w:val="24"/>
              <w:szCs w:val="24"/>
            </w:rPr>
            <w:instrText xml:space="preserve"> HYPERLINK \l _Toc9587 </w:instrText>
          </w:r>
          <w:r>
            <w:rPr>
              <w:color w:val="auto"/>
              <w:sz w:val="24"/>
              <w:szCs w:val="24"/>
            </w:rPr>
            <w:fldChar w:fldCharType="separate"/>
          </w:r>
          <w:r>
            <w:rPr>
              <w:rFonts w:hint="eastAsia" w:ascii="宋体" w:hAnsi="宋体" w:eastAsia="宋体" w:cs="宋体"/>
              <w:bCs w:val="0"/>
              <w:color w:val="auto"/>
              <w:kern w:val="2"/>
              <w:sz w:val="24"/>
              <w:szCs w:val="24"/>
              <w:lang w:val="en-US" w:eastAsia="zh-CN" w:bidi="ar-SA"/>
            </w:rPr>
            <w:t>第一章 公开招标公告</w:t>
          </w:r>
          <w:r>
            <w:rPr>
              <w:color w:val="auto"/>
              <w:sz w:val="24"/>
              <w:szCs w:val="24"/>
            </w:rPr>
            <w:tab/>
          </w:r>
          <w:r>
            <w:rPr>
              <w:color w:val="auto"/>
              <w:sz w:val="24"/>
              <w:szCs w:val="24"/>
            </w:rPr>
            <w:fldChar w:fldCharType="begin"/>
          </w:r>
          <w:r>
            <w:rPr>
              <w:color w:val="auto"/>
              <w:sz w:val="24"/>
              <w:szCs w:val="24"/>
            </w:rPr>
            <w:instrText xml:space="preserve"> PAGEREF _Toc9587 \h </w:instrText>
          </w:r>
          <w:r>
            <w:rPr>
              <w:color w:val="auto"/>
              <w:sz w:val="24"/>
              <w:szCs w:val="24"/>
            </w:rPr>
            <w:fldChar w:fldCharType="separate"/>
          </w:r>
          <w:r>
            <w:rPr>
              <w:color w:val="auto"/>
              <w:sz w:val="24"/>
              <w:szCs w:val="24"/>
            </w:rPr>
            <w:t>2</w:t>
          </w:r>
          <w:r>
            <w:rPr>
              <w:color w:val="auto"/>
              <w:sz w:val="24"/>
              <w:szCs w:val="24"/>
            </w:rPr>
            <w:fldChar w:fldCharType="end"/>
          </w:r>
          <w:r>
            <w:rPr>
              <w:color w:val="auto"/>
              <w:sz w:val="24"/>
              <w:szCs w:val="24"/>
            </w:rPr>
            <w:fldChar w:fldCharType="end"/>
          </w:r>
        </w:p>
        <w:p w14:paraId="3C86804E">
          <w:pPr>
            <w:pStyle w:val="17"/>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color w:val="auto"/>
              <w:sz w:val="24"/>
              <w:szCs w:val="24"/>
            </w:rPr>
          </w:pPr>
          <w:r>
            <w:rPr>
              <w:color w:val="auto"/>
              <w:sz w:val="24"/>
              <w:szCs w:val="24"/>
            </w:rPr>
            <w:fldChar w:fldCharType="begin"/>
          </w:r>
          <w:r>
            <w:rPr>
              <w:color w:val="auto"/>
              <w:sz w:val="24"/>
              <w:szCs w:val="24"/>
            </w:rPr>
            <w:instrText xml:space="preserve"> HYPERLINK \l _Toc8668 </w:instrText>
          </w:r>
          <w:r>
            <w:rPr>
              <w:color w:val="auto"/>
              <w:sz w:val="24"/>
              <w:szCs w:val="24"/>
            </w:rPr>
            <w:fldChar w:fldCharType="separate"/>
          </w:r>
          <w:r>
            <w:rPr>
              <w:rFonts w:hint="eastAsia" w:ascii="宋体" w:hAnsi="宋体" w:eastAsia="宋体" w:cs="宋体"/>
              <w:bCs/>
              <w:color w:val="auto"/>
              <w:kern w:val="44"/>
              <w:sz w:val="24"/>
              <w:szCs w:val="24"/>
              <w:lang w:val="en-US" w:eastAsia="zh-CN" w:bidi="ar-SA"/>
            </w:rPr>
            <w:t xml:space="preserve">第二章 </w:t>
          </w:r>
          <w:r>
            <w:rPr>
              <w:rFonts w:hint="eastAsia" w:ascii="宋体" w:hAnsi="宋体" w:eastAsia="宋体" w:cs="宋体"/>
              <w:color w:val="auto"/>
              <w:sz w:val="24"/>
              <w:szCs w:val="24"/>
              <w:highlight w:val="none"/>
            </w:rPr>
            <w:t>采购需求</w:t>
          </w:r>
          <w:r>
            <w:rPr>
              <w:color w:val="auto"/>
              <w:sz w:val="24"/>
              <w:szCs w:val="24"/>
            </w:rPr>
            <w:tab/>
          </w:r>
          <w:r>
            <w:rPr>
              <w:color w:val="auto"/>
              <w:sz w:val="24"/>
              <w:szCs w:val="24"/>
            </w:rPr>
            <w:fldChar w:fldCharType="begin"/>
          </w:r>
          <w:r>
            <w:rPr>
              <w:color w:val="auto"/>
              <w:sz w:val="24"/>
              <w:szCs w:val="24"/>
            </w:rPr>
            <w:instrText xml:space="preserve"> PAGEREF _Toc8668 \h </w:instrText>
          </w:r>
          <w:r>
            <w:rPr>
              <w:color w:val="auto"/>
              <w:sz w:val="24"/>
              <w:szCs w:val="24"/>
            </w:rPr>
            <w:fldChar w:fldCharType="separate"/>
          </w:r>
          <w:r>
            <w:rPr>
              <w:color w:val="auto"/>
              <w:sz w:val="24"/>
              <w:szCs w:val="24"/>
            </w:rPr>
            <w:t>5</w:t>
          </w:r>
          <w:r>
            <w:rPr>
              <w:color w:val="auto"/>
              <w:sz w:val="24"/>
              <w:szCs w:val="24"/>
            </w:rPr>
            <w:fldChar w:fldCharType="end"/>
          </w:r>
          <w:r>
            <w:rPr>
              <w:color w:val="auto"/>
              <w:sz w:val="24"/>
              <w:szCs w:val="24"/>
            </w:rPr>
            <w:fldChar w:fldCharType="end"/>
          </w:r>
        </w:p>
        <w:p w14:paraId="45F3BD84">
          <w:pPr>
            <w:pStyle w:val="17"/>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color w:val="auto"/>
              <w:sz w:val="24"/>
              <w:szCs w:val="24"/>
            </w:rPr>
          </w:pPr>
          <w:r>
            <w:rPr>
              <w:color w:val="auto"/>
              <w:sz w:val="24"/>
              <w:szCs w:val="24"/>
            </w:rPr>
            <w:fldChar w:fldCharType="begin"/>
          </w:r>
          <w:r>
            <w:rPr>
              <w:color w:val="auto"/>
              <w:sz w:val="24"/>
              <w:szCs w:val="24"/>
            </w:rPr>
            <w:instrText xml:space="preserve"> HYPERLINK \l _Toc11765 </w:instrText>
          </w:r>
          <w:r>
            <w:rPr>
              <w:color w:val="auto"/>
              <w:sz w:val="24"/>
              <w:szCs w:val="24"/>
            </w:rPr>
            <w:fldChar w:fldCharType="separate"/>
          </w:r>
          <w:r>
            <w:rPr>
              <w:rFonts w:hint="eastAsia" w:ascii="宋体" w:hAnsi="宋体" w:eastAsia="宋体" w:cs="宋体"/>
              <w:bCs/>
              <w:color w:val="auto"/>
              <w:kern w:val="44"/>
              <w:sz w:val="24"/>
              <w:szCs w:val="24"/>
              <w:lang w:val="en-US" w:eastAsia="zh-CN" w:bidi="ar-SA"/>
            </w:rPr>
            <w:t>第三章</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投标人须知</w:t>
          </w:r>
          <w:r>
            <w:rPr>
              <w:color w:val="auto"/>
              <w:sz w:val="24"/>
              <w:szCs w:val="24"/>
            </w:rPr>
            <w:tab/>
          </w:r>
          <w:r>
            <w:rPr>
              <w:color w:val="auto"/>
              <w:sz w:val="24"/>
              <w:szCs w:val="24"/>
            </w:rPr>
            <w:fldChar w:fldCharType="begin"/>
          </w:r>
          <w:r>
            <w:rPr>
              <w:color w:val="auto"/>
              <w:sz w:val="24"/>
              <w:szCs w:val="24"/>
            </w:rPr>
            <w:instrText xml:space="preserve"> PAGEREF _Toc11765 \h </w:instrText>
          </w:r>
          <w:r>
            <w:rPr>
              <w:color w:val="auto"/>
              <w:sz w:val="24"/>
              <w:szCs w:val="24"/>
            </w:rPr>
            <w:fldChar w:fldCharType="separate"/>
          </w:r>
          <w:r>
            <w:rPr>
              <w:color w:val="auto"/>
              <w:sz w:val="24"/>
              <w:szCs w:val="24"/>
            </w:rPr>
            <w:t>26</w:t>
          </w:r>
          <w:r>
            <w:rPr>
              <w:color w:val="auto"/>
              <w:sz w:val="24"/>
              <w:szCs w:val="24"/>
            </w:rPr>
            <w:fldChar w:fldCharType="end"/>
          </w:r>
          <w:r>
            <w:rPr>
              <w:color w:val="auto"/>
              <w:sz w:val="24"/>
              <w:szCs w:val="24"/>
            </w:rPr>
            <w:fldChar w:fldCharType="end"/>
          </w:r>
        </w:p>
        <w:p w14:paraId="32E43306">
          <w:pPr>
            <w:pStyle w:val="17"/>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color w:val="auto"/>
              <w:sz w:val="24"/>
              <w:szCs w:val="24"/>
            </w:rPr>
          </w:pPr>
          <w:r>
            <w:rPr>
              <w:color w:val="auto"/>
              <w:sz w:val="24"/>
              <w:szCs w:val="24"/>
            </w:rPr>
            <w:fldChar w:fldCharType="begin"/>
          </w:r>
          <w:r>
            <w:rPr>
              <w:color w:val="auto"/>
              <w:sz w:val="24"/>
              <w:szCs w:val="24"/>
            </w:rPr>
            <w:instrText xml:space="preserve"> HYPERLINK \l _Toc17248 </w:instrText>
          </w:r>
          <w:r>
            <w:rPr>
              <w:color w:val="auto"/>
              <w:sz w:val="24"/>
              <w:szCs w:val="24"/>
            </w:rPr>
            <w:fldChar w:fldCharType="separate"/>
          </w:r>
          <w:r>
            <w:rPr>
              <w:rFonts w:hint="eastAsia" w:ascii="宋体" w:hAnsi="宋体" w:eastAsia="宋体" w:cs="宋体"/>
              <w:bCs/>
              <w:color w:val="auto"/>
              <w:kern w:val="44"/>
              <w:sz w:val="24"/>
              <w:szCs w:val="24"/>
              <w:lang w:val="en-US" w:eastAsia="zh-CN" w:bidi="ar-SA"/>
            </w:rPr>
            <w:t xml:space="preserve">第四章 </w:t>
          </w:r>
          <w:r>
            <w:rPr>
              <w:rFonts w:hint="eastAsia" w:ascii="宋体" w:hAnsi="宋体" w:eastAsia="宋体" w:cs="宋体"/>
              <w:color w:val="auto"/>
              <w:sz w:val="24"/>
              <w:szCs w:val="24"/>
              <w:highlight w:val="none"/>
              <w:lang w:val="en-US" w:eastAsia="zh-CN"/>
            </w:rPr>
            <w:t>评标方法及评标标准</w:t>
          </w:r>
          <w:r>
            <w:rPr>
              <w:color w:val="auto"/>
              <w:sz w:val="24"/>
              <w:szCs w:val="24"/>
            </w:rPr>
            <w:tab/>
          </w:r>
          <w:r>
            <w:rPr>
              <w:color w:val="auto"/>
              <w:sz w:val="24"/>
              <w:szCs w:val="24"/>
            </w:rPr>
            <w:fldChar w:fldCharType="begin"/>
          </w:r>
          <w:r>
            <w:rPr>
              <w:color w:val="auto"/>
              <w:sz w:val="24"/>
              <w:szCs w:val="24"/>
            </w:rPr>
            <w:instrText xml:space="preserve"> PAGEREF _Toc17248 \h </w:instrText>
          </w:r>
          <w:r>
            <w:rPr>
              <w:color w:val="auto"/>
              <w:sz w:val="24"/>
              <w:szCs w:val="24"/>
            </w:rPr>
            <w:fldChar w:fldCharType="separate"/>
          </w:r>
          <w:r>
            <w:rPr>
              <w:color w:val="auto"/>
              <w:sz w:val="24"/>
              <w:szCs w:val="24"/>
            </w:rPr>
            <w:t>47</w:t>
          </w:r>
          <w:r>
            <w:rPr>
              <w:color w:val="auto"/>
              <w:sz w:val="24"/>
              <w:szCs w:val="24"/>
            </w:rPr>
            <w:fldChar w:fldCharType="end"/>
          </w:r>
          <w:r>
            <w:rPr>
              <w:color w:val="auto"/>
              <w:sz w:val="24"/>
              <w:szCs w:val="24"/>
            </w:rPr>
            <w:fldChar w:fldCharType="end"/>
          </w:r>
        </w:p>
        <w:p w14:paraId="27B40F9E">
          <w:pPr>
            <w:pStyle w:val="17"/>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color w:val="auto"/>
              <w:sz w:val="24"/>
              <w:szCs w:val="24"/>
            </w:rPr>
          </w:pPr>
          <w:r>
            <w:rPr>
              <w:color w:val="auto"/>
              <w:sz w:val="24"/>
              <w:szCs w:val="24"/>
            </w:rPr>
            <w:fldChar w:fldCharType="begin"/>
          </w:r>
          <w:r>
            <w:rPr>
              <w:color w:val="auto"/>
              <w:sz w:val="24"/>
              <w:szCs w:val="24"/>
            </w:rPr>
            <w:instrText xml:space="preserve"> HYPERLINK \l _Toc23791 </w:instrText>
          </w:r>
          <w:r>
            <w:rPr>
              <w:color w:val="auto"/>
              <w:sz w:val="24"/>
              <w:szCs w:val="24"/>
            </w:rPr>
            <w:fldChar w:fldCharType="separate"/>
          </w:r>
          <w:r>
            <w:rPr>
              <w:rFonts w:hint="eastAsia" w:ascii="宋体" w:hAnsi="宋体" w:eastAsia="宋体" w:cs="宋体"/>
              <w:bCs/>
              <w:color w:val="auto"/>
              <w:kern w:val="44"/>
              <w:sz w:val="24"/>
              <w:szCs w:val="24"/>
              <w:lang w:val="en-US" w:eastAsia="zh-CN" w:bidi="ar-SA"/>
            </w:rPr>
            <w:t xml:space="preserve">第五章 </w:t>
          </w:r>
          <w:r>
            <w:rPr>
              <w:rFonts w:hint="eastAsia" w:ascii="宋体" w:hAnsi="宋体" w:eastAsia="宋体" w:cs="宋体"/>
              <w:color w:val="auto"/>
              <w:sz w:val="24"/>
              <w:szCs w:val="24"/>
              <w:highlight w:val="none"/>
              <w:lang w:val="en-US" w:eastAsia="zh-CN"/>
            </w:rPr>
            <w:t>拟签订的合同文本</w:t>
          </w:r>
          <w:r>
            <w:rPr>
              <w:color w:val="auto"/>
              <w:sz w:val="24"/>
              <w:szCs w:val="24"/>
            </w:rPr>
            <w:tab/>
          </w:r>
          <w:r>
            <w:rPr>
              <w:color w:val="auto"/>
              <w:sz w:val="24"/>
              <w:szCs w:val="24"/>
            </w:rPr>
            <w:fldChar w:fldCharType="begin"/>
          </w:r>
          <w:r>
            <w:rPr>
              <w:color w:val="auto"/>
              <w:sz w:val="24"/>
              <w:szCs w:val="24"/>
            </w:rPr>
            <w:instrText xml:space="preserve"> PAGEREF _Toc23791 \h </w:instrText>
          </w:r>
          <w:r>
            <w:rPr>
              <w:color w:val="auto"/>
              <w:sz w:val="24"/>
              <w:szCs w:val="24"/>
            </w:rPr>
            <w:fldChar w:fldCharType="separate"/>
          </w:r>
          <w:r>
            <w:rPr>
              <w:color w:val="auto"/>
              <w:sz w:val="24"/>
              <w:szCs w:val="24"/>
            </w:rPr>
            <w:t>57</w:t>
          </w:r>
          <w:r>
            <w:rPr>
              <w:color w:val="auto"/>
              <w:sz w:val="24"/>
              <w:szCs w:val="24"/>
            </w:rPr>
            <w:fldChar w:fldCharType="end"/>
          </w:r>
          <w:r>
            <w:rPr>
              <w:color w:val="auto"/>
              <w:sz w:val="24"/>
              <w:szCs w:val="24"/>
            </w:rPr>
            <w:fldChar w:fldCharType="end"/>
          </w:r>
        </w:p>
        <w:p w14:paraId="16B2D3DE">
          <w:pPr>
            <w:pStyle w:val="17"/>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color w:val="auto"/>
            </w:rPr>
          </w:pPr>
          <w:r>
            <w:rPr>
              <w:color w:val="auto"/>
              <w:sz w:val="24"/>
              <w:szCs w:val="24"/>
            </w:rPr>
            <w:fldChar w:fldCharType="begin"/>
          </w:r>
          <w:r>
            <w:rPr>
              <w:color w:val="auto"/>
              <w:sz w:val="24"/>
              <w:szCs w:val="24"/>
            </w:rPr>
            <w:instrText xml:space="preserve"> HYPERLINK \l _Toc8202 </w:instrText>
          </w:r>
          <w:r>
            <w:rPr>
              <w:color w:val="auto"/>
              <w:sz w:val="24"/>
              <w:szCs w:val="24"/>
            </w:rPr>
            <w:fldChar w:fldCharType="separate"/>
          </w:r>
          <w:r>
            <w:rPr>
              <w:rFonts w:hint="eastAsia" w:ascii="宋体" w:hAnsi="宋体" w:eastAsia="宋体" w:cs="宋体"/>
              <w:bCs/>
              <w:color w:val="auto"/>
              <w:kern w:val="44"/>
              <w:sz w:val="24"/>
              <w:szCs w:val="24"/>
              <w:lang w:val="en-US" w:eastAsia="zh-CN" w:bidi="ar-SA"/>
            </w:rPr>
            <w:t xml:space="preserve">第六章 </w:t>
          </w:r>
          <w:r>
            <w:rPr>
              <w:rFonts w:hint="eastAsia" w:ascii="宋体" w:hAnsi="宋体" w:eastAsia="宋体" w:cs="宋体"/>
              <w:color w:val="auto"/>
              <w:sz w:val="24"/>
              <w:szCs w:val="24"/>
              <w:highlight w:val="none"/>
              <w:lang w:val="en-US" w:eastAsia="zh-CN"/>
            </w:rPr>
            <w:t>投标文件格式</w:t>
          </w:r>
          <w:r>
            <w:rPr>
              <w:color w:val="auto"/>
              <w:sz w:val="24"/>
              <w:szCs w:val="24"/>
            </w:rPr>
            <w:tab/>
          </w:r>
          <w:r>
            <w:rPr>
              <w:color w:val="auto"/>
              <w:sz w:val="24"/>
              <w:szCs w:val="24"/>
            </w:rPr>
            <w:fldChar w:fldCharType="begin"/>
          </w:r>
          <w:r>
            <w:rPr>
              <w:color w:val="auto"/>
              <w:sz w:val="24"/>
              <w:szCs w:val="24"/>
            </w:rPr>
            <w:instrText xml:space="preserve"> PAGEREF _Toc8202 \h </w:instrText>
          </w:r>
          <w:r>
            <w:rPr>
              <w:color w:val="auto"/>
              <w:sz w:val="24"/>
              <w:szCs w:val="24"/>
            </w:rPr>
            <w:fldChar w:fldCharType="separate"/>
          </w:r>
          <w:r>
            <w:rPr>
              <w:color w:val="auto"/>
              <w:sz w:val="24"/>
              <w:szCs w:val="24"/>
            </w:rPr>
            <w:t>62</w:t>
          </w:r>
          <w:r>
            <w:rPr>
              <w:color w:val="auto"/>
              <w:sz w:val="24"/>
              <w:szCs w:val="24"/>
            </w:rPr>
            <w:fldChar w:fldCharType="end"/>
          </w:r>
          <w:r>
            <w:rPr>
              <w:color w:val="auto"/>
              <w:sz w:val="24"/>
              <w:szCs w:val="24"/>
            </w:rPr>
            <w:fldChar w:fldCharType="end"/>
          </w:r>
        </w:p>
        <w:p w14:paraId="74A11AF0">
          <w:pPr>
            <w:rPr>
              <w:rFonts w:asciiTheme="minorHAnsi" w:hAnsiTheme="minorHAnsi" w:eastAsiaTheme="minorEastAsia" w:cstheme="minorBidi"/>
              <w:color w:val="auto"/>
              <w:kern w:val="2"/>
              <w:sz w:val="21"/>
              <w:szCs w:val="24"/>
              <w:lang w:val="en-US" w:eastAsia="zh-CN" w:bidi="ar-SA"/>
            </w:rPr>
            <w:sectPr>
              <w:footerReference r:id="rId4" w:type="default"/>
              <w:pgSz w:w="11906" w:h="16838"/>
              <w:pgMar w:top="1440" w:right="1080" w:bottom="1440" w:left="1080" w:header="851" w:footer="992" w:gutter="0"/>
              <w:pgNumType w:start="1"/>
              <w:cols w:space="425" w:num="1"/>
              <w:docGrid w:type="lines" w:linePitch="312" w:charSpace="0"/>
            </w:sectPr>
          </w:pPr>
          <w:r>
            <w:rPr>
              <w:color w:val="auto"/>
            </w:rPr>
            <w:fldChar w:fldCharType="end"/>
          </w:r>
        </w:p>
      </w:sdtContent>
    </w:sdt>
    <w:p w14:paraId="69E154A4">
      <w:pPr>
        <w:pStyle w:val="2"/>
        <w:pageBreakBefore w:val="0"/>
        <w:numPr>
          <w:ilvl w:val="0"/>
          <w:numId w:val="0"/>
        </w:numPr>
        <w:tabs>
          <w:tab w:val="left" w:pos="0"/>
          <w:tab w:val="left" w:pos="3165"/>
          <w:tab w:val="center" w:pos="4153"/>
        </w:tabs>
        <w:kinsoku/>
        <w:overflowPunct/>
        <w:topLinePunct w:val="0"/>
        <w:autoSpaceDE w:val="0"/>
        <w:autoSpaceDN w:val="0"/>
        <w:bidi w:val="0"/>
        <w:adjustRightInd w:val="0"/>
        <w:spacing w:before="0" w:after="0" w:line="240" w:lineRule="auto"/>
        <w:jc w:val="center"/>
        <w:rPr>
          <w:rFonts w:hint="eastAsia" w:ascii="宋体" w:hAnsi="宋体" w:eastAsia="宋体" w:cs="宋体"/>
          <w:b/>
          <w:bCs w:val="0"/>
          <w:color w:val="auto"/>
          <w:kern w:val="2"/>
          <w:sz w:val="44"/>
          <w:szCs w:val="44"/>
          <w:lang w:val="en-US" w:eastAsia="zh-CN" w:bidi="ar-SA"/>
        </w:rPr>
      </w:pPr>
      <w:bookmarkStart w:id="0" w:name="_Toc9587"/>
      <w:bookmarkStart w:id="1" w:name="_Toc28939"/>
      <w:bookmarkStart w:id="2" w:name="_Toc3799"/>
      <w:r>
        <w:rPr>
          <w:rFonts w:hint="eastAsia" w:ascii="宋体" w:hAnsi="宋体" w:eastAsia="宋体" w:cs="宋体"/>
          <w:b/>
          <w:bCs w:val="0"/>
          <w:color w:val="auto"/>
          <w:kern w:val="2"/>
          <w:sz w:val="44"/>
          <w:szCs w:val="44"/>
          <w:lang w:val="en-US" w:eastAsia="zh-CN" w:bidi="ar-SA"/>
        </w:rPr>
        <w:t>第一章 公开招标公告</w:t>
      </w:r>
      <w:bookmarkEnd w:id="0"/>
      <w:bookmarkEnd w:id="1"/>
      <w:bookmarkEnd w:id="2"/>
    </w:p>
    <w:p w14:paraId="0B0BE45E">
      <w:pPr>
        <w:keepNext w:val="0"/>
        <w:keepLines w:val="0"/>
        <w:pageBreakBefore w:val="0"/>
        <w:kinsoku/>
        <w:overflowPunct/>
        <w:topLinePunct w:val="0"/>
        <w:autoSpaceDE/>
        <w:autoSpaceDN/>
        <w:bidi w:val="0"/>
        <w:adjustRightInd/>
        <w:spacing w:line="240" w:lineRule="auto"/>
        <w:jc w:val="center"/>
        <w:textAlignment w:val="auto"/>
        <w:rPr>
          <w:rFonts w:hint="eastAsia" w:ascii="宋体" w:hAnsi="宋体" w:eastAsia="宋体" w:cs="宋体"/>
          <w:b/>
          <w:color w:val="EE822F" w:themeColor="accent2"/>
          <w:sz w:val="21"/>
          <w:szCs w:val="21"/>
          <w:highlight w:val="none"/>
          <w:lang w:val="en-US" w:eastAsia="zh-CN"/>
          <w14:textFill>
            <w14:solidFill>
              <w14:schemeClr w14:val="accent2"/>
            </w14:solidFill>
          </w14:textFill>
        </w:rPr>
      </w:pPr>
    </w:p>
    <w:p w14:paraId="09ADC1CC">
      <w:pPr>
        <w:keepNext w:val="0"/>
        <w:keepLines w:val="0"/>
        <w:pageBreakBefore w:val="0"/>
        <w:kinsoku/>
        <w:overflowPunct/>
        <w:topLinePunct w:val="0"/>
        <w:autoSpaceDE/>
        <w:autoSpaceDN/>
        <w:bidi w:val="0"/>
        <w:adjustRightIn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lang w:val="en-US" w:eastAsia="zh-CN"/>
        </w:rPr>
        <w:t>防城港市政务云资源服务采购项目的公开招标公告</w:t>
      </w:r>
    </w:p>
    <w:p w14:paraId="4FFDCAF3">
      <w:pPr>
        <w:keepNext w:val="0"/>
        <w:keepLines w:val="0"/>
        <w:pageBreakBefore w:val="0"/>
        <w:pBdr>
          <w:top w:val="single" w:color="auto" w:sz="4" w:space="1"/>
          <w:left w:val="single" w:color="auto" w:sz="4" w:space="4"/>
          <w:bottom w:val="single" w:color="auto" w:sz="4" w:space="1"/>
          <w:right w:val="single" w:color="auto" w:sz="4" w:space="4"/>
        </w:pBdr>
        <w:kinsoku/>
        <w:overflowPunct/>
        <w:topLinePunct w:val="0"/>
        <w:autoSpaceDE/>
        <w:autoSpaceDN/>
        <w:bidi w:val="0"/>
        <w:adjustRightInd/>
        <w:spacing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项目概况</w:t>
      </w:r>
    </w:p>
    <w:p w14:paraId="5A217F2F">
      <w:pPr>
        <w:keepNext w:val="0"/>
        <w:keepLines w:val="0"/>
        <w:pageBreakBefore w:val="0"/>
        <w:pBdr>
          <w:top w:val="single" w:color="auto" w:sz="4" w:space="1"/>
          <w:left w:val="single" w:color="auto" w:sz="4" w:space="4"/>
          <w:bottom w:val="single" w:color="auto" w:sz="4" w:space="1"/>
          <w:right w:val="single" w:color="auto" w:sz="4" w:space="4"/>
        </w:pBdr>
        <w:kinsoku/>
        <w:overflowPunct/>
        <w:topLinePunct w:val="0"/>
        <w:autoSpaceDE/>
        <w:autoSpaceDN/>
        <w:bidi w:val="0"/>
        <w:adjustRightInd/>
        <w:spacing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防城港市政务云资源服务采购项目</w:t>
      </w:r>
      <w:r>
        <w:rPr>
          <w:rFonts w:hint="eastAsia" w:ascii="宋体" w:hAnsi="宋体" w:eastAsia="宋体" w:cs="宋体"/>
          <w:color w:val="auto"/>
          <w:sz w:val="21"/>
          <w:szCs w:val="21"/>
          <w:highlight w:val="none"/>
        </w:rPr>
        <w:t>的潜在投标人应在</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获取招标文件，并于</w:t>
      </w:r>
      <w:r>
        <w:rPr>
          <w:rFonts w:hint="eastAsia" w:ascii="宋体" w:hAnsi="宋体" w:eastAsia="宋体" w:cs="宋体"/>
          <w:bCs/>
          <w:color w:val="auto"/>
          <w:sz w:val="21"/>
          <w:szCs w:val="21"/>
          <w:highlight w:val="none"/>
          <w:lang w:eastAsia="zh-CN"/>
        </w:rPr>
        <w:t>202</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年</w:t>
      </w:r>
      <w:r>
        <w:rPr>
          <w:rFonts w:hint="eastAsia" w:ascii="宋体" w:hAnsi="宋体" w:eastAsia="宋体" w:cs="宋体"/>
          <w:bCs/>
          <w:color w:val="auto"/>
          <w:sz w:val="21"/>
          <w:szCs w:val="21"/>
          <w:highlight w:val="none"/>
          <w:lang w:val="en-US" w:eastAsia="zh-CN"/>
        </w:rPr>
        <w:t xml:space="preserve"> 9月</w:t>
      </w:r>
      <w:r>
        <w:rPr>
          <w:rFonts w:hint="eastAsia" w:ascii="宋体" w:hAnsi="宋体" w:cs="宋体"/>
          <w:bCs/>
          <w:color w:val="auto"/>
          <w:sz w:val="21"/>
          <w:szCs w:val="21"/>
          <w:highlight w:val="none"/>
          <w:lang w:val="en-US" w:eastAsia="zh-CN"/>
        </w:rPr>
        <w:t>1</w:t>
      </w:r>
      <w:r>
        <w:rPr>
          <w:rFonts w:hint="eastAsia" w:ascii="宋体" w:hAnsi="宋体" w:eastAsia="宋体" w:cs="宋体"/>
          <w:bCs/>
          <w:color w:val="auto"/>
          <w:sz w:val="21"/>
          <w:szCs w:val="21"/>
          <w:highlight w:val="none"/>
          <w:lang w:val="en-US" w:eastAsia="zh-CN"/>
        </w:rPr>
        <w:t>日9</w:t>
      </w:r>
      <w:r>
        <w:rPr>
          <w:rFonts w:hint="eastAsia" w:ascii="宋体" w:hAnsi="宋体" w:eastAsia="宋体" w:cs="宋体"/>
          <w:bCs/>
          <w:color w:val="auto"/>
          <w:sz w:val="21"/>
          <w:szCs w:val="21"/>
          <w:highlight w:val="none"/>
        </w:rPr>
        <w:t>时</w:t>
      </w:r>
      <w:r>
        <w:rPr>
          <w:rFonts w:hint="eastAsia" w:ascii="宋体" w:hAnsi="宋体" w:eastAsia="宋体" w:cs="宋体"/>
          <w:bCs/>
          <w:color w:val="auto"/>
          <w:sz w:val="21"/>
          <w:szCs w:val="21"/>
          <w:highlight w:val="none"/>
          <w:lang w:val="en-US" w:eastAsia="zh-CN"/>
        </w:rPr>
        <w:t>30</w:t>
      </w:r>
      <w:r>
        <w:rPr>
          <w:rFonts w:hint="eastAsia" w:ascii="宋体" w:hAnsi="宋体" w:eastAsia="宋体" w:cs="宋体"/>
          <w:bCs/>
          <w:color w:val="auto"/>
          <w:sz w:val="21"/>
          <w:szCs w:val="21"/>
          <w:highlight w:val="none"/>
        </w:rPr>
        <w:t>分（北京时间）前按要求提交投标文件</w:t>
      </w:r>
      <w:r>
        <w:rPr>
          <w:rFonts w:hint="eastAsia" w:ascii="宋体" w:hAnsi="宋体" w:eastAsia="宋体" w:cs="宋体"/>
          <w:color w:val="auto"/>
          <w:sz w:val="21"/>
          <w:szCs w:val="21"/>
          <w:highlight w:val="none"/>
        </w:rPr>
        <w:t>。</w:t>
      </w:r>
    </w:p>
    <w:p w14:paraId="042E6D45">
      <w:pPr>
        <w:keepNext w:val="0"/>
        <w:keepLines w:val="0"/>
        <w:pageBreakBefore w:val="0"/>
        <w:kinsoku/>
        <w:overflowPunct/>
        <w:topLinePunct w:val="0"/>
        <w:autoSpaceDE/>
        <w:autoSpaceDN/>
        <w:bidi w:val="0"/>
        <w:adjustRightInd/>
        <w:snapToGrid/>
        <w:spacing w:line="360" w:lineRule="exact"/>
        <w:textAlignment w:val="auto"/>
        <w:rPr>
          <w:rFonts w:hint="eastAsia" w:ascii="宋体" w:hAnsi="宋体" w:eastAsia="宋体" w:cs="宋体"/>
          <w:b/>
          <w:bCs/>
          <w:color w:val="auto"/>
          <w:sz w:val="21"/>
          <w:szCs w:val="21"/>
          <w:highlight w:val="none"/>
        </w:rPr>
      </w:pPr>
      <w:bookmarkStart w:id="3" w:name="_Toc28359079"/>
      <w:bookmarkStart w:id="4" w:name="_Toc28359002"/>
      <w:bookmarkStart w:id="5" w:name="_Toc35393790"/>
      <w:bookmarkStart w:id="6" w:name="_Toc35393621"/>
      <w:bookmarkStart w:id="7" w:name="_Hlk24379207"/>
      <w:r>
        <w:rPr>
          <w:rFonts w:hint="eastAsia" w:ascii="宋体" w:hAnsi="宋体" w:eastAsia="宋体" w:cs="宋体"/>
          <w:b/>
          <w:bCs/>
          <w:color w:val="auto"/>
          <w:sz w:val="21"/>
          <w:szCs w:val="21"/>
          <w:highlight w:val="none"/>
        </w:rPr>
        <w:t>一、项目基本情况</w:t>
      </w:r>
      <w:bookmarkEnd w:id="3"/>
      <w:bookmarkEnd w:id="4"/>
      <w:bookmarkEnd w:id="5"/>
      <w:bookmarkEnd w:id="6"/>
    </w:p>
    <w:p w14:paraId="346338F6">
      <w:pPr>
        <w:keepNext w:val="0"/>
        <w:keepLines w:val="0"/>
        <w:pageBreakBefore w:val="0"/>
        <w:kinsoku/>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项目编号：FCZC2026-G3-990127-FCGS</w:t>
      </w:r>
    </w:p>
    <w:p w14:paraId="660675CA">
      <w:pPr>
        <w:keepNext w:val="0"/>
        <w:keepLines w:val="0"/>
        <w:pageBreakBefore w:val="0"/>
        <w:kinsoku/>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项目名称：</w:t>
      </w:r>
      <w:bookmarkEnd w:id="7"/>
      <w:r>
        <w:rPr>
          <w:rFonts w:hint="eastAsia" w:ascii="宋体" w:hAnsi="宋体" w:eastAsia="宋体" w:cs="宋体"/>
          <w:color w:val="auto"/>
          <w:sz w:val="21"/>
          <w:szCs w:val="21"/>
          <w:highlight w:val="none"/>
          <w:lang w:val="en-US" w:eastAsia="zh-CN"/>
        </w:rPr>
        <w:t>防城港市政务云资源服务采购项目</w:t>
      </w:r>
    </w:p>
    <w:p w14:paraId="1BA42A87">
      <w:pPr>
        <w:keepNext w:val="0"/>
        <w:keepLines w:val="0"/>
        <w:pageBreakBefore w:val="0"/>
        <w:kinsoku/>
        <w:overflowPunct/>
        <w:topLinePunct w:val="0"/>
        <w:autoSpaceDE/>
        <w:autoSpaceDN/>
        <w:bidi w:val="0"/>
        <w:adjustRightInd/>
        <w:snapToGrid/>
        <w:spacing w:line="360" w:lineRule="exact"/>
        <w:ind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预算总金额：</w:t>
      </w:r>
      <w:r>
        <w:rPr>
          <w:rFonts w:hint="eastAsia" w:ascii="宋体" w:hAnsi="宋体" w:eastAsia="宋体" w:cs="宋体"/>
          <w:color w:val="auto"/>
          <w:sz w:val="21"/>
          <w:szCs w:val="21"/>
          <w:highlight w:val="none"/>
          <w:lang w:val="en-US" w:eastAsia="zh-CN"/>
        </w:rPr>
        <w:t>10,990,278.00元</w:t>
      </w:r>
    </w:p>
    <w:p w14:paraId="34BE3233">
      <w:pPr>
        <w:keepNext w:val="0"/>
        <w:keepLines w:val="0"/>
        <w:pageBreakBefore w:val="0"/>
        <w:kinsoku/>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最高限价：</w:t>
      </w:r>
      <w:r>
        <w:rPr>
          <w:rFonts w:hint="eastAsia" w:ascii="宋体" w:hAnsi="宋体" w:eastAsia="宋体" w:cs="宋体"/>
          <w:color w:val="auto"/>
          <w:sz w:val="21"/>
          <w:szCs w:val="21"/>
          <w:lang w:val="en-US" w:eastAsia="zh-CN"/>
        </w:rPr>
        <w:t>同预算</w:t>
      </w:r>
    </w:p>
    <w:p w14:paraId="1A275BBD">
      <w:pPr>
        <w:keepNext w:val="0"/>
        <w:keepLines w:val="0"/>
        <w:pageBreakBefore w:val="0"/>
        <w:kinsoku/>
        <w:overflowPunct/>
        <w:topLinePunct w:val="0"/>
        <w:autoSpaceDE/>
        <w:autoSpaceDN/>
        <w:bidi w:val="0"/>
        <w:adjustRightInd/>
        <w:snapToGrid/>
        <w:spacing w:line="360" w:lineRule="exact"/>
        <w:ind w:firstLine="420" w:firstLineChars="200"/>
        <w:textAlignment w:val="auto"/>
        <w:rPr>
          <w:rFonts w:hint="default" w:ascii="宋体" w:hAnsi="宋体" w:eastAsia="宋体" w:cs="宋体"/>
          <w:b w:val="0"/>
          <w:bCs/>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采购需求：一、基础资源池服务。具体包括云计算服务、裸金属服务、分布式普通存储、集中式高性能存储、本地备份、分布式高性能块存储、操作系统服务。 二、云安全管理服务。具体包括云数据库审计、负载均衡、VPN、云主机杀毒、云WAF、云日志审计、网页防篡改、云防火墙（含IPS功能）、堡垒机、独立云数字签名资源、统一密码服务、SSL证书。 三、其他配套服务。具体包括主备互联网出口、机柜、驻场运维服务、系统迁移服务。具体详见采购需求。</w:t>
      </w:r>
    </w:p>
    <w:p w14:paraId="10070B98">
      <w:pPr>
        <w:keepNext w:val="0"/>
        <w:keepLines w:val="0"/>
        <w:pageBreakBefore w:val="0"/>
        <w:kinsoku/>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项目所属行业：软件和信息技术服务业</w:t>
      </w:r>
    </w:p>
    <w:p w14:paraId="3F661382">
      <w:pPr>
        <w:keepNext w:val="0"/>
        <w:keepLines w:val="0"/>
        <w:pageBreakBefore w:val="0"/>
        <w:kinsoku/>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合同履行期限：</w:t>
      </w:r>
      <w:r>
        <w:rPr>
          <w:rFonts w:hint="eastAsia" w:ascii="宋体" w:hAnsi="宋体" w:eastAsia="宋体" w:cs="宋体"/>
          <w:color w:val="auto"/>
          <w:kern w:val="2"/>
          <w:sz w:val="21"/>
          <w:szCs w:val="21"/>
          <w:highlight w:val="none"/>
          <w:lang w:val="en-US" w:eastAsia="zh-CN" w:bidi="ar-SA"/>
        </w:rPr>
        <w:t>自合同签订之日起，服务期2年</w:t>
      </w:r>
      <w:r>
        <w:rPr>
          <w:rFonts w:hint="eastAsia" w:ascii="宋体" w:hAnsi="宋体" w:cs="宋体"/>
          <w:color w:val="auto"/>
          <w:kern w:val="2"/>
          <w:sz w:val="21"/>
          <w:szCs w:val="21"/>
          <w:highlight w:val="none"/>
          <w:u w:val="none"/>
          <w:lang w:val="en-US" w:eastAsia="zh-CN" w:bidi="ar-SA"/>
        </w:rPr>
        <w:t>。</w:t>
      </w:r>
    </w:p>
    <w:p w14:paraId="2DEDD734">
      <w:pPr>
        <w:keepNext w:val="0"/>
        <w:keepLines w:val="0"/>
        <w:pageBreakBefore w:val="0"/>
        <w:kinsoku/>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w:t>
      </w:r>
      <w:r>
        <w:rPr>
          <w:rFonts w:hint="eastAsia" w:ascii="宋体" w:hAnsi="宋体" w:eastAsia="宋体" w:cs="宋体"/>
          <w:color w:val="auto"/>
          <w:sz w:val="21"/>
          <w:szCs w:val="21"/>
          <w:highlight w:val="none"/>
          <w:lang w:val="en-US" w:eastAsia="zh-CN"/>
        </w:rPr>
        <w:t>不</w:t>
      </w:r>
      <w:r>
        <w:rPr>
          <w:rFonts w:hint="eastAsia" w:ascii="宋体" w:hAnsi="宋体" w:eastAsia="宋体" w:cs="宋体"/>
          <w:color w:val="auto"/>
          <w:sz w:val="21"/>
          <w:szCs w:val="21"/>
          <w:highlight w:val="none"/>
        </w:rPr>
        <w:t>接受联合体。</w:t>
      </w:r>
      <w:bookmarkStart w:id="176" w:name="_GoBack"/>
      <w:bookmarkEnd w:id="176"/>
    </w:p>
    <w:p w14:paraId="11545923">
      <w:pPr>
        <w:keepNext w:val="0"/>
        <w:keepLines w:val="0"/>
        <w:pageBreakBefore w:val="0"/>
        <w:kinsoku/>
        <w:overflowPunct/>
        <w:topLinePunct w:val="0"/>
        <w:autoSpaceDE/>
        <w:autoSpaceDN/>
        <w:bidi w:val="0"/>
        <w:adjustRightInd/>
        <w:snapToGrid/>
        <w:spacing w:line="360" w:lineRule="exact"/>
        <w:textAlignment w:val="auto"/>
        <w:rPr>
          <w:rFonts w:hint="eastAsia" w:ascii="宋体" w:hAnsi="宋体" w:eastAsia="宋体" w:cs="宋体"/>
          <w:b/>
          <w:bCs/>
          <w:color w:val="000000" w:themeColor="text1"/>
          <w:sz w:val="21"/>
          <w:szCs w:val="21"/>
          <w:highlight w:val="none"/>
          <w14:textFill>
            <w14:solidFill>
              <w14:schemeClr w14:val="tx1"/>
            </w14:solidFill>
          </w14:textFill>
        </w:rPr>
      </w:pPr>
      <w:bookmarkStart w:id="8" w:name="_Toc28359080"/>
      <w:bookmarkStart w:id="9" w:name="_Toc28359003"/>
      <w:bookmarkStart w:id="10" w:name="_Toc35393791"/>
      <w:bookmarkStart w:id="11" w:name="_Toc35393622"/>
      <w:r>
        <w:rPr>
          <w:rFonts w:hint="eastAsia" w:ascii="宋体" w:hAnsi="宋体" w:eastAsia="宋体" w:cs="宋体"/>
          <w:b/>
          <w:bCs/>
          <w:color w:val="000000" w:themeColor="text1"/>
          <w:sz w:val="21"/>
          <w:szCs w:val="21"/>
          <w:highlight w:val="none"/>
          <w14:textFill>
            <w14:solidFill>
              <w14:schemeClr w14:val="tx1"/>
            </w14:solidFill>
          </w14:textFill>
        </w:rPr>
        <w:t>二、申请人的资格要求：</w:t>
      </w:r>
      <w:bookmarkEnd w:id="8"/>
      <w:bookmarkEnd w:id="9"/>
      <w:bookmarkEnd w:id="10"/>
      <w:bookmarkEnd w:id="11"/>
    </w:p>
    <w:p w14:paraId="64D70237">
      <w:pPr>
        <w:keepNext w:val="0"/>
        <w:keepLines w:val="0"/>
        <w:pageBreakBefore w:val="0"/>
        <w:kinsoku/>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bookmarkStart w:id="12" w:name="_Hlk51746371"/>
      <w:r>
        <w:rPr>
          <w:rFonts w:hint="eastAsia" w:ascii="宋体" w:hAnsi="宋体" w:eastAsia="宋体" w:cs="宋体"/>
          <w:color w:val="000000" w:themeColor="text1"/>
          <w:sz w:val="21"/>
          <w:szCs w:val="21"/>
          <w:highlight w:val="none"/>
          <w14:textFill>
            <w14:solidFill>
              <w14:schemeClr w14:val="tx1"/>
            </w14:solidFill>
          </w14:textFill>
        </w:rPr>
        <w:t>1.满足《中华人民共和国政府采购法》第二十二条规定；</w:t>
      </w:r>
    </w:p>
    <w:p w14:paraId="105203A2">
      <w:pPr>
        <w:keepNext w:val="0"/>
        <w:keepLines w:val="0"/>
        <w:pageBreakBefore w:val="0"/>
        <w:kinsoku/>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bookmarkStart w:id="13" w:name="_Toc28359081"/>
      <w:bookmarkStart w:id="14" w:name="_Toc28359004"/>
      <w:r>
        <w:rPr>
          <w:rFonts w:hint="eastAsia" w:ascii="宋体" w:hAnsi="宋体" w:eastAsia="宋体" w:cs="宋体"/>
          <w:color w:val="auto"/>
          <w:sz w:val="21"/>
          <w:szCs w:val="21"/>
          <w:highlight w:val="none"/>
        </w:rPr>
        <w:t>2.落实政府采购政策需满足的资格要求：</w:t>
      </w:r>
      <w:bookmarkEnd w:id="12"/>
      <w:bookmarkStart w:id="15" w:name="_Toc35393623"/>
      <w:bookmarkStart w:id="16" w:name="_Toc35393792"/>
      <w:r>
        <w:rPr>
          <w:rFonts w:hint="eastAsia" w:ascii="宋体" w:hAnsi="宋体" w:eastAsia="宋体" w:cs="宋体"/>
          <w:b w:val="0"/>
          <w:bCs w:val="0"/>
          <w:color w:val="auto"/>
          <w:sz w:val="21"/>
          <w:szCs w:val="21"/>
          <w:highlight w:val="none"/>
          <w:lang w:val="en-US" w:eastAsia="zh-CN"/>
        </w:rPr>
        <w:t>无</w:t>
      </w:r>
      <w:r>
        <w:rPr>
          <w:rFonts w:hint="eastAsia" w:ascii="宋体" w:hAnsi="宋体" w:eastAsia="宋体" w:cs="宋体"/>
          <w:color w:val="auto"/>
          <w:sz w:val="21"/>
          <w:szCs w:val="21"/>
          <w:highlight w:val="none"/>
        </w:rPr>
        <w:t>；</w:t>
      </w:r>
    </w:p>
    <w:p w14:paraId="65EC05CD">
      <w:pPr>
        <w:keepNext w:val="0"/>
        <w:keepLines w:val="0"/>
        <w:pageBreakBefore w:val="0"/>
        <w:kinsoku/>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3.本项目的特定资格要求：</w:t>
      </w:r>
      <w:r>
        <w:rPr>
          <w:rFonts w:hint="eastAsia" w:ascii="宋体" w:hAnsi="宋体" w:eastAsia="宋体" w:cs="宋体"/>
          <w:color w:val="auto"/>
          <w:sz w:val="21"/>
          <w:szCs w:val="21"/>
          <w:highlight w:val="none"/>
          <w:lang w:val="en-US" w:eastAsia="zh-CN"/>
        </w:rPr>
        <w:t>无</w:t>
      </w:r>
      <w:r>
        <w:rPr>
          <w:rFonts w:hint="eastAsia" w:ascii="宋体" w:hAnsi="宋体" w:eastAsia="宋体" w:cs="宋体"/>
          <w:iCs/>
          <w:color w:val="auto"/>
          <w:sz w:val="21"/>
          <w:szCs w:val="21"/>
          <w:highlight w:val="none"/>
        </w:rPr>
        <w:t>。</w:t>
      </w:r>
    </w:p>
    <w:p w14:paraId="03931422">
      <w:pPr>
        <w:keepNext w:val="0"/>
        <w:keepLines w:val="0"/>
        <w:pageBreakBefore w:val="0"/>
        <w:kinsoku/>
        <w:overflowPunct/>
        <w:topLinePunct w:val="0"/>
        <w:autoSpaceDE/>
        <w:autoSpaceDN/>
        <w:bidi w:val="0"/>
        <w:adjustRightInd/>
        <w:snapToGrid/>
        <w:spacing w:line="36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三、获取招标文件</w:t>
      </w:r>
      <w:bookmarkEnd w:id="13"/>
      <w:bookmarkEnd w:id="14"/>
      <w:bookmarkEnd w:id="15"/>
      <w:bookmarkEnd w:id="16"/>
    </w:p>
    <w:p w14:paraId="417F2A16">
      <w:pPr>
        <w:keepNext w:val="0"/>
        <w:keepLines w:val="0"/>
        <w:pageBreakBefore w:val="0"/>
        <w:kinsoku/>
        <w:overflowPunct/>
        <w:topLinePunct w:val="0"/>
        <w:autoSpaceDE/>
        <w:autoSpaceDN/>
        <w:bidi w:val="0"/>
        <w:adjustRightInd/>
        <w:snapToGrid/>
        <w:spacing w:line="360" w:lineRule="exact"/>
        <w:ind w:firstLine="540"/>
        <w:textAlignment w:val="auto"/>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时间：</w:t>
      </w:r>
      <w:r>
        <w:rPr>
          <w:rFonts w:hint="eastAsia" w:ascii="宋体" w:hAnsi="宋体" w:eastAsia="宋体" w:cs="宋体"/>
          <w:bCs/>
          <w:color w:val="auto"/>
          <w:sz w:val="21"/>
          <w:szCs w:val="21"/>
          <w:highlight w:val="none"/>
          <w:lang w:eastAsia="zh-CN"/>
        </w:rPr>
        <w:t>202</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年</w:t>
      </w:r>
      <w:r>
        <w:rPr>
          <w:rFonts w:hint="eastAsia" w:ascii="宋体" w:hAnsi="宋体" w:cs="宋体"/>
          <w:bCs/>
          <w:color w:val="auto"/>
          <w:sz w:val="21"/>
          <w:szCs w:val="21"/>
          <w:highlight w:val="none"/>
          <w:lang w:val="en-US" w:eastAsia="zh-CN"/>
        </w:rPr>
        <w:t>8</w:t>
      </w:r>
      <w:r>
        <w:rPr>
          <w:rFonts w:hint="eastAsia" w:ascii="宋体" w:hAnsi="宋体" w:eastAsia="宋体" w:cs="宋体"/>
          <w:bCs/>
          <w:color w:val="auto"/>
          <w:sz w:val="21"/>
          <w:szCs w:val="21"/>
          <w:highlight w:val="none"/>
        </w:rPr>
        <w:t>月</w:t>
      </w:r>
      <w:r>
        <w:rPr>
          <w:rFonts w:hint="eastAsia" w:ascii="宋体" w:hAnsi="宋体" w:eastAsia="宋体" w:cs="宋体"/>
          <w:bCs/>
          <w:color w:val="auto"/>
          <w:sz w:val="21"/>
          <w:szCs w:val="21"/>
          <w:highlight w:val="none"/>
          <w:lang w:val="en-US" w:eastAsia="zh-CN"/>
        </w:rPr>
        <w:t>11</w:t>
      </w:r>
      <w:r>
        <w:rPr>
          <w:rFonts w:hint="eastAsia" w:ascii="宋体" w:hAnsi="宋体" w:eastAsia="宋体" w:cs="宋体"/>
          <w:bCs/>
          <w:color w:val="auto"/>
          <w:sz w:val="21"/>
          <w:szCs w:val="21"/>
          <w:highlight w:val="none"/>
        </w:rPr>
        <w:t>日</w:t>
      </w:r>
      <w:r>
        <w:rPr>
          <w:rFonts w:hint="eastAsia" w:ascii="宋体" w:hAnsi="宋体" w:eastAsia="宋体" w:cs="宋体"/>
          <w:bCs/>
          <w:color w:val="auto"/>
          <w:kern w:val="0"/>
          <w:sz w:val="21"/>
          <w:szCs w:val="21"/>
          <w:highlight w:val="none"/>
        </w:rPr>
        <w:t>至</w:t>
      </w:r>
      <w:r>
        <w:rPr>
          <w:rFonts w:hint="eastAsia" w:ascii="宋体" w:hAnsi="宋体" w:eastAsia="宋体" w:cs="宋体"/>
          <w:bCs/>
          <w:color w:val="auto"/>
          <w:sz w:val="21"/>
          <w:szCs w:val="21"/>
          <w:highlight w:val="none"/>
          <w:lang w:eastAsia="zh-CN"/>
        </w:rPr>
        <w:t>202</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年</w:t>
      </w:r>
      <w:r>
        <w:rPr>
          <w:rFonts w:hint="eastAsia" w:ascii="宋体" w:hAnsi="宋体" w:cs="宋体"/>
          <w:bCs/>
          <w:color w:val="auto"/>
          <w:sz w:val="21"/>
          <w:szCs w:val="21"/>
          <w:highlight w:val="none"/>
          <w:lang w:val="en-US" w:eastAsia="zh-CN"/>
        </w:rPr>
        <w:t>8</w:t>
      </w:r>
      <w:r>
        <w:rPr>
          <w:rFonts w:hint="eastAsia" w:ascii="宋体" w:hAnsi="宋体" w:eastAsia="宋体" w:cs="宋体"/>
          <w:bCs/>
          <w:color w:val="auto"/>
          <w:sz w:val="21"/>
          <w:szCs w:val="21"/>
          <w:highlight w:val="none"/>
        </w:rPr>
        <w:t>月</w:t>
      </w:r>
      <w:r>
        <w:rPr>
          <w:rFonts w:hint="eastAsia" w:ascii="宋体" w:hAnsi="宋体" w:eastAsia="宋体" w:cs="宋体"/>
          <w:bCs/>
          <w:color w:val="auto"/>
          <w:sz w:val="21"/>
          <w:szCs w:val="21"/>
          <w:highlight w:val="none"/>
          <w:lang w:val="en-US" w:eastAsia="zh-CN"/>
        </w:rPr>
        <w:t>18</w:t>
      </w:r>
      <w:r>
        <w:rPr>
          <w:rFonts w:hint="eastAsia" w:ascii="宋体" w:hAnsi="宋体" w:eastAsia="宋体" w:cs="宋体"/>
          <w:bCs/>
          <w:color w:val="auto"/>
          <w:sz w:val="21"/>
          <w:szCs w:val="21"/>
          <w:highlight w:val="none"/>
        </w:rPr>
        <w:t>日</w:t>
      </w:r>
      <w:r>
        <w:rPr>
          <w:rFonts w:hint="eastAsia" w:ascii="宋体" w:hAnsi="宋体" w:eastAsia="宋体" w:cs="宋体"/>
          <w:bCs/>
          <w:color w:val="auto"/>
          <w:kern w:val="0"/>
          <w:sz w:val="21"/>
          <w:szCs w:val="21"/>
          <w:highlight w:val="none"/>
        </w:rPr>
        <w:t>，</w:t>
      </w:r>
      <w:r>
        <w:rPr>
          <w:rFonts w:hint="eastAsia" w:ascii="宋体" w:hAnsi="宋体" w:eastAsia="宋体" w:cs="宋体"/>
          <w:color w:val="auto"/>
          <w:sz w:val="21"/>
          <w:szCs w:val="21"/>
          <w:highlight w:val="none"/>
        </w:rPr>
        <w:t>每天</w:t>
      </w:r>
      <w:r>
        <w:rPr>
          <w:rFonts w:hint="eastAsia" w:ascii="宋体" w:hAnsi="宋体" w:eastAsia="宋体" w:cs="宋体"/>
          <w:color w:val="000000" w:themeColor="text1"/>
          <w:sz w:val="21"/>
          <w:szCs w:val="21"/>
          <w:highlight w:val="none"/>
          <w14:textFill>
            <w14:solidFill>
              <w14:schemeClr w14:val="tx1"/>
            </w14:solidFill>
          </w14:textFill>
        </w:rPr>
        <w:t>上午</w:t>
      </w:r>
      <w:r>
        <w:rPr>
          <w:rFonts w:hint="eastAsia" w:ascii="宋体" w:hAnsi="宋体" w:eastAsia="宋体" w:cs="宋体"/>
          <w:color w:val="000000" w:themeColor="text1"/>
          <w:sz w:val="21"/>
          <w:szCs w:val="21"/>
          <w:highlight w:val="none"/>
          <w:lang w:val="en-US" w:eastAsia="zh-CN"/>
          <w14:textFill>
            <w14:solidFill>
              <w14:schemeClr w14:val="tx1"/>
            </w14:solidFill>
          </w14:textFill>
        </w:rPr>
        <w:t>00</w:t>
      </w:r>
      <w:r>
        <w:rPr>
          <w:rFonts w:hint="eastAsia" w:ascii="宋体" w:hAnsi="宋体" w:eastAsia="宋体" w:cs="宋体"/>
          <w:color w:val="000000" w:themeColor="text1"/>
          <w:sz w:val="21"/>
          <w:szCs w:val="21"/>
          <w:highlight w:val="none"/>
          <w14:textFill>
            <w14:solidFill>
              <w14:schemeClr w14:val="tx1"/>
            </w14:solidFill>
          </w14:textFill>
        </w:rPr>
        <w:t>时00分至12时00分，下午</w:t>
      </w:r>
      <w:r>
        <w:rPr>
          <w:rFonts w:hint="eastAsia" w:ascii="宋体" w:hAnsi="宋体" w:eastAsia="宋体" w:cs="宋体"/>
          <w:color w:val="000000" w:themeColor="text1"/>
          <w:sz w:val="21"/>
          <w:szCs w:val="21"/>
          <w:highlight w:val="none"/>
          <w:lang w:val="en-US" w:eastAsia="zh-CN"/>
          <w14:textFill>
            <w14:solidFill>
              <w14:schemeClr w14:val="tx1"/>
            </w14:solidFill>
          </w14:textFill>
        </w:rPr>
        <w:t>12</w:t>
      </w:r>
      <w:r>
        <w:rPr>
          <w:rFonts w:hint="eastAsia" w:ascii="宋体" w:hAnsi="宋体" w:eastAsia="宋体" w:cs="宋体"/>
          <w:color w:val="000000" w:themeColor="text1"/>
          <w:sz w:val="21"/>
          <w:szCs w:val="21"/>
          <w:highlight w:val="none"/>
          <w14:textFill>
            <w14:solidFill>
              <w14:schemeClr w14:val="tx1"/>
            </w14:solidFill>
          </w14:textFill>
        </w:rPr>
        <w:t>时00分至</w:t>
      </w:r>
      <w:r>
        <w:rPr>
          <w:rFonts w:hint="eastAsia" w:ascii="宋体" w:hAnsi="宋体" w:eastAsia="宋体" w:cs="宋体"/>
          <w:color w:val="000000" w:themeColor="text1"/>
          <w:sz w:val="21"/>
          <w:szCs w:val="21"/>
          <w:highlight w:val="none"/>
          <w:lang w:val="en-US" w:eastAsia="zh-CN"/>
          <w14:textFill>
            <w14:solidFill>
              <w14:schemeClr w14:val="tx1"/>
            </w14:solidFill>
          </w14:textFill>
        </w:rPr>
        <w:t>23</w:t>
      </w:r>
      <w:r>
        <w:rPr>
          <w:rFonts w:hint="eastAsia" w:ascii="宋体" w:hAnsi="宋体" w:eastAsia="宋体" w:cs="宋体"/>
          <w:color w:val="000000" w:themeColor="text1"/>
          <w:sz w:val="21"/>
          <w:szCs w:val="21"/>
          <w:highlight w:val="none"/>
          <w14:textFill>
            <w14:solidFill>
              <w14:schemeClr w14:val="tx1"/>
            </w14:solidFill>
          </w14:textFill>
        </w:rPr>
        <w:t>时</w:t>
      </w:r>
      <w:r>
        <w:rPr>
          <w:rFonts w:hint="eastAsia" w:ascii="宋体" w:hAnsi="宋体" w:eastAsia="宋体" w:cs="宋体"/>
          <w:color w:val="000000" w:themeColor="text1"/>
          <w:sz w:val="21"/>
          <w:szCs w:val="21"/>
          <w:highlight w:val="none"/>
          <w:lang w:val="en-US" w:eastAsia="zh-CN"/>
          <w14:textFill>
            <w14:solidFill>
              <w14:schemeClr w14:val="tx1"/>
            </w14:solidFill>
          </w14:textFill>
        </w:rPr>
        <w:t>59</w:t>
      </w:r>
      <w:r>
        <w:rPr>
          <w:rFonts w:hint="eastAsia" w:ascii="宋体" w:hAnsi="宋体" w:eastAsia="宋体" w:cs="宋体"/>
          <w:color w:val="000000" w:themeColor="text1"/>
          <w:sz w:val="21"/>
          <w:szCs w:val="21"/>
          <w:highlight w:val="none"/>
          <w14:textFill>
            <w14:solidFill>
              <w14:schemeClr w14:val="tx1"/>
            </w14:solidFill>
          </w14:textFill>
        </w:rPr>
        <w:t>分（北京时间，法定节假日除外）。</w:t>
      </w:r>
    </w:p>
    <w:p w14:paraId="67F8C25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76" w:afterAutospacing="0" w:line="360" w:lineRule="exact"/>
        <w:ind w:left="0" w:right="0" w:firstLine="420" w:firstLineChars="200"/>
        <w:jc w:val="left"/>
        <w:textAlignment w:val="auto"/>
        <w:rPr>
          <w:rFonts w:hint="eastAsia" w:ascii="Times New Roman" w:hAnsi="Times New Roman" w:eastAsia="宋体" w:cs="Times New Roman"/>
          <w:color w:val="333333"/>
          <w:kern w:val="0"/>
          <w:sz w:val="21"/>
          <w:szCs w:val="21"/>
          <w:shd w:val="clear" w:fill="FFFFFF"/>
          <w:lang w:val="en-US" w:eastAsia="zh-CN" w:bidi="ar"/>
        </w:rPr>
      </w:pPr>
      <w:r>
        <w:rPr>
          <w:rFonts w:hint="eastAsia" w:ascii="宋体" w:hAnsi="宋体" w:eastAsia="宋体" w:cs="宋体"/>
          <w:bCs/>
          <w:color w:val="auto"/>
          <w:kern w:val="0"/>
          <w:sz w:val="21"/>
          <w:szCs w:val="21"/>
          <w:highlight w:val="none"/>
        </w:rPr>
        <w:t>地</w:t>
      </w:r>
      <w:r>
        <w:rPr>
          <w:rFonts w:hint="eastAsia" w:ascii="宋体" w:hAnsi="宋体" w:cs="宋体"/>
          <w:bCs/>
          <w:color w:val="auto"/>
          <w:kern w:val="0"/>
          <w:sz w:val="21"/>
          <w:szCs w:val="21"/>
          <w:highlight w:val="none"/>
          <w:lang w:val="en-US" w:eastAsia="zh-CN"/>
        </w:rPr>
        <w:t>址</w:t>
      </w:r>
      <w:r>
        <w:rPr>
          <w:rFonts w:hint="eastAsia" w:ascii="宋体" w:hAnsi="宋体" w:eastAsia="宋体" w:cs="宋体"/>
          <w:bCs/>
          <w:color w:val="auto"/>
          <w:kern w:val="0"/>
          <w:sz w:val="21"/>
          <w:szCs w:val="21"/>
          <w:highlight w:val="none"/>
        </w:rPr>
        <w:t>：</w:t>
      </w:r>
      <w:r>
        <w:rPr>
          <w:rFonts w:hint="eastAsia" w:ascii="宋体" w:hAnsi="宋体" w:eastAsia="宋体" w:cs="宋体"/>
          <w:bCs/>
          <w:color w:val="auto"/>
          <w:kern w:val="0"/>
          <w:sz w:val="21"/>
          <w:szCs w:val="21"/>
          <w:highlight w:val="none"/>
          <w:lang w:eastAsia="zh-CN"/>
        </w:rPr>
        <w:t>广西政府采购云平台</w:t>
      </w:r>
      <w:r>
        <w:rPr>
          <w:rFonts w:hint="eastAsia" w:ascii="宋体" w:hAnsi="宋体" w:cs="宋体"/>
          <w:bCs/>
          <w:color w:val="auto"/>
          <w:kern w:val="0"/>
          <w:sz w:val="21"/>
          <w:szCs w:val="21"/>
          <w:highlight w:val="none"/>
          <w:lang w:eastAsia="zh-CN"/>
        </w:rPr>
        <w:t>（</w:t>
      </w:r>
      <w:r>
        <w:rPr>
          <w:rFonts w:hint="default" w:ascii="Times New Roman" w:hAnsi="Times New Roman" w:eastAsia="宋体" w:cs="Times New Roman"/>
          <w:color w:val="333333"/>
          <w:kern w:val="0"/>
          <w:sz w:val="21"/>
          <w:szCs w:val="21"/>
          <w:shd w:val="clear" w:fill="FFFFFF"/>
          <w:lang w:val="en-US" w:eastAsia="zh-CN" w:bidi="ar"/>
        </w:rPr>
        <w:t>https</w:t>
      </w:r>
      <w:r>
        <w:rPr>
          <w:rFonts w:hint="eastAsia" w:ascii="Times New Roman" w:hAnsi="Times New Roman" w:eastAsia="宋体" w:cs="Times New Roman"/>
          <w:color w:val="333333"/>
          <w:kern w:val="0"/>
          <w:sz w:val="21"/>
          <w:szCs w:val="21"/>
          <w:shd w:val="clear" w:fill="FFFFFF"/>
          <w:lang w:val="en-US" w:eastAsia="zh-CN" w:bidi="ar"/>
        </w:rPr>
        <w:t>:</w:t>
      </w:r>
      <w:r>
        <w:rPr>
          <w:rFonts w:hint="default" w:ascii="Times New Roman" w:hAnsi="Times New Roman" w:eastAsia="宋体" w:cs="Times New Roman"/>
          <w:color w:val="333333"/>
          <w:kern w:val="0"/>
          <w:sz w:val="21"/>
          <w:szCs w:val="21"/>
          <w:shd w:val="clear" w:fill="FFFFFF"/>
          <w:lang w:val="en-US" w:eastAsia="zh-CN" w:bidi="ar"/>
        </w:rPr>
        <w:t>//www.gcy.zfcg.gxzf.gov.cn/</w:t>
      </w:r>
      <w:r>
        <w:rPr>
          <w:rFonts w:hint="eastAsia" w:ascii="Times New Roman" w:hAnsi="Times New Roman" w:eastAsia="宋体" w:cs="Times New Roman"/>
          <w:color w:val="333333"/>
          <w:kern w:val="0"/>
          <w:sz w:val="21"/>
          <w:szCs w:val="21"/>
          <w:shd w:val="clear" w:fill="FFFFFF"/>
          <w:lang w:val="en-US" w:eastAsia="zh-CN" w:bidi="ar"/>
        </w:rPr>
        <w:t>）</w:t>
      </w:r>
    </w:p>
    <w:p w14:paraId="761D311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76" w:afterAutospacing="0" w:line="360" w:lineRule="exact"/>
        <w:ind w:left="0" w:right="0" w:firstLine="420" w:firstLineChars="200"/>
        <w:jc w:val="left"/>
        <w:textAlignment w:val="auto"/>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方式：</w:t>
      </w:r>
      <w:r>
        <w:rPr>
          <w:rFonts w:hint="eastAsia" w:ascii="宋体" w:hAnsi="宋体" w:eastAsia="宋体" w:cs="宋体"/>
          <w:color w:val="auto"/>
          <w:sz w:val="21"/>
          <w:szCs w:val="21"/>
          <w:highlight w:val="none"/>
        </w:rPr>
        <w:t>网上下载。本项目不提供纸质文件，潜在供应商需使用账号登录或者使用CA登录</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-进入“项目采购”应用，在获取采购文件菜单中选择项目，获取采购文件（或在“政采云电子投标客户端-获取采购文件”跳转到政采云系统获取）。电子响应文件制作需要基于</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获取的采购文件编制，通过其他方式获取采购文件的，将有可能导致供应商无法在</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编制及上传响应文件。未注册的供应商可登录</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进行注册（</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商家入驻-注册），如在操作过程中遇到问题或者需要技术支持，请致电政采云客服热线：95763。供应商未按以上时间、方式获取本项目采购文件的，本公司将拒收其响应文件。已获取采购文件的供应商不等于符合本项目的供应商资格。</w:t>
      </w:r>
    </w:p>
    <w:p w14:paraId="6DD13F79">
      <w:pPr>
        <w:keepNext w:val="0"/>
        <w:keepLines w:val="0"/>
        <w:pageBreakBefore w:val="0"/>
        <w:kinsoku/>
        <w:overflowPunct/>
        <w:topLinePunct w:val="0"/>
        <w:autoSpaceDE/>
        <w:autoSpaceDN/>
        <w:bidi w:val="0"/>
        <w:adjustRightInd/>
        <w:snapToGrid/>
        <w:spacing w:line="360" w:lineRule="exact"/>
        <w:ind w:firstLine="540"/>
        <w:textAlignment w:val="auto"/>
        <w:rPr>
          <w:rFonts w:hint="eastAsia" w:ascii="宋体" w:hAnsi="宋体" w:eastAsia="宋体" w:cs="宋体"/>
          <w:color w:val="auto"/>
          <w:sz w:val="21"/>
          <w:szCs w:val="21"/>
          <w:highlight w:val="none"/>
        </w:rPr>
      </w:pPr>
      <w:r>
        <w:rPr>
          <w:rFonts w:hint="eastAsia" w:ascii="宋体" w:hAnsi="宋体" w:eastAsia="宋体" w:cs="宋体"/>
          <w:bCs/>
          <w:color w:val="auto"/>
          <w:kern w:val="0"/>
          <w:sz w:val="21"/>
          <w:szCs w:val="21"/>
          <w:highlight w:val="none"/>
        </w:rPr>
        <w:t>售价：</w:t>
      </w:r>
      <w:r>
        <w:rPr>
          <w:rFonts w:hint="eastAsia" w:ascii="宋体" w:hAnsi="宋体" w:eastAsia="宋体" w:cs="宋体"/>
          <w:color w:val="auto"/>
          <w:sz w:val="21"/>
          <w:szCs w:val="21"/>
          <w:highlight w:val="none"/>
        </w:rPr>
        <w:t>0元。</w:t>
      </w:r>
    </w:p>
    <w:p w14:paraId="517A6E8D">
      <w:pPr>
        <w:keepNext w:val="0"/>
        <w:keepLines w:val="0"/>
        <w:pageBreakBefore w:val="0"/>
        <w:kinsoku/>
        <w:overflowPunct/>
        <w:topLinePunct w:val="0"/>
        <w:autoSpaceDE/>
        <w:autoSpaceDN/>
        <w:bidi w:val="0"/>
        <w:adjustRightInd/>
        <w:snapToGrid/>
        <w:spacing w:line="36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四、投标响应文件提交</w:t>
      </w:r>
    </w:p>
    <w:p w14:paraId="55812B4A">
      <w:pPr>
        <w:keepNext w:val="0"/>
        <w:keepLines w:val="0"/>
        <w:pageBreakBefore w:val="0"/>
        <w:kinsoku/>
        <w:overflowPunct/>
        <w:topLinePunct w:val="0"/>
        <w:autoSpaceDE/>
        <w:autoSpaceDN/>
        <w:bidi w:val="0"/>
        <w:adjustRightInd/>
        <w:snapToGrid/>
        <w:spacing w:line="360" w:lineRule="exact"/>
        <w:ind w:firstLine="540"/>
        <w:textAlignment w:val="auto"/>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时间：</w:t>
      </w:r>
      <w:r>
        <w:rPr>
          <w:rFonts w:hint="eastAsia" w:ascii="宋体" w:hAnsi="宋体" w:eastAsia="宋体" w:cs="宋体"/>
          <w:bCs/>
          <w:color w:val="auto"/>
          <w:sz w:val="21"/>
          <w:szCs w:val="21"/>
          <w:highlight w:val="none"/>
          <w:lang w:eastAsia="zh-CN"/>
        </w:rPr>
        <w:t>202</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年</w:t>
      </w:r>
      <w:r>
        <w:rPr>
          <w:rFonts w:hint="eastAsia" w:ascii="宋体" w:hAnsi="宋体" w:cs="宋体"/>
          <w:bCs/>
          <w:color w:val="auto"/>
          <w:sz w:val="21"/>
          <w:szCs w:val="21"/>
          <w:highlight w:val="none"/>
          <w:lang w:val="en-US" w:eastAsia="zh-CN"/>
        </w:rPr>
        <w:t>9</w:t>
      </w:r>
      <w:r>
        <w:rPr>
          <w:rFonts w:hint="eastAsia" w:ascii="宋体" w:hAnsi="宋体" w:eastAsia="宋体" w:cs="宋体"/>
          <w:bCs/>
          <w:color w:val="auto"/>
          <w:sz w:val="21"/>
          <w:szCs w:val="21"/>
          <w:highlight w:val="none"/>
          <w:lang w:val="en-US" w:eastAsia="zh-CN"/>
        </w:rPr>
        <w:t>月1日9</w:t>
      </w:r>
      <w:r>
        <w:rPr>
          <w:rFonts w:hint="eastAsia" w:ascii="宋体" w:hAnsi="宋体" w:eastAsia="宋体" w:cs="宋体"/>
          <w:bCs/>
          <w:color w:val="auto"/>
          <w:sz w:val="21"/>
          <w:szCs w:val="21"/>
          <w:highlight w:val="none"/>
        </w:rPr>
        <w:t>时</w:t>
      </w:r>
      <w:r>
        <w:rPr>
          <w:rFonts w:hint="eastAsia" w:ascii="宋体" w:hAnsi="宋体" w:eastAsia="宋体" w:cs="宋体"/>
          <w:bCs/>
          <w:color w:val="auto"/>
          <w:sz w:val="21"/>
          <w:szCs w:val="21"/>
          <w:highlight w:val="none"/>
          <w:lang w:val="en-US" w:eastAsia="zh-CN"/>
        </w:rPr>
        <w:t>30</w:t>
      </w:r>
      <w:r>
        <w:rPr>
          <w:rFonts w:hint="eastAsia" w:ascii="宋体" w:hAnsi="宋体" w:eastAsia="宋体" w:cs="宋体"/>
          <w:bCs/>
          <w:color w:val="auto"/>
          <w:sz w:val="21"/>
          <w:szCs w:val="21"/>
          <w:highlight w:val="none"/>
        </w:rPr>
        <w:t>分</w:t>
      </w:r>
      <w:r>
        <w:rPr>
          <w:rFonts w:hint="eastAsia" w:ascii="宋体" w:hAnsi="宋体" w:eastAsia="宋体" w:cs="宋体"/>
          <w:bCs/>
          <w:color w:val="auto"/>
          <w:kern w:val="0"/>
          <w:sz w:val="21"/>
          <w:szCs w:val="21"/>
          <w:highlight w:val="none"/>
        </w:rPr>
        <w:t>（北京时间）</w:t>
      </w:r>
    </w:p>
    <w:p w14:paraId="52426126">
      <w:pPr>
        <w:keepNext w:val="0"/>
        <w:keepLines w:val="0"/>
        <w:pageBreakBefore w:val="0"/>
        <w:kinsoku/>
        <w:overflowPunct/>
        <w:topLinePunct w:val="0"/>
        <w:autoSpaceDE/>
        <w:autoSpaceDN/>
        <w:bidi w:val="0"/>
        <w:adjustRightInd/>
        <w:snapToGrid/>
        <w:spacing w:line="360" w:lineRule="exact"/>
        <w:ind w:firstLine="540"/>
        <w:textAlignment w:val="auto"/>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地点：通过</w:t>
      </w:r>
      <w:r>
        <w:rPr>
          <w:rFonts w:hint="eastAsia" w:ascii="宋体" w:hAnsi="宋体" w:eastAsia="宋体" w:cs="宋体"/>
          <w:bCs/>
          <w:color w:val="auto"/>
          <w:kern w:val="0"/>
          <w:sz w:val="21"/>
          <w:szCs w:val="21"/>
          <w:highlight w:val="none"/>
          <w:lang w:eastAsia="zh-CN"/>
        </w:rPr>
        <w:t>广西政府采购云平台</w:t>
      </w:r>
      <w:r>
        <w:rPr>
          <w:rFonts w:hint="eastAsia" w:ascii="宋体" w:hAnsi="宋体" w:eastAsia="宋体" w:cs="宋体"/>
          <w:bCs/>
          <w:color w:val="auto"/>
          <w:kern w:val="0"/>
          <w:sz w:val="21"/>
          <w:szCs w:val="21"/>
          <w:highlight w:val="none"/>
        </w:rPr>
        <w:t>实行在线投标。</w:t>
      </w:r>
    </w:p>
    <w:p w14:paraId="441D6373">
      <w:pPr>
        <w:keepNext w:val="0"/>
        <w:keepLines w:val="0"/>
        <w:pageBreakBefore w:val="0"/>
        <w:kinsoku/>
        <w:overflowPunct/>
        <w:topLinePunct w:val="0"/>
        <w:autoSpaceDE/>
        <w:autoSpaceDN/>
        <w:bidi w:val="0"/>
        <w:adjustRightInd/>
        <w:snapToGrid/>
        <w:spacing w:line="36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五、开启</w:t>
      </w:r>
    </w:p>
    <w:p w14:paraId="3AF6BEA8">
      <w:pPr>
        <w:keepNext w:val="0"/>
        <w:keepLines w:val="0"/>
        <w:pageBreakBefore w:val="0"/>
        <w:kinsoku/>
        <w:overflowPunct/>
        <w:topLinePunct w:val="0"/>
        <w:autoSpaceDE/>
        <w:autoSpaceDN/>
        <w:bidi w:val="0"/>
        <w:adjustRightInd/>
        <w:snapToGrid/>
        <w:spacing w:line="360" w:lineRule="exact"/>
        <w:ind w:firstLine="540"/>
        <w:textAlignment w:val="auto"/>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时间：</w:t>
      </w:r>
      <w:r>
        <w:rPr>
          <w:rFonts w:hint="eastAsia" w:ascii="宋体" w:hAnsi="宋体" w:eastAsia="宋体" w:cs="宋体"/>
          <w:bCs/>
          <w:color w:val="auto"/>
          <w:sz w:val="21"/>
          <w:szCs w:val="21"/>
          <w:highlight w:val="none"/>
          <w:lang w:eastAsia="zh-CN"/>
        </w:rPr>
        <w:t>202</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年</w:t>
      </w:r>
      <w:r>
        <w:rPr>
          <w:rFonts w:hint="eastAsia" w:ascii="宋体" w:hAnsi="宋体" w:cs="宋体"/>
          <w:bCs/>
          <w:color w:val="auto"/>
          <w:sz w:val="21"/>
          <w:szCs w:val="21"/>
          <w:highlight w:val="none"/>
          <w:lang w:val="en-US" w:eastAsia="zh-CN"/>
        </w:rPr>
        <w:t>9</w:t>
      </w:r>
      <w:r>
        <w:rPr>
          <w:rFonts w:hint="eastAsia" w:ascii="宋体" w:hAnsi="宋体" w:eastAsia="宋体" w:cs="宋体"/>
          <w:bCs/>
          <w:color w:val="auto"/>
          <w:sz w:val="21"/>
          <w:szCs w:val="21"/>
          <w:highlight w:val="none"/>
          <w:lang w:val="en-US" w:eastAsia="zh-CN"/>
        </w:rPr>
        <w:t>月1日9</w:t>
      </w:r>
      <w:r>
        <w:rPr>
          <w:rFonts w:hint="eastAsia" w:ascii="宋体" w:hAnsi="宋体" w:eastAsia="宋体" w:cs="宋体"/>
          <w:bCs/>
          <w:color w:val="auto"/>
          <w:sz w:val="21"/>
          <w:szCs w:val="21"/>
          <w:highlight w:val="none"/>
        </w:rPr>
        <w:t>时</w:t>
      </w:r>
      <w:r>
        <w:rPr>
          <w:rFonts w:hint="eastAsia" w:ascii="宋体" w:hAnsi="宋体" w:eastAsia="宋体" w:cs="宋体"/>
          <w:bCs/>
          <w:color w:val="auto"/>
          <w:sz w:val="21"/>
          <w:szCs w:val="21"/>
          <w:highlight w:val="none"/>
          <w:lang w:val="en-US" w:eastAsia="zh-CN"/>
        </w:rPr>
        <w:t>30</w:t>
      </w:r>
      <w:r>
        <w:rPr>
          <w:rFonts w:hint="eastAsia" w:ascii="宋体" w:hAnsi="宋体" w:eastAsia="宋体" w:cs="宋体"/>
          <w:bCs/>
          <w:color w:val="auto"/>
          <w:sz w:val="21"/>
          <w:szCs w:val="21"/>
          <w:highlight w:val="none"/>
        </w:rPr>
        <w:t>分</w:t>
      </w:r>
      <w:r>
        <w:rPr>
          <w:rFonts w:hint="eastAsia" w:ascii="宋体" w:hAnsi="宋体" w:eastAsia="宋体" w:cs="宋体"/>
          <w:bCs/>
          <w:color w:val="auto"/>
          <w:kern w:val="0"/>
          <w:sz w:val="21"/>
          <w:szCs w:val="21"/>
          <w:highlight w:val="none"/>
        </w:rPr>
        <w:t>（北京时间）</w:t>
      </w:r>
    </w:p>
    <w:p w14:paraId="76259E2D">
      <w:pPr>
        <w:keepNext w:val="0"/>
        <w:keepLines w:val="0"/>
        <w:pageBreakBefore w:val="0"/>
        <w:kinsoku/>
        <w:overflowPunct/>
        <w:topLinePunct w:val="0"/>
        <w:autoSpaceDE/>
        <w:autoSpaceDN/>
        <w:bidi w:val="0"/>
        <w:adjustRightInd/>
        <w:snapToGrid/>
        <w:spacing w:line="360" w:lineRule="exact"/>
        <w:ind w:firstLine="540"/>
        <w:textAlignment w:val="auto"/>
        <w:rPr>
          <w:rFonts w:hint="default" w:ascii="宋体" w:hAnsi="宋体" w:eastAsia="宋体" w:cs="宋体"/>
          <w:bCs/>
          <w:color w:val="auto"/>
          <w:kern w:val="0"/>
          <w:sz w:val="21"/>
          <w:szCs w:val="21"/>
          <w:highlight w:val="none"/>
          <w:lang w:val="en-US" w:eastAsia="zh-CN"/>
        </w:rPr>
      </w:pPr>
      <w:r>
        <w:rPr>
          <w:rFonts w:hint="eastAsia" w:ascii="宋体" w:hAnsi="宋体" w:eastAsia="宋体" w:cs="宋体"/>
          <w:bCs/>
          <w:color w:val="auto"/>
          <w:kern w:val="0"/>
          <w:sz w:val="21"/>
          <w:szCs w:val="21"/>
          <w:highlight w:val="none"/>
        </w:rPr>
        <w:t>地点：</w:t>
      </w:r>
      <w:r>
        <w:rPr>
          <w:rFonts w:hint="eastAsia" w:ascii="宋体" w:hAnsi="宋体" w:eastAsia="宋体" w:cs="宋体"/>
          <w:bCs/>
          <w:color w:val="auto"/>
          <w:kern w:val="0"/>
          <w:sz w:val="21"/>
          <w:szCs w:val="21"/>
          <w:highlight w:val="none"/>
          <w:lang w:eastAsia="zh-CN"/>
        </w:rPr>
        <w:t>港口区中心区红树林大厦东塔7楼政府采购开评标室1</w:t>
      </w:r>
    </w:p>
    <w:p w14:paraId="1CC54CA6">
      <w:pPr>
        <w:keepNext w:val="0"/>
        <w:keepLines w:val="0"/>
        <w:pageBreakBefore w:val="0"/>
        <w:kinsoku/>
        <w:overflowPunct/>
        <w:topLinePunct w:val="0"/>
        <w:autoSpaceDE/>
        <w:autoSpaceDN/>
        <w:bidi w:val="0"/>
        <w:adjustRightInd/>
        <w:snapToGrid/>
        <w:spacing w:line="36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六、公告期限</w:t>
      </w:r>
    </w:p>
    <w:p w14:paraId="374D4BA3">
      <w:pPr>
        <w:keepNext w:val="0"/>
        <w:keepLines w:val="0"/>
        <w:pageBreakBefore w:val="0"/>
        <w:kinsoku/>
        <w:overflowPunct/>
        <w:topLinePunct w:val="0"/>
        <w:autoSpaceDE/>
        <w:autoSpaceDN/>
        <w:bidi w:val="0"/>
        <w:adjustRightInd/>
        <w:snapToGrid/>
        <w:spacing w:line="360" w:lineRule="exact"/>
        <w:ind w:firstLine="540"/>
        <w:textAlignment w:val="auto"/>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自本公告发布之日起5个工作日。</w:t>
      </w:r>
    </w:p>
    <w:p w14:paraId="647AC607">
      <w:pPr>
        <w:keepNext w:val="0"/>
        <w:keepLines w:val="0"/>
        <w:pageBreakBefore w:val="0"/>
        <w:kinsoku/>
        <w:overflowPunct/>
        <w:topLinePunct w:val="0"/>
        <w:autoSpaceDE/>
        <w:autoSpaceDN/>
        <w:bidi w:val="0"/>
        <w:adjustRightInd/>
        <w:snapToGrid/>
        <w:spacing w:line="360" w:lineRule="exact"/>
        <w:textAlignment w:val="auto"/>
        <w:rPr>
          <w:rFonts w:hint="eastAsia" w:ascii="宋体" w:hAnsi="宋体" w:eastAsia="宋体" w:cs="宋体"/>
          <w:b/>
          <w:bCs/>
          <w:color w:val="auto"/>
          <w:sz w:val="21"/>
          <w:szCs w:val="21"/>
          <w:highlight w:val="none"/>
        </w:rPr>
      </w:pPr>
      <w:bookmarkStart w:id="17" w:name="_Toc35393795"/>
      <w:bookmarkStart w:id="18" w:name="_Toc35393626"/>
      <w:r>
        <w:rPr>
          <w:rFonts w:hint="eastAsia" w:ascii="宋体" w:hAnsi="宋体" w:cs="宋体"/>
          <w:b/>
          <w:bCs/>
          <w:color w:val="auto"/>
          <w:sz w:val="21"/>
          <w:szCs w:val="21"/>
          <w:highlight w:val="none"/>
          <w:lang w:val="en-US" w:eastAsia="zh-CN"/>
        </w:rPr>
        <w:t>七</w:t>
      </w:r>
      <w:r>
        <w:rPr>
          <w:rFonts w:hint="eastAsia" w:ascii="宋体" w:hAnsi="宋体" w:eastAsia="宋体" w:cs="宋体"/>
          <w:b/>
          <w:bCs/>
          <w:color w:val="auto"/>
          <w:sz w:val="21"/>
          <w:szCs w:val="21"/>
          <w:highlight w:val="none"/>
        </w:rPr>
        <w:t>、其他补充事宜</w:t>
      </w:r>
      <w:bookmarkEnd w:id="17"/>
      <w:bookmarkEnd w:id="18"/>
    </w:p>
    <w:p w14:paraId="280176B4">
      <w:pPr>
        <w:pStyle w:val="25"/>
        <w:keepNext w:val="0"/>
        <w:keepLines w:val="0"/>
        <w:pageBreakBefore w:val="0"/>
        <w:kinsoku/>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bookmarkStart w:id="19" w:name="_Hlk37428740"/>
      <w:bookmarkStart w:id="20" w:name="_Toc35393796"/>
      <w:bookmarkStart w:id="21" w:name="_Toc28359008"/>
      <w:bookmarkStart w:id="22" w:name="_Toc28359085"/>
      <w:bookmarkStart w:id="23" w:name="_Toc35393627"/>
      <w:r>
        <w:rPr>
          <w:rFonts w:hint="eastAsia" w:ascii="宋体" w:hAnsi="宋体" w:eastAsia="宋体" w:cs="宋体"/>
          <w:color w:val="auto"/>
          <w:sz w:val="21"/>
          <w:szCs w:val="21"/>
          <w:highlight w:val="none"/>
        </w:rPr>
        <w:t>1.网上查询地址：中国政府采购网、广西壮族自治区政府采购网、全国公共资源交易平台（广西·防城港）。</w:t>
      </w:r>
    </w:p>
    <w:bookmarkEnd w:id="19"/>
    <w:p w14:paraId="41D77224">
      <w:pPr>
        <w:pStyle w:val="25"/>
        <w:keepNext w:val="0"/>
        <w:keepLines w:val="0"/>
        <w:pageBreakBefore w:val="0"/>
        <w:kinsoku/>
        <w:wordWrap w:val="0"/>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2.本项目政府采购落实政策：</w:t>
      </w:r>
    </w:p>
    <w:p w14:paraId="17F40DE6">
      <w:pPr>
        <w:pStyle w:val="25"/>
        <w:keepNext w:val="0"/>
        <w:keepLines w:val="0"/>
        <w:pageBreakBefore w:val="0"/>
        <w:kinsoku/>
        <w:wordWrap w:val="0"/>
        <w:overflowPunct/>
        <w:topLinePunct w:val="0"/>
        <w:autoSpaceDE/>
        <w:autoSpaceDN/>
        <w:bidi w:val="0"/>
        <w:adjustRightInd/>
        <w:snapToGrid/>
        <w:spacing w:line="360" w:lineRule="exact"/>
        <w:ind w:left="420" w:leftChars="20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（1）政府采购促进中小企业发展。</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（2）政府采购支持采用本国产品的政策。</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（3）强制采购节能产品；优先采购节能产品、环境标志产品。</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（4）政府采购促进残疾人就业政策。</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（5）政府采购支持监狱企业发展。</w:t>
      </w:r>
    </w:p>
    <w:p w14:paraId="463F7B27">
      <w:pPr>
        <w:pStyle w:val="25"/>
        <w:keepNext w:val="0"/>
        <w:keepLines w:val="0"/>
        <w:pageBreakBefore w:val="0"/>
        <w:kinsoku/>
        <w:wordWrap w:val="0"/>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3.投标保证金：不收取投标保证金。</w:t>
      </w:r>
    </w:p>
    <w:p w14:paraId="70830FC6">
      <w:pPr>
        <w:pStyle w:val="25"/>
        <w:keepNext w:val="0"/>
        <w:keepLines w:val="0"/>
        <w:pageBreakBefore w:val="0"/>
        <w:kinsoku/>
        <w:wordWrap w:val="0"/>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4.监督部门</w:t>
      </w:r>
    </w:p>
    <w:p w14:paraId="19E08954">
      <w:pPr>
        <w:pStyle w:val="25"/>
        <w:keepNext w:val="0"/>
        <w:keepLines w:val="0"/>
        <w:pageBreakBefore w:val="0"/>
        <w:kinsoku/>
        <w:wordWrap w:val="0"/>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 称：防城港市财政局</w:t>
      </w:r>
    </w:p>
    <w:p w14:paraId="7427F4B0">
      <w:pPr>
        <w:pStyle w:val="25"/>
        <w:keepNext w:val="0"/>
        <w:keepLines w:val="0"/>
        <w:pageBreakBefore w:val="0"/>
        <w:kinsoku/>
        <w:wordWrap w:val="0"/>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 话：0770-6102323</w:t>
      </w:r>
    </w:p>
    <w:p w14:paraId="00BFF584">
      <w:pPr>
        <w:pStyle w:val="25"/>
        <w:keepNext w:val="0"/>
        <w:keepLines w:val="0"/>
        <w:pageBreakBefore w:val="0"/>
        <w:kinsoku/>
        <w:wordWrap w:val="0"/>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单位负责人为同一人或者存在直接控股、管理关系的不同投标人，不得参加同一合同项下的政府采购活动。为本项目提供过整体设计、规范编制或者项目管理、监理、检测等服务的投标人，不得再参加本项目上述服务以外的其他采购活动。</w:t>
      </w:r>
    </w:p>
    <w:p w14:paraId="31CFBD8D">
      <w:pPr>
        <w:pStyle w:val="25"/>
        <w:keepNext w:val="0"/>
        <w:keepLines w:val="0"/>
        <w:pageBreakBefore w:val="0"/>
        <w:kinsoku/>
        <w:wordWrap w:val="0"/>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对在“信用中国”网站、中国政府采购网等渠道列入失信被执行人、重大税收违法案件当事人名单、政府采购严重违法失信行为记录名单及其他不符合《中华人民共和国政府采购法》第二十二条规定条件的供应商，不得参与政府采购活动。</w:t>
      </w:r>
    </w:p>
    <w:p w14:paraId="627D62BC">
      <w:pPr>
        <w:pStyle w:val="25"/>
        <w:keepNext w:val="0"/>
        <w:keepLines w:val="0"/>
        <w:pageBreakBefore w:val="0"/>
        <w:kinsoku/>
        <w:wordWrap w:val="0"/>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7.在线投标响应（电子投标）说明及注意事项</w:t>
      </w:r>
    </w:p>
    <w:p w14:paraId="3B588E52">
      <w:pPr>
        <w:pStyle w:val="25"/>
        <w:keepNext w:val="0"/>
        <w:keepLines w:val="0"/>
        <w:pageBreakBefore w:val="0"/>
        <w:kinsoku/>
        <w:wordWrap w:val="0"/>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（1）本项目为全流程电子化采购项目，通过</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实行在线电子投标，投标人应先安装“政采云电子交易客户端”（请自行前往</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进行下载），并按照本项目招标文件和</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的要求编制、加密后在投标响应文件递交截止时间前通过网络上传至</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，投标人在</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提交电子投标响应文件时，请填写参加远程开标活动经办人联系方式。投标人登录</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，依次进入“服务中心-项目采购-操作流程-电子招投标-政府采购项目电子交易管理操作指南-供应商”查看电子投标具体操作流程。</w:t>
      </w:r>
    </w:p>
    <w:p w14:paraId="1B232ADD">
      <w:pPr>
        <w:pStyle w:val="25"/>
        <w:keepNext w:val="0"/>
        <w:keepLines w:val="0"/>
        <w:pageBreakBefore w:val="0"/>
        <w:kinsoku/>
        <w:wordWrap w:val="0"/>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未进行网上注册并办理数字证书（CA认证）的投标人将无法参与本项目政府采购活动，投标人应当在投标响应文件递交截止时间前，完成电子交易平台上的CA数字证书办理（投标人可登录“广西政府采购网”，依次进入“办事服务-下载专区”或者登陆</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，依次进入“服务中心-入驻与配置”中查看CA数字证书办理操作流程。如在操作过程中遇到问题或者需要技术支持，请致电政采云客服热线：95763）及响应文件的提交。</w:t>
      </w:r>
    </w:p>
    <w:p w14:paraId="0CFF6FAD">
      <w:pPr>
        <w:pStyle w:val="25"/>
        <w:keepNext w:val="0"/>
        <w:keepLines w:val="0"/>
        <w:pageBreakBefore w:val="0"/>
        <w:kinsoku/>
        <w:wordWrap w:val="0"/>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（3）CA证书在线解密：投标人投标时，需携带制作投标响应文件时用来加密的有效数字证书（CA认证）登录</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电子开标大厅现场按规定时间对加密的投标响应文件进行解密，否则后果自负。</w:t>
      </w:r>
    </w:p>
    <w:p w14:paraId="058A38FD">
      <w:pPr>
        <w:pStyle w:val="25"/>
        <w:keepNext w:val="0"/>
        <w:keepLines w:val="0"/>
        <w:pageBreakBefore w:val="0"/>
        <w:kinsoku/>
        <w:wordWrap w:val="0"/>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（4）投标人需要在具备有摄像头及语音功能且互联网网络状况良好的电脑登录</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远程开标大厅参与本次投标，否则后果自负。</w:t>
      </w:r>
    </w:p>
    <w:p w14:paraId="311C8C0F">
      <w:pPr>
        <w:pStyle w:val="25"/>
        <w:keepNext w:val="0"/>
        <w:keepLines w:val="0"/>
        <w:pageBreakBefore w:val="0"/>
        <w:kinsoku/>
        <w:wordWrap w:val="0"/>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投标人认为招标文件使自己的权益受到损害的，可以自获取招标文件之日或者招标文件公告期限届满之日（公告期限届满后获取招标文件的，以公告期限届满之日为准）起7个工作日内以书面形式一次性向采购人和采购代理机构提出同一环节的质疑。否则，逾期的质疑采购人及招标代理机构可不予接受。质疑投标人对采购人、采购代理机构的答复不满意或者采购人、采购代理机构未在规定的时间内作出答复的，可以在答复期满后十五个工作日内向同级政府采购监督管理部门投诉。</w:t>
      </w:r>
    </w:p>
    <w:p w14:paraId="2322BED2">
      <w:pPr>
        <w:pStyle w:val="25"/>
        <w:keepNext w:val="0"/>
        <w:keepLines w:val="0"/>
        <w:pageBreakBefore w:val="0"/>
        <w:kinsoku/>
        <w:wordWrap w:val="0"/>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（6）本项目不接受未登陆</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获取本项目招标文件的投标人投标。</w:t>
      </w:r>
    </w:p>
    <w:p w14:paraId="0A3CDDA4">
      <w:pPr>
        <w:pStyle w:val="25"/>
        <w:keepNext w:val="0"/>
        <w:keepLines w:val="0"/>
        <w:pageBreakBefore w:val="0"/>
        <w:kinsoku/>
        <w:wordWrap w:val="0"/>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1）为确保网上操作合法、有效和安全，请投标人确保在电子投标过程中能够对相关数据电文进行加密和使用电子签章，妥善保管CA数字证书并使用有效的CA数字证书参与整个投标活动。2）投标人应当在投标响应文件提交截止时间前完成电子投标响应文件的上传、提交，投标响应文件提交截止时间前可以补充、修改或者撤回投标响应文件。补充或者修改投标响应文件的，应当先行撤回原投标响应文件，补充、修改后重新上传、提交，投标响应文件提交截止时间前未完成上传、提交的，视为撤回投标响应文件。投标响应文件提交截止时间以后上传递交的投标响应文件，</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将予以拒收。</w:t>
      </w:r>
    </w:p>
    <w:p w14:paraId="7778F79E">
      <w:pPr>
        <w:pStyle w:val="25"/>
        <w:keepNext w:val="0"/>
        <w:keepLines w:val="0"/>
        <w:pageBreakBefore w:val="0"/>
        <w:numPr>
          <w:ilvl w:val="0"/>
          <w:numId w:val="2"/>
        </w:numPr>
        <w:kinsoku/>
        <w:wordWrap w:val="0"/>
        <w:overflowPunct/>
        <w:topLinePunct w:val="0"/>
        <w:autoSpaceDE/>
        <w:autoSpaceDN/>
        <w:bidi w:val="0"/>
        <w:adjustRightInd/>
        <w:snapToGrid/>
        <w:spacing w:line="360" w:lineRule="exact"/>
        <w:ind w:firstLine="420"/>
        <w:textAlignment w:val="auto"/>
        <w:rPr>
          <w:rFonts w:hint="eastAsia" w:cs="宋体"/>
          <w:color w:val="auto"/>
          <w:sz w:val="21"/>
          <w:szCs w:val="21"/>
          <w:highlight w:val="none"/>
          <w:lang w:val="en-US" w:eastAsia="zh-CN"/>
        </w:rPr>
      </w:pPr>
      <w:r>
        <w:rPr>
          <w:rFonts w:hint="eastAsia" w:cs="宋体"/>
          <w:color w:val="auto"/>
          <w:sz w:val="21"/>
          <w:szCs w:val="21"/>
          <w:highlight w:val="none"/>
          <w:lang w:val="en-US" w:eastAsia="zh-CN"/>
        </w:rPr>
        <w:t>不同投标人的投标文件由同一单位或者个人编制，或不同投标人报名的</w:t>
      </w:r>
      <w:r>
        <w:rPr>
          <w:rFonts w:hint="default" w:ascii="Times New Roman" w:hAnsi="Times New Roman" w:cs="Times New Roman"/>
          <w:color w:val="auto"/>
          <w:sz w:val="21"/>
          <w:szCs w:val="21"/>
          <w:highlight w:val="none"/>
          <w:lang w:val="en-US" w:eastAsia="zh-CN"/>
        </w:rPr>
        <w:t>ip</w:t>
      </w:r>
      <w:r>
        <w:rPr>
          <w:rFonts w:hint="eastAsia" w:cs="宋体"/>
          <w:color w:val="auto"/>
          <w:sz w:val="21"/>
          <w:szCs w:val="21"/>
          <w:highlight w:val="none"/>
          <w:lang w:val="en-US" w:eastAsia="zh-CN"/>
        </w:rPr>
        <w:t>地址一致的，此类投标供应商将视为无效。</w:t>
      </w:r>
    </w:p>
    <w:p w14:paraId="7CEE6A2E">
      <w:pPr>
        <w:pStyle w:val="25"/>
        <w:keepNext w:val="0"/>
        <w:keepLines w:val="0"/>
        <w:pageBreakBefore w:val="0"/>
        <w:numPr>
          <w:ilvl w:val="0"/>
          <w:numId w:val="0"/>
        </w:numPr>
        <w:kinsoku/>
        <w:wordWrap w:val="0"/>
        <w:overflowPunct/>
        <w:topLinePunct w:val="0"/>
        <w:autoSpaceDE/>
        <w:autoSpaceDN/>
        <w:bidi w:val="0"/>
        <w:adjustRightInd/>
        <w:snapToGrid/>
        <w:spacing w:line="360" w:lineRule="exact"/>
        <w:ind w:firstLine="420" w:firstLineChars="200"/>
        <w:textAlignment w:val="auto"/>
        <w:rPr>
          <w:rFonts w:hint="default" w:ascii="宋体" w:hAnsi="宋体" w:eastAsia="宋体" w:cs="宋体"/>
          <w:color w:val="auto"/>
          <w:sz w:val="21"/>
          <w:szCs w:val="21"/>
          <w:highlight w:val="none"/>
          <w:lang w:val="en-US" w:eastAsia="zh-CN"/>
        </w:rPr>
      </w:pPr>
      <w:r>
        <w:rPr>
          <w:rFonts w:hint="eastAsia" w:cs="宋体"/>
          <w:color w:val="auto"/>
          <w:sz w:val="21"/>
          <w:szCs w:val="21"/>
          <w:highlight w:val="none"/>
          <w:lang w:val="en-US" w:eastAsia="zh-CN"/>
        </w:rPr>
        <w:t>8.</w:t>
      </w:r>
      <w:r>
        <w:rPr>
          <w:rFonts w:hint="eastAsia" w:ascii="宋体" w:hAnsi="宋体" w:cs="宋体"/>
          <w:color w:val="000000" w:themeColor="text1"/>
          <w:sz w:val="21"/>
          <w:szCs w:val="21"/>
          <w:lang w:val="en-US" w:eastAsia="zh-CN"/>
          <w14:textFill>
            <w14:solidFill>
              <w14:schemeClr w14:val="tx1"/>
            </w14:solidFill>
          </w14:textFill>
        </w:rPr>
        <w:t>本项目为</w:t>
      </w:r>
      <w:r>
        <w:rPr>
          <w:rFonts w:hint="eastAsia" w:ascii="宋体" w:hAnsi="宋体" w:cs="宋体"/>
          <w:color w:val="auto"/>
          <w:sz w:val="21"/>
          <w:szCs w:val="21"/>
          <w:highlight w:val="none"/>
          <w:lang w:val="en-US" w:eastAsia="zh-CN"/>
        </w:rPr>
        <w:t>全流程</w:t>
      </w:r>
      <w:r>
        <w:rPr>
          <w:rFonts w:hint="eastAsia" w:ascii="宋体" w:hAnsi="宋体" w:cs="宋体"/>
          <w:color w:val="000000" w:themeColor="text1"/>
          <w:sz w:val="21"/>
          <w:szCs w:val="21"/>
          <w:highlight w:val="none"/>
          <w:lang w:val="en-US" w:eastAsia="zh-CN"/>
          <w14:textFill>
            <w14:solidFill>
              <w14:schemeClr w14:val="tx1"/>
            </w14:solidFill>
          </w14:textFill>
        </w:rPr>
        <w:t>电子化远程异地评标项目。</w:t>
      </w:r>
    </w:p>
    <w:p w14:paraId="636F1862">
      <w:pPr>
        <w:keepNext w:val="0"/>
        <w:keepLines w:val="0"/>
        <w:pageBreakBefore w:val="0"/>
        <w:kinsoku/>
        <w:wordWrap w:val="0"/>
        <w:overflowPunct/>
        <w:topLinePunct w:val="0"/>
        <w:autoSpaceDE/>
        <w:autoSpaceDN/>
        <w:bidi w:val="0"/>
        <w:adjustRightInd/>
        <w:snapToGrid/>
        <w:spacing w:line="360" w:lineRule="exact"/>
        <w:textAlignment w:val="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八</w:t>
      </w:r>
      <w:r>
        <w:rPr>
          <w:rFonts w:hint="eastAsia" w:ascii="宋体" w:hAnsi="宋体" w:eastAsia="宋体" w:cs="宋体"/>
          <w:b/>
          <w:bCs/>
          <w:color w:val="auto"/>
          <w:sz w:val="21"/>
          <w:szCs w:val="21"/>
          <w:highlight w:val="none"/>
        </w:rPr>
        <w:t>、对本次招标提出询问，请按以下方式联系。</w:t>
      </w:r>
      <w:bookmarkEnd w:id="20"/>
      <w:bookmarkEnd w:id="21"/>
      <w:bookmarkEnd w:id="22"/>
      <w:bookmarkEnd w:id="23"/>
    </w:p>
    <w:p w14:paraId="2D67CE21">
      <w:pPr>
        <w:keepNext w:val="0"/>
        <w:keepLines w:val="0"/>
        <w:pageBreakBefore w:val="0"/>
        <w:kinsoku/>
        <w:wordWrap w:val="0"/>
        <w:overflowPunct/>
        <w:topLinePunct w:val="0"/>
        <w:autoSpaceDE/>
        <w:autoSpaceDN/>
        <w:bidi w:val="0"/>
        <w:adjustRightInd/>
        <w:snapToGrid/>
        <w:spacing w:line="360" w:lineRule="exact"/>
        <w:ind w:firstLine="420" w:firstLineChars="200"/>
        <w:jc w:val="left"/>
        <w:textAlignment w:val="auto"/>
        <w:rPr>
          <w:rFonts w:hint="eastAsia" w:hAnsi="宋体" w:cs="宋体"/>
          <w:color w:val="auto"/>
          <w:szCs w:val="21"/>
        </w:rPr>
      </w:pPr>
      <w:r>
        <w:rPr>
          <w:rFonts w:hint="eastAsia" w:hAnsi="宋体" w:cs="宋体"/>
          <w:color w:val="auto"/>
          <w:szCs w:val="21"/>
          <w:lang w:val="en-US" w:eastAsia="zh-CN"/>
        </w:rPr>
        <w:t>1.</w:t>
      </w:r>
      <w:r>
        <w:rPr>
          <w:rFonts w:hint="eastAsia" w:hAnsi="宋体" w:cs="宋体"/>
          <w:color w:val="auto"/>
          <w:szCs w:val="21"/>
        </w:rPr>
        <w:t>采购人信息</w:t>
      </w:r>
    </w:p>
    <w:p w14:paraId="7063B010">
      <w:pPr>
        <w:keepNext w:val="0"/>
        <w:keepLines w:val="0"/>
        <w:pageBreakBefore w:val="0"/>
        <w:kinsoku/>
        <w:wordWrap w:val="0"/>
        <w:overflowPunct/>
        <w:topLinePunct w:val="0"/>
        <w:autoSpaceDE/>
        <w:autoSpaceDN/>
        <w:bidi w:val="0"/>
        <w:adjustRightInd/>
        <w:snapToGrid/>
        <w:spacing w:line="360" w:lineRule="exact"/>
        <w:ind w:firstLine="420" w:firstLineChars="200"/>
        <w:jc w:val="left"/>
        <w:textAlignment w:val="auto"/>
        <w:rPr>
          <w:rFonts w:hint="eastAsia" w:hAnsi="宋体" w:cs="宋体" w:eastAsiaTheme="minorEastAsia"/>
          <w:color w:val="auto"/>
          <w:szCs w:val="21"/>
          <w:lang w:val="en-US" w:eastAsia="zh-CN"/>
        </w:rPr>
      </w:pPr>
      <w:r>
        <w:rPr>
          <w:rFonts w:hint="eastAsia" w:hAnsi="宋体" w:cs="宋体"/>
          <w:color w:val="auto"/>
          <w:szCs w:val="21"/>
        </w:rPr>
        <w:t>名    称：防城港市</w:t>
      </w:r>
      <w:r>
        <w:rPr>
          <w:rFonts w:hint="eastAsia" w:hAnsi="宋体" w:cs="宋体"/>
          <w:color w:val="auto"/>
          <w:szCs w:val="21"/>
          <w:lang w:val="en-US" w:eastAsia="zh-CN"/>
        </w:rPr>
        <w:t>大数据和行政审批局</w:t>
      </w:r>
    </w:p>
    <w:p w14:paraId="7A099CE4">
      <w:pPr>
        <w:keepNext w:val="0"/>
        <w:keepLines w:val="0"/>
        <w:pageBreakBefore w:val="0"/>
        <w:kinsoku/>
        <w:wordWrap w:val="0"/>
        <w:overflowPunct/>
        <w:topLinePunct w:val="0"/>
        <w:autoSpaceDE/>
        <w:autoSpaceDN/>
        <w:bidi w:val="0"/>
        <w:adjustRightInd/>
        <w:snapToGrid/>
        <w:spacing w:line="360" w:lineRule="exact"/>
        <w:ind w:firstLine="420" w:firstLineChars="200"/>
        <w:jc w:val="left"/>
        <w:textAlignment w:val="auto"/>
        <w:rPr>
          <w:rFonts w:hAnsi="宋体" w:cs="宋体"/>
          <w:color w:val="auto"/>
          <w:szCs w:val="21"/>
        </w:rPr>
      </w:pPr>
      <w:r>
        <w:rPr>
          <w:rFonts w:hint="eastAsia" w:hAnsi="宋体" w:cs="宋体"/>
          <w:color w:val="auto"/>
          <w:szCs w:val="21"/>
        </w:rPr>
        <w:t>地    址：防城港市红树林大厦东塔</w:t>
      </w:r>
      <w:r>
        <w:rPr>
          <w:rFonts w:hint="eastAsia" w:hAnsi="宋体" w:cs="宋体"/>
          <w:color w:val="auto"/>
          <w:szCs w:val="21"/>
          <w:lang w:val="en-US" w:eastAsia="zh-CN"/>
        </w:rPr>
        <w:t>2</w:t>
      </w:r>
      <w:r>
        <w:rPr>
          <w:rFonts w:hint="eastAsia" w:hAnsi="宋体" w:cs="宋体"/>
          <w:color w:val="auto"/>
          <w:szCs w:val="21"/>
        </w:rPr>
        <w:t>楼</w:t>
      </w:r>
    </w:p>
    <w:p w14:paraId="422ABFA1">
      <w:pPr>
        <w:keepNext w:val="0"/>
        <w:keepLines w:val="0"/>
        <w:pageBreakBefore w:val="0"/>
        <w:kinsoku/>
        <w:wordWrap w:val="0"/>
        <w:overflowPunct/>
        <w:topLinePunct w:val="0"/>
        <w:autoSpaceDE/>
        <w:autoSpaceDN/>
        <w:bidi w:val="0"/>
        <w:adjustRightInd/>
        <w:snapToGrid/>
        <w:spacing w:line="360" w:lineRule="exact"/>
        <w:ind w:firstLine="420" w:firstLineChars="200"/>
        <w:jc w:val="left"/>
        <w:textAlignment w:val="auto"/>
        <w:rPr>
          <w:rFonts w:hint="default" w:hAnsi="宋体" w:cs="宋体" w:eastAsiaTheme="minorEastAsia"/>
          <w:color w:val="auto"/>
          <w:szCs w:val="21"/>
          <w:highlight w:val="none"/>
          <w:lang w:val="en-US" w:eastAsia="zh-CN"/>
        </w:rPr>
      </w:pPr>
      <w:r>
        <w:rPr>
          <w:rFonts w:hint="eastAsia" w:hAnsi="宋体" w:cs="宋体"/>
          <w:color w:val="auto"/>
          <w:szCs w:val="21"/>
          <w:highlight w:val="none"/>
        </w:rPr>
        <w:t>项目联系人：</w:t>
      </w:r>
      <w:r>
        <w:rPr>
          <w:rFonts w:hint="eastAsia" w:hAnsi="宋体" w:cs="宋体"/>
          <w:color w:val="auto"/>
          <w:szCs w:val="21"/>
          <w:highlight w:val="none"/>
          <w:lang w:val="en-US" w:eastAsia="zh-CN"/>
        </w:rPr>
        <w:t>王枫、甘海江、黄家鹏</w:t>
      </w:r>
    </w:p>
    <w:p w14:paraId="2DF15A63">
      <w:pPr>
        <w:keepNext w:val="0"/>
        <w:keepLines w:val="0"/>
        <w:pageBreakBefore w:val="0"/>
        <w:kinsoku/>
        <w:wordWrap w:val="0"/>
        <w:overflowPunct/>
        <w:topLinePunct w:val="0"/>
        <w:autoSpaceDE/>
        <w:autoSpaceDN/>
        <w:bidi w:val="0"/>
        <w:adjustRightInd/>
        <w:snapToGrid/>
        <w:spacing w:line="360" w:lineRule="exact"/>
        <w:ind w:firstLine="420" w:firstLineChars="200"/>
        <w:jc w:val="left"/>
        <w:textAlignment w:val="auto"/>
        <w:rPr>
          <w:rFonts w:hint="default" w:hAnsi="宋体" w:cs="宋体" w:eastAsiaTheme="minorEastAsia"/>
          <w:color w:val="auto"/>
          <w:szCs w:val="21"/>
          <w:highlight w:val="none"/>
          <w:lang w:val="en-US" w:eastAsia="zh-CN"/>
        </w:rPr>
      </w:pPr>
      <w:r>
        <w:rPr>
          <w:rFonts w:hint="eastAsia" w:hAnsi="宋体" w:cs="宋体"/>
          <w:color w:val="auto"/>
          <w:szCs w:val="21"/>
          <w:highlight w:val="none"/>
        </w:rPr>
        <w:t>项目联系方式：</w:t>
      </w:r>
      <w:r>
        <w:rPr>
          <w:rFonts w:hint="eastAsia" w:hAnsi="宋体" w:cs="宋体"/>
          <w:color w:val="auto"/>
          <w:szCs w:val="21"/>
          <w:highlight w:val="none"/>
          <w:lang w:val="en-US" w:eastAsia="zh-CN"/>
        </w:rPr>
        <w:t>0770-2881275</w:t>
      </w:r>
    </w:p>
    <w:p w14:paraId="0A2F6A12">
      <w:pPr>
        <w:keepNext w:val="0"/>
        <w:keepLines w:val="0"/>
        <w:pageBreakBefore w:val="0"/>
        <w:numPr>
          <w:ilvl w:val="0"/>
          <w:numId w:val="0"/>
        </w:numPr>
        <w:kinsoku/>
        <w:wordWrap w:val="0"/>
        <w:overflowPunct/>
        <w:topLinePunct w:val="0"/>
        <w:autoSpaceDE/>
        <w:autoSpaceDN/>
        <w:bidi w:val="0"/>
        <w:adjustRightInd/>
        <w:snapToGrid/>
        <w:spacing w:line="360" w:lineRule="exact"/>
        <w:ind w:firstLine="420" w:firstLineChars="200"/>
        <w:jc w:val="left"/>
        <w:textAlignment w:val="auto"/>
        <w:rPr>
          <w:rFonts w:hint="eastAsia" w:hAnsi="宋体" w:cs="宋体"/>
          <w:color w:val="auto"/>
          <w:szCs w:val="21"/>
        </w:rPr>
      </w:pPr>
      <w:r>
        <w:rPr>
          <w:rFonts w:hint="eastAsia" w:hAnsi="宋体" w:cs="宋体"/>
          <w:color w:val="auto"/>
          <w:szCs w:val="21"/>
          <w:lang w:val="en-US" w:eastAsia="zh-CN"/>
        </w:rPr>
        <w:t>2.</w:t>
      </w:r>
      <w:r>
        <w:rPr>
          <w:rFonts w:hint="eastAsia" w:hAnsi="宋体" w:cs="宋体"/>
          <w:color w:val="auto"/>
          <w:szCs w:val="21"/>
        </w:rPr>
        <w:t>采购代理机构信息</w:t>
      </w:r>
    </w:p>
    <w:p w14:paraId="2DFA95BD">
      <w:pPr>
        <w:keepNext w:val="0"/>
        <w:keepLines w:val="0"/>
        <w:pageBreakBefore w:val="0"/>
        <w:kinsoku/>
        <w:wordWrap w:val="0"/>
        <w:overflowPunct/>
        <w:topLinePunct w:val="0"/>
        <w:autoSpaceDE/>
        <w:autoSpaceDN/>
        <w:bidi w:val="0"/>
        <w:adjustRightInd/>
        <w:snapToGrid/>
        <w:spacing w:line="360" w:lineRule="exact"/>
        <w:ind w:firstLine="420" w:firstLineChars="200"/>
        <w:jc w:val="left"/>
        <w:textAlignment w:val="auto"/>
        <w:rPr>
          <w:rFonts w:hint="eastAsia" w:hAnsi="宋体" w:cs="宋体"/>
          <w:color w:val="auto"/>
          <w:szCs w:val="21"/>
        </w:rPr>
      </w:pPr>
      <w:r>
        <w:rPr>
          <w:rFonts w:hint="eastAsia" w:hAnsi="宋体" w:cs="宋体"/>
          <w:color w:val="auto"/>
          <w:szCs w:val="21"/>
        </w:rPr>
        <w:t>名    称：防城港市政府采购中心</w:t>
      </w:r>
    </w:p>
    <w:p w14:paraId="5DD5B9F7">
      <w:pPr>
        <w:keepNext w:val="0"/>
        <w:keepLines w:val="0"/>
        <w:pageBreakBefore w:val="0"/>
        <w:kinsoku/>
        <w:wordWrap w:val="0"/>
        <w:overflowPunct/>
        <w:topLinePunct w:val="0"/>
        <w:autoSpaceDE/>
        <w:autoSpaceDN/>
        <w:bidi w:val="0"/>
        <w:adjustRightInd/>
        <w:snapToGrid/>
        <w:spacing w:line="360" w:lineRule="exact"/>
        <w:ind w:firstLine="420" w:firstLineChars="200"/>
        <w:jc w:val="left"/>
        <w:textAlignment w:val="auto"/>
        <w:rPr>
          <w:rFonts w:hint="eastAsia" w:hAnsi="宋体" w:cs="宋体"/>
          <w:color w:val="auto"/>
          <w:szCs w:val="21"/>
        </w:rPr>
      </w:pPr>
      <w:r>
        <w:rPr>
          <w:rFonts w:hint="eastAsia" w:hAnsi="宋体" w:cs="宋体"/>
          <w:color w:val="auto"/>
          <w:szCs w:val="21"/>
        </w:rPr>
        <w:t>地    址：防城港市红树林大厦东塔6楼</w:t>
      </w:r>
    </w:p>
    <w:p w14:paraId="79F5D16A">
      <w:pPr>
        <w:keepNext w:val="0"/>
        <w:keepLines w:val="0"/>
        <w:pageBreakBefore w:val="0"/>
        <w:kinsoku/>
        <w:wordWrap w:val="0"/>
        <w:overflowPunct/>
        <w:topLinePunct w:val="0"/>
        <w:autoSpaceDE/>
        <w:autoSpaceDN/>
        <w:bidi w:val="0"/>
        <w:adjustRightInd/>
        <w:snapToGrid/>
        <w:spacing w:line="360" w:lineRule="exact"/>
        <w:ind w:firstLine="420" w:firstLineChars="200"/>
        <w:jc w:val="left"/>
        <w:textAlignment w:val="auto"/>
        <w:rPr>
          <w:rFonts w:hint="default" w:hAnsi="宋体" w:cs="宋体"/>
          <w:color w:val="auto"/>
          <w:szCs w:val="21"/>
          <w:lang w:val="en-US"/>
        </w:rPr>
      </w:pPr>
      <w:r>
        <w:rPr>
          <w:rFonts w:hint="eastAsia" w:hAnsi="宋体" w:cs="宋体"/>
          <w:color w:val="auto"/>
          <w:szCs w:val="21"/>
        </w:rPr>
        <w:t>项目联系人：</w:t>
      </w:r>
      <w:r>
        <w:rPr>
          <w:rFonts w:hint="eastAsia" w:hAnsi="宋体" w:cs="宋体"/>
          <w:color w:val="auto"/>
          <w:szCs w:val="21"/>
          <w:lang w:val="en-US" w:eastAsia="zh-CN"/>
        </w:rPr>
        <w:t>肖秀艺、黄世蒋</w:t>
      </w:r>
    </w:p>
    <w:p w14:paraId="4AA4C152">
      <w:pPr>
        <w:keepNext w:val="0"/>
        <w:keepLines w:val="0"/>
        <w:pageBreakBefore w:val="0"/>
        <w:kinsoku/>
        <w:wordWrap w:val="0"/>
        <w:overflowPunct/>
        <w:topLinePunct w:val="0"/>
        <w:autoSpaceDE/>
        <w:autoSpaceDN/>
        <w:bidi w:val="0"/>
        <w:adjustRightInd/>
        <w:snapToGrid/>
        <w:spacing w:line="360" w:lineRule="exact"/>
        <w:ind w:firstLine="420" w:firstLineChars="200"/>
        <w:jc w:val="left"/>
        <w:textAlignment w:val="auto"/>
        <w:rPr>
          <w:rFonts w:hint="default" w:hAnsi="宋体" w:eastAsia="宋体"/>
          <w:color w:val="auto"/>
          <w:szCs w:val="21"/>
          <w:lang w:val="en-US" w:eastAsia="zh-CN"/>
        </w:rPr>
      </w:pPr>
      <w:r>
        <w:rPr>
          <w:rFonts w:hint="eastAsia" w:hAnsi="宋体" w:cs="宋体"/>
          <w:color w:val="auto"/>
          <w:szCs w:val="21"/>
        </w:rPr>
        <w:t>项目联系方式：</w:t>
      </w:r>
      <w:r>
        <w:rPr>
          <w:rFonts w:hint="eastAsia" w:hAnsi="宋体" w:cs="宋体"/>
          <w:color w:val="auto"/>
          <w:szCs w:val="21"/>
          <w:lang w:val="en-US" w:eastAsia="zh-CN"/>
        </w:rPr>
        <w:t>0770-6126192</w:t>
      </w:r>
    </w:p>
    <w:p w14:paraId="7903038F">
      <w:pPr>
        <w:keepNext w:val="0"/>
        <w:keepLines w:val="0"/>
        <w:pageBreakBefore w:val="0"/>
        <w:kinsoku/>
        <w:wordWrap w:val="0"/>
        <w:overflowPunct/>
        <w:topLinePunct w:val="0"/>
        <w:autoSpaceDE/>
        <w:autoSpaceDN/>
        <w:bidi w:val="0"/>
        <w:adjustRightInd/>
        <w:snapToGrid/>
        <w:spacing w:line="360" w:lineRule="exact"/>
        <w:ind w:firstLine="420" w:firstLineChars="200"/>
        <w:jc w:val="right"/>
        <w:textAlignment w:val="auto"/>
        <w:rPr>
          <w:rFonts w:hint="eastAsia" w:ascii="宋体" w:hAnsi="宋体" w:eastAsia="宋体" w:cs="宋体"/>
          <w:color w:val="auto"/>
          <w:sz w:val="21"/>
          <w:szCs w:val="21"/>
          <w:highlight w:val="none"/>
          <w:lang w:val="zh-CN"/>
        </w:rPr>
      </w:pPr>
    </w:p>
    <w:p w14:paraId="5D4E100B">
      <w:pPr>
        <w:keepNext w:val="0"/>
        <w:keepLines w:val="0"/>
        <w:pageBreakBefore w:val="0"/>
        <w:kinsoku/>
        <w:wordWrap w:val="0"/>
        <w:overflowPunct/>
        <w:topLinePunct w:val="0"/>
        <w:autoSpaceDE/>
        <w:autoSpaceDN/>
        <w:bidi w:val="0"/>
        <w:adjustRightInd/>
        <w:snapToGrid/>
        <w:spacing w:line="360" w:lineRule="exact"/>
        <w:ind w:firstLine="420" w:firstLineChars="200"/>
        <w:jc w:val="righ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zh-CN"/>
        </w:rPr>
        <w:t>采购人：</w:t>
      </w:r>
      <w:r>
        <w:rPr>
          <w:rFonts w:hint="eastAsia" w:hAnsi="宋体" w:cs="宋体"/>
          <w:color w:val="auto"/>
          <w:szCs w:val="21"/>
        </w:rPr>
        <w:t>防城港市</w:t>
      </w:r>
      <w:r>
        <w:rPr>
          <w:rFonts w:hint="eastAsia" w:hAnsi="宋体" w:cs="宋体"/>
          <w:color w:val="auto"/>
          <w:szCs w:val="21"/>
          <w:lang w:val="en-US" w:eastAsia="zh-CN"/>
        </w:rPr>
        <w:t>大数据和行政审批局</w:t>
      </w:r>
    </w:p>
    <w:p w14:paraId="018072FE">
      <w:pPr>
        <w:keepNext w:val="0"/>
        <w:keepLines w:val="0"/>
        <w:pageBreakBefore w:val="0"/>
        <w:kinsoku/>
        <w:overflowPunct/>
        <w:topLinePunct w:val="0"/>
        <w:autoSpaceDE/>
        <w:autoSpaceDN/>
        <w:bidi w:val="0"/>
        <w:adjustRightInd/>
        <w:snapToGrid/>
        <w:spacing w:line="360" w:lineRule="exact"/>
        <w:ind w:firstLine="420" w:firstLineChars="200"/>
        <w:jc w:val="right"/>
        <w:textAlignment w:val="auto"/>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rPr>
        <w:t>采购代理机构：</w:t>
      </w:r>
      <w:r>
        <w:rPr>
          <w:rFonts w:hint="eastAsia" w:ascii="宋体" w:hAnsi="宋体" w:eastAsia="宋体" w:cs="宋体"/>
          <w:color w:val="auto"/>
          <w:kern w:val="0"/>
          <w:sz w:val="21"/>
          <w:szCs w:val="21"/>
          <w:highlight w:val="none"/>
          <w:lang w:val="en-US" w:eastAsia="zh-CN"/>
        </w:rPr>
        <w:t>防城港市政府采购中心</w:t>
      </w:r>
    </w:p>
    <w:p w14:paraId="021E0FC1">
      <w:pPr>
        <w:keepNext w:val="0"/>
        <w:keepLines w:val="0"/>
        <w:pageBreakBefore w:val="0"/>
        <w:kinsoku/>
        <w:wordWrap w:val="0"/>
        <w:overflowPunct/>
        <w:topLinePunct w:val="0"/>
        <w:autoSpaceDE/>
        <w:autoSpaceDN/>
        <w:bidi w:val="0"/>
        <w:adjustRightInd/>
        <w:snapToGrid/>
        <w:spacing w:line="360" w:lineRule="exact"/>
        <w:ind w:firstLine="420" w:firstLineChars="200"/>
        <w:jc w:val="righ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zh-CN"/>
        </w:rPr>
        <w:t>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val="zh-CN"/>
        </w:rPr>
        <w:t>年</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lang w:val="zh-CN"/>
        </w:rPr>
        <w:t>月</w:t>
      </w: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lang w:val="zh-CN"/>
        </w:rPr>
        <w:t>日</w:t>
      </w:r>
      <w:r>
        <w:rPr>
          <w:rFonts w:hint="eastAsia" w:ascii="宋体" w:hAnsi="宋体" w:eastAsia="宋体" w:cs="宋体"/>
          <w:color w:val="auto"/>
          <w:sz w:val="21"/>
          <w:szCs w:val="21"/>
          <w:highlight w:val="none"/>
          <w:lang w:val="en-US" w:eastAsia="zh-CN"/>
        </w:rPr>
        <w:t xml:space="preserve">        </w:t>
      </w:r>
    </w:p>
    <w:p w14:paraId="7638B495">
      <w:p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br w:type="page"/>
      </w:r>
    </w:p>
    <w:p w14:paraId="552430B4">
      <w:pPr>
        <w:pStyle w:val="2"/>
        <w:pageBreakBefore w:val="0"/>
        <w:numPr>
          <w:ilvl w:val="0"/>
          <w:numId w:val="3"/>
        </w:numPr>
        <w:tabs>
          <w:tab w:val="left" w:pos="0"/>
          <w:tab w:val="left" w:pos="3165"/>
          <w:tab w:val="center" w:pos="4153"/>
        </w:tabs>
        <w:kinsoku/>
        <w:overflowPunct/>
        <w:topLinePunct w:val="0"/>
        <w:autoSpaceDE w:val="0"/>
        <w:autoSpaceDN w:val="0"/>
        <w:bidi w:val="0"/>
        <w:adjustRightInd w:val="0"/>
        <w:spacing w:before="0" w:after="0" w:line="240" w:lineRule="auto"/>
        <w:jc w:val="center"/>
        <w:rPr>
          <w:rFonts w:hint="eastAsia" w:ascii="宋体" w:hAnsi="宋体" w:eastAsia="宋体" w:cs="宋体"/>
          <w:color w:val="auto"/>
          <w:sz w:val="44"/>
          <w:szCs w:val="44"/>
          <w:highlight w:val="none"/>
        </w:rPr>
      </w:pPr>
      <w:bookmarkStart w:id="24" w:name="_Toc10553"/>
      <w:bookmarkStart w:id="25" w:name="_Toc1034"/>
      <w:bookmarkStart w:id="26" w:name="_Toc8668"/>
      <w:r>
        <w:rPr>
          <w:rFonts w:hint="eastAsia" w:ascii="宋体" w:hAnsi="宋体" w:eastAsia="宋体" w:cs="宋体"/>
          <w:color w:val="auto"/>
          <w:sz w:val="44"/>
          <w:szCs w:val="44"/>
          <w:highlight w:val="none"/>
        </w:rPr>
        <w:t>采购需求</w:t>
      </w:r>
      <w:bookmarkEnd w:id="24"/>
      <w:bookmarkEnd w:id="25"/>
      <w:bookmarkEnd w:id="26"/>
    </w:p>
    <w:p w14:paraId="5298FFB7">
      <w:pPr>
        <w:rPr>
          <w:rFonts w:hint="eastAsia"/>
          <w:color w:val="auto"/>
        </w:rPr>
      </w:pPr>
    </w:p>
    <w:p w14:paraId="3ED6528F">
      <w:pPr>
        <w:pStyle w:val="4"/>
        <w:keepNext/>
        <w:keepLines/>
        <w:pageBreakBefore w:val="0"/>
        <w:widowControl w:val="0"/>
        <w:kinsoku/>
        <w:wordWrap/>
        <w:overflowPunct/>
        <w:topLinePunct w:val="0"/>
        <w:autoSpaceDE/>
        <w:autoSpaceDN/>
        <w:bidi w:val="0"/>
        <w:adjustRightInd/>
        <w:snapToGrid/>
        <w:spacing w:before="0" w:after="0" w:line="360" w:lineRule="exact"/>
        <w:ind w:firstLine="210" w:firstLineChars="100"/>
        <w:textAlignment w:val="auto"/>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说明：</w:t>
      </w:r>
    </w:p>
    <w:p w14:paraId="451F81BA">
      <w:pPr>
        <w:pStyle w:val="4"/>
        <w:keepNext/>
        <w:keepLines/>
        <w:pageBreakBefore w:val="0"/>
        <w:widowControl w:val="0"/>
        <w:kinsoku/>
        <w:wordWrap/>
        <w:overflowPunct/>
        <w:topLinePunct w:val="0"/>
        <w:autoSpaceDE/>
        <w:autoSpaceDN/>
        <w:bidi w:val="0"/>
        <w:adjustRightInd/>
        <w:snapToGrid/>
        <w:spacing w:before="0" w:after="0" w:line="360" w:lineRule="exact"/>
        <w:ind w:firstLine="210" w:firstLineChars="100"/>
        <w:textAlignment w:val="auto"/>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1.为落实政府采购政策需满足的要求</w:t>
      </w:r>
    </w:p>
    <w:p w14:paraId="0E852E4E">
      <w:pPr>
        <w:pStyle w:val="4"/>
        <w:keepNext/>
        <w:keepLines/>
        <w:pageBreakBefore w:val="0"/>
        <w:widowControl w:val="0"/>
        <w:kinsoku/>
        <w:wordWrap/>
        <w:overflowPunct/>
        <w:topLinePunct w:val="0"/>
        <w:autoSpaceDE/>
        <w:autoSpaceDN/>
        <w:bidi w:val="0"/>
        <w:adjustRightInd/>
        <w:snapToGrid/>
        <w:spacing w:before="0" w:after="0" w:line="360" w:lineRule="exact"/>
        <w:ind w:firstLine="210" w:firstLineChars="100"/>
        <w:textAlignment w:val="auto"/>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（1）本公开采购文件所称中小企业必须符合《政府采购促进中小企业发展管理办法》（财库〔2020〕46号）的规定。</w:t>
      </w:r>
    </w:p>
    <w:p w14:paraId="782751B7">
      <w:pPr>
        <w:pStyle w:val="4"/>
        <w:keepNext/>
        <w:keepLines/>
        <w:pageBreakBefore w:val="0"/>
        <w:widowControl w:val="0"/>
        <w:kinsoku/>
        <w:wordWrap/>
        <w:overflowPunct/>
        <w:topLinePunct w:val="0"/>
        <w:autoSpaceDE/>
        <w:autoSpaceDN/>
        <w:bidi w:val="0"/>
        <w:adjustRightInd/>
        <w:snapToGrid/>
        <w:spacing w:before="0" w:after="0" w:line="360" w:lineRule="exact"/>
        <w:ind w:firstLine="210" w:firstLineChars="100"/>
        <w:textAlignment w:val="auto"/>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2）服务项目中包含货物的，根据《财政部发展改革委生态环境部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复印件（加盖供应商公章），否则响应文件作无效处理。如本项目包含的配套货物属于品目清单内非标注“★”的产品时，应优先采购。</w:t>
      </w:r>
    </w:p>
    <w:p w14:paraId="161B3BBE">
      <w:pPr>
        <w:pStyle w:val="4"/>
        <w:keepNext/>
        <w:keepLines/>
        <w:pageBreakBefore w:val="0"/>
        <w:widowControl w:val="0"/>
        <w:kinsoku/>
        <w:wordWrap/>
        <w:overflowPunct/>
        <w:topLinePunct w:val="0"/>
        <w:autoSpaceDE/>
        <w:autoSpaceDN/>
        <w:bidi w:val="0"/>
        <w:adjustRightInd/>
        <w:snapToGrid/>
        <w:spacing w:before="0" w:after="0" w:line="360" w:lineRule="exact"/>
        <w:ind w:firstLine="211" w:firstLineChars="100"/>
        <w:textAlignment w:val="auto"/>
        <w:rPr>
          <w:rFonts w:hint="eastAsia" w:ascii="宋体" w:hAnsi="宋体" w:cs="宋体"/>
          <w:b w:val="0"/>
          <w:bCs w:val="0"/>
          <w:color w:val="auto"/>
          <w:sz w:val="21"/>
          <w:szCs w:val="21"/>
          <w:highlight w:val="none"/>
        </w:rPr>
      </w:pPr>
      <w:r>
        <w:rPr>
          <w:rFonts w:hint="eastAsia" w:ascii="宋体" w:hAnsi="宋体" w:cs="宋体"/>
          <w:b/>
          <w:bCs/>
          <w:color w:val="auto"/>
          <w:sz w:val="21"/>
          <w:szCs w:val="21"/>
          <w:highlight w:val="none"/>
        </w:rPr>
        <w:t>2.本项目采购需求均为实质性要求，不允许负偏离，否则投标无效。</w:t>
      </w:r>
    </w:p>
    <w:p w14:paraId="1A24512E">
      <w:pPr>
        <w:pStyle w:val="4"/>
        <w:keepNext/>
        <w:keepLines/>
        <w:pageBreakBefore w:val="0"/>
        <w:widowControl w:val="0"/>
        <w:kinsoku/>
        <w:wordWrap/>
        <w:overflowPunct/>
        <w:topLinePunct w:val="0"/>
        <w:autoSpaceDE/>
        <w:autoSpaceDN/>
        <w:bidi w:val="0"/>
        <w:adjustRightInd/>
        <w:snapToGrid/>
        <w:spacing w:before="0" w:after="0" w:line="360" w:lineRule="exact"/>
        <w:ind w:firstLine="210" w:firstLineChars="100"/>
        <w:textAlignment w:val="auto"/>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3.如供应商竞标产品存在侵犯他人的知识产权或者专利成果行为的，应承担相应法律责任。</w:t>
      </w:r>
    </w:p>
    <w:p w14:paraId="6D9F3049">
      <w:pPr>
        <w:pStyle w:val="4"/>
        <w:keepNext/>
        <w:keepLines/>
        <w:pageBreakBefore w:val="0"/>
        <w:widowControl w:val="0"/>
        <w:kinsoku/>
        <w:wordWrap/>
        <w:overflowPunct/>
        <w:topLinePunct w:val="0"/>
        <w:autoSpaceDE/>
        <w:autoSpaceDN/>
        <w:bidi w:val="0"/>
        <w:adjustRightInd/>
        <w:snapToGrid/>
        <w:spacing w:before="0" w:after="0" w:line="360" w:lineRule="exact"/>
        <w:ind w:firstLine="210" w:firstLineChars="100"/>
        <w:textAlignment w:val="auto"/>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4.所属行业依照《国民经济行业分类》（GB/T4754-2017）的有关规定执行。采购内容所属行业：</w:t>
      </w:r>
      <w:r>
        <w:rPr>
          <w:rFonts w:hint="eastAsia" w:ascii="宋体" w:hAnsi="宋体" w:cs="宋体"/>
          <w:b/>
          <w:bCs/>
          <w:color w:val="auto"/>
          <w:sz w:val="21"/>
          <w:szCs w:val="21"/>
          <w:highlight w:val="none"/>
          <w:u w:val="single"/>
        </w:rPr>
        <w:t>软件和信息技术服务业。</w:t>
      </w:r>
    </w:p>
    <w:p w14:paraId="4C3FB931">
      <w:pPr>
        <w:pageBreakBefore w:val="0"/>
        <w:kinsoku/>
        <w:wordWrap/>
        <w:overflowPunct/>
        <w:topLinePunct w:val="0"/>
        <w:bidi w:val="0"/>
        <w:spacing w:line="360" w:lineRule="exact"/>
        <w:ind w:firstLine="211" w:firstLineChars="100"/>
        <w:rPr>
          <w:rFonts w:hint="eastAsia" w:ascii="宋体" w:hAnsi="宋体" w:cs="宋体"/>
          <w:b w:val="0"/>
          <w:bCs w:val="0"/>
          <w:color w:val="auto"/>
          <w:sz w:val="21"/>
          <w:szCs w:val="21"/>
          <w:highlight w:val="none"/>
        </w:rPr>
      </w:pPr>
      <w:r>
        <w:rPr>
          <w:rFonts w:hint="eastAsia" w:ascii="宋体" w:hAnsi="宋体" w:cs="宋体"/>
          <w:b/>
          <w:bCs/>
          <w:color w:val="auto"/>
          <w:sz w:val="21"/>
          <w:szCs w:val="21"/>
          <w:highlight w:val="none"/>
        </w:rPr>
        <w:t>5.联合体投标：</w:t>
      </w:r>
      <w:r>
        <w:rPr>
          <w:rFonts w:hint="eastAsia" w:ascii="宋体" w:hAnsi="宋体" w:cs="宋体"/>
          <w:b w:val="0"/>
          <w:bCs w:val="0"/>
          <w:color w:val="auto"/>
          <w:sz w:val="21"/>
          <w:szCs w:val="21"/>
          <w:highlight w:val="none"/>
        </w:rPr>
        <w:t>本次招标不接受联合体投标。</w:t>
      </w:r>
    </w:p>
    <w:p w14:paraId="55F6521E">
      <w:pPr>
        <w:pageBreakBefore w:val="0"/>
        <w:kinsoku/>
        <w:wordWrap/>
        <w:overflowPunct/>
        <w:topLinePunct w:val="0"/>
        <w:bidi w:val="0"/>
        <w:spacing w:line="360" w:lineRule="exact"/>
        <w:ind w:firstLine="210" w:firstLineChars="100"/>
        <w:rPr>
          <w:rFonts w:hint="eastAsia"/>
          <w:color w:val="auto"/>
          <w:highlight w:val="none"/>
        </w:rPr>
      </w:pPr>
      <w:r>
        <w:rPr>
          <w:rFonts w:hint="eastAsia" w:ascii="宋体" w:hAnsi="宋体" w:cs="宋体"/>
          <w:b w:val="0"/>
          <w:bCs w:val="0"/>
          <w:color w:val="auto"/>
          <w:sz w:val="21"/>
          <w:szCs w:val="21"/>
          <w:highlight w:val="none"/>
          <w:lang w:val="en-US" w:eastAsia="zh-CN"/>
        </w:rPr>
        <w:t>6.</w:t>
      </w:r>
      <w:r>
        <w:rPr>
          <w:rFonts w:hint="eastAsia" w:ascii="宋体" w:hAnsi="宋体" w:eastAsia="宋体" w:cs="宋体"/>
          <w:color w:val="auto"/>
          <w:sz w:val="21"/>
          <w:szCs w:val="21"/>
          <w:highlight w:val="none"/>
        </w:rPr>
        <w:t>最高限额：</w:t>
      </w:r>
      <w:r>
        <w:rPr>
          <w:rFonts w:hint="eastAsia" w:ascii="宋体" w:hAnsi="宋体" w:eastAsia="宋体" w:cs="宋体"/>
          <w:color w:val="auto"/>
          <w:sz w:val="21"/>
          <w:szCs w:val="21"/>
          <w:highlight w:val="none"/>
          <w:lang w:val="en-US" w:eastAsia="zh-CN"/>
        </w:rPr>
        <w:t>10,990,278.00元</w:t>
      </w:r>
      <w:r>
        <w:rPr>
          <w:rFonts w:hint="eastAsia" w:ascii="宋体" w:hAnsi="宋体" w:eastAsia="宋体" w:cs="宋体"/>
          <w:color w:val="auto"/>
          <w:sz w:val="21"/>
          <w:szCs w:val="21"/>
          <w:highlight w:val="none"/>
        </w:rPr>
        <w:t>。</w:t>
      </w:r>
    </w:p>
    <w:p w14:paraId="0FA8772C">
      <w:pPr>
        <w:pStyle w:val="3"/>
        <w:keepNext/>
        <w:keepLines/>
        <w:pageBreakBefore w:val="0"/>
        <w:widowControl w:val="0"/>
        <w:tabs>
          <w:tab w:val="left" w:pos="0"/>
        </w:tabs>
        <w:kinsoku/>
        <w:wordWrap/>
        <w:overflowPunct/>
        <w:topLinePunct w:val="0"/>
        <w:autoSpaceDE w:val="0"/>
        <w:autoSpaceDN w:val="0"/>
        <w:bidi w:val="0"/>
        <w:adjustRightInd w:val="0"/>
        <w:snapToGrid/>
        <w:spacing w:before="0" w:beforeLines="0" w:after="0" w:afterLines="0" w:line="480" w:lineRule="auto"/>
        <w:ind w:firstLine="643" w:firstLineChars="200"/>
        <w:jc w:val="left"/>
        <w:textAlignment w:val="auto"/>
        <w:rPr>
          <w:rFonts w:hint="eastAsia" w:ascii="宋体" w:hAnsi="宋体" w:eastAsia="宋体" w:cs="宋体"/>
          <w:color w:val="auto"/>
          <w:sz w:val="32"/>
          <w:szCs w:val="32"/>
          <w:highlight w:val="none"/>
          <w:lang w:val="en-US" w:eastAsia="zh-CN"/>
        </w:rPr>
      </w:pPr>
      <w:bookmarkStart w:id="27" w:name="_Toc1142584103_WPSOffice_Level1"/>
      <w:bookmarkStart w:id="28" w:name="_Toc2110274242_WPSOffice_Level1"/>
      <w:r>
        <w:rPr>
          <w:rFonts w:hint="eastAsia" w:ascii="宋体" w:hAnsi="宋体" w:eastAsia="宋体" w:cs="宋体"/>
          <w:color w:val="auto"/>
          <w:sz w:val="32"/>
          <w:szCs w:val="32"/>
          <w:highlight w:val="none"/>
          <w:lang w:val="en-US" w:eastAsia="zh-CN"/>
        </w:rPr>
        <w:t>一、项目概况</w:t>
      </w:r>
      <w:bookmarkEnd w:id="27"/>
      <w:bookmarkEnd w:id="28"/>
    </w:p>
    <w:p w14:paraId="2FF21570">
      <w:pPr>
        <w:pStyle w:val="4"/>
        <w:keepNext/>
        <w:keepLines/>
        <w:pageBreakBefore w:val="0"/>
        <w:widowControl w:val="0"/>
        <w:tabs>
          <w:tab w:val="left" w:pos="0"/>
        </w:tabs>
        <w:kinsoku/>
        <w:wordWrap/>
        <w:overflowPunct/>
        <w:topLinePunct w:val="0"/>
        <w:autoSpaceDE w:val="0"/>
        <w:autoSpaceDN w:val="0"/>
        <w:bidi w:val="0"/>
        <w:adjustRightInd w:val="0"/>
        <w:snapToGrid/>
        <w:spacing w:before="0" w:after="0" w:line="360" w:lineRule="exact"/>
        <w:ind w:firstLine="482"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sz w:val="24"/>
          <w:szCs w:val="24"/>
          <w:highlight w:val="none"/>
          <w:lang w:val="en-US" w:eastAsia="zh-CN"/>
        </w:rPr>
        <w:t>项目背景：</w:t>
      </w:r>
      <w:r>
        <w:rPr>
          <w:rFonts w:hint="eastAsia" w:ascii="宋体" w:hAnsi="宋体" w:eastAsia="宋体" w:cs="宋体"/>
          <w:b w:val="0"/>
          <w:bCs w:val="0"/>
          <w:color w:val="auto"/>
          <w:sz w:val="21"/>
          <w:szCs w:val="21"/>
          <w:highlight w:val="none"/>
          <w:lang w:val="en-US" w:eastAsia="zh-CN"/>
        </w:rPr>
        <w:t>防城港市政务云实现“一网通达、一云承载”的集约化建设初步目标，不仅降低了各部门信息化建设成本，更提升了跨部门业务协同效率，成为支撑全市数字政府建设的关键底座和重要基石，为各级政务部门信息化建设提供了坚实可靠的算力、存储及平台支撑。项目以“稳基础、提效能、强安全、促创新”为核心导向，在保障业务不中断的前提下，实现现有政务云资源迁移的平稳过渡与优化升级，进一步夯实云平台基础支撑能力，确保52个政务应用系统持续稳定运行。紧扣防城港实际发展需求，持续强化政务云服务效能，重点助力政务服务智能化升级、城市治理数字化转型、跨境服务便捷化推进。此外，项目将全面契合自治区“1+N+14”政务云平台建设规划，深度融入全区政务云“物理分散、逻辑集中、整体联动”管理体系，构建上下协同、集约高效、安全可靠的政务云服务体系，为全市数字政府建设提质增效、推动政府治理能力现代化提供持续稳固的基础设施保障。</w:t>
      </w:r>
    </w:p>
    <w:p w14:paraId="0B6AA2F6">
      <w:pPr>
        <w:pStyle w:val="3"/>
        <w:keepNext/>
        <w:keepLines/>
        <w:pageBreakBefore w:val="0"/>
        <w:widowControl w:val="0"/>
        <w:tabs>
          <w:tab w:val="left" w:pos="0"/>
        </w:tabs>
        <w:kinsoku/>
        <w:wordWrap/>
        <w:overflowPunct/>
        <w:topLinePunct w:val="0"/>
        <w:autoSpaceDE w:val="0"/>
        <w:autoSpaceDN w:val="0"/>
        <w:bidi w:val="0"/>
        <w:adjustRightInd w:val="0"/>
        <w:snapToGrid/>
        <w:spacing w:before="0" w:beforeLines="0" w:after="0" w:afterLines="0" w:line="480" w:lineRule="auto"/>
        <w:ind w:firstLine="643" w:firstLineChars="200"/>
        <w:jc w:val="left"/>
        <w:textAlignment w:val="auto"/>
        <w:rPr>
          <w:rFonts w:hint="eastAsia" w:ascii="宋体" w:hAnsi="宋体" w:eastAsia="宋体" w:cs="宋体"/>
          <w:color w:val="auto"/>
          <w:sz w:val="32"/>
          <w:szCs w:val="32"/>
          <w:highlight w:val="none"/>
          <w:lang w:val="en-US" w:eastAsia="zh-CN"/>
        </w:rPr>
      </w:pPr>
      <w:bookmarkStart w:id="29" w:name="_Toc1295826660_WPSOffice_Level1"/>
      <w:bookmarkStart w:id="30" w:name="_Toc410928455_WPSOffice_Level1"/>
      <w:r>
        <w:rPr>
          <w:rFonts w:hint="eastAsia" w:ascii="宋体" w:hAnsi="宋体" w:eastAsia="宋体" w:cs="宋体"/>
          <w:color w:val="auto"/>
          <w:sz w:val="32"/>
          <w:szCs w:val="32"/>
          <w:highlight w:val="none"/>
          <w:lang w:val="en-US" w:eastAsia="zh-CN"/>
        </w:rPr>
        <w:t>二、技术要求</w:t>
      </w:r>
      <w:bookmarkEnd w:id="29"/>
      <w:bookmarkEnd w:id="30"/>
    </w:p>
    <w:p w14:paraId="3808930B">
      <w:pPr>
        <w:pStyle w:val="4"/>
        <w:keepNext/>
        <w:keepLines/>
        <w:pageBreakBefore w:val="0"/>
        <w:widowControl w:val="0"/>
        <w:tabs>
          <w:tab w:val="left" w:pos="0"/>
        </w:tabs>
        <w:kinsoku/>
        <w:wordWrap/>
        <w:overflowPunct/>
        <w:topLinePunct w:val="0"/>
        <w:autoSpaceDE w:val="0"/>
        <w:autoSpaceDN w:val="0"/>
        <w:bidi w:val="0"/>
        <w:adjustRightInd w:val="0"/>
        <w:snapToGrid/>
        <w:spacing w:before="0" w:after="0" w:line="360" w:lineRule="auto"/>
        <w:ind w:firstLine="562" w:firstLineChars="200"/>
        <w:jc w:val="left"/>
        <w:textAlignment w:val="auto"/>
        <w:rPr>
          <w:rFonts w:hint="eastAsia" w:ascii="宋体" w:hAnsi="宋体" w:eastAsia="宋体" w:cs="宋体"/>
          <w:b/>
          <w:bCs/>
          <w:color w:val="auto"/>
          <w:sz w:val="28"/>
          <w:szCs w:val="28"/>
          <w:highlight w:val="none"/>
          <w:lang w:val="en-US" w:eastAsia="zh-CN"/>
        </w:rPr>
      </w:pPr>
      <w:bookmarkStart w:id="31" w:name="_Toc410928455_WPSOffice_Level2"/>
      <w:bookmarkStart w:id="32" w:name="_Toc1821100930_WPSOffice_Level2"/>
      <w:r>
        <w:rPr>
          <w:rFonts w:hint="eastAsia" w:ascii="宋体" w:hAnsi="宋体" w:eastAsia="宋体" w:cs="宋体"/>
          <w:color w:val="auto"/>
          <w:sz w:val="28"/>
          <w:szCs w:val="28"/>
          <w:highlight w:val="none"/>
          <w:lang w:val="en-US" w:eastAsia="zh-CN"/>
        </w:rPr>
        <w:t>（一）云资源设备服务目录表</w:t>
      </w:r>
      <w:bookmarkEnd w:id="31"/>
      <w:bookmarkEnd w:id="32"/>
    </w:p>
    <w:p w14:paraId="5698FEF9">
      <w:pPr>
        <w:pStyle w:val="23"/>
        <w:pageBreakBefore w:val="0"/>
        <w:kinsoku/>
        <w:wordWrap/>
        <w:overflowPunct/>
        <w:topLinePunct w:val="0"/>
        <w:bidi w:val="0"/>
        <w:spacing w:line="240" w:lineRule="auto"/>
        <w:jc w:val="center"/>
        <w:rPr>
          <w:rFonts w:hint="eastAsia"/>
          <w:color w:val="auto"/>
          <w:highlight w:val="none"/>
          <w:lang w:val="en-US" w:eastAsia="zh-CN"/>
        </w:rPr>
      </w:pPr>
      <w:r>
        <w:rPr>
          <w:rFonts w:hint="eastAsia" w:hAnsi="宋体" w:cs="宋体"/>
          <w:b/>
          <w:bCs/>
          <w:color w:val="auto"/>
          <w:sz w:val="21"/>
          <w:szCs w:val="21"/>
          <w:highlight w:val="none"/>
          <w:lang w:val="en-US" w:eastAsia="zh-CN"/>
        </w:rPr>
        <w:t>云资源设备服务目录</w:t>
      </w:r>
      <w:r>
        <w:rPr>
          <w:rFonts w:hint="eastAsia" w:ascii="宋体" w:hAnsi="宋体" w:eastAsia="宋体" w:cs="宋体"/>
          <w:b/>
          <w:bCs/>
          <w:color w:val="auto"/>
          <w:sz w:val="21"/>
          <w:szCs w:val="21"/>
          <w:highlight w:val="none"/>
          <w:lang w:val="en-US" w:eastAsia="zh-CN"/>
        </w:rPr>
        <w:t>表</w:t>
      </w:r>
    </w:p>
    <w:tbl>
      <w:tblPr>
        <w:tblStyle w:val="20"/>
        <w:tblW w:w="97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1588"/>
        <w:gridCol w:w="3435"/>
        <w:gridCol w:w="842"/>
        <w:gridCol w:w="883"/>
        <w:gridCol w:w="720"/>
        <w:gridCol w:w="1455"/>
      </w:tblGrid>
      <w:tr w14:paraId="2D31E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52" w:type="dxa"/>
            <w:noWrap w:val="0"/>
            <w:vAlign w:val="center"/>
          </w:tcPr>
          <w:p w14:paraId="4B096B75">
            <w:pPr>
              <w:pStyle w:val="19"/>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ascii="宋体" w:hAnsi="宋体" w:cs="宋体"/>
                <w:b/>
                <w:bCs/>
                <w:color w:val="auto"/>
                <w:sz w:val="24"/>
                <w:highlight w:val="none"/>
              </w:rPr>
            </w:pPr>
            <w:r>
              <w:rPr>
                <w:rFonts w:hint="eastAsia" w:ascii="宋体" w:hAnsi="宋体" w:cs="宋体"/>
                <w:b/>
                <w:bCs/>
                <w:color w:val="auto"/>
                <w:sz w:val="24"/>
                <w:highlight w:val="none"/>
              </w:rPr>
              <w:t>序号</w:t>
            </w:r>
          </w:p>
        </w:tc>
        <w:tc>
          <w:tcPr>
            <w:tcW w:w="1588" w:type="dxa"/>
            <w:noWrap w:val="0"/>
            <w:vAlign w:val="center"/>
          </w:tcPr>
          <w:p w14:paraId="6CB0523C">
            <w:pPr>
              <w:pStyle w:val="19"/>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ascii="宋体" w:hAnsi="宋体" w:cs="宋体"/>
                <w:b/>
                <w:bCs/>
                <w:color w:val="auto"/>
                <w:sz w:val="24"/>
                <w:highlight w:val="none"/>
              </w:rPr>
            </w:pPr>
            <w:r>
              <w:rPr>
                <w:rFonts w:hint="eastAsia" w:ascii="宋体" w:hAnsi="宋体" w:cs="宋体"/>
                <w:b/>
                <w:bCs/>
                <w:color w:val="auto"/>
                <w:sz w:val="24"/>
                <w:highlight w:val="none"/>
              </w:rPr>
              <w:t>采购服务名称</w:t>
            </w:r>
          </w:p>
        </w:tc>
        <w:tc>
          <w:tcPr>
            <w:tcW w:w="3435" w:type="dxa"/>
            <w:noWrap w:val="0"/>
            <w:vAlign w:val="center"/>
          </w:tcPr>
          <w:p w14:paraId="75CB5276">
            <w:pPr>
              <w:pStyle w:val="19"/>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ascii="宋体" w:hAnsi="宋体" w:cs="宋体"/>
                <w:b/>
                <w:bCs/>
                <w:color w:val="auto"/>
                <w:sz w:val="24"/>
                <w:highlight w:val="none"/>
              </w:rPr>
            </w:pPr>
            <w:r>
              <w:rPr>
                <w:rFonts w:hint="eastAsia" w:ascii="宋体" w:hAnsi="宋体" w:cs="宋体"/>
                <w:b/>
                <w:bCs/>
                <w:color w:val="auto"/>
                <w:sz w:val="24"/>
                <w:highlight w:val="none"/>
              </w:rPr>
              <w:t>规格要求</w:t>
            </w:r>
          </w:p>
        </w:tc>
        <w:tc>
          <w:tcPr>
            <w:tcW w:w="842" w:type="dxa"/>
            <w:noWrap w:val="0"/>
            <w:vAlign w:val="center"/>
          </w:tcPr>
          <w:p w14:paraId="7CDA2725">
            <w:pPr>
              <w:pStyle w:val="19"/>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ascii="宋体" w:hAnsi="宋体" w:cs="宋体"/>
                <w:b/>
                <w:bCs/>
                <w:color w:val="auto"/>
                <w:sz w:val="24"/>
                <w:highlight w:val="none"/>
              </w:rPr>
            </w:pPr>
            <w:r>
              <w:rPr>
                <w:rFonts w:hint="eastAsia" w:ascii="宋体" w:hAnsi="宋体" w:cs="宋体"/>
                <w:b/>
                <w:bCs/>
                <w:color w:val="auto"/>
                <w:sz w:val="24"/>
                <w:highlight w:val="none"/>
              </w:rPr>
              <w:t>单位</w:t>
            </w:r>
          </w:p>
        </w:tc>
        <w:tc>
          <w:tcPr>
            <w:tcW w:w="883" w:type="dxa"/>
            <w:noWrap w:val="0"/>
            <w:vAlign w:val="center"/>
          </w:tcPr>
          <w:p w14:paraId="65A597CF">
            <w:pPr>
              <w:pStyle w:val="19"/>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ascii="宋体" w:hAnsi="宋体" w:cs="宋体"/>
                <w:b/>
                <w:bCs/>
                <w:color w:val="auto"/>
                <w:sz w:val="24"/>
                <w:highlight w:val="none"/>
              </w:rPr>
            </w:pPr>
            <w:r>
              <w:rPr>
                <w:rFonts w:hint="eastAsia" w:ascii="宋体" w:hAnsi="宋体" w:cs="宋体"/>
                <w:b/>
                <w:bCs/>
                <w:color w:val="auto"/>
                <w:sz w:val="24"/>
                <w:highlight w:val="none"/>
              </w:rPr>
              <w:t>数量</w:t>
            </w:r>
          </w:p>
        </w:tc>
        <w:tc>
          <w:tcPr>
            <w:tcW w:w="720" w:type="dxa"/>
            <w:noWrap w:val="0"/>
            <w:vAlign w:val="center"/>
          </w:tcPr>
          <w:p w14:paraId="10549BA5">
            <w:pPr>
              <w:pStyle w:val="19"/>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cs="宋体"/>
                <w:b/>
                <w:bCs/>
                <w:color w:val="auto"/>
                <w:sz w:val="24"/>
                <w:highlight w:val="none"/>
              </w:rPr>
            </w:pPr>
            <w:r>
              <w:rPr>
                <w:rFonts w:hint="eastAsia" w:ascii="宋体" w:hAnsi="宋体" w:cs="宋体"/>
                <w:b/>
                <w:bCs/>
                <w:color w:val="auto"/>
                <w:sz w:val="24"/>
                <w:highlight w:val="none"/>
              </w:rPr>
              <w:t>租用年限</w:t>
            </w:r>
          </w:p>
        </w:tc>
        <w:tc>
          <w:tcPr>
            <w:tcW w:w="1455" w:type="dxa"/>
            <w:noWrap w:val="0"/>
            <w:vAlign w:val="center"/>
          </w:tcPr>
          <w:p w14:paraId="6AC4B151">
            <w:pPr>
              <w:keepNext w:val="0"/>
              <w:keepLines w:val="0"/>
              <w:pageBreakBefore w:val="0"/>
              <w:kinsoku/>
              <w:wordWrap/>
              <w:overflowPunct/>
              <w:topLinePunct w:val="0"/>
              <w:autoSpaceDE/>
              <w:autoSpaceDN/>
              <w:bidi w:val="0"/>
              <w:adjustRightInd/>
              <w:snapToGrid/>
              <w:spacing w:line="360" w:lineRule="exact"/>
              <w:ind w:firstLine="0" w:firstLineChars="0"/>
              <w:jc w:val="both"/>
              <w:rPr>
                <w:rFonts w:hint="eastAsia" w:ascii="宋体" w:hAnsi="宋体" w:cs="宋体"/>
                <w:b/>
                <w:bCs/>
                <w:color w:val="auto"/>
                <w:sz w:val="24"/>
                <w:highlight w:val="none"/>
              </w:rPr>
            </w:pPr>
            <w:r>
              <w:rPr>
                <w:rFonts w:hint="eastAsia" w:ascii="宋体" w:hAnsi="宋体" w:cs="宋体"/>
                <w:b/>
                <w:bCs/>
                <w:color w:val="auto"/>
                <w:sz w:val="24"/>
                <w:highlight w:val="none"/>
              </w:rPr>
              <w:t>分项预算</w:t>
            </w:r>
          </w:p>
          <w:p w14:paraId="70EDBC46">
            <w:pPr>
              <w:keepNext w:val="0"/>
              <w:keepLines w:val="0"/>
              <w:pageBreakBefore w:val="0"/>
              <w:kinsoku/>
              <w:wordWrap/>
              <w:overflowPunct/>
              <w:topLinePunct w:val="0"/>
              <w:autoSpaceDE/>
              <w:autoSpaceDN/>
              <w:bidi w:val="0"/>
              <w:adjustRightInd/>
              <w:snapToGrid/>
              <w:spacing w:line="360" w:lineRule="exact"/>
              <w:ind w:firstLine="0" w:firstLineChars="0"/>
              <w:jc w:val="center"/>
              <w:rPr>
                <w:rFonts w:ascii="宋体" w:hAnsi="宋体" w:cs="宋体"/>
                <w:b/>
                <w:bCs/>
                <w:color w:val="auto"/>
                <w:sz w:val="24"/>
                <w:highlight w:val="none"/>
              </w:rPr>
            </w:pPr>
            <w:r>
              <w:rPr>
                <w:rFonts w:hint="eastAsia" w:ascii="宋体" w:hAnsi="宋体" w:cs="宋体"/>
                <w:b/>
                <w:bCs/>
                <w:color w:val="auto"/>
                <w:sz w:val="24"/>
                <w:highlight w:val="none"/>
              </w:rPr>
              <w:t>合计（元）</w:t>
            </w:r>
          </w:p>
        </w:tc>
      </w:tr>
      <w:tr w14:paraId="1F848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775" w:type="dxa"/>
            <w:gridSpan w:val="7"/>
            <w:noWrap w:val="0"/>
            <w:vAlign w:val="center"/>
          </w:tcPr>
          <w:p w14:paraId="2BF10343">
            <w:pPr>
              <w:keepNext w:val="0"/>
              <w:keepLines w:val="0"/>
              <w:pageBreakBefore w:val="0"/>
              <w:kinsoku/>
              <w:wordWrap/>
              <w:overflowPunct/>
              <w:topLinePunct w:val="0"/>
              <w:autoSpaceDE/>
              <w:autoSpaceDN/>
              <w:bidi w:val="0"/>
              <w:adjustRightInd/>
              <w:snapToGrid/>
              <w:spacing w:line="360" w:lineRule="exact"/>
              <w:ind w:firstLine="0" w:firstLineChars="0"/>
              <w:rPr>
                <w:rFonts w:hint="eastAsia" w:ascii="宋体" w:hAnsi="宋体" w:eastAsia="宋体" w:cs="宋体"/>
                <w:b/>
                <w:bCs/>
                <w:color w:val="auto"/>
                <w:kern w:val="0"/>
                <w:sz w:val="24"/>
                <w:highlight w:val="none"/>
                <w:lang w:bidi="ar"/>
              </w:rPr>
            </w:pPr>
            <w:r>
              <w:rPr>
                <w:rFonts w:hint="eastAsia" w:ascii="宋体" w:hAnsi="宋体" w:eastAsia="宋体" w:cs="宋体"/>
                <w:b/>
                <w:bCs/>
                <w:color w:val="auto"/>
                <w:kern w:val="0"/>
                <w:sz w:val="24"/>
                <w:highlight w:val="none"/>
                <w:lang w:bidi="ar"/>
              </w:rPr>
              <w:t>一、基础资源池服务（预算合计：1,430,316.96元；租用服务期：</w:t>
            </w:r>
            <w:r>
              <w:rPr>
                <w:rFonts w:hint="eastAsia" w:ascii="宋体" w:hAnsi="宋体" w:eastAsia="宋体" w:cs="宋体"/>
                <w:b/>
                <w:bCs/>
                <w:color w:val="auto"/>
                <w:kern w:val="0"/>
                <w:sz w:val="24"/>
                <w:highlight w:val="none"/>
                <w:lang w:val="en-US" w:eastAsia="zh-CN" w:bidi="ar"/>
              </w:rPr>
              <w:t>2年</w:t>
            </w:r>
            <w:r>
              <w:rPr>
                <w:rFonts w:hint="eastAsia" w:ascii="宋体" w:hAnsi="宋体" w:eastAsia="宋体" w:cs="宋体"/>
                <w:b/>
                <w:bCs/>
                <w:color w:val="auto"/>
                <w:kern w:val="0"/>
                <w:sz w:val="24"/>
                <w:highlight w:val="none"/>
                <w:lang w:bidi="ar"/>
              </w:rPr>
              <w:t>）</w:t>
            </w:r>
          </w:p>
        </w:tc>
      </w:tr>
      <w:tr w14:paraId="0C59E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52" w:type="dxa"/>
            <w:noWrap w:val="0"/>
            <w:vAlign w:val="center"/>
          </w:tcPr>
          <w:p w14:paraId="0846302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bidi="ar"/>
              </w:rPr>
              <w:t>1</w:t>
            </w:r>
          </w:p>
        </w:tc>
        <w:tc>
          <w:tcPr>
            <w:tcW w:w="1588" w:type="dxa"/>
            <w:noWrap w:val="0"/>
            <w:vAlign w:val="center"/>
          </w:tcPr>
          <w:p w14:paraId="1E59A21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bidi="ar"/>
              </w:rPr>
              <w:t>云计算</w:t>
            </w:r>
            <w:r>
              <w:rPr>
                <w:rFonts w:hint="eastAsia" w:ascii="宋体" w:hAnsi="宋体" w:eastAsia="宋体" w:cs="宋体"/>
                <w:color w:val="auto"/>
                <w:kern w:val="0"/>
                <w:sz w:val="21"/>
                <w:szCs w:val="21"/>
                <w:highlight w:val="none"/>
                <w:lang w:val="en-US" w:eastAsia="zh-CN" w:bidi="ar"/>
              </w:rPr>
              <w:t>服务</w:t>
            </w:r>
          </w:p>
        </w:tc>
        <w:tc>
          <w:tcPr>
            <w:tcW w:w="3435" w:type="dxa"/>
            <w:noWrap w:val="0"/>
            <w:vAlign w:val="center"/>
          </w:tcPr>
          <w:p w14:paraId="4502C11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color w:val="auto"/>
                <w:szCs w:val="21"/>
                <w:highlight w:val="none"/>
                <w:lang w:val="en-US" w:eastAsia="zh-CN"/>
              </w:rPr>
            </w:pPr>
            <w:r>
              <w:rPr>
                <w:rFonts w:hint="eastAsia" w:ascii="宋体" w:hAnsi="宋体" w:eastAsia="宋体" w:cs="宋体"/>
                <w:color w:val="auto"/>
                <w:kern w:val="0"/>
                <w:sz w:val="21"/>
                <w:szCs w:val="21"/>
                <w:highlight w:val="none"/>
                <w:lang w:val="en-US" w:eastAsia="zh-CN" w:bidi="ar"/>
              </w:rPr>
              <w:t>942</w:t>
            </w:r>
            <w:r>
              <w:rPr>
                <w:rFonts w:hint="eastAsia" w:ascii="宋体" w:hAnsi="宋体" w:eastAsia="宋体" w:cs="宋体"/>
                <w:color w:val="auto"/>
                <w:kern w:val="0"/>
                <w:sz w:val="21"/>
                <w:szCs w:val="21"/>
                <w:highlight w:val="none"/>
                <w:lang w:eastAsia="zh-CN" w:bidi="ar"/>
              </w:rPr>
              <w:t>核</w:t>
            </w:r>
            <w:r>
              <w:rPr>
                <w:rFonts w:hint="eastAsia" w:ascii="宋体" w:hAnsi="宋体" w:eastAsia="宋体" w:cs="宋体"/>
                <w:color w:val="auto"/>
                <w:kern w:val="0"/>
                <w:sz w:val="21"/>
                <w:szCs w:val="21"/>
                <w:highlight w:val="none"/>
                <w:lang w:val="en-US" w:eastAsia="zh-CN" w:bidi="ar"/>
              </w:rPr>
              <w:t>2734</w:t>
            </w:r>
            <w:r>
              <w:rPr>
                <w:rFonts w:hint="eastAsia" w:ascii="宋体" w:hAnsi="宋体" w:eastAsia="宋体" w:cs="宋体"/>
                <w:color w:val="auto"/>
                <w:kern w:val="0"/>
                <w:sz w:val="21"/>
                <w:szCs w:val="21"/>
                <w:highlight w:val="none"/>
                <w:lang w:bidi="ar"/>
              </w:rPr>
              <w:t>G</w:t>
            </w:r>
            <w:r>
              <w:rPr>
                <w:rFonts w:hint="eastAsia" w:ascii="宋体" w:hAnsi="宋体" w:eastAsia="宋体" w:cs="宋体"/>
                <w:color w:val="auto"/>
                <w:kern w:val="0"/>
                <w:sz w:val="21"/>
                <w:szCs w:val="21"/>
                <w:highlight w:val="none"/>
                <w:lang w:val="en-US" w:eastAsia="zh-CN" w:bidi="ar"/>
              </w:rPr>
              <w:t>B</w:t>
            </w:r>
          </w:p>
        </w:tc>
        <w:tc>
          <w:tcPr>
            <w:tcW w:w="842" w:type="dxa"/>
            <w:noWrap w:val="0"/>
            <w:vAlign w:val="center"/>
          </w:tcPr>
          <w:p w14:paraId="18280BE4">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val="en-US" w:eastAsia="zh-CN" w:bidi="ar"/>
              </w:rPr>
              <w:t>项</w:t>
            </w:r>
            <w:r>
              <w:rPr>
                <w:rFonts w:hint="eastAsia" w:ascii="宋体" w:hAnsi="宋体" w:eastAsia="宋体" w:cs="宋体"/>
                <w:color w:val="auto"/>
                <w:kern w:val="0"/>
                <w:sz w:val="21"/>
                <w:szCs w:val="21"/>
                <w:highlight w:val="none"/>
                <w:lang w:bidi="ar"/>
              </w:rPr>
              <w:t>/年</w:t>
            </w:r>
          </w:p>
        </w:tc>
        <w:tc>
          <w:tcPr>
            <w:tcW w:w="883" w:type="dxa"/>
            <w:noWrap w:val="0"/>
            <w:vAlign w:val="center"/>
          </w:tcPr>
          <w:p w14:paraId="6FD298D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kern w:val="0"/>
                <w:sz w:val="21"/>
                <w:szCs w:val="21"/>
                <w:highlight w:val="none"/>
                <w:lang w:val="en-US" w:eastAsia="zh-CN" w:bidi="ar"/>
              </w:rPr>
              <w:t>1</w:t>
            </w:r>
          </w:p>
        </w:tc>
        <w:tc>
          <w:tcPr>
            <w:tcW w:w="720" w:type="dxa"/>
            <w:noWrap w:val="0"/>
            <w:vAlign w:val="center"/>
          </w:tcPr>
          <w:p w14:paraId="6642F42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w:t>
            </w:r>
          </w:p>
        </w:tc>
        <w:tc>
          <w:tcPr>
            <w:tcW w:w="1455" w:type="dxa"/>
            <w:noWrap w:val="0"/>
            <w:vAlign w:val="center"/>
          </w:tcPr>
          <w:p w14:paraId="3EFBD8C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bidi="ar"/>
              </w:rPr>
              <w:t>1012309.04</w:t>
            </w:r>
          </w:p>
        </w:tc>
      </w:tr>
      <w:tr w14:paraId="68979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52" w:type="dxa"/>
            <w:noWrap w:val="0"/>
            <w:vAlign w:val="center"/>
          </w:tcPr>
          <w:p w14:paraId="209CB6D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val="en-US" w:eastAsia="zh-CN" w:bidi="ar"/>
              </w:rPr>
              <w:t>2</w:t>
            </w:r>
          </w:p>
        </w:tc>
        <w:tc>
          <w:tcPr>
            <w:tcW w:w="1588" w:type="dxa"/>
            <w:noWrap w:val="0"/>
            <w:vAlign w:val="center"/>
          </w:tcPr>
          <w:p w14:paraId="45AEFB2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裸金属服务</w:t>
            </w:r>
          </w:p>
        </w:tc>
        <w:tc>
          <w:tcPr>
            <w:tcW w:w="3435" w:type="dxa"/>
            <w:noWrap w:val="0"/>
            <w:vAlign w:val="center"/>
          </w:tcPr>
          <w:p w14:paraId="30A6665A">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CPU≥4*12核，主频≥2.6Ghz,256GB内存，硬盘≥2*600GB SAS</w:t>
            </w:r>
          </w:p>
        </w:tc>
        <w:tc>
          <w:tcPr>
            <w:tcW w:w="842" w:type="dxa"/>
            <w:noWrap w:val="0"/>
            <w:vAlign w:val="center"/>
          </w:tcPr>
          <w:p w14:paraId="78F2F992">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套/年</w:t>
            </w:r>
          </w:p>
        </w:tc>
        <w:tc>
          <w:tcPr>
            <w:tcW w:w="883" w:type="dxa"/>
            <w:noWrap w:val="0"/>
            <w:vAlign w:val="center"/>
          </w:tcPr>
          <w:p w14:paraId="5B3C2FB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w:t>
            </w:r>
          </w:p>
        </w:tc>
        <w:tc>
          <w:tcPr>
            <w:tcW w:w="720" w:type="dxa"/>
            <w:noWrap w:val="0"/>
            <w:vAlign w:val="center"/>
          </w:tcPr>
          <w:p w14:paraId="5C3709C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w:t>
            </w:r>
          </w:p>
        </w:tc>
        <w:tc>
          <w:tcPr>
            <w:tcW w:w="1455" w:type="dxa"/>
            <w:noWrap w:val="0"/>
            <w:vAlign w:val="center"/>
          </w:tcPr>
          <w:p w14:paraId="6E273A5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bidi="ar"/>
              </w:rPr>
              <w:t>180000.00</w:t>
            </w:r>
          </w:p>
        </w:tc>
      </w:tr>
      <w:tr w14:paraId="3F016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52" w:type="dxa"/>
            <w:noWrap w:val="0"/>
            <w:vAlign w:val="center"/>
          </w:tcPr>
          <w:p w14:paraId="45EAFAB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val="en-US" w:eastAsia="zh-CN" w:bidi="ar"/>
              </w:rPr>
              <w:t>3</w:t>
            </w:r>
          </w:p>
        </w:tc>
        <w:tc>
          <w:tcPr>
            <w:tcW w:w="1588" w:type="dxa"/>
            <w:noWrap w:val="0"/>
            <w:vAlign w:val="center"/>
          </w:tcPr>
          <w:p w14:paraId="7A7AD26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分布式普通存储</w:t>
            </w:r>
          </w:p>
        </w:tc>
        <w:tc>
          <w:tcPr>
            <w:tcW w:w="3435" w:type="dxa"/>
            <w:noWrap w:val="0"/>
            <w:vAlign w:val="center"/>
          </w:tcPr>
          <w:p w14:paraId="295B6803">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多副本（≥3）冗余设计</w:t>
            </w:r>
          </w:p>
        </w:tc>
        <w:tc>
          <w:tcPr>
            <w:tcW w:w="842" w:type="dxa"/>
            <w:noWrap w:val="0"/>
            <w:vAlign w:val="center"/>
          </w:tcPr>
          <w:p w14:paraId="63A0FDCB">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GB/年</w:t>
            </w:r>
          </w:p>
        </w:tc>
        <w:tc>
          <w:tcPr>
            <w:tcW w:w="883" w:type="dxa"/>
            <w:noWrap w:val="0"/>
            <w:vAlign w:val="center"/>
          </w:tcPr>
          <w:p w14:paraId="727F4B4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97243</w:t>
            </w:r>
          </w:p>
        </w:tc>
        <w:tc>
          <w:tcPr>
            <w:tcW w:w="720" w:type="dxa"/>
            <w:noWrap w:val="0"/>
            <w:vAlign w:val="center"/>
          </w:tcPr>
          <w:p w14:paraId="60CED7D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w:t>
            </w:r>
          </w:p>
        </w:tc>
        <w:tc>
          <w:tcPr>
            <w:tcW w:w="1455" w:type="dxa"/>
            <w:noWrap w:val="0"/>
            <w:vAlign w:val="center"/>
          </w:tcPr>
          <w:p w14:paraId="49894CE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bidi="ar"/>
              </w:rPr>
              <w:t>116691.60</w:t>
            </w:r>
          </w:p>
        </w:tc>
      </w:tr>
      <w:tr w14:paraId="55174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52" w:type="dxa"/>
            <w:noWrap w:val="0"/>
            <w:vAlign w:val="center"/>
          </w:tcPr>
          <w:p w14:paraId="6FE2346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val="en-US" w:eastAsia="zh-CN" w:bidi="ar"/>
              </w:rPr>
              <w:t>4</w:t>
            </w:r>
          </w:p>
        </w:tc>
        <w:tc>
          <w:tcPr>
            <w:tcW w:w="1588" w:type="dxa"/>
            <w:noWrap w:val="0"/>
            <w:vAlign w:val="center"/>
          </w:tcPr>
          <w:p w14:paraId="6A498D1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集中式高性能存储</w:t>
            </w:r>
          </w:p>
        </w:tc>
        <w:tc>
          <w:tcPr>
            <w:tcW w:w="3435" w:type="dxa"/>
            <w:noWrap w:val="0"/>
            <w:vAlign w:val="center"/>
          </w:tcPr>
          <w:p w14:paraId="6A14E208">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镜像双活，控制器冗余，全SSD盘或单盘&gt;3000IOPS</w:t>
            </w:r>
          </w:p>
        </w:tc>
        <w:tc>
          <w:tcPr>
            <w:tcW w:w="842" w:type="dxa"/>
            <w:noWrap w:val="0"/>
            <w:vAlign w:val="center"/>
          </w:tcPr>
          <w:p w14:paraId="4E9E3CFF">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GB/年</w:t>
            </w:r>
          </w:p>
        </w:tc>
        <w:tc>
          <w:tcPr>
            <w:tcW w:w="883" w:type="dxa"/>
            <w:noWrap w:val="0"/>
            <w:vAlign w:val="center"/>
          </w:tcPr>
          <w:p w14:paraId="18CB2DC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15387</w:t>
            </w:r>
          </w:p>
        </w:tc>
        <w:tc>
          <w:tcPr>
            <w:tcW w:w="720" w:type="dxa"/>
            <w:noWrap w:val="0"/>
            <w:vAlign w:val="center"/>
          </w:tcPr>
          <w:p w14:paraId="73DED47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w:t>
            </w:r>
          </w:p>
        </w:tc>
        <w:tc>
          <w:tcPr>
            <w:tcW w:w="1455" w:type="dxa"/>
            <w:noWrap w:val="0"/>
            <w:vAlign w:val="center"/>
          </w:tcPr>
          <w:p w14:paraId="5C2796A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bidi="ar"/>
              </w:rPr>
              <w:t>19695.36</w:t>
            </w:r>
          </w:p>
        </w:tc>
      </w:tr>
      <w:tr w14:paraId="647BA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52" w:type="dxa"/>
            <w:noWrap w:val="0"/>
            <w:vAlign w:val="center"/>
          </w:tcPr>
          <w:p w14:paraId="4A94650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val="en-US" w:eastAsia="zh-CN" w:bidi="ar"/>
              </w:rPr>
              <w:t>5</w:t>
            </w:r>
          </w:p>
        </w:tc>
        <w:tc>
          <w:tcPr>
            <w:tcW w:w="1588" w:type="dxa"/>
            <w:noWrap w:val="0"/>
            <w:vAlign w:val="center"/>
          </w:tcPr>
          <w:p w14:paraId="788F94C3">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本地备份</w:t>
            </w:r>
          </w:p>
        </w:tc>
        <w:tc>
          <w:tcPr>
            <w:tcW w:w="3435" w:type="dxa"/>
            <w:noWrap w:val="0"/>
            <w:vAlign w:val="center"/>
          </w:tcPr>
          <w:p w14:paraId="2CFB7E9D">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含整机、数据、文件备份等</w:t>
            </w:r>
          </w:p>
        </w:tc>
        <w:tc>
          <w:tcPr>
            <w:tcW w:w="842" w:type="dxa"/>
            <w:noWrap w:val="0"/>
            <w:vAlign w:val="center"/>
          </w:tcPr>
          <w:p w14:paraId="7CD65146">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GB/年</w:t>
            </w:r>
          </w:p>
        </w:tc>
        <w:tc>
          <w:tcPr>
            <w:tcW w:w="883" w:type="dxa"/>
            <w:noWrap w:val="0"/>
            <w:vAlign w:val="center"/>
          </w:tcPr>
          <w:p w14:paraId="38A3051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44584</w:t>
            </w:r>
          </w:p>
        </w:tc>
        <w:tc>
          <w:tcPr>
            <w:tcW w:w="720" w:type="dxa"/>
            <w:noWrap w:val="0"/>
            <w:vAlign w:val="center"/>
          </w:tcPr>
          <w:p w14:paraId="10AFD7B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w:t>
            </w:r>
          </w:p>
        </w:tc>
        <w:tc>
          <w:tcPr>
            <w:tcW w:w="1455" w:type="dxa"/>
            <w:noWrap w:val="0"/>
            <w:vAlign w:val="center"/>
          </w:tcPr>
          <w:p w14:paraId="1964E89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bidi="ar"/>
              </w:rPr>
              <w:t>32100.48</w:t>
            </w:r>
          </w:p>
        </w:tc>
      </w:tr>
      <w:tr w14:paraId="2EC88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52" w:type="dxa"/>
            <w:noWrap w:val="0"/>
            <w:vAlign w:val="center"/>
          </w:tcPr>
          <w:p w14:paraId="221E325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val="en-US" w:eastAsia="zh-CN" w:bidi="ar"/>
              </w:rPr>
              <w:t>6</w:t>
            </w:r>
          </w:p>
        </w:tc>
        <w:tc>
          <w:tcPr>
            <w:tcW w:w="1588" w:type="dxa"/>
            <w:noWrap w:val="0"/>
            <w:vAlign w:val="center"/>
          </w:tcPr>
          <w:p w14:paraId="768EC66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分布式高性能块存储</w:t>
            </w:r>
          </w:p>
        </w:tc>
        <w:tc>
          <w:tcPr>
            <w:tcW w:w="3435" w:type="dxa"/>
            <w:noWrap w:val="0"/>
            <w:vAlign w:val="center"/>
          </w:tcPr>
          <w:p w14:paraId="7B64B18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全SSD盘</w:t>
            </w:r>
          </w:p>
        </w:tc>
        <w:tc>
          <w:tcPr>
            <w:tcW w:w="842" w:type="dxa"/>
            <w:noWrap w:val="0"/>
            <w:vAlign w:val="center"/>
          </w:tcPr>
          <w:p w14:paraId="1097FA5A">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GB/年</w:t>
            </w:r>
          </w:p>
        </w:tc>
        <w:tc>
          <w:tcPr>
            <w:tcW w:w="883" w:type="dxa"/>
            <w:noWrap w:val="0"/>
            <w:vAlign w:val="center"/>
          </w:tcPr>
          <w:p w14:paraId="7AA0E09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4525</w:t>
            </w:r>
          </w:p>
        </w:tc>
        <w:tc>
          <w:tcPr>
            <w:tcW w:w="720" w:type="dxa"/>
            <w:noWrap w:val="0"/>
            <w:vAlign w:val="center"/>
          </w:tcPr>
          <w:p w14:paraId="6B7686A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w:t>
            </w:r>
          </w:p>
        </w:tc>
        <w:tc>
          <w:tcPr>
            <w:tcW w:w="1455" w:type="dxa"/>
            <w:noWrap w:val="0"/>
            <w:vAlign w:val="center"/>
          </w:tcPr>
          <w:p w14:paraId="3FC498D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bidi="ar"/>
              </w:rPr>
              <w:t>14118.00</w:t>
            </w:r>
          </w:p>
        </w:tc>
      </w:tr>
      <w:tr w14:paraId="22EB7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52" w:type="dxa"/>
            <w:noWrap w:val="0"/>
            <w:vAlign w:val="center"/>
          </w:tcPr>
          <w:p w14:paraId="791F4E53">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val="en-US" w:eastAsia="zh-CN" w:bidi="ar"/>
              </w:rPr>
              <w:t>7</w:t>
            </w:r>
          </w:p>
        </w:tc>
        <w:tc>
          <w:tcPr>
            <w:tcW w:w="1588" w:type="dxa"/>
            <w:noWrap w:val="0"/>
            <w:vAlign w:val="center"/>
          </w:tcPr>
          <w:p w14:paraId="19E4B7D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操作系统</w:t>
            </w:r>
          </w:p>
        </w:tc>
        <w:tc>
          <w:tcPr>
            <w:tcW w:w="3435" w:type="dxa"/>
            <w:noWrap w:val="0"/>
            <w:vAlign w:val="center"/>
          </w:tcPr>
          <w:p w14:paraId="6C95DF1F">
            <w:pPr>
              <w:pStyle w:val="9"/>
              <w:keepNext w:val="0"/>
              <w:keepLines w:val="0"/>
              <w:pageBreakBefore w:val="0"/>
              <w:kinsoku/>
              <w:wordWrap/>
              <w:overflowPunct/>
              <w:topLinePunct w:val="0"/>
              <w:autoSpaceDE/>
              <w:autoSpaceDN/>
              <w:bidi w:val="0"/>
              <w:adjustRightInd/>
              <w:snapToGrid/>
              <w:spacing w:line="360" w:lineRule="exact"/>
              <w:rPr>
                <w:rFonts w:hint="eastAsia" w:ascii="宋体" w:hAnsi="宋体" w:eastAsia="宋体" w:cs="宋体"/>
                <w:color w:val="auto"/>
                <w:kern w:val="0"/>
                <w:sz w:val="21"/>
                <w:szCs w:val="21"/>
                <w:highlight w:val="none"/>
                <w:lang w:bidi="ar"/>
              </w:rPr>
            </w:pPr>
            <w:r>
              <w:rPr>
                <w:rFonts w:hint="eastAsia" w:ascii="宋体" w:hAnsi="宋体" w:cs="宋体"/>
                <w:color w:val="auto"/>
                <w:szCs w:val="21"/>
                <w:highlight w:val="none"/>
                <w:lang w:val="en-US" w:eastAsia="zh-CN"/>
              </w:rPr>
              <w:t>支持国内外主流服务器操作系统</w:t>
            </w:r>
            <w:r>
              <w:rPr>
                <w:rFonts w:hint="eastAsia" w:ascii="宋体" w:hAnsi="宋体" w:cs="宋体"/>
                <w:color w:val="auto"/>
                <w:szCs w:val="21"/>
                <w:highlight w:val="none"/>
              </w:rPr>
              <w:t>，满足POSIX兼容标准</w:t>
            </w:r>
            <w:r>
              <w:rPr>
                <w:rFonts w:hint="eastAsia" w:ascii="宋体" w:hAnsi="宋体" w:cs="宋体"/>
                <w:color w:val="auto"/>
                <w:szCs w:val="21"/>
                <w:highlight w:val="none"/>
                <w:lang w:eastAsia="zh-CN"/>
              </w:rPr>
              <w:t>，</w:t>
            </w:r>
            <w:r>
              <w:rPr>
                <w:rFonts w:hint="eastAsia" w:ascii="宋体" w:hAnsi="宋体" w:cs="宋体"/>
                <w:color w:val="auto"/>
                <w:szCs w:val="21"/>
                <w:highlight w:val="none"/>
              </w:rPr>
              <w:t>具体数量分配根据用户实际需求决定，满足项目运行、运维要求</w:t>
            </w:r>
          </w:p>
        </w:tc>
        <w:tc>
          <w:tcPr>
            <w:tcW w:w="842" w:type="dxa"/>
            <w:noWrap w:val="0"/>
            <w:vAlign w:val="center"/>
          </w:tcPr>
          <w:p w14:paraId="46153C45">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套/年</w:t>
            </w:r>
          </w:p>
        </w:tc>
        <w:tc>
          <w:tcPr>
            <w:tcW w:w="883" w:type="dxa"/>
            <w:noWrap w:val="0"/>
            <w:vAlign w:val="center"/>
          </w:tcPr>
          <w:p w14:paraId="0C517E9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val="en-US" w:eastAsia="zh-CN" w:bidi="ar"/>
              </w:rPr>
              <w:t>169</w:t>
            </w:r>
          </w:p>
        </w:tc>
        <w:tc>
          <w:tcPr>
            <w:tcW w:w="720" w:type="dxa"/>
            <w:noWrap w:val="0"/>
            <w:vAlign w:val="center"/>
          </w:tcPr>
          <w:p w14:paraId="6B4C6EF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w:t>
            </w:r>
          </w:p>
        </w:tc>
        <w:tc>
          <w:tcPr>
            <w:tcW w:w="1455" w:type="dxa"/>
            <w:noWrap w:val="0"/>
            <w:vAlign w:val="center"/>
          </w:tcPr>
          <w:p w14:paraId="4A39669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55402.48</w:t>
            </w:r>
          </w:p>
        </w:tc>
      </w:tr>
      <w:tr w14:paraId="605BA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775" w:type="dxa"/>
            <w:gridSpan w:val="7"/>
            <w:noWrap w:val="0"/>
            <w:vAlign w:val="center"/>
          </w:tcPr>
          <w:p w14:paraId="361B2EDA">
            <w:pPr>
              <w:pStyle w:val="19"/>
              <w:keepNext w:val="0"/>
              <w:keepLines w:val="0"/>
              <w:pageBreakBefore w:val="0"/>
              <w:kinsoku/>
              <w:wordWrap/>
              <w:overflowPunct/>
              <w:topLinePunct w:val="0"/>
              <w:autoSpaceDE/>
              <w:autoSpaceDN/>
              <w:bidi w:val="0"/>
              <w:adjustRightInd/>
              <w:snapToGrid/>
              <w:spacing w:line="360" w:lineRule="exact"/>
              <w:ind w:left="0" w:leftChars="0" w:firstLine="0" w:firstLineChars="0"/>
              <w:rPr>
                <w:rFonts w:hint="eastAsia" w:ascii="宋体" w:hAnsi="宋体" w:eastAsia="宋体" w:cs="宋体"/>
                <w:b/>
                <w:bCs/>
                <w:color w:val="auto"/>
                <w:kern w:val="0"/>
                <w:sz w:val="24"/>
                <w:highlight w:val="none"/>
                <w:lang w:bidi="ar"/>
              </w:rPr>
            </w:pPr>
            <w:r>
              <w:rPr>
                <w:rFonts w:hint="eastAsia" w:ascii="宋体" w:hAnsi="宋体" w:eastAsia="宋体" w:cs="宋体"/>
                <w:b/>
                <w:bCs/>
                <w:color w:val="auto"/>
                <w:kern w:val="0"/>
                <w:sz w:val="24"/>
                <w:highlight w:val="none"/>
                <w:lang w:bidi="ar"/>
              </w:rPr>
              <w:t>二、云安全管理服务（预算合计：6,362,689.04；租用服务期：</w:t>
            </w:r>
            <w:r>
              <w:rPr>
                <w:rFonts w:hint="eastAsia" w:ascii="宋体" w:hAnsi="宋体" w:eastAsia="宋体" w:cs="宋体"/>
                <w:b/>
                <w:bCs/>
                <w:color w:val="auto"/>
                <w:kern w:val="0"/>
                <w:sz w:val="24"/>
                <w:highlight w:val="none"/>
                <w:lang w:val="en-US" w:eastAsia="zh-CN" w:bidi="ar"/>
              </w:rPr>
              <w:t>2年</w:t>
            </w:r>
            <w:r>
              <w:rPr>
                <w:rFonts w:hint="eastAsia" w:ascii="宋体" w:hAnsi="宋体" w:eastAsia="宋体" w:cs="宋体"/>
                <w:b/>
                <w:bCs/>
                <w:color w:val="auto"/>
                <w:kern w:val="0"/>
                <w:sz w:val="24"/>
                <w:highlight w:val="none"/>
                <w:lang w:bidi="ar"/>
              </w:rPr>
              <w:t>）</w:t>
            </w:r>
          </w:p>
        </w:tc>
      </w:tr>
      <w:tr w14:paraId="57141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52" w:type="dxa"/>
            <w:noWrap w:val="0"/>
            <w:vAlign w:val="center"/>
          </w:tcPr>
          <w:p w14:paraId="4E23517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1</w:t>
            </w:r>
          </w:p>
        </w:tc>
        <w:tc>
          <w:tcPr>
            <w:tcW w:w="1588" w:type="dxa"/>
            <w:noWrap w:val="0"/>
            <w:vAlign w:val="center"/>
          </w:tcPr>
          <w:p w14:paraId="41D3B64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云数据库审计</w:t>
            </w:r>
          </w:p>
        </w:tc>
        <w:tc>
          <w:tcPr>
            <w:tcW w:w="3435" w:type="dxa"/>
            <w:noWrap w:val="0"/>
            <w:vAlign w:val="center"/>
          </w:tcPr>
          <w:p w14:paraId="31482686">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以虚拟化设备形态为核心的应用安全服务，峰值处理能力≥30000（条/秒）；日志存储数量≥4亿条；</w:t>
            </w:r>
          </w:p>
        </w:tc>
        <w:tc>
          <w:tcPr>
            <w:tcW w:w="842" w:type="dxa"/>
            <w:noWrap w:val="0"/>
            <w:vAlign w:val="center"/>
          </w:tcPr>
          <w:p w14:paraId="3AB7A531">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实例/年</w:t>
            </w:r>
          </w:p>
        </w:tc>
        <w:tc>
          <w:tcPr>
            <w:tcW w:w="883" w:type="dxa"/>
            <w:noWrap w:val="0"/>
            <w:vAlign w:val="center"/>
          </w:tcPr>
          <w:p w14:paraId="4E44263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52</w:t>
            </w:r>
          </w:p>
        </w:tc>
        <w:tc>
          <w:tcPr>
            <w:tcW w:w="720" w:type="dxa"/>
            <w:noWrap w:val="0"/>
            <w:vAlign w:val="center"/>
          </w:tcPr>
          <w:p w14:paraId="29C4FDD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w:t>
            </w:r>
          </w:p>
        </w:tc>
        <w:tc>
          <w:tcPr>
            <w:tcW w:w="1455" w:type="dxa"/>
            <w:noWrap w:val="0"/>
            <w:vAlign w:val="center"/>
          </w:tcPr>
          <w:p w14:paraId="50D68AE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211224.00</w:t>
            </w:r>
          </w:p>
        </w:tc>
      </w:tr>
      <w:tr w14:paraId="73058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52" w:type="dxa"/>
            <w:noWrap w:val="0"/>
            <w:vAlign w:val="center"/>
          </w:tcPr>
          <w:p w14:paraId="0552A9A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2</w:t>
            </w:r>
          </w:p>
        </w:tc>
        <w:tc>
          <w:tcPr>
            <w:tcW w:w="1588" w:type="dxa"/>
            <w:noWrap w:val="0"/>
            <w:vAlign w:val="center"/>
          </w:tcPr>
          <w:p w14:paraId="18914C9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负载均衡</w:t>
            </w:r>
          </w:p>
        </w:tc>
        <w:tc>
          <w:tcPr>
            <w:tcW w:w="3435" w:type="dxa"/>
            <w:noWrap w:val="0"/>
            <w:vAlign w:val="center"/>
          </w:tcPr>
          <w:p w14:paraId="1FE55089">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自动分发访问流量，提升应用容错能力</w:t>
            </w:r>
          </w:p>
        </w:tc>
        <w:tc>
          <w:tcPr>
            <w:tcW w:w="842" w:type="dxa"/>
            <w:noWrap w:val="0"/>
            <w:vAlign w:val="center"/>
          </w:tcPr>
          <w:p w14:paraId="295232A7">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实例/年</w:t>
            </w:r>
          </w:p>
        </w:tc>
        <w:tc>
          <w:tcPr>
            <w:tcW w:w="883" w:type="dxa"/>
            <w:noWrap w:val="0"/>
            <w:vAlign w:val="center"/>
          </w:tcPr>
          <w:p w14:paraId="3BD5B15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28</w:t>
            </w:r>
          </w:p>
        </w:tc>
        <w:tc>
          <w:tcPr>
            <w:tcW w:w="720" w:type="dxa"/>
            <w:noWrap w:val="0"/>
            <w:vAlign w:val="center"/>
          </w:tcPr>
          <w:p w14:paraId="5951AB1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w:t>
            </w:r>
          </w:p>
        </w:tc>
        <w:tc>
          <w:tcPr>
            <w:tcW w:w="1455" w:type="dxa"/>
            <w:noWrap w:val="0"/>
            <w:vAlign w:val="center"/>
          </w:tcPr>
          <w:p w14:paraId="2976BD7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93334.08</w:t>
            </w:r>
          </w:p>
        </w:tc>
      </w:tr>
      <w:tr w14:paraId="7329C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52" w:type="dxa"/>
            <w:noWrap w:val="0"/>
            <w:vAlign w:val="center"/>
          </w:tcPr>
          <w:p w14:paraId="4AD6514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3</w:t>
            </w:r>
          </w:p>
        </w:tc>
        <w:tc>
          <w:tcPr>
            <w:tcW w:w="1588" w:type="dxa"/>
            <w:noWrap w:val="0"/>
            <w:vAlign w:val="center"/>
          </w:tcPr>
          <w:p w14:paraId="4EE22F1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VPN</w:t>
            </w:r>
          </w:p>
        </w:tc>
        <w:tc>
          <w:tcPr>
            <w:tcW w:w="3435" w:type="dxa"/>
            <w:noWrap w:val="0"/>
            <w:vAlign w:val="center"/>
          </w:tcPr>
          <w:p w14:paraId="7F0D66F0">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1000并发数，支持IPSec-VPN、SSL-VPN等协议</w:t>
            </w:r>
          </w:p>
        </w:tc>
        <w:tc>
          <w:tcPr>
            <w:tcW w:w="842" w:type="dxa"/>
            <w:noWrap w:val="0"/>
            <w:vAlign w:val="center"/>
          </w:tcPr>
          <w:p w14:paraId="03E5836B">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套/年</w:t>
            </w:r>
          </w:p>
        </w:tc>
        <w:tc>
          <w:tcPr>
            <w:tcW w:w="883" w:type="dxa"/>
            <w:noWrap w:val="0"/>
            <w:vAlign w:val="center"/>
          </w:tcPr>
          <w:p w14:paraId="4BDEDA7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54</w:t>
            </w:r>
          </w:p>
        </w:tc>
        <w:tc>
          <w:tcPr>
            <w:tcW w:w="720" w:type="dxa"/>
            <w:noWrap w:val="0"/>
            <w:vAlign w:val="center"/>
          </w:tcPr>
          <w:p w14:paraId="164B10A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w:t>
            </w:r>
          </w:p>
        </w:tc>
        <w:tc>
          <w:tcPr>
            <w:tcW w:w="1455" w:type="dxa"/>
            <w:noWrap w:val="0"/>
            <w:vAlign w:val="center"/>
          </w:tcPr>
          <w:p w14:paraId="28040E5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416586.24</w:t>
            </w:r>
          </w:p>
        </w:tc>
      </w:tr>
      <w:tr w14:paraId="3EF88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52" w:type="dxa"/>
            <w:noWrap w:val="0"/>
            <w:vAlign w:val="center"/>
          </w:tcPr>
          <w:p w14:paraId="236879F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4</w:t>
            </w:r>
          </w:p>
        </w:tc>
        <w:tc>
          <w:tcPr>
            <w:tcW w:w="1588" w:type="dxa"/>
            <w:noWrap w:val="0"/>
            <w:vAlign w:val="center"/>
          </w:tcPr>
          <w:p w14:paraId="505E945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云主机杀毒</w:t>
            </w:r>
          </w:p>
        </w:tc>
        <w:tc>
          <w:tcPr>
            <w:tcW w:w="3435" w:type="dxa"/>
            <w:noWrap w:val="0"/>
            <w:vAlign w:val="center"/>
          </w:tcPr>
          <w:p w14:paraId="05C1EE47">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提供云主机防病毒和深度防护功能</w:t>
            </w:r>
          </w:p>
        </w:tc>
        <w:tc>
          <w:tcPr>
            <w:tcW w:w="842" w:type="dxa"/>
            <w:noWrap w:val="0"/>
            <w:vAlign w:val="center"/>
          </w:tcPr>
          <w:p w14:paraId="527BCBF7">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套/年</w:t>
            </w:r>
          </w:p>
        </w:tc>
        <w:tc>
          <w:tcPr>
            <w:tcW w:w="883" w:type="dxa"/>
            <w:noWrap w:val="0"/>
            <w:vAlign w:val="center"/>
          </w:tcPr>
          <w:p w14:paraId="0B137E0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52</w:t>
            </w:r>
          </w:p>
        </w:tc>
        <w:tc>
          <w:tcPr>
            <w:tcW w:w="720" w:type="dxa"/>
            <w:noWrap w:val="0"/>
            <w:vAlign w:val="center"/>
          </w:tcPr>
          <w:p w14:paraId="07EE316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w:t>
            </w:r>
          </w:p>
        </w:tc>
        <w:tc>
          <w:tcPr>
            <w:tcW w:w="1455" w:type="dxa"/>
            <w:noWrap w:val="0"/>
            <w:vAlign w:val="center"/>
          </w:tcPr>
          <w:p w14:paraId="0C7ABDC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18408.00</w:t>
            </w:r>
          </w:p>
        </w:tc>
      </w:tr>
      <w:tr w14:paraId="717B8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52" w:type="dxa"/>
            <w:noWrap w:val="0"/>
            <w:vAlign w:val="center"/>
          </w:tcPr>
          <w:p w14:paraId="5BC8374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5</w:t>
            </w:r>
          </w:p>
        </w:tc>
        <w:tc>
          <w:tcPr>
            <w:tcW w:w="1588" w:type="dxa"/>
            <w:noWrap w:val="0"/>
            <w:vAlign w:val="center"/>
          </w:tcPr>
          <w:p w14:paraId="58F7830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云WAF</w:t>
            </w:r>
          </w:p>
        </w:tc>
        <w:tc>
          <w:tcPr>
            <w:tcW w:w="3435" w:type="dxa"/>
            <w:noWrap w:val="0"/>
            <w:vAlign w:val="center"/>
          </w:tcPr>
          <w:p w14:paraId="533FCE91">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以虚拟化设备形态为核心的应用安全服务，全面防护租户部署在云上的Web业务，可以对租户的网站进行SQL注入、跨站脚本等OWASP TOP10攻击进行防护，配置8个域名授权，新建性能1600/秒，并发性能10500/秒，防护带宽≥100M。</w:t>
            </w:r>
          </w:p>
        </w:tc>
        <w:tc>
          <w:tcPr>
            <w:tcW w:w="842" w:type="dxa"/>
            <w:noWrap w:val="0"/>
            <w:vAlign w:val="center"/>
          </w:tcPr>
          <w:p w14:paraId="19AD1C7D">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套/年</w:t>
            </w:r>
          </w:p>
        </w:tc>
        <w:tc>
          <w:tcPr>
            <w:tcW w:w="883" w:type="dxa"/>
            <w:noWrap w:val="0"/>
            <w:vAlign w:val="center"/>
          </w:tcPr>
          <w:p w14:paraId="68AEFC3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52</w:t>
            </w:r>
          </w:p>
        </w:tc>
        <w:tc>
          <w:tcPr>
            <w:tcW w:w="720" w:type="dxa"/>
            <w:noWrap w:val="0"/>
            <w:vAlign w:val="center"/>
          </w:tcPr>
          <w:p w14:paraId="5727199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w:t>
            </w:r>
          </w:p>
        </w:tc>
        <w:tc>
          <w:tcPr>
            <w:tcW w:w="1455" w:type="dxa"/>
            <w:noWrap w:val="0"/>
            <w:vAlign w:val="center"/>
          </w:tcPr>
          <w:p w14:paraId="1A78285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253864.00</w:t>
            </w:r>
          </w:p>
        </w:tc>
      </w:tr>
      <w:tr w14:paraId="6B191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52" w:type="dxa"/>
            <w:noWrap w:val="0"/>
            <w:vAlign w:val="center"/>
          </w:tcPr>
          <w:p w14:paraId="360F597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6</w:t>
            </w:r>
          </w:p>
        </w:tc>
        <w:tc>
          <w:tcPr>
            <w:tcW w:w="1588" w:type="dxa"/>
            <w:noWrap w:val="0"/>
            <w:vAlign w:val="center"/>
          </w:tcPr>
          <w:p w14:paraId="2138E1C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云日志审计</w:t>
            </w:r>
          </w:p>
        </w:tc>
        <w:tc>
          <w:tcPr>
            <w:tcW w:w="3435" w:type="dxa"/>
            <w:noWrap w:val="0"/>
            <w:vAlign w:val="center"/>
          </w:tcPr>
          <w:p w14:paraId="025372A3">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以虚拟化设备形态为核心的应用安全服务，能对网络设备、安全设备、中间件、数据库等多种类型系统进行日志收集，并提供分析、查询服务，配置5个日志源授权</w:t>
            </w:r>
          </w:p>
        </w:tc>
        <w:tc>
          <w:tcPr>
            <w:tcW w:w="842" w:type="dxa"/>
            <w:noWrap w:val="0"/>
            <w:vAlign w:val="center"/>
          </w:tcPr>
          <w:p w14:paraId="59E9B896">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套/年</w:t>
            </w:r>
          </w:p>
        </w:tc>
        <w:tc>
          <w:tcPr>
            <w:tcW w:w="883" w:type="dxa"/>
            <w:noWrap w:val="0"/>
            <w:vAlign w:val="center"/>
          </w:tcPr>
          <w:p w14:paraId="5E40F91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52</w:t>
            </w:r>
          </w:p>
        </w:tc>
        <w:tc>
          <w:tcPr>
            <w:tcW w:w="720" w:type="dxa"/>
            <w:noWrap w:val="0"/>
            <w:vAlign w:val="center"/>
          </w:tcPr>
          <w:p w14:paraId="00AB84F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w:t>
            </w:r>
          </w:p>
        </w:tc>
        <w:tc>
          <w:tcPr>
            <w:tcW w:w="1455" w:type="dxa"/>
            <w:noWrap w:val="0"/>
            <w:vAlign w:val="center"/>
          </w:tcPr>
          <w:p w14:paraId="64BFB01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119745.60</w:t>
            </w:r>
          </w:p>
        </w:tc>
      </w:tr>
      <w:tr w14:paraId="63675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52" w:type="dxa"/>
            <w:noWrap w:val="0"/>
            <w:vAlign w:val="center"/>
          </w:tcPr>
          <w:p w14:paraId="51F6D6F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7</w:t>
            </w:r>
          </w:p>
        </w:tc>
        <w:tc>
          <w:tcPr>
            <w:tcW w:w="1588" w:type="dxa"/>
            <w:noWrap w:val="0"/>
            <w:vAlign w:val="center"/>
          </w:tcPr>
          <w:p w14:paraId="2EEFEC7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网页防篡改</w:t>
            </w:r>
          </w:p>
        </w:tc>
        <w:tc>
          <w:tcPr>
            <w:tcW w:w="3435" w:type="dxa"/>
            <w:noWrap w:val="0"/>
            <w:vAlign w:val="center"/>
          </w:tcPr>
          <w:p w14:paraId="02994BD4">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采用系统底层文件过滤驱动技术，拦截与分析文件增、删、改操作，实现对网页文件的完整性检查和保护；支持</w:t>
            </w:r>
            <w:r>
              <w:rPr>
                <w:rFonts w:hint="eastAsia"/>
                <w:color w:val="auto"/>
                <w:highlight w:val="none"/>
              </w:rPr>
              <w:t>国内外主流服务器操作系统</w:t>
            </w:r>
            <w:r>
              <w:rPr>
                <w:rFonts w:hint="eastAsia" w:ascii="宋体" w:hAnsi="宋体" w:eastAsia="宋体" w:cs="宋体"/>
                <w:color w:val="auto"/>
                <w:kern w:val="0"/>
                <w:sz w:val="21"/>
                <w:szCs w:val="21"/>
                <w:highlight w:val="none"/>
                <w:lang w:bidi="ar"/>
              </w:rPr>
              <w:t>，1套支持1个OS的网页防篡改能力</w:t>
            </w:r>
          </w:p>
        </w:tc>
        <w:tc>
          <w:tcPr>
            <w:tcW w:w="842" w:type="dxa"/>
            <w:noWrap w:val="0"/>
            <w:vAlign w:val="center"/>
          </w:tcPr>
          <w:p w14:paraId="3888F88A">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套/年</w:t>
            </w:r>
          </w:p>
        </w:tc>
        <w:tc>
          <w:tcPr>
            <w:tcW w:w="883" w:type="dxa"/>
            <w:noWrap w:val="0"/>
            <w:vAlign w:val="center"/>
          </w:tcPr>
          <w:p w14:paraId="370CF77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52</w:t>
            </w:r>
          </w:p>
        </w:tc>
        <w:tc>
          <w:tcPr>
            <w:tcW w:w="720" w:type="dxa"/>
            <w:noWrap w:val="0"/>
            <w:vAlign w:val="center"/>
          </w:tcPr>
          <w:p w14:paraId="0D7EFFD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w:t>
            </w:r>
          </w:p>
        </w:tc>
        <w:tc>
          <w:tcPr>
            <w:tcW w:w="1455" w:type="dxa"/>
            <w:noWrap w:val="0"/>
            <w:vAlign w:val="center"/>
          </w:tcPr>
          <w:p w14:paraId="0629B30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160455.36</w:t>
            </w:r>
          </w:p>
        </w:tc>
      </w:tr>
      <w:tr w14:paraId="42B02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52" w:type="dxa"/>
            <w:noWrap w:val="0"/>
            <w:vAlign w:val="center"/>
          </w:tcPr>
          <w:p w14:paraId="545F01A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8</w:t>
            </w:r>
          </w:p>
        </w:tc>
        <w:tc>
          <w:tcPr>
            <w:tcW w:w="1588" w:type="dxa"/>
            <w:noWrap w:val="0"/>
            <w:vAlign w:val="center"/>
          </w:tcPr>
          <w:p w14:paraId="0A59498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云防火墙（含IPS功能）</w:t>
            </w:r>
          </w:p>
        </w:tc>
        <w:tc>
          <w:tcPr>
            <w:tcW w:w="3435" w:type="dxa"/>
            <w:noWrap w:val="0"/>
            <w:vAlign w:val="center"/>
          </w:tcPr>
          <w:p w14:paraId="3682EE1B">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以虚拟化设备形态为核心的应用安全服务，为租户内部不同安全域（东西向）、跨租户互访提供虚拟防火墙、IPS服务等功能，防护带宽≥100M。</w:t>
            </w:r>
          </w:p>
        </w:tc>
        <w:tc>
          <w:tcPr>
            <w:tcW w:w="842" w:type="dxa"/>
            <w:noWrap w:val="0"/>
            <w:vAlign w:val="center"/>
          </w:tcPr>
          <w:p w14:paraId="2CF54313">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套/年</w:t>
            </w:r>
          </w:p>
        </w:tc>
        <w:tc>
          <w:tcPr>
            <w:tcW w:w="883" w:type="dxa"/>
            <w:noWrap w:val="0"/>
            <w:vAlign w:val="center"/>
          </w:tcPr>
          <w:p w14:paraId="7862019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28</w:t>
            </w:r>
          </w:p>
        </w:tc>
        <w:tc>
          <w:tcPr>
            <w:tcW w:w="720" w:type="dxa"/>
            <w:noWrap w:val="0"/>
            <w:vAlign w:val="center"/>
          </w:tcPr>
          <w:p w14:paraId="47EB637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w:t>
            </w:r>
          </w:p>
        </w:tc>
        <w:tc>
          <w:tcPr>
            <w:tcW w:w="1455" w:type="dxa"/>
            <w:noWrap w:val="0"/>
            <w:vAlign w:val="center"/>
          </w:tcPr>
          <w:p w14:paraId="64AF160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100128.00</w:t>
            </w:r>
          </w:p>
        </w:tc>
      </w:tr>
      <w:tr w14:paraId="43E91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52" w:type="dxa"/>
            <w:noWrap w:val="0"/>
            <w:vAlign w:val="center"/>
          </w:tcPr>
          <w:p w14:paraId="6D69BFF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9</w:t>
            </w:r>
          </w:p>
        </w:tc>
        <w:tc>
          <w:tcPr>
            <w:tcW w:w="1588" w:type="dxa"/>
            <w:noWrap w:val="0"/>
            <w:vAlign w:val="center"/>
          </w:tcPr>
          <w:p w14:paraId="760C79D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堡垒机</w:t>
            </w:r>
          </w:p>
        </w:tc>
        <w:tc>
          <w:tcPr>
            <w:tcW w:w="3435" w:type="dxa"/>
            <w:noWrap w:val="0"/>
            <w:vAlign w:val="center"/>
          </w:tcPr>
          <w:p w14:paraId="5E7B1AC0">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虚拟运维审计系统，支持统一账户管理、实时监控等</w:t>
            </w:r>
          </w:p>
        </w:tc>
        <w:tc>
          <w:tcPr>
            <w:tcW w:w="842" w:type="dxa"/>
            <w:noWrap w:val="0"/>
            <w:vAlign w:val="center"/>
          </w:tcPr>
          <w:p w14:paraId="17BE792C">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资产/年</w:t>
            </w:r>
          </w:p>
        </w:tc>
        <w:tc>
          <w:tcPr>
            <w:tcW w:w="883" w:type="dxa"/>
            <w:noWrap w:val="0"/>
            <w:vAlign w:val="center"/>
          </w:tcPr>
          <w:p w14:paraId="03246AD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1110</w:t>
            </w:r>
          </w:p>
        </w:tc>
        <w:tc>
          <w:tcPr>
            <w:tcW w:w="720" w:type="dxa"/>
            <w:noWrap w:val="0"/>
            <w:vAlign w:val="center"/>
          </w:tcPr>
          <w:p w14:paraId="0125810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w:t>
            </w:r>
          </w:p>
        </w:tc>
        <w:tc>
          <w:tcPr>
            <w:tcW w:w="1455" w:type="dxa"/>
            <w:noWrap w:val="0"/>
            <w:vAlign w:val="center"/>
          </w:tcPr>
          <w:p w14:paraId="22443CA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421711.20</w:t>
            </w:r>
          </w:p>
        </w:tc>
      </w:tr>
      <w:tr w14:paraId="289D6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52" w:type="dxa"/>
            <w:noWrap w:val="0"/>
            <w:vAlign w:val="center"/>
          </w:tcPr>
          <w:p w14:paraId="649DF14A">
            <w:pPr>
              <w:keepNext w:val="0"/>
              <w:keepLines w:val="0"/>
              <w:pageBreakBefore w:val="0"/>
              <w:kinsoku/>
              <w:wordWrap/>
              <w:overflowPunct/>
              <w:topLinePunct w:val="0"/>
              <w:autoSpaceDE/>
              <w:autoSpaceDN/>
              <w:bidi w:val="0"/>
              <w:adjustRightInd/>
              <w:snapToGrid/>
              <w:spacing w:line="360" w:lineRule="exact"/>
              <w:rPr>
                <w:color w:val="auto"/>
                <w:highlight w:val="none"/>
              </w:rPr>
            </w:pPr>
          </w:p>
          <w:p w14:paraId="68EAFC51">
            <w:pPr>
              <w:keepNext w:val="0"/>
              <w:keepLines w:val="0"/>
              <w:pageBreakBefore w:val="0"/>
              <w:kinsoku/>
              <w:wordWrap/>
              <w:overflowPunct/>
              <w:topLinePunct w:val="0"/>
              <w:autoSpaceDE/>
              <w:autoSpaceDN/>
              <w:bidi w:val="0"/>
              <w:adjustRightInd/>
              <w:snapToGrid/>
              <w:spacing w:line="360" w:lineRule="exact"/>
              <w:rPr>
                <w:color w:val="auto"/>
                <w:highlight w:val="none"/>
              </w:rPr>
            </w:pPr>
          </w:p>
          <w:p w14:paraId="2813FE70">
            <w:pPr>
              <w:keepNext w:val="0"/>
              <w:keepLines w:val="0"/>
              <w:pageBreakBefore w:val="0"/>
              <w:kinsoku/>
              <w:wordWrap/>
              <w:overflowPunct/>
              <w:topLinePunct w:val="0"/>
              <w:autoSpaceDE/>
              <w:autoSpaceDN/>
              <w:bidi w:val="0"/>
              <w:adjustRightInd/>
              <w:snapToGrid/>
              <w:spacing w:line="360" w:lineRule="exact"/>
              <w:rPr>
                <w:color w:val="auto"/>
                <w:highlight w:val="none"/>
              </w:rPr>
            </w:pPr>
          </w:p>
          <w:p w14:paraId="0DF0AF72">
            <w:pPr>
              <w:keepNext w:val="0"/>
              <w:keepLines w:val="0"/>
              <w:pageBreakBefore w:val="0"/>
              <w:kinsoku/>
              <w:wordWrap/>
              <w:overflowPunct/>
              <w:topLinePunct w:val="0"/>
              <w:autoSpaceDE/>
              <w:autoSpaceDN/>
              <w:bidi w:val="0"/>
              <w:adjustRightInd/>
              <w:snapToGrid/>
              <w:spacing w:line="360" w:lineRule="exact"/>
              <w:rPr>
                <w:color w:val="auto"/>
                <w:highlight w:val="none"/>
              </w:rPr>
            </w:pPr>
          </w:p>
          <w:p w14:paraId="776FE006">
            <w:pPr>
              <w:keepNext w:val="0"/>
              <w:keepLines w:val="0"/>
              <w:pageBreakBefore w:val="0"/>
              <w:kinsoku/>
              <w:wordWrap/>
              <w:overflowPunct/>
              <w:topLinePunct w:val="0"/>
              <w:autoSpaceDE/>
              <w:autoSpaceDN/>
              <w:bidi w:val="0"/>
              <w:adjustRightInd/>
              <w:snapToGrid/>
              <w:spacing w:line="360" w:lineRule="exact"/>
              <w:rPr>
                <w:color w:val="auto"/>
                <w:highlight w:val="none"/>
              </w:rPr>
            </w:pPr>
          </w:p>
          <w:p w14:paraId="50167364">
            <w:pPr>
              <w:keepNext w:val="0"/>
              <w:keepLines w:val="0"/>
              <w:pageBreakBefore w:val="0"/>
              <w:widowControl/>
              <w:kinsoku/>
              <w:wordWrap/>
              <w:overflowPunct/>
              <w:topLinePunct w:val="0"/>
              <w:autoSpaceDE/>
              <w:autoSpaceDN/>
              <w:bidi w:val="0"/>
              <w:adjustRightInd/>
              <w:snapToGrid/>
              <w:spacing w:line="360" w:lineRule="exact"/>
              <w:ind w:firstLine="210" w:firstLineChars="100"/>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10</w:t>
            </w:r>
          </w:p>
        </w:tc>
        <w:tc>
          <w:tcPr>
            <w:tcW w:w="1588" w:type="dxa"/>
            <w:noWrap w:val="0"/>
            <w:vAlign w:val="center"/>
          </w:tcPr>
          <w:p w14:paraId="43D96509">
            <w:pPr>
              <w:keepNext w:val="0"/>
              <w:keepLines w:val="0"/>
              <w:pageBreakBefore w:val="0"/>
              <w:kinsoku/>
              <w:wordWrap/>
              <w:overflowPunct/>
              <w:topLinePunct w:val="0"/>
              <w:autoSpaceDE/>
              <w:autoSpaceDN/>
              <w:bidi w:val="0"/>
              <w:adjustRightInd/>
              <w:snapToGrid/>
              <w:spacing w:line="360" w:lineRule="exact"/>
              <w:rPr>
                <w:color w:val="auto"/>
                <w:highlight w:val="none"/>
              </w:rPr>
            </w:pPr>
          </w:p>
          <w:p w14:paraId="0E63B673">
            <w:pPr>
              <w:keepNext w:val="0"/>
              <w:keepLines w:val="0"/>
              <w:pageBreakBefore w:val="0"/>
              <w:kinsoku/>
              <w:wordWrap/>
              <w:overflowPunct/>
              <w:topLinePunct w:val="0"/>
              <w:autoSpaceDE/>
              <w:autoSpaceDN/>
              <w:bidi w:val="0"/>
              <w:adjustRightInd/>
              <w:snapToGrid/>
              <w:spacing w:line="360" w:lineRule="exact"/>
              <w:rPr>
                <w:color w:val="auto"/>
                <w:highlight w:val="none"/>
              </w:rPr>
            </w:pPr>
          </w:p>
          <w:p w14:paraId="7DB893F4">
            <w:pPr>
              <w:keepNext w:val="0"/>
              <w:keepLines w:val="0"/>
              <w:pageBreakBefore w:val="0"/>
              <w:kinsoku/>
              <w:wordWrap/>
              <w:overflowPunct/>
              <w:topLinePunct w:val="0"/>
              <w:autoSpaceDE/>
              <w:autoSpaceDN/>
              <w:bidi w:val="0"/>
              <w:adjustRightInd/>
              <w:snapToGrid/>
              <w:spacing w:line="360" w:lineRule="exact"/>
              <w:rPr>
                <w:color w:val="auto"/>
                <w:highlight w:val="none"/>
              </w:rPr>
            </w:pPr>
          </w:p>
          <w:p w14:paraId="5C78FBDA">
            <w:pPr>
              <w:keepNext w:val="0"/>
              <w:keepLines w:val="0"/>
              <w:pageBreakBefore w:val="0"/>
              <w:kinsoku/>
              <w:wordWrap/>
              <w:overflowPunct/>
              <w:topLinePunct w:val="0"/>
              <w:autoSpaceDE/>
              <w:autoSpaceDN/>
              <w:bidi w:val="0"/>
              <w:adjustRightInd/>
              <w:snapToGrid/>
              <w:spacing w:line="360" w:lineRule="exact"/>
              <w:rPr>
                <w:color w:val="auto"/>
                <w:highlight w:val="none"/>
              </w:rPr>
            </w:pPr>
          </w:p>
          <w:p w14:paraId="4731BA7E">
            <w:pPr>
              <w:keepNext w:val="0"/>
              <w:keepLines w:val="0"/>
              <w:pageBreakBefore w:val="0"/>
              <w:kinsoku/>
              <w:wordWrap/>
              <w:overflowPunct/>
              <w:topLinePunct w:val="0"/>
              <w:autoSpaceDE/>
              <w:autoSpaceDN/>
              <w:bidi w:val="0"/>
              <w:adjustRightInd/>
              <w:snapToGrid/>
              <w:spacing w:line="360" w:lineRule="exact"/>
              <w:rPr>
                <w:color w:val="auto"/>
                <w:highlight w:val="none"/>
              </w:rPr>
            </w:pPr>
          </w:p>
          <w:p w14:paraId="1F3145A3">
            <w:pPr>
              <w:keepNext w:val="0"/>
              <w:keepLines w:val="0"/>
              <w:pageBreakBefore w:val="0"/>
              <w:kinsoku/>
              <w:wordWrap/>
              <w:overflowPunct/>
              <w:topLinePunct w:val="0"/>
              <w:autoSpaceDE/>
              <w:autoSpaceDN/>
              <w:bidi w:val="0"/>
              <w:adjustRightInd/>
              <w:snapToGrid/>
              <w:spacing w:line="360" w:lineRule="exact"/>
              <w:rPr>
                <w:color w:val="auto"/>
                <w:highlight w:val="none"/>
              </w:rPr>
            </w:pPr>
          </w:p>
          <w:p w14:paraId="27254F5A">
            <w:pPr>
              <w:keepNext w:val="0"/>
              <w:keepLines w:val="0"/>
              <w:pageBreakBefore w:val="0"/>
              <w:kinsoku/>
              <w:wordWrap/>
              <w:overflowPunct/>
              <w:topLinePunct w:val="0"/>
              <w:autoSpaceDE/>
              <w:autoSpaceDN/>
              <w:bidi w:val="0"/>
              <w:adjustRightInd/>
              <w:snapToGrid/>
              <w:spacing w:line="360" w:lineRule="exact"/>
              <w:rPr>
                <w:color w:val="auto"/>
                <w:highlight w:val="none"/>
              </w:rPr>
            </w:pPr>
          </w:p>
          <w:p w14:paraId="359699A5">
            <w:pPr>
              <w:keepNext w:val="0"/>
              <w:keepLines w:val="0"/>
              <w:pageBreakBefore w:val="0"/>
              <w:kinsoku/>
              <w:wordWrap/>
              <w:overflowPunct/>
              <w:topLinePunct w:val="0"/>
              <w:autoSpaceDE/>
              <w:autoSpaceDN/>
              <w:bidi w:val="0"/>
              <w:adjustRightInd/>
              <w:snapToGrid/>
              <w:spacing w:line="360" w:lineRule="exact"/>
              <w:rPr>
                <w:color w:val="auto"/>
                <w:highlight w:val="none"/>
              </w:rPr>
            </w:pPr>
          </w:p>
          <w:p w14:paraId="62E37E12">
            <w:pPr>
              <w:keepNext w:val="0"/>
              <w:keepLines w:val="0"/>
              <w:pageBreakBefore w:val="0"/>
              <w:kinsoku/>
              <w:wordWrap/>
              <w:overflowPunct/>
              <w:topLinePunct w:val="0"/>
              <w:autoSpaceDE/>
              <w:autoSpaceDN/>
              <w:bidi w:val="0"/>
              <w:adjustRightInd/>
              <w:snapToGrid/>
              <w:spacing w:line="360" w:lineRule="exact"/>
              <w:rPr>
                <w:color w:val="auto"/>
                <w:highlight w:val="none"/>
              </w:rPr>
            </w:pPr>
          </w:p>
          <w:p w14:paraId="56DA4174">
            <w:pPr>
              <w:keepNext w:val="0"/>
              <w:keepLines w:val="0"/>
              <w:pageBreakBefore w:val="0"/>
              <w:kinsoku/>
              <w:wordWrap/>
              <w:overflowPunct/>
              <w:topLinePunct w:val="0"/>
              <w:autoSpaceDE/>
              <w:autoSpaceDN/>
              <w:bidi w:val="0"/>
              <w:adjustRightInd/>
              <w:snapToGrid/>
              <w:spacing w:line="360" w:lineRule="exact"/>
              <w:rPr>
                <w:color w:val="auto"/>
                <w:highlight w:val="none"/>
              </w:rPr>
            </w:pPr>
          </w:p>
          <w:p w14:paraId="30077F8F">
            <w:pPr>
              <w:keepNext w:val="0"/>
              <w:keepLines w:val="0"/>
              <w:pageBreakBefore w:val="0"/>
              <w:kinsoku/>
              <w:wordWrap/>
              <w:overflowPunct/>
              <w:topLinePunct w:val="0"/>
              <w:autoSpaceDE/>
              <w:autoSpaceDN/>
              <w:bidi w:val="0"/>
              <w:adjustRightInd/>
              <w:snapToGrid/>
              <w:spacing w:line="360" w:lineRule="exact"/>
              <w:rPr>
                <w:color w:val="auto"/>
                <w:highlight w:val="none"/>
              </w:rPr>
            </w:pPr>
          </w:p>
          <w:p w14:paraId="3118EE9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独立云数字签名资源</w:t>
            </w:r>
          </w:p>
        </w:tc>
        <w:tc>
          <w:tcPr>
            <w:tcW w:w="3435" w:type="dxa"/>
            <w:noWrap w:val="0"/>
            <w:vAlign w:val="center"/>
          </w:tcPr>
          <w:p w14:paraId="7CA1DBDB">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独立使用，以虚拟化设备形态云数字签名设备，由云数字签名设备提供基于数字证书的签名及签名验证服务，可单独管理本单位身份的数字证书。</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非对称算法：SM2、RSA算法；摘要算法：SM3、MD5、SHA1、SHA256、SHA224、SHA384、SHA512；加密算法：SM4、3DES、AES、DES；</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支持任务管理功能，可以制作数字签名，支持数据原文制作数字签名，签名结构符合PKCS#7标准；支持针对大数据量（至少1GB以上）的数字签名方法；可以验证数字签名，支持验证标准的PKCS#7签名结果，验证签名过程中，对制作签名证书进行完整验证，包括信任域、有效期、证书状态；</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提供PKCS#1/ PKCS#7 Attach/ PKCS#7Detach等多种格式的数字签名和验证功能；实现对各类电子数据的数据加密功能，支持非对称加密、对称加密以及数字信封加密 ；提供证书吊销列表（CRL）下载功能和证书有效性验证功能，自动完成按CRL发布时间和定时更新等多种方式进行CRL更新；</w:t>
            </w:r>
          </w:p>
        </w:tc>
        <w:tc>
          <w:tcPr>
            <w:tcW w:w="842" w:type="dxa"/>
            <w:noWrap w:val="0"/>
            <w:vAlign w:val="center"/>
          </w:tcPr>
          <w:p w14:paraId="49081BCF">
            <w:pPr>
              <w:keepNext w:val="0"/>
              <w:keepLines w:val="0"/>
              <w:pageBreakBefore w:val="0"/>
              <w:kinsoku/>
              <w:wordWrap/>
              <w:overflowPunct/>
              <w:topLinePunct w:val="0"/>
              <w:autoSpaceDE/>
              <w:autoSpaceDN/>
              <w:bidi w:val="0"/>
              <w:adjustRightInd/>
              <w:snapToGrid/>
              <w:spacing w:line="360" w:lineRule="exact"/>
              <w:rPr>
                <w:color w:val="auto"/>
                <w:highlight w:val="none"/>
              </w:rPr>
            </w:pPr>
          </w:p>
          <w:p w14:paraId="6B0FE997">
            <w:pPr>
              <w:keepNext w:val="0"/>
              <w:keepLines w:val="0"/>
              <w:pageBreakBefore w:val="0"/>
              <w:kinsoku/>
              <w:wordWrap/>
              <w:overflowPunct/>
              <w:topLinePunct w:val="0"/>
              <w:autoSpaceDE/>
              <w:autoSpaceDN/>
              <w:bidi w:val="0"/>
              <w:adjustRightInd/>
              <w:snapToGrid/>
              <w:spacing w:line="360" w:lineRule="exact"/>
              <w:rPr>
                <w:color w:val="auto"/>
                <w:highlight w:val="none"/>
              </w:rPr>
            </w:pPr>
          </w:p>
          <w:p w14:paraId="5F06D7D6">
            <w:pPr>
              <w:keepNext w:val="0"/>
              <w:keepLines w:val="0"/>
              <w:pageBreakBefore w:val="0"/>
              <w:kinsoku/>
              <w:wordWrap/>
              <w:overflowPunct/>
              <w:topLinePunct w:val="0"/>
              <w:autoSpaceDE/>
              <w:autoSpaceDN/>
              <w:bidi w:val="0"/>
              <w:adjustRightInd/>
              <w:snapToGrid/>
              <w:spacing w:line="360" w:lineRule="exact"/>
              <w:rPr>
                <w:color w:val="auto"/>
                <w:highlight w:val="none"/>
              </w:rPr>
            </w:pPr>
          </w:p>
          <w:p w14:paraId="4B7ABEA5">
            <w:pPr>
              <w:keepNext w:val="0"/>
              <w:keepLines w:val="0"/>
              <w:pageBreakBefore w:val="0"/>
              <w:kinsoku/>
              <w:wordWrap/>
              <w:overflowPunct/>
              <w:topLinePunct w:val="0"/>
              <w:autoSpaceDE/>
              <w:autoSpaceDN/>
              <w:bidi w:val="0"/>
              <w:adjustRightInd/>
              <w:snapToGrid/>
              <w:spacing w:line="360" w:lineRule="exact"/>
              <w:rPr>
                <w:color w:val="auto"/>
                <w:highlight w:val="none"/>
              </w:rPr>
            </w:pPr>
          </w:p>
          <w:p w14:paraId="4D5CDE79">
            <w:pPr>
              <w:keepNext w:val="0"/>
              <w:keepLines w:val="0"/>
              <w:pageBreakBefore w:val="0"/>
              <w:kinsoku/>
              <w:wordWrap/>
              <w:overflowPunct/>
              <w:topLinePunct w:val="0"/>
              <w:autoSpaceDE/>
              <w:autoSpaceDN/>
              <w:bidi w:val="0"/>
              <w:adjustRightInd/>
              <w:snapToGrid/>
              <w:spacing w:line="360" w:lineRule="exact"/>
              <w:rPr>
                <w:color w:val="auto"/>
                <w:highlight w:val="none"/>
              </w:rPr>
            </w:pPr>
          </w:p>
          <w:p w14:paraId="1A236092">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套/年</w:t>
            </w:r>
          </w:p>
        </w:tc>
        <w:tc>
          <w:tcPr>
            <w:tcW w:w="883" w:type="dxa"/>
            <w:noWrap w:val="0"/>
            <w:vAlign w:val="center"/>
          </w:tcPr>
          <w:p w14:paraId="46DC556D">
            <w:pPr>
              <w:keepNext w:val="0"/>
              <w:keepLines w:val="0"/>
              <w:pageBreakBefore w:val="0"/>
              <w:kinsoku/>
              <w:wordWrap/>
              <w:overflowPunct/>
              <w:topLinePunct w:val="0"/>
              <w:autoSpaceDE/>
              <w:autoSpaceDN/>
              <w:bidi w:val="0"/>
              <w:adjustRightInd/>
              <w:snapToGrid/>
              <w:spacing w:line="360" w:lineRule="exact"/>
              <w:rPr>
                <w:color w:val="auto"/>
                <w:highlight w:val="none"/>
              </w:rPr>
            </w:pPr>
          </w:p>
          <w:p w14:paraId="7853113C">
            <w:pPr>
              <w:keepNext w:val="0"/>
              <w:keepLines w:val="0"/>
              <w:pageBreakBefore w:val="0"/>
              <w:kinsoku/>
              <w:wordWrap/>
              <w:overflowPunct/>
              <w:topLinePunct w:val="0"/>
              <w:autoSpaceDE/>
              <w:autoSpaceDN/>
              <w:bidi w:val="0"/>
              <w:adjustRightInd/>
              <w:snapToGrid/>
              <w:spacing w:line="360" w:lineRule="exact"/>
              <w:rPr>
                <w:color w:val="auto"/>
                <w:highlight w:val="none"/>
              </w:rPr>
            </w:pPr>
          </w:p>
          <w:p w14:paraId="694D2654">
            <w:pPr>
              <w:keepNext w:val="0"/>
              <w:keepLines w:val="0"/>
              <w:pageBreakBefore w:val="0"/>
              <w:kinsoku/>
              <w:wordWrap/>
              <w:overflowPunct/>
              <w:topLinePunct w:val="0"/>
              <w:autoSpaceDE/>
              <w:autoSpaceDN/>
              <w:bidi w:val="0"/>
              <w:adjustRightInd/>
              <w:snapToGrid/>
              <w:spacing w:line="360" w:lineRule="exact"/>
              <w:rPr>
                <w:color w:val="auto"/>
                <w:highlight w:val="none"/>
              </w:rPr>
            </w:pPr>
          </w:p>
          <w:p w14:paraId="190801A8">
            <w:pPr>
              <w:keepNext w:val="0"/>
              <w:keepLines w:val="0"/>
              <w:pageBreakBefore w:val="0"/>
              <w:kinsoku/>
              <w:wordWrap/>
              <w:overflowPunct/>
              <w:topLinePunct w:val="0"/>
              <w:autoSpaceDE/>
              <w:autoSpaceDN/>
              <w:bidi w:val="0"/>
              <w:adjustRightInd/>
              <w:snapToGrid/>
              <w:spacing w:line="360" w:lineRule="exact"/>
              <w:rPr>
                <w:color w:val="auto"/>
                <w:highlight w:val="none"/>
              </w:rPr>
            </w:pPr>
          </w:p>
          <w:p w14:paraId="7345D3C0">
            <w:pPr>
              <w:keepNext w:val="0"/>
              <w:keepLines w:val="0"/>
              <w:pageBreakBefore w:val="0"/>
              <w:kinsoku/>
              <w:wordWrap/>
              <w:overflowPunct/>
              <w:topLinePunct w:val="0"/>
              <w:autoSpaceDE/>
              <w:autoSpaceDN/>
              <w:bidi w:val="0"/>
              <w:adjustRightInd/>
              <w:snapToGrid/>
              <w:spacing w:line="360" w:lineRule="exact"/>
              <w:rPr>
                <w:color w:val="auto"/>
                <w:highlight w:val="none"/>
              </w:rPr>
            </w:pPr>
          </w:p>
          <w:p w14:paraId="5DDEB04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28</w:t>
            </w:r>
          </w:p>
        </w:tc>
        <w:tc>
          <w:tcPr>
            <w:tcW w:w="720" w:type="dxa"/>
            <w:noWrap w:val="0"/>
            <w:vAlign w:val="center"/>
          </w:tcPr>
          <w:p w14:paraId="46270B1C">
            <w:pPr>
              <w:keepNext w:val="0"/>
              <w:keepLines w:val="0"/>
              <w:pageBreakBefore w:val="0"/>
              <w:kinsoku/>
              <w:wordWrap/>
              <w:overflowPunct/>
              <w:topLinePunct w:val="0"/>
              <w:autoSpaceDE/>
              <w:autoSpaceDN/>
              <w:bidi w:val="0"/>
              <w:adjustRightInd/>
              <w:snapToGrid/>
              <w:spacing w:line="360" w:lineRule="exact"/>
              <w:rPr>
                <w:color w:val="auto"/>
                <w:highlight w:val="none"/>
              </w:rPr>
            </w:pPr>
          </w:p>
          <w:p w14:paraId="3C909C3E">
            <w:pPr>
              <w:keepNext w:val="0"/>
              <w:keepLines w:val="0"/>
              <w:pageBreakBefore w:val="0"/>
              <w:kinsoku/>
              <w:wordWrap/>
              <w:overflowPunct/>
              <w:topLinePunct w:val="0"/>
              <w:autoSpaceDE/>
              <w:autoSpaceDN/>
              <w:bidi w:val="0"/>
              <w:adjustRightInd/>
              <w:snapToGrid/>
              <w:spacing w:line="360" w:lineRule="exact"/>
              <w:rPr>
                <w:color w:val="auto"/>
                <w:highlight w:val="none"/>
              </w:rPr>
            </w:pPr>
          </w:p>
          <w:p w14:paraId="0DDF7530">
            <w:pPr>
              <w:keepNext w:val="0"/>
              <w:keepLines w:val="0"/>
              <w:pageBreakBefore w:val="0"/>
              <w:kinsoku/>
              <w:wordWrap/>
              <w:overflowPunct/>
              <w:topLinePunct w:val="0"/>
              <w:autoSpaceDE/>
              <w:autoSpaceDN/>
              <w:bidi w:val="0"/>
              <w:adjustRightInd/>
              <w:snapToGrid/>
              <w:spacing w:line="360" w:lineRule="exact"/>
              <w:rPr>
                <w:color w:val="auto"/>
                <w:highlight w:val="none"/>
              </w:rPr>
            </w:pPr>
          </w:p>
          <w:p w14:paraId="65B42EDB">
            <w:pPr>
              <w:keepNext w:val="0"/>
              <w:keepLines w:val="0"/>
              <w:pageBreakBefore w:val="0"/>
              <w:kinsoku/>
              <w:wordWrap/>
              <w:overflowPunct/>
              <w:topLinePunct w:val="0"/>
              <w:autoSpaceDE/>
              <w:autoSpaceDN/>
              <w:bidi w:val="0"/>
              <w:adjustRightInd/>
              <w:snapToGrid/>
              <w:spacing w:line="360" w:lineRule="exact"/>
              <w:rPr>
                <w:color w:val="auto"/>
                <w:highlight w:val="none"/>
              </w:rPr>
            </w:pPr>
          </w:p>
          <w:p w14:paraId="715E95E7">
            <w:pPr>
              <w:keepNext w:val="0"/>
              <w:keepLines w:val="0"/>
              <w:pageBreakBefore w:val="0"/>
              <w:kinsoku/>
              <w:wordWrap/>
              <w:overflowPunct/>
              <w:topLinePunct w:val="0"/>
              <w:autoSpaceDE/>
              <w:autoSpaceDN/>
              <w:bidi w:val="0"/>
              <w:adjustRightInd/>
              <w:snapToGrid/>
              <w:spacing w:line="360" w:lineRule="exact"/>
              <w:rPr>
                <w:color w:val="auto"/>
                <w:highlight w:val="none"/>
              </w:rPr>
            </w:pPr>
          </w:p>
          <w:p w14:paraId="2687F0A7">
            <w:pPr>
              <w:keepNext w:val="0"/>
              <w:keepLines w:val="0"/>
              <w:pageBreakBefore w:val="0"/>
              <w:widowControl/>
              <w:kinsoku/>
              <w:wordWrap/>
              <w:overflowPunct/>
              <w:topLinePunct w:val="0"/>
              <w:autoSpaceDE/>
              <w:autoSpaceDN/>
              <w:bidi w:val="0"/>
              <w:adjustRightInd/>
              <w:snapToGrid/>
              <w:spacing w:line="360" w:lineRule="exact"/>
              <w:ind w:firstLine="210" w:firstLineChars="100"/>
              <w:textAlignment w:val="center"/>
              <w:rPr>
                <w:rFonts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w:t>
            </w:r>
          </w:p>
        </w:tc>
        <w:tc>
          <w:tcPr>
            <w:tcW w:w="1455" w:type="dxa"/>
            <w:noWrap w:val="0"/>
            <w:vAlign w:val="center"/>
          </w:tcPr>
          <w:p w14:paraId="6EA3E480">
            <w:pPr>
              <w:keepNext w:val="0"/>
              <w:keepLines w:val="0"/>
              <w:pageBreakBefore w:val="0"/>
              <w:kinsoku/>
              <w:wordWrap/>
              <w:overflowPunct/>
              <w:topLinePunct w:val="0"/>
              <w:autoSpaceDE/>
              <w:autoSpaceDN/>
              <w:bidi w:val="0"/>
              <w:adjustRightInd/>
              <w:snapToGrid/>
              <w:spacing w:line="360" w:lineRule="exact"/>
              <w:rPr>
                <w:color w:val="auto"/>
                <w:highlight w:val="none"/>
              </w:rPr>
            </w:pPr>
          </w:p>
          <w:p w14:paraId="08FA53B9">
            <w:pPr>
              <w:keepNext w:val="0"/>
              <w:keepLines w:val="0"/>
              <w:pageBreakBefore w:val="0"/>
              <w:kinsoku/>
              <w:wordWrap/>
              <w:overflowPunct/>
              <w:topLinePunct w:val="0"/>
              <w:autoSpaceDE/>
              <w:autoSpaceDN/>
              <w:bidi w:val="0"/>
              <w:adjustRightInd/>
              <w:snapToGrid/>
              <w:spacing w:line="360" w:lineRule="exact"/>
              <w:rPr>
                <w:color w:val="auto"/>
                <w:highlight w:val="none"/>
              </w:rPr>
            </w:pPr>
          </w:p>
          <w:p w14:paraId="7CC27CC0">
            <w:pPr>
              <w:keepNext w:val="0"/>
              <w:keepLines w:val="0"/>
              <w:pageBreakBefore w:val="0"/>
              <w:kinsoku/>
              <w:wordWrap/>
              <w:overflowPunct/>
              <w:topLinePunct w:val="0"/>
              <w:autoSpaceDE/>
              <w:autoSpaceDN/>
              <w:bidi w:val="0"/>
              <w:adjustRightInd/>
              <w:snapToGrid/>
              <w:spacing w:line="360" w:lineRule="exact"/>
              <w:rPr>
                <w:color w:val="auto"/>
                <w:highlight w:val="none"/>
              </w:rPr>
            </w:pPr>
          </w:p>
          <w:p w14:paraId="1C057C5D">
            <w:pPr>
              <w:keepNext w:val="0"/>
              <w:keepLines w:val="0"/>
              <w:pageBreakBefore w:val="0"/>
              <w:kinsoku/>
              <w:wordWrap/>
              <w:overflowPunct/>
              <w:topLinePunct w:val="0"/>
              <w:autoSpaceDE/>
              <w:autoSpaceDN/>
              <w:bidi w:val="0"/>
              <w:adjustRightInd/>
              <w:snapToGrid/>
              <w:spacing w:line="360" w:lineRule="exact"/>
              <w:rPr>
                <w:color w:val="auto"/>
                <w:highlight w:val="none"/>
              </w:rPr>
            </w:pPr>
          </w:p>
          <w:p w14:paraId="729DDA5B">
            <w:pPr>
              <w:keepNext w:val="0"/>
              <w:keepLines w:val="0"/>
              <w:pageBreakBefore w:val="0"/>
              <w:kinsoku/>
              <w:wordWrap/>
              <w:overflowPunct/>
              <w:topLinePunct w:val="0"/>
              <w:autoSpaceDE/>
              <w:autoSpaceDN/>
              <w:bidi w:val="0"/>
              <w:adjustRightInd/>
              <w:snapToGrid/>
              <w:spacing w:line="360" w:lineRule="exact"/>
              <w:rPr>
                <w:color w:val="auto"/>
                <w:highlight w:val="none"/>
              </w:rPr>
            </w:pPr>
          </w:p>
          <w:p w14:paraId="4E0A6E5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1311352.56</w:t>
            </w:r>
          </w:p>
        </w:tc>
      </w:tr>
      <w:tr w14:paraId="3BE1D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52" w:type="dxa"/>
            <w:noWrap w:val="0"/>
            <w:vAlign w:val="center"/>
          </w:tcPr>
          <w:p w14:paraId="5ECEF973">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11</w:t>
            </w:r>
          </w:p>
        </w:tc>
        <w:tc>
          <w:tcPr>
            <w:tcW w:w="1588" w:type="dxa"/>
            <w:noWrap w:val="0"/>
            <w:vAlign w:val="center"/>
          </w:tcPr>
          <w:p w14:paraId="55B4FC3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统一密码服务</w:t>
            </w:r>
          </w:p>
        </w:tc>
        <w:tc>
          <w:tcPr>
            <w:tcW w:w="3435" w:type="dxa"/>
            <w:noWrap w:val="0"/>
            <w:vAlign w:val="center"/>
          </w:tcPr>
          <w:p w14:paraId="43BCDA97">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以RESTful应用接口形式统一提供：密钥管理服务、基于数字证书的身份认证服务、数据加解密服务、数据签验服务、基于数字证书的数据签验服务、时间戳服务等。支持RSA算法和SM2/3/4国产密码算法。实现对各类密码服务的统一封装，为业务应用提供全面、规范和高效的密码安全服务。</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提供对称密钥和非对称密钥的产生、更新、停用、启用、失信、查询等密钥全生命周期的密钥管理服务。提供对称密钥加解密、消息鉴别码产生和验证、数据摘要、随机数生成、非对称加解密、非对称签名等密钥级密码计算服务。提供基于数字证书的数字签名、验证签名等安全服务接口，通过该服务实现不同算法、不同类型、不同方式的数据签名和验证接口服务。提供基于数字证书的身份认证服务类安全接口，通过该服务实现检验用户身份的有效性。认证服务包括数字证书身份认证和对称密钥认证服务，实现检验对应数字证书身份或对应对称密钥身份的有效性。</w:t>
            </w:r>
          </w:p>
        </w:tc>
        <w:tc>
          <w:tcPr>
            <w:tcW w:w="842" w:type="dxa"/>
            <w:noWrap w:val="0"/>
            <w:vAlign w:val="center"/>
          </w:tcPr>
          <w:p w14:paraId="4C85A178">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项/年</w:t>
            </w:r>
          </w:p>
        </w:tc>
        <w:tc>
          <w:tcPr>
            <w:tcW w:w="883" w:type="dxa"/>
            <w:noWrap w:val="0"/>
            <w:vAlign w:val="center"/>
          </w:tcPr>
          <w:p w14:paraId="63BC197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28</w:t>
            </w:r>
          </w:p>
        </w:tc>
        <w:tc>
          <w:tcPr>
            <w:tcW w:w="720" w:type="dxa"/>
            <w:noWrap w:val="0"/>
            <w:vAlign w:val="center"/>
          </w:tcPr>
          <w:p w14:paraId="7B2CE0F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w:t>
            </w:r>
          </w:p>
        </w:tc>
        <w:tc>
          <w:tcPr>
            <w:tcW w:w="1455" w:type="dxa"/>
            <w:noWrap w:val="0"/>
            <w:vAlign w:val="center"/>
          </w:tcPr>
          <w:p w14:paraId="4B10C97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1679832.00</w:t>
            </w:r>
          </w:p>
        </w:tc>
      </w:tr>
      <w:tr w14:paraId="4B775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52" w:type="dxa"/>
            <w:noWrap w:val="0"/>
            <w:vAlign w:val="center"/>
          </w:tcPr>
          <w:p w14:paraId="750CE44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12</w:t>
            </w:r>
          </w:p>
        </w:tc>
        <w:tc>
          <w:tcPr>
            <w:tcW w:w="1588" w:type="dxa"/>
            <w:noWrap w:val="0"/>
            <w:vAlign w:val="center"/>
          </w:tcPr>
          <w:p w14:paraId="3E3F177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独立云密码机</w:t>
            </w:r>
          </w:p>
        </w:tc>
        <w:tc>
          <w:tcPr>
            <w:tcW w:w="3435" w:type="dxa"/>
            <w:noWrap w:val="0"/>
            <w:vAlign w:val="center"/>
          </w:tcPr>
          <w:p w14:paraId="0D7AB2EB">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独立使用，以虚拟化设备形态云密码机，云密码机提供密钥管理，数据加解密，签名验证服务。密钥生成与管理：采用国家密码管理局批准的WNG-9硬件物理噪声源生成真正随机数，随机数质量高，支持通过物理噪声源生成 256 位 SM2 密钥对和1024/2048/3072/4096 位RSA 密钥对；对称加解密：支持 SM1、SM4、SM7 国密算法和 3DES、AES 国际算法的数据加密和解密运算；消息鉴别码的产生和验证：支持基于 SM4 算法、SM1 算法的 MAC 产生及验证；数据摘要的产生和验证：支持 SM3、SHA1、SHA256 杂凑算法；数字签名的产生和验证：可以根据需要使用内部存储的 RSA/SM2 私钥或外部 RSA/SM2 私钥进行数字签名和验签；随机数的产生：采用由国家密码管理局批准的双物理噪声源生成随机数；</w:t>
            </w:r>
          </w:p>
        </w:tc>
        <w:tc>
          <w:tcPr>
            <w:tcW w:w="842" w:type="dxa"/>
            <w:noWrap w:val="0"/>
            <w:vAlign w:val="center"/>
          </w:tcPr>
          <w:p w14:paraId="44CA14DC">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套/年</w:t>
            </w:r>
          </w:p>
        </w:tc>
        <w:tc>
          <w:tcPr>
            <w:tcW w:w="883" w:type="dxa"/>
            <w:noWrap w:val="0"/>
            <w:vAlign w:val="center"/>
          </w:tcPr>
          <w:p w14:paraId="2CBF9BB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28</w:t>
            </w:r>
          </w:p>
        </w:tc>
        <w:tc>
          <w:tcPr>
            <w:tcW w:w="720" w:type="dxa"/>
            <w:noWrap w:val="0"/>
            <w:vAlign w:val="center"/>
          </w:tcPr>
          <w:p w14:paraId="49A23A6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w:t>
            </w:r>
          </w:p>
        </w:tc>
        <w:tc>
          <w:tcPr>
            <w:tcW w:w="1455" w:type="dxa"/>
            <w:noWrap w:val="0"/>
            <w:vAlign w:val="center"/>
          </w:tcPr>
          <w:p w14:paraId="4D0269B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1383648.00</w:t>
            </w:r>
          </w:p>
        </w:tc>
      </w:tr>
      <w:tr w14:paraId="0CB99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52" w:type="dxa"/>
            <w:noWrap w:val="0"/>
            <w:vAlign w:val="center"/>
          </w:tcPr>
          <w:p w14:paraId="726200F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13</w:t>
            </w:r>
          </w:p>
        </w:tc>
        <w:tc>
          <w:tcPr>
            <w:tcW w:w="1588" w:type="dxa"/>
            <w:noWrap w:val="0"/>
            <w:vAlign w:val="center"/>
          </w:tcPr>
          <w:p w14:paraId="05724A1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SSL证书</w:t>
            </w:r>
          </w:p>
        </w:tc>
        <w:tc>
          <w:tcPr>
            <w:tcW w:w="3435" w:type="dxa"/>
            <w:noWrap w:val="0"/>
            <w:vAlign w:val="center"/>
          </w:tcPr>
          <w:p w14:paraId="35F035B1">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提供SSL证书：ECC、RSA 或国密算法的DV证书</w:t>
            </w:r>
          </w:p>
        </w:tc>
        <w:tc>
          <w:tcPr>
            <w:tcW w:w="842" w:type="dxa"/>
            <w:noWrap w:val="0"/>
            <w:vAlign w:val="center"/>
          </w:tcPr>
          <w:p w14:paraId="0F7EC6A3">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套/年</w:t>
            </w:r>
          </w:p>
        </w:tc>
        <w:tc>
          <w:tcPr>
            <w:tcW w:w="883" w:type="dxa"/>
            <w:noWrap w:val="0"/>
            <w:vAlign w:val="center"/>
          </w:tcPr>
          <w:p w14:paraId="18E9AE0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52</w:t>
            </w:r>
          </w:p>
        </w:tc>
        <w:tc>
          <w:tcPr>
            <w:tcW w:w="720" w:type="dxa"/>
            <w:noWrap w:val="0"/>
            <w:vAlign w:val="center"/>
          </w:tcPr>
          <w:p w14:paraId="567F60A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w:t>
            </w:r>
          </w:p>
        </w:tc>
        <w:tc>
          <w:tcPr>
            <w:tcW w:w="1455" w:type="dxa"/>
            <w:noWrap w:val="0"/>
            <w:vAlign w:val="center"/>
          </w:tcPr>
          <w:p w14:paraId="3E9ADE2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color w:val="auto"/>
                <w:kern w:val="0"/>
                <w:sz w:val="21"/>
                <w:szCs w:val="21"/>
                <w:highlight w:val="none"/>
                <w:lang w:bidi="ar"/>
              </w:rPr>
              <w:t>192400.00</w:t>
            </w:r>
          </w:p>
        </w:tc>
      </w:tr>
      <w:tr w14:paraId="15465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775" w:type="dxa"/>
            <w:gridSpan w:val="7"/>
            <w:noWrap w:val="0"/>
            <w:vAlign w:val="center"/>
          </w:tcPr>
          <w:p w14:paraId="360C852F">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宋体" w:hAnsi="宋体" w:eastAsia="宋体" w:cs="宋体"/>
                <w:b/>
                <w:bCs/>
                <w:color w:val="auto"/>
                <w:kern w:val="0"/>
                <w:sz w:val="24"/>
                <w:highlight w:val="none"/>
                <w:lang w:bidi="ar"/>
              </w:rPr>
            </w:pPr>
            <w:r>
              <w:rPr>
                <w:rFonts w:hint="eastAsia" w:ascii="宋体" w:hAnsi="宋体" w:eastAsia="宋体" w:cs="宋体"/>
                <w:b/>
                <w:bCs/>
                <w:color w:val="auto"/>
                <w:kern w:val="0"/>
                <w:sz w:val="24"/>
                <w:highlight w:val="none"/>
                <w:lang w:bidi="ar"/>
              </w:rPr>
              <w:t>三、其他配套服务（预算合计：3,197,272.00；租用服务期限：</w:t>
            </w:r>
            <w:r>
              <w:rPr>
                <w:rFonts w:hint="eastAsia" w:ascii="宋体" w:hAnsi="宋体" w:eastAsia="宋体" w:cs="宋体"/>
                <w:b/>
                <w:bCs/>
                <w:color w:val="auto"/>
                <w:kern w:val="0"/>
                <w:sz w:val="24"/>
                <w:highlight w:val="none"/>
                <w:lang w:val="en-US" w:eastAsia="zh-CN" w:bidi="ar"/>
              </w:rPr>
              <w:t>2年</w:t>
            </w:r>
            <w:r>
              <w:rPr>
                <w:rFonts w:hint="eastAsia" w:ascii="宋体" w:hAnsi="宋体" w:eastAsia="宋体" w:cs="宋体"/>
                <w:b/>
                <w:bCs/>
                <w:color w:val="auto"/>
                <w:kern w:val="0"/>
                <w:sz w:val="24"/>
                <w:highlight w:val="none"/>
                <w:lang w:bidi="ar"/>
              </w:rPr>
              <w:t>）</w:t>
            </w:r>
          </w:p>
        </w:tc>
      </w:tr>
      <w:tr w14:paraId="32C8A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52" w:type="dxa"/>
            <w:noWrap w:val="0"/>
            <w:vAlign w:val="center"/>
          </w:tcPr>
          <w:p w14:paraId="79E93A9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w:t>
            </w:r>
          </w:p>
        </w:tc>
        <w:tc>
          <w:tcPr>
            <w:tcW w:w="1588" w:type="dxa"/>
            <w:noWrap w:val="0"/>
            <w:vAlign w:val="center"/>
          </w:tcPr>
          <w:p w14:paraId="5AA44A3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主备互联网</w:t>
            </w:r>
          </w:p>
          <w:p w14:paraId="1062E80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出口</w:t>
            </w:r>
          </w:p>
        </w:tc>
        <w:tc>
          <w:tcPr>
            <w:tcW w:w="3435" w:type="dxa"/>
            <w:noWrap w:val="0"/>
            <w:vAlign w:val="center"/>
          </w:tcPr>
          <w:p w14:paraId="51E595E1">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1000Mbps,不少于</w:t>
            </w:r>
            <w:r>
              <w:rPr>
                <w:rFonts w:hint="eastAsia" w:ascii="宋体" w:hAnsi="宋体" w:eastAsia="宋体" w:cs="宋体"/>
                <w:color w:val="auto"/>
                <w:kern w:val="0"/>
                <w:sz w:val="21"/>
                <w:szCs w:val="21"/>
                <w:highlight w:val="none"/>
                <w:lang w:val="en-US" w:eastAsia="zh-CN" w:bidi="ar"/>
              </w:rPr>
              <w:t>500</w:t>
            </w:r>
            <w:r>
              <w:rPr>
                <w:rFonts w:hint="eastAsia" w:ascii="宋体" w:hAnsi="宋体" w:eastAsia="宋体" w:cs="宋体"/>
                <w:color w:val="auto"/>
                <w:kern w:val="0"/>
                <w:sz w:val="21"/>
                <w:szCs w:val="21"/>
                <w:highlight w:val="none"/>
                <w:lang w:bidi="ar"/>
              </w:rPr>
              <w:t>个公网IP</w:t>
            </w:r>
          </w:p>
        </w:tc>
        <w:tc>
          <w:tcPr>
            <w:tcW w:w="842" w:type="dxa"/>
            <w:noWrap w:val="0"/>
            <w:vAlign w:val="center"/>
          </w:tcPr>
          <w:p w14:paraId="226B4E11">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条/年</w:t>
            </w:r>
          </w:p>
        </w:tc>
        <w:tc>
          <w:tcPr>
            <w:tcW w:w="883" w:type="dxa"/>
            <w:noWrap w:val="0"/>
            <w:vAlign w:val="center"/>
          </w:tcPr>
          <w:p w14:paraId="7B401CB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w:t>
            </w:r>
          </w:p>
        </w:tc>
        <w:tc>
          <w:tcPr>
            <w:tcW w:w="720" w:type="dxa"/>
            <w:noWrap w:val="0"/>
            <w:vAlign w:val="center"/>
          </w:tcPr>
          <w:p w14:paraId="351F58C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w:t>
            </w:r>
          </w:p>
        </w:tc>
        <w:tc>
          <w:tcPr>
            <w:tcW w:w="1455" w:type="dxa"/>
            <w:noWrap w:val="0"/>
            <w:vAlign w:val="center"/>
          </w:tcPr>
          <w:p w14:paraId="4C858A6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469680.00</w:t>
            </w:r>
          </w:p>
        </w:tc>
      </w:tr>
      <w:tr w14:paraId="288A4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52" w:type="dxa"/>
            <w:noWrap w:val="0"/>
            <w:vAlign w:val="center"/>
          </w:tcPr>
          <w:p w14:paraId="4FFE556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w:t>
            </w:r>
          </w:p>
        </w:tc>
        <w:tc>
          <w:tcPr>
            <w:tcW w:w="1588" w:type="dxa"/>
            <w:noWrap w:val="0"/>
            <w:vAlign w:val="center"/>
          </w:tcPr>
          <w:p w14:paraId="216057D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机柜</w:t>
            </w:r>
          </w:p>
        </w:tc>
        <w:tc>
          <w:tcPr>
            <w:tcW w:w="3435" w:type="dxa"/>
            <w:noWrap w:val="0"/>
            <w:vAlign w:val="center"/>
          </w:tcPr>
          <w:p w14:paraId="52C616FC">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双电源，单机柜功率不低于 5KW</w:t>
            </w:r>
          </w:p>
        </w:tc>
        <w:tc>
          <w:tcPr>
            <w:tcW w:w="842" w:type="dxa"/>
            <w:noWrap w:val="0"/>
            <w:vAlign w:val="center"/>
          </w:tcPr>
          <w:p w14:paraId="7A0F6EEA">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架/年</w:t>
            </w:r>
          </w:p>
        </w:tc>
        <w:tc>
          <w:tcPr>
            <w:tcW w:w="883" w:type="dxa"/>
            <w:noWrap w:val="0"/>
            <w:vAlign w:val="center"/>
          </w:tcPr>
          <w:p w14:paraId="3F76F70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12</w:t>
            </w:r>
          </w:p>
        </w:tc>
        <w:tc>
          <w:tcPr>
            <w:tcW w:w="720" w:type="dxa"/>
            <w:noWrap w:val="0"/>
            <w:vAlign w:val="center"/>
          </w:tcPr>
          <w:p w14:paraId="2EB4DE9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w:t>
            </w:r>
          </w:p>
        </w:tc>
        <w:tc>
          <w:tcPr>
            <w:tcW w:w="1455" w:type="dxa"/>
            <w:noWrap w:val="0"/>
            <w:vAlign w:val="center"/>
          </w:tcPr>
          <w:p w14:paraId="65D632E3">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1049592.00</w:t>
            </w:r>
          </w:p>
        </w:tc>
      </w:tr>
      <w:tr w14:paraId="44DD3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52" w:type="dxa"/>
            <w:noWrap w:val="0"/>
            <w:vAlign w:val="center"/>
          </w:tcPr>
          <w:p w14:paraId="00E6C46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w:t>
            </w:r>
          </w:p>
        </w:tc>
        <w:tc>
          <w:tcPr>
            <w:tcW w:w="1588" w:type="dxa"/>
            <w:noWrap w:val="0"/>
            <w:vAlign w:val="center"/>
          </w:tcPr>
          <w:p w14:paraId="43328AB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驻场运维服务</w:t>
            </w:r>
          </w:p>
        </w:tc>
        <w:tc>
          <w:tcPr>
            <w:tcW w:w="3435" w:type="dxa"/>
            <w:noWrap w:val="0"/>
            <w:vAlign w:val="center"/>
          </w:tcPr>
          <w:p w14:paraId="5592E55D">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专业技术人员驻场，</w:t>
            </w:r>
            <w:r>
              <w:rPr>
                <w:rFonts w:hint="eastAsia" w:ascii="宋体" w:hAnsi="宋体" w:eastAsia="宋体" w:cs="宋体"/>
                <w:i w:val="0"/>
                <w:iCs w:val="0"/>
                <w:color w:val="auto"/>
                <w:kern w:val="0"/>
                <w:sz w:val="21"/>
                <w:szCs w:val="21"/>
                <w:highlight w:val="none"/>
                <w:u w:val="none"/>
                <w:lang w:val="en-US" w:eastAsia="zh-CN" w:bidi="ar"/>
              </w:rPr>
              <w:t>含基础设施、安全、网络</w:t>
            </w:r>
            <w:r>
              <w:rPr>
                <w:rFonts w:hint="eastAsia" w:ascii="宋体" w:hAnsi="宋体" w:cs="宋体"/>
                <w:i w:val="0"/>
                <w:iCs w:val="0"/>
                <w:color w:val="auto"/>
                <w:kern w:val="0"/>
                <w:sz w:val="21"/>
                <w:szCs w:val="21"/>
                <w:highlight w:val="none"/>
                <w:u w:val="none"/>
                <w:lang w:val="en-US" w:eastAsia="zh-CN" w:bidi="ar"/>
              </w:rPr>
              <w:t>以及</w:t>
            </w:r>
            <w:r>
              <w:rPr>
                <w:rFonts w:hint="eastAsia" w:ascii="宋体" w:hAnsi="宋体" w:eastAsia="宋体" w:cs="宋体"/>
                <w:i w:val="0"/>
                <w:iCs w:val="0"/>
                <w:color w:val="auto"/>
                <w:kern w:val="0"/>
                <w:sz w:val="21"/>
                <w:szCs w:val="21"/>
                <w:highlight w:val="none"/>
                <w:u w:val="none"/>
                <w:lang w:val="en-US" w:eastAsia="zh-CN" w:bidi="ar"/>
              </w:rPr>
              <w:t>应用系统等运维。</w:t>
            </w:r>
          </w:p>
        </w:tc>
        <w:tc>
          <w:tcPr>
            <w:tcW w:w="842" w:type="dxa"/>
            <w:noWrap w:val="0"/>
            <w:vAlign w:val="center"/>
          </w:tcPr>
          <w:p w14:paraId="4AE31BC2">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人/年</w:t>
            </w:r>
          </w:p>
        </w:tc>
        <w:tc>
          <w:tcPr>
            <w:tcW w:w="883" w:type="dxa"/>
            <w:noWrap w:val="0"/>
            <w:vAlign w:val="center"/>
          </w:tcPr>
          <w:p w14:paraId="788B01C3">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10</w:t>
            </w:r>
          </w:p>
        </w:tc>
        <w:tc>
          <w:tcPr>
            <w:tcW w:w="720" w:type="dxa"/>
            <w:noWrap w:val="0"/>
            <w:vAlign w:val="center"/>
          </w:tcPr>
          <w:p w14:paraId="5C1CA90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w:t>
            </w:r>
          </w:p>
        </w:tc>
        <w:tc>
          <w:tcPr>
            <w:tcW w:w="1455" w:type="dxa"/>
            <w:noWrap w:val="0"/>
            <w:vAlign w:val="center"/>
          </w:tcPr>
          <w:p w14:paraId="019F84F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1678000.00</w:t>
            </w:r>
          </w:p>
        </w:tc>
      </w:tr>
      <w:tr w14:paraId="106D8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52" w:type="dxa"/>
            <w:noWrap w:val="0"/>
            <w:vAlign w:val="center"/>
          </w:tcPr>
          <w:p w14:paraId="2891794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w:t>
            </w:r>
          </w:p>
        </w:tc>
        <w:tc>
          <w:tcPr>
            <w:tcW w:w="1588" w:type="dxa"/>
            <w:noWrap w:val="0"/>
            <w:vAlign w:val="center"/>
          </w:tcPr>
          <w:p w14:paraId="4E525F5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系统迁移服务</w:t>
            </w:r>
          </w:p>
        </w:tc>
        <w:tc>
          <w:tcPr>
            <w:tcW w:w="3435" w:type="dxa"/>
            <w:noWrap w:val="0"/>
            <w:vAlign w:val="center"/>
          </w:tcPr>
          <w:p w14:paraId="6B1C9001">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将云上现有系统完整迁移至本次提供的云服务环境，产生的费用由</w:t>
            </w:r>
            <w:r>
              <w:rPr>
                <w:rFonts w:hint="eastAsia" w:ascii="宋体" w:hAnsi="宋体" w:eastAsia="宋体" w:cs="宋体"/>
                <w:color w:val="auto"/>
                <w:kern w:val="0"/>
                <w:sz w:val="21"/>
                <w:szCs w:val="21"/>
                <w:highlight w:val="none"/>
                <w:lang w:eastAsia="zh-CN" w:bidi="ar"/>
              </w:rPr>
              <w:t>中标人</w:t>
            </w:r>
            <w:r>
              <w:rPr>
                <w:rFonts w:hint="eastAsia" w:ascii="宋体" w:hAnsi="宋体" w:eastAsia="宋体" w:cs="宋体"/>
                <w:color w:val="auto"/>
                <w:kern w:val="0"/>
                <w:sz w:val="21"/>
                <w:szCs w:val="21"/>
                <w:highlight w:val="none"/>
                <w:lang w:bidi="ar"/>
              </w:rPr>
              <w:t>自行承担。</w:t>
            </w:r>
          </w:p>
        </w:tc>
        <w:tc>
          <w:tcPr>
            <w:tcW w:w="842" w:type="dxa"/>
            <w:noWrap w:val="0"/>
            <w:vAlign w:val="center"/>
          </w:tcPr>
          <w:p w14:paraId="77047045">
            <w:pPr>
              <w:keepNext w:val="0"/>
              <w:keepLines w:val="0"/>
              <w:pageBreakBefore w:val="0"/>
              <w:widowControl/>
              <w:kinsoku/>
              <w:wordWrap/>
              <w:overflowPunct/>
              <w:topLinePunct w:val="0"/>
              <w:autoSpaceDE/>
              <w:autoSpaceDN/>
              <w:bidi w:val="0"/>
              <w:adjustRightInd/>
              <w:snapToGrid/>
              <w:spacing w:line="360" w:lineRule="exact"/>
              <w:ind w:firstLine="210" w:firstLineChars="100"/>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项</w:t>
            </w:r>
          </w:p>
        </w:tc>
        <w:tc>
          <w:tcPr>
            <w:tcW w:w="883" w:type="dxa"/>
            <w:noWrap w:val="0"/>
            <w:vAlign w:val="center"/>
          </w:tcPr>
          <w:p w14:paraId="0BA5083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w:t>
            </w:r>
          </w:p>
        </w:tc>
        <w:tc>
          <w:tcPr>
            <w:tcW w:w="720" w:type="dxa"/>
            <w:noWrap w:val="0"/>
            <w:vAlign w:val="center"/>
          </w:tcPr>
          <w:p w14:paraId="0AF45A5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w:t>
            </w:r>
          </w:p>
        </w:tc>
        <w:tc>
          <w:tcPr>
            <w:tcW w:w="1455" w:type="dxa"/>
            <w:noWrap w:val="0"/>
            <w:vAlign w:val="center"/>
          </w:tcPr>
          <w:p w14:paraId="5DA7CD9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0.00</w:t>
            </w:r>
          </w:p>
        </w:tc>
      </w:tr>
    </w:tbl>
    <w:p w14:paraId="5C35507D">
      <w:pPr>
        <w:pStyle w:val="4"/>
        <w:keepNext/>
        <w:keepLines/>
        <w:pageBreakBefore w:val="0"/>
        <w:widowControl w:val="0"/>
        <w:numPr>
          <w:ilvl w:val="0"/>
          <w:numId w:val="0"/>
        </w:numPr>
        <w:tabs>
          <w:tab w:val="left" w:pos="0"/>
        </w:tabs>
        <w:kinsoku/>
        <w:wordWrap/>
        <w:overflowPunct/>
        <w:topLinePunct w:val="0"/>
        <w:autoSpaceDE w:val="0"/>
        <w:autoSpaceDN w:val="0"/>
        <w:bidi w:val="0"/>
        <w:adjustRightInd w:val="0"/>
        <w:snapToGrid/>
        <w:spacing w:before="0" w:after="0" w:line="360" w:lineRule="auto"/>
        <w:ind w:firstLine="562" w:firstLineChars="200"/>
        <w:jc w:val="left"/>
        <w:textAlignment w:val="auto"/>
        <w:rPr>
          <w:rFonts w:hint="eastAsia" w:ascii="宋体" w:hAnsi="宋体" w:eastAsia="宋体" w:cs="宋体"/>
          <w:color w:val="auto"/>
          <w:sz w:val="28"/>
          <w:szCs w:val="28"/>
          <w:highlight w:val="none"/>
          <w:lang w:val="en-US" w:eastAsia="zh-CN"/>
        </w:rPr>
      </w:pPr>
      <w:bookmarkStart w:id="33" w:name="_Toc1683518676_WPSOffice_Level2"/>
      <w:bookmarkStart w:id="34" w:name="_Toc771033153_WPSOffice_Level2"/>
      <w:r>
        <w:rPr>
          <w:rFonts w:hint="eastAsia" w:ascii="宋体" w:hAnsi="宋体" w:eastAsia="宋体" w:cs="宋体"/>
          <w:color w:val="auto"/>
          <w:sz w:val="28"/>
          <w:szCs w:val="28"/>
          <w:highlight w:val="none"/>
          <w:lang w:val="en-US" w:eastAsia="zh-CN"/>
        </w:rPr>
        <w:t>（二）总体要求</w:t>
      </w:r>
      <w:bookmarkEnd w:id="33"/>
      <w:bookmarkEnd w:id="34"/>
    </w:p>
    <w:p w14:paraId="6F9368A2">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本项目严格依据自治区《广西政务信息化项目建设管理办法》（桂政办发〔2024〕59号）、《国家电子政务外网运行管理办法》政务外网〔2026〕2号、《广西政务云管理办法》（桂政办发〔2024〕18号）</w:t>
      </w:r>
      <w:r>
        <w:rPr>
          <w:rFonts w:hint="eastAsia" w:ascii="宋体" w:hAnsi="宋体" w:eastAsia="宋体" w:cs="宋体"/>
          <w:color w:val="000000" w:themeColor="text1"/>
          <w:sz w:val="21"/>
          <w:szCs w:val="21"/>
          <w:highlight w:val="none"/>
          <w:lang w:val="en-US" w:eastAsia="zh-CN"/>
          <w14:textFill>
            <w14:solidFill>
              <w14:schemeClr w14:val="tx1"/>
            </w14:solidFill>
          </w14:textFill>
        </w:rPr>
        <w:t>及市级《防城港市政务信息化项目建设管理办法（试行）》</w:t>
      </w:r>
      <w:r>
        <w:rPr>
          <w:rFonts w:hint="eastAsia" w:ascii="宋体" w:hAnsi="宋体" w:eastAsia="宋体" w:cs="宋体"/>
          <w:color w:val="auto"/>
          <w:sz w:val="21"/>
          <w:szCs w:val="21"/>
          <w:highlight w:val="none"/>
          <w:lang w:val="en-US" w:eastAsia="zh-CN"/>
        </w:rPr>
        <w:t>相关规定开展建设，全面落实全区政务信息化项目统筹建设、集约利用资源、杜绝重复投资的建设要求，契合全区政务云“一朵云”建设及政务云平台与自治区多云共治管理平台对接的工作规范，遵循市级政务云作为全市政务信息化核心基础设施的建设定位，严格执行各部门业务系统依托市级政务云集中部署的管理要求。</w:t>
      </w:r>
    </w:p>
    <w:p w14:paraId="01185E91">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基于上述政策标准，中标人应坚持统一标准、统一建设、统一管理的原则，全面提供基础资源池服务、云安全管理服务及各类配套支撑服务，切实保障全市政务服务持续稳定运行、跨部门政务业务协同高效推进，全面合规完成本项目政务云建设及运维各项工作。</w:t>
      </w:r>
    </w:p>
    <w:p w14:paraId="7F6E299D">
      <w:pPr>
        <w:pStyle w:val="32"/>
        <w:pageBreakBefore w:val="0"/>
        <w:widowControl w:val="0"/>
        <w:kinsoku/>
        <w:wordWrap/>
        <w:overflowPunct/>
        <w:topLinePunct w:val="0"/>
        <w:bidi w:val="0"/>
        <w:snapToGrid/>
        <w:spacing w:line="360" w:lineRule="exact"/>
        <w:ind w:firstLine="422" w:firstLineChars="200"/>
        <w:textAlignment w:val="auto"/>
        <w:rPr>
          <w:rFonts w:hint="eastAsia" w:eastAsia="宋体" w:cs="宋体"/>
          <w:b/>
          <w:color w:val="auto"/>
          <w:sz w:val="21"/>
          <w:szCs w:val="21"/>
          <w:highlight w:val="none"/>
          <w:lang w:val="en-US" w:eastAsia="zh-CN"/>
        </w:rPr>
      </w:pPr>
      <w:r>
        <w:rPr>
          <w:rFonts w:hint="eastAsia" w:eastAsia="宋体" w:cs="宋体"/>
          <w:b/>
          <w:color w:val="auto"/>
          <w:sz w:val="21"/>
          <w:szCs w:val="21"/>
          <w:highlight w:val="none"/>
          <w:lang w:val="en-US" w:eastAsia="zh-CN"/>
        </w:rPr>
        <w:t>1、基础资源池服务</w:t>
      </w:r>
    </w:p>
    <w:p w14:paraId="0469ED8F">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提供满足防城港市政务云建设要求的虚拟化资源池，总体规模应满足：vCPU总数不少于1280核，内存总量不少于3417GB，Ceph分布式存储可用容量不少于130TB</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构建覆盖多规格云计算、裸金属、存储、操作系统的基础资源体系，为政务应用提供弹性算力和安全存储支撑，是云平台的核心硬件与系统基础。</w:t>
      </w:r>
    </w:p>
    <w:p w14:paraId="29CBDE5F">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微软雅黑" w:hAnsi="微软雅黑" w:eastAsia="微软雅黑" w:cs="微软雅黑"/>
          <w:color w:val="auto"/>
          <w:sz w:val="21"/>
          <w:szCs w:val="21"/>
          <w:highlight w:val="none"/>
          <w:lang w:eastAsia="zh-CN"/>
        </w:rPr>
        <w:t>①</w:t>
      </w:r>
      <w:r>
        <w:rPr>
          <w:rFonts w:hint="eastAsia" w:ascii="宋体" w:hAnsi="宋体" w:eastAsia="宋体" w:cs="宋体"/>
          <w:color w:val="auto"/>
          <w:sz w:val="21"/>
          <w:szCs w:val="21"/>
          <w:highlight w:val="none"/>
        </w:rPr>
        <w:t>云计算服务：配置多类不同核显组合的云主机，满足政务系统从基础到高性能的差异化算力需求，总数量覆盖多场景政务业务运行；</w:t>
      </w:r>
    </w:p>
    <w:p w14:paraId="290BC304">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微软雅黑" w:hAnsi="微软雅黑" w:eastAsia="微软雅黑" w:cs="微软雅黑"/>
          <w:color w:val="auto"/>
          <w:sz w:val="21"/>
          <w:szCs w:val="21"/>
          <w:highlight w:val="none"/>
          <w:lang w:eastAsia="zh-CN"/>
        </w:rPr>
        <w:t>②</w:t>
      </w:r>
      <w:r>
        <w:rPr>
          <w:rFonts w:hint="eastAsia" w:ascii="宋体" w:hAnsi="宋体" w:eastAsia="宋体" w:cs="宋体"/>
          <w:color w:val="auto"/>
          <w:sz w:val="21"/>
          <w:szCs w:val="21"/>
          <w:highlight w:val="none"/>
        </w:rPr>
        <w:t>裸金属服务：按需提供高性能物理机，适配对算力和稳定性要求极高的核心政务应用；</w:t>
      </w:r>
    </w:p>
    <w:p w14:paraId="53678A18">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微软雅黑" w:hAnsi="微软雅黑" w:eastAsia="微软雅黑" w:cs="微软雅黑"/>
          <w:color w:val="auto"/>
          <w:sz w:val="21"/>
          <w:szCs w:val="21"/>
          <w:highlight w:val="none"/>
          <w:lang w:eastAsia="zh-CN"/>
        </w:rPr>
        <w:t>③</w:t>
      </w:r>
      <w:r>
        <w:rPr>
          <w:rFonts w:hint="eastAsia" w:ascii="宋体" w:hAnsi="宋体" w:eastAsia="宋体" w:cs="宋体"/>
          <w:color w:val="auto"/>
          <w:sz w:val="21"/>
          <w:szCs w:val="21"/>
          <w:highlight w:val="none"/>
        </w:rPr>
        <w:t>存储服务：包含分布式普通存储、集中式高性能存储、分布式高性能块存储及本地备份，实现政务数据分级存储与安全备份；</w:t>
      </w:r>
    </w:p>
    <w:p w14:paraId="2E5282C0">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微软雅黑" w:hAnsi="微软雅黑" w:eastAsia="微软雅黑" w:cs="微软雅黑"/>
          <w:color w:val="auto"/>
          <w:sz w:val="21"/>
          <w:szCs w:val="21"/>
          <w:highlight w:val="none"/>
          <w:lang w:eastAsia="zh-CN"/>
        </w:rPr>
        <w:t>④</w:t>
      </w:r>
      <w:r>
        <w:rPr>
          <w:rFonts w:hint="eastAsia" w:ascii="宋体" w:hAnsi="宋体" w:eastAsia="宋体" w:cs="宋体"/>
          <w:color w:val="auto"/>
          <w:sz w:val="21"/>
          <w:szCs w:val="21"/>
          <w:highlight w:val="none"/>
        </w:rPr>
        <w:t>操作系统服务：按需采购多类型操作系统，适配不同政务应用系统</w:t>
      </w:r>
      <w:r>
        <w:rPr>
          <w:rFonts w:hint="eastAsia" w:ascii="宋体" w:hAnsi="宋体" w:eastAsia="宋体" w:cs="宋体"/>
          <w:color w:val="auto"/>
          <w:sz w:val="21"/>
          <w:szCs w:val="21"/>
          <w:highlight w:val="none"/>
          <w:lang w:val="en-US" w:eastAsia="zh-CN"/>
        </w:rPr>
        <w:t>的</w:t>
      </w:r>
      <w:r>
        <w:rPr>
          <w:rFonts w:hint="eastAsia" w:ascii="宋体" w:hAnsi="宋体" w:eastAsia="宋体" w:cs="宋体"/>
          <w:color w:val="auto"/>
          <w:sz w:val="21"/>
          <w:szCs w:val="21"/>
          <w:highlight w:val="none"/>
        </w:rPr>
        <w:t>运行</w:t>
      </w:r>
      <w:r>
        <w:rPr>
          <w:rFonts w:hint="eastAsia" w:ascii="宋体" w:hAnsi="宋体" w:eastAsia="宋体" w:cs="宋体"/>
          <w:color w:val="auto"/>
          <w:sz w:val="21"/>
          <w:szCs w:val="21"/>
          <w:highlight w:val="none"/>
          <w:lang w:val="en-US" w:eastAsia="zh-CN"/>
        </w:rPr>
        <w:t>环境</w:t>
      </w:r>
      <w:r>
        <w:rPr>
          <w:rFonts w:hint="eastAsia" w:ascii="宋体" w:hAnsi="宋体" w:eastAsia="宋体" w:cs="宋体"/>
          <w:color w:val="auto"/>
          <w:sz w:val="21"/>
          <w:szCs w:val="21"/>
          <w:highlight w:val="none"/>
        </w:rPr>
        <w:t>需求。</w:t>
      </w:r>
    </w:p>
    <w:p w14:paraId="425E5C71">
      <w:pPr>
        <w:pStyle w:val="32"/>
        <w:pageBreakBefore w:val="0"/>
        <w:widowControl w:val="0"/>
        <w:kinsoku/>
        <w:wordWrap/>
        <w:overflowPunct/>
        <w:topLinePunct w:val="0"/>
        <w:bidi w:val="0"/>
        <w:snapToGrid/>
        <w:spacing w:line="360" w:lineRule="exact"/>
        <w:ind w:firstLine="422" w:firstLineChars="200"/>
        <w:textAlignment w:val="auto"/>
        <w:rPr>
          <w:rFonts w:hint="eastAsia" w:eastAsia="宋体" w:cs="宋体"/>
          <w:b/>
          <w:color w:val="auto"/>
          <w:sz w:val="21"/>
          <w:szCs w:val="21"/>
          <w:highlight w:val="none"/>
          <w:lang w:val="en-US" w:eastAsia="zh-CN"/>
        </w:rPr>
      </w:pPr>
      <w:r>
        <w:rPr>
          <w:rFonts w:hint="eastAsia" w:eastAsia="宋体" w:cs="宋体"/>
          <w:b/>
          <w:color w:val="auto"/>
          <w:sz w:val="21"/>
          <w:szCs w:val="21"/>
          <w:highlight w:val="none"/>
          <w:lang w:val="en-US" w:eastAsia="zh-CN"/>
        </w:rPr>
        <w:t>2、云安全管理服务</w:t>
      </w:r>
    </w:p>
    <w:p w14:paraId="66DC73B0">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以虚拟化安全设备+国产密码技术为核心，打造覆盖审计、防护、密码服务、身份认证的全链路云安全防护体系，保障政务云平台和数据安全，符合政务安全合规要求。</w:t>
      </w:r>
    </w:p>
    <w:p w14:paraId="72E553D4">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微软雅黑" w:hAnsi="微软雅黑" w:eastAsia="微软雅黑" w:cs="微软雅黑"/>
          <w:color w:val="auto"/>
          <w:sz w:val="21"/>
          <w:szCs w:val="21"/>
          <w:highlight w:val="none"/>
          <w:lang w:eastAsia="zh-CN"/>
        </w:rPr>
        <w:t>①</w:t>
      </w:r>
      <w:r>
        <w:rPr>
          <w:rFonts w:hint="eastAsia" w:ascii="宋体" w:hAnsi="宋体" w:eastAsia="宋体" w:cs="宋体"/>
          <w:color w:val="auto"/>
          <w:sz w:val="21"/>
          <w:szCs w:val="21"/>
          <w:highlight w:val="none"/>
        </w:rPr>
        <w:t>基础安全防护：部署云数据库审计、云WAF、云防火墙（含IPS）、网页防篡改、云主机杀毒等设备，配套负载均衡、VPN（1000并发）、堡垒机，实现流量分发、边界防护、主机安全、运维审计全场景防护；</w:t>
      </w:r>
    </w:p>
    <w:p w14:paraId="458A9DA8">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微软雅黑" w:hAnsi="微软雅黑" w:eastAsia="微软雅黑" w:cs="微软雅黑"/>
          <w:color w:val="auto"/>
          <w:sz w:val="21"/>
          <w:szCs w:val="21"/>
          <w:highlight w:val="none"/>
          <w:lang w:eastAsia="zh-CN"/>
        </w:rPr>
        <w:t>②</w:t>
      </w:r>
      <w:r>
        <w:rPr>
          <w:rFonts w:hint="eastAsia" w:ascii="宋体" w:hAnsi="宋体" w:eastAsia="宋体" w:cs="宋体"/>
          <w:color w:val="auto"/>
          <w:sz w:val="21"/>
          <w:szCs w:val="21"/>
          <w:highlight w:val="none"/>
        </w:rPr>
        <w:t>核心密码服务：配置独立云数字签名、密码机及统一密码服务等，全面支持SM2/3/4等国产密码算法和RSA等国际算法，提供密钥全生命周期管理、数据加解密、数字签验等核心密码能力，适配政务数据加密与身份认证需求；</w:t>
      </w:r>
    </w:p>
    <w:p w14:paraId="652C8DA4">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微软雅黑" w:hAnsi="微软雅黑" w:eastAsia="微软雅黑" w:cs="微软雅黑"/>
          <w:color w:val="auto"/>
          <w:sz w:val="21"/>
          <w:szCs w:val="21"/>
          <w:highlight w:val="none"/>
          <w:lang w:eastAsia="zh-CN"/>
        </w:rPr>
        <w:t>③</w:t>
      </w:r>
      <w:r>
        <w:rPr>
          <w:rFonts w:hint="eastAsia" w:ascii="宋体" w:hAnsi="宋体" w:eastAsia="宋体" w:cs="宋体"/>
          <w:color w:val="auto"/>
          <w:sz w:val="21"/>
          <w:szCs w:val="21"/>
          <w:highlight w:val="none"/>
        </w:rPr>
        <w:t>安全审计与证书：部署云日志审计设备，实现网络/安全/数据库等多系统日志收集分析；采购SSL证书，保障政务Web业务的传输安全。</w:t>
      </w:r>
    </w:p>
    <w:p w14:paraId="776A79D2">
      <w:pPr>
        <w:pStyle w:val="32"/>
        <w:pageBreakBefore w:val="0"/>
        <w:widowControl w:val="0"/>
        <w:kinsoku/>
        <w:wordWrap/>
        <w:overflowPunct/>
        <w:topLinePunct w:val="0"/>
        <w:bidi w:val="0"/>
        <w:snapToGrid/>
        <w:spacing w:line="360" w:lineRule="exact"/>
        <w:ind w:firstLine="422" w:firstLineChars="200"/>
        <w:textAlignment w:val="auto"/>
        <w:rPr>
          <w:rFonts w:hint="eastAsia" w:eastAsia="宋体" w:cs="宋体"/>
          <w:b/>
          <w:color w:val="auto"/>
          <w:sz w:val="21"/>
          <w:szCs w:val="21"/>
          <w:highlight w:val="none"/>
          <w:lang w:val="en-US" w:eastAsia="zh-CN"/>
        </w:rPr>
      </w:pPr>
      <w:r>
        <w:rPr>
          <w:rFonts w:hint="eastAsia" w:eastAsia="宋体" w:cs="宋体"/>
          <w:b/>
          <w:color w:val="auto"/>
          <w:sz w:val="21"/>
          <w:szCs w:val="21"/>
          <w:highlight w:val="none"/>
          <w:lang w:val="en-US" w:eastAsia="zh-CN"/>
        </w:rPr>
        <w:t>3、其他配套服务</w:t>
      </w:r>
    </w:p>
    <w:p w14:paraId="2C079FC6">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围绕云平台落地与长期运营，配套网络、机房、系统迁移等服务，确保云平台从部署到运行的全流程顺畅。</w:t>
      </w:r>
    </w:p>
    <w:p w14:paraId="6CC33AB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微软雅黑" w:hAnsi="微软雅黑" w:eastAsia="微软雅黑" w:cs="微软雅黑"/>
          <w:color w:val="auto"/>
          <w:sz w:val="21"/>
          <w:szCs w:val="21"/>
          <w:highlight w:val="none"/>
        </w:rPr>
        <w:t>①</w:t>
      </w:r>
      <w:r>
        <w:rPr>
          <w:rFonts w:hint="eastAsia" w:ascii="宋体" w:hAnsi="宋体" w:eastAsia="宋体" w:cs="宋体"/>
          <w:color w:val="auto"/>
          <w:sz w:val="21"/>
          <w:szCs w:val="21"/>
          <w:highlight w:val="none"/>
        </w:rPr>
        <w:t>网络资源：提供2条1000Mbps主备互联网出口，</w:t>
      </w:r>
      <w:r>
        <w:rPr>
          <w:rFonts w:hint="eastAsia" w:ascii="宋体" w:hAnsi="宋体" w:eastAsia="宋体" w:cs="宋体"/>
          <w:color w:val="auto"/>
          <w:kern w:val="0"/>
          <w:sz w:val="21"/>
          <w:szCs w:val="21"/>
          <w:highlight w:val="none"/>
          <w:lang w:bidi="ar"/>
        </w:rPr>
        <w:t>不少于</w:t>
      </w:r>
      <w:r>
        <w:rPr>
          <w:rFonts w:hint="eastAsia" w:ascii="宋体" w:hAnsi="宋体" w:eastAsia="宋体" w:cs="宋体"/>
          <w:color w:val="auto"/>
          <w:kern w:val="0"/>
          <w:sz w:val="21"/>
          <w:szCs w:val="21"/>
          <w:highlight w:val="none"/>
          <w:lang w:val="en-US" w:eastAsia="zh-CN" w:bidi="ar"/>
        </w:rPr>
        <w:t>500</w:t>
      </w:r>
      <w:r>
        <w:rPr>
          <w:rFonts w:hint="eastAsia" w:ascii="宋体" w:hAnsi="宋体" w:eastAsia="宋体" w:cs="宋体"/>
          <w:color w:val="auto"/>
          <w:kern w:val="0"/>
          <w:sz w:val="21"/>
          <w:szCs w:val="21"/>
          <w:highlight w:val="none"/>
          <w:lang w:bidi="ar"/>
        </w:rPr>
        <w:t>个公网IP</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sz w:val="21"/>
          <w:szCs w:val="21"/>
          <w:highlight w:val="none"/>
        </w:rPr>
        <w:t>保障政务外网网络畅通与容灾</w:t>
      </w:r>
      <w:r>
        <w:rPr>
          <w:rFonts w:hint="eastAsia" w:ascii="宋体" w:hAnsi="宋体" w:eastAsia="宋体" w:cs="宋体"/>
          <w:color w:val="auto"/>
          <w:sz w:val="21"/>
          <w:szCs w:val="21"/>
          <w:highlight w:val="none"/>
          <w:lang w:eastAsia="zh-CN"/>
        </w:rPr>
        <w:t>。</w:t>
      </w:r>
    </w:p>
    <w:p w14:paraId="304165D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微软雅黑" w:hAnsi="微软雅黑" w:eastAsia="微软雅黑" w:cs="微软雅黑"/>
          <w:color w:val="auto"/>
          <w:sz w:val="21"/>
          <w:szCs w:val="21"/>
          <w:highlight w:val="none"/>
          <w:lang w:val="en-US" w:eastAsia="zh-CN"/>
        </w:rPr>
        <w:t>②</w:t>
      </w:r>
      <w:r>
        <w:rPr>
          <w:rFonts w:hint="eastAsia" w:ascii="宋体" w:hAnsi="宋体" w:cs="宋体"/>
          <w:color w:val="auto"/>
          <w:sz w:val="21"/>
          <w:szCs w:val="21"/>
          <w:highlight w:val="none"/>
          <w:lang w:val="en-US" w:eastAsia="zh-CN"/>
        </w:rPr>
        <w:t>机柜资源：</w:t>
      </w:r>
      <w:r>
        <w:rPr>
          <w:rFonts w:hint="eastAsia" w:ascii="宋体" w:hAnsi="宋体" w:eastAsia="宋体" w:cs="宋体"/>
          <w:color w:val="auto"/>
          <w:sz w:val="21"/>
          <w:szCs w:val="21"/>
          <w:highlight w:val="none"/>
        </w:rPr>
        <w:t>配置12架双电源机柜，满足云平台设备的机房部署需求</w:t>
      </w:r>
      <w:r>
        <w:rPr>
          <w:rFonts w:hint="eastAsia" w:ascii="宋体" w:hAnsi="宋体" w:cs="宋体"/>
          <w:color w:val="auto"/>
          <w:sz w:val="21"/>
          <w:szCs w:val="21"/>
          <w:highlight w:val="none"/>
          <w:lang w:eastAsia="zh-CN"/>
        </w:rPr>
        <w:t>。</w:t>
      </w:r>
    </w:p>
    <w:p w14:paraId="7EC590ED">
      <w:pPr>
        <w:pStyle w:val="32"/>
        <w:pageBreakBefore w:val="0"/>
        <w:widowControl w:val="0"/>
        <w:numPr>
          <w:ilvl w:val="0"/>
          <w:numId w:val="0"/>
        </w:numPr>
        <w:kinsoku/>
        <w:wordWrap/>
        <w:overflowPunct/>
        <w:topLinePunct w:val="0"/>
        <w:bidi w:val="0"/>
        <w:snapToGrid/>
        <w:spacing w:line="360" w:lineRule="exact"/>
        <w:ind w:firstLine="420" w:firstLineChars="200"/>
        <w:textAlignment w:val="auto"/>
        <w:rPr>
          <w:rFonts w:hint="eastAsia" w:cs="宋体"/>
          <w:color w:val="auto"/>
          <w:sz w:val="21"/>
          <w:szCs w:val="21"/>
          <w:highlight w:val="none"/>
          <w:lang w:eastAsia="zh-CN"/>
        </w:rPr>
      </w:pPr>
      <w:r>
        <w:rPr>
          <w:rFonts w:hint="eastAsia" w:ascii="微软雅黑" w:hAnsi="微软雅黑" w:eastAsia="微软雅黑" w:cs="微软雅黑"/>
          <w:color w:val="auto"/>
          <w:sz w:val="21"/>
          <w:szCs w:val="21"/>
          <w:highlight w:val="none"/>
        </w:rPr>
        <w:t>③</w:t>
      </w:r>
      <w:r>
        <w:rPr>
          <w:rFonts w:hint="eastAsia" w:cs="宋体"/>
          <w:color w:val="auto"/>
          <w:sz w:val="21"/>
          <w:szCs w:val="21"/>
          <w:highlight w:val="none"/>
        </w:rPr>
        <w:t>驻场运维服务</w:t>
      </w:r>
      <w:r>
        <w:rPr>
          <w:rFonts w:hint="eastAsia" w:cs="宋体"/>
          <w:color w:val="auto"/>
          <w:sz w:val="21"/>
          <w:szCs w:val="21"/>
          <w:highlight w:val="none"/>
          <w:lang w:eastAsia="zh-CN"/>
        </w:rPr>
        <w:t>：</w:t>
      </w:r>
      <w:r>
        <w:rPr>
          <w:rFonts w:hint="eastAsia" w:cs="宋体"/>
          <w:color w:val="auto"/>
          <w:sz w:val="21"/>
          <w:szCs w:val="21"/>
          <w:highlight w:val="none"/>
          <w:lang w:val="en-US" w:eastAsia="zh-CN"/>
        </w:rPr>
        <w:t>配备10名</w:t>
      </w:r>
      <w:r>
        <w:rPr>
          <w:rFonts w:hint="eastAsia" w:cs="宋体"/>
          <w:color w:val="auto"/>
          <w:sz w:val="21"/>
          <w:szCs w:val="21"/>
          <w:highlight w:val="none"/>
        </w:rPr>
        <w:t>专业技术人员</w:t>
      </w:r>
      <w:r>
        <w:rPr>
          <w:rFonts w:hint="eastAsia" w:cs="宋体"/>
          <w:color w:val="auto"/>
          <w:sz w:val="21"/>
          <w:szCs w:val="21"/>
          <w:highlight w:val="none"/>
          <w:lang w:val="en-US" w:eastAsia="zh-CN"/>
        </w:rPr>
        <w:t>7</w:t>
      </w:r>
      <w:r>
        <w:rPr>
          <w:rFonts w:hint="default" w:ascii="Arial" w:hAnsi="Arial" w:cs="Arial"/>
          <w:color w:val="auto"/>
          <w:sz w:val="21"/>
          <w:szCs w:val="21"/>
          <w:highlight w:val="none"/>
          <w:lang w:val="en-US" w:eastAsia="zh-CN"/>
        </w:rPr>
        <w:t>×</w:t>
      </w:r>
      <w:r>
        <w:rPr>
          <w:rFonts w:hint="eastAsia" w:cs="宋体"/>
          <w:color w:val="auto"/>
          <w:sz w:val="21"/>
          <w:szCs w:val="21"/>
          <w:highlight w:val="none"/>
          <w:lang w:val="en-US" w:eastAsia="zh-CN"/>
        </w:rPr>
        <w:t>24小时</w:t>
      </w:r>
      <w:r>
        <w:rPr>
          <w:rFonts w:hint="eastAsia" w:cs="宋体"/>
          <w:color w:val="auto"/>
          <w:sz w:val="21"/>
          <w:szCs w:val="21"/>
          <w:highlight w:val="none"/>
        </w:rPr>
        <w:t>驻场</w:t>
      </w:r>
      <w:r>
        <w:rPr>
          <w:rFonts w:hint="eastAsia" w:cs="宋体"/>
          <w:color w:val="auto"/>
          <w:sz w:val="21"/>
          <w:szCs w:val="21"/>
          <w:highlight w:val="none"/>
          <w:lang w:val="en-US" w:eastAsia="zh-CN"/>
        </w:rPr>
        <w:t>运维</w:t>
      </w:r>
      <w:r>
        <w:rPr>
          <w:rFonts w:hint="eastAsia" w:cs="宋体"/>
          <w:color w:val="auto"/>
          <w:sz w:val="21"/>
          <w:szCs w:val="21"/>
          <w:highlight w:val="none"/>
          <w:lang w:eastAsia="zh-CN"/>
        </w:rPr>
        <w:t>，</w:t>
      </w:r>
      <w:r>
        <w:rPr>
          <w:rFonts w:hint="eastAsia" w:cs="宋体"/>
          <w:color w:val="auto"/>
          <w:sz w:val="21"/>
          <w:szCs w:val="21"/>
          <w:highlight w:val="none"/>
        </w:rPr>
        <w:t>含基础设施、安全、网络</w:t>
      </w:r>
      <w:r>
        <w:rPr>
          <w:rFonts w:hint="eastAsia" w:ascii="宋体" w:hAnsi="宋体" w:cs="宋体"/>
          <w:i w:val="0"/>
          <w:iCs w:val="0"/>
          <w:color w:val="auto"/>
          <w:kern w:val="0"/>
          <w:sz w:val="21"/>
          <w:szCs w:val="21"/>
          <w:highlight w:val="none"/>
          <w:u w:val="none"/>
          <w:lang w:val="en-US" w:eastAsia="zh-CN" w:bidi="ar"/>
        </w:rPr>
        <w:t>以及</w:t>
      </w:r>
      <w:r>
        <w:rPr>
          <w:rFonts w:hint="eastAsia" w:ascii="宋体" w:hAnsi="宋体" w:eastAsia="宋体" w:cs="宋体"/>
          <w:i w:val="0"/>
          <w:iCs w:val="0"/>
          <w:color w:val="auto"/>
          <w:kern w:val="0"/>
          <w:sz w:val="21"/>
          <w:szCs w:val="21"/>
          <w:highlight w:val="none"/>
          <w:u w:val="none"/>
          <w:lang w:val="en-US" w:eastAsia="zh-CN" w:bidi="ar"/>
        </w:rPr>
        <w:t>应用系统</w:t>
      </w:r>
      <w:r>
        <w:rPr>
          <w:rFonts w:hint="eastAsia" w:cs="宋体"/>
          <w:color w:val="auto"/>
          <w:sz w:val="21"/>
          <w:szCs w:val="21"/>
          <w:highlight w:val="none"/>
        </w:rPr>
        <w:t>等运维</w:t>
      </w:r>
      <w:r>
        <w:rPr>
          <w:rFonts w:hint="eastAsia" w:ascii="宋体" w:hAnsi="宋体" w:eastAsia="宋体" w:cs="宋体"/>
          <w:i w:val="0"/>
          <w:iCs w:val="0"/>
          <w:color w:val="auto"/>
          <w:kern w:val="0"/>
          <w:sz w:val="21"/>
          <w:szCs w:val="21"/>
          <w:highlight w:val="none"/>
          <w:u w:val="none"/>
          <w:lang w:val="en-US" w:eastAsia="zh-CN" w:bidi="ar"/>
        </w:rPr>
        <w:t>。</w:t>
      </w:r>
    </w:p>
    <w:p w14:paraId="3C26A7EC">
      <w:pPr>
        <w:pStyle w:val="32"/>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微软雅黑" w:hAnsi="微软雅黑" w:eastAsia="微软雅黑" w:cs="微软雅黑"/>
          <w:color w:val="auto"/>
          <w:sz w:val="21"/>
          <w:szCs w:val="21"/>
          <w:highlight w:val="none"/>
        </w:rPr>
        <w:t>④</w:t>
      </w:r>
      <w:r>
        <w:rPr>
          <w:rFonts w:hint="eastAsia" w:cs="宋体"/>
          <w:color w:val="auto"/>
          <w:sz w:val="21"/>
          <w:szCs w:val="21"/>
          <w:highlight w:val="none"/>
        </w:rPr>
        <w:t>系统迁移服务</w:t>
      </w:r>
      <w:r>
        <w:rPr>
          <w:rFonts w:hint="eastAsia" w:cs="宋体"/>
          <w:color w:val="auto"/>
          <w:sz w:val="21"/>
          <w:szCs w:val="21"/>
          <w:highlight w:val="none"/>
          <w:lang w:eastAsia="zh-CN"/>
        </w:rPr>
        <w:t>：</w:t>
      </w:r>
      <w:r>
        <w:rPr>
          <w:rFonts w:hint="eastAsia" w:cs="宋体"/>
          <w:color w:val="auto"/>
          <w:sz w:val="21"/>
          <w:szCs w:val="21"/>
          <w:highlight w:val="none"/>
        </w:rPr>
        <w:t>将云上现有系统完整迁移至本次提供的云服务环境。</w:t>
      </w:r>
    </w:p>
    <w:p w14:paraId="16D146C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中标人</w:t>
      </w:r>
      <w:r>
        <w:rPr>
          <w:rFonts w:hint="eastAsia" w:ascii="宋体" w:hAnsi="宋体" w:eastAsia="宋体" w:cs="宋体"/>
          <w:color w:val="auto"/>
          <w:sz w:val="21"/>
          <w:szCs w:val="21"/>
          <w:highlight w:val="none"/>
        </w:rPr>
        <w:t>提供的政务云设施应满足</w:t>
      </w:r>
      <w:r>
        <w:rPr>
          <w:rFonts w:hint="eastAsia" w:ascii="宋体" w:hAnsi="宋体" w:eastAsia="宋体" w:cs="宋体"/>
          <w:color w:val="auto"/>
          <w:sz w:val="21"/>
          <w:szCs w:val="21"/>
          <w:highlight w:val="none"/>
          <w:lang w:val="en-US" w:eastAsia="zh-CN"/>
        </w:rPr>
        <w:t>《国家电子政务外网运行管理办法》政务外网〔2026〕2号</w:t>
      </w:r>
      <w:r>
        <w:rPr>
          <w:rFonts w:hint="eastAsia" w:ascii="宋体" w:hAnsi="宋体" w:eastAsia="宋体" w:cs="宋体"/>
          <w:color w:val="auto"/>
          <w:sz w:val="21"/>
          <w:szCs w:val="21"/>
          <w:highlight w:val="none"/>
        </w:rPr>
        <w:t>以及</w:t>
      </w:r>
      <w:r>
        <w:rPr>
          <w:rFonts w:hint="eastAsia" w:ascii="宋体" w:hAnsi="宋体" w:eastAsia="宋体" w:cs="宋体"/>
          <w:color w:val="auto"/>
          <w:sz w:val="21"/>
          <w:szCs w:val="21"/>
          <w:highlight w:val="none"/>
          <w:lang w:eastAsia="zh-CN"/>
        </w:rPr>
        <w:t>《云计算</w:t>
      </w: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lang w:eastAsia="zh-CN"/>
        </w:rPr>
        <w:t>安全评估办法》</w:t>
      </w:r>
      <w:r>
        <w:rPr>
          <w:rFonts w:hint="eastAsia" w:ascii="宋体" w:hAnsi="宋体" w:eastAsia="宋体" w:cs="宋体"/>
          <w:color w:val="auto"/>
          <w:sz w:val="21"/>
          <w:szCs w:val="21"/>
          <w:highlight w:val="none"/>
        </w:rPr>
        <w:t>的要求。</w:t>
      </w:r>
      <w:r>
        <w:rPr>
          <w:rFonts w:hint="eastAsia" w:ascii="宋体" w:hAnsi="宋体" w:eastAsia="宋体" w:cs="宋体"/>
          <w:color w:val="auto"/>
          <w:sz w:val="21"/>
          <w:szCs w:val="21"/>
          <w:highlight w:val="none"/>
          <w:lang w:val="en-US" w:eastAsia="zh-CN"/>
        </w:rPr>
        <w:t>中标人</w:t>
      </w:r>
      <w:r>
        <w:rPr>
          <w:rFonts w:hint="eastAsia" w:ascii="宋体" w:hAnsi="宋体" w:eastAsia="宋体" w:cs="宋体"/>
          <w:color w:val="auto"/>
          <w:sz w:val="21"/>
          <w:szCs w:val="21"/>
          <w:highlight w:val="none"/>
        </w:rPr>
        <w:t>按《信息安全技术</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网络安全等级保护基本要求》（GB/T22239-2019）三级等级保护要求，提供边界防护（防火墙）、入侵检测、Web</w:t>
      </w:r>
      <w:r>
        <w:rPr>
          <w:rFonts w:hint="eastAsia" w:ascii="宋体" w:hAnsi="宋体" w:eastAsia="宋体" w:cs="宋体"/>
          <w:color w:val="auto"/>
          <w:sz w:val="21"/>
          <w:szCs w:val="21"/>
          <w:highlight w:val="none"/>
          <w:lang w:eastAsia="zh-CN"/>
        </w:rPr>
        <w:t>应用</w:t>
      </w:r>
      <w:r>
        <w:rPr>
          <w:rFonts w:hint="eastAsia" w:ascii="宋体" w:hAnsi="宋体" w:eastAsia="宋体" w:cs="宋体"/>
          <w:color w:val="auto"/>
          <w:sz w:val="21"/>
          <w:szCs w:val="21"/>
          <w:highlight w:val="none"/>
        </w:rPr>
        <w:t>防护</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WAF</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、DDoS防护、流量管控、威胁分析</w:t>
      </w:r>
      <w:r>
        <w:rPr>
          <w:rFonts w:hint="eastAsia" w:ascii="宋体" w:hAnsi="宋体" w:eastAsia="宋体" w:cs="宋体"/>
          <w:color w:val="auto"/>
          <w:sz w:val="21"/>
          <w:szCs w:val="21"/>
          <w:highlight w:val="none"/>
          <w:lang w:eastAsia="zh-CN"/>
        </w:rPr>
        <w:t>及</w:t>
      </w:r>
      <w:r>
        <w:rPr>
          <w:rFonts w:hint="eastAsia" w:ascii="宋体" w:hAnsi="宋体" w:eastAsia="宋体" w:cs="宋体"/>
          <w:color w:val="auto"/>
          <w:sz w:val="21"/>
          <w:szCs w:val="21"/>
          <w:highlight w:val="none"/>
        </w:rPr>
        <w:t>隐患排查</w:t>
      </w:r>
      <w:r>
        <w:rPr>
          <w:rFonts w:hint="eastAsia" w:ascii="宋体" w:hAnsi="宋体" w:eastAsia="宋体" w:cs="宋体"/>
          <w:color w:val="auto"/>
          <w:sz w:val="21"/>
          <w:szCs w:val="21"/>
          <w:highlight w:val="none"/>
          <w:lang w:eastAsia="zh-CN"/>
        </w:rPr>
        <w:t>等基础安全防护服务，满足等保三级中安全通信网络、安全区域边界、安全计算环境等云计算安全扩展要求</w:t>
      </w:r>
      <w:r>
        <w:rPr>
          <w:rFonts w:hint="eastAsia" w:ascii="宋体" w:hAnsi="宋体" w:eastAsia="宋体" w:cs="宋体"/>
          <w:color w:val="auto"/>
          <w:sz w:val="21"/>
          <w:szCs w:val="21"/>
          <w:highlight w:val="none"/>
        </w:rPr>
        <w:t>。</w:t>
      </w:r>
    </w:p>
    <w:p w14:paraId="7FDFE68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中标人</w:t>
      </w:r>
      <w:r>
        <w:rPr>
          <w:rFonts w:hint="eastAsia" w:ascii="宋体" w:hAnsi="宋体" w:eastAsia="宋体" w:cs="宋体"/>
          <w:color w:val="auto"/>
          <w:sz w:val="21"/>
          <w:szCs w:val="21"/>
          <w:highlight w:val="none"/>
        </w:rPr>
        <w:t>提供的云基础设施</w:t>
      </w:r>
      <w:r>
        <w:rPr>
          <w:rFonts w:hint="eastAsia" w:ascii="宋体" w:hAnsi="宋体" w:eastAsia="宋体" w:cs="宋体"/>
          <w:color w:val="auto"/>
          <w:sz w:val="21"/>
          <w:szCs w:val="21"/>
          <w:highlight w:val="none"/>
          <w:lang w:eastAsia="zh-CN"/>
        </w:rPr>
        <w:t>及配套的基础软件</w:t>
      </w:r>
      <w:r>
        <w:rPr>
          <w:rFonts w:hint="eastAsia" w:ascii="宋体" w:hAnsi="宋体" w:eastAsia="宋体" w:cs="宋体"/>
          <w:color w:val="auto"/>
          <w:sz w:val="21"/>
          <w:szCs w:val="21"/>
          <w:highlight w:val="none"/>
        </w:rPr>
        <w:t>（包括服务器操作系统、虚拟化平台、数据库软件、中间件、安全软件及相关工具等）均</w:t>
      </w:r>
      <w:r>
        <w:rPr>
          <w:rFonts w:hint="eastAsia" w:ascii="宋体" w:hAnsi="宋体" w:eastAsia="宋体" w:cs="宋体"/>
          <w:color w:val="auto"/>
          <w:sz w:val="21"/>
          <w:szCs w:val="21"/>
          <w:highlight w:val="none"/>
          <w:lang w:eastAsia="zh-CN"/>
        </w:rPr>
        <w:t>须</w:t>
      </w:r>
      <w:r>
        <w:rPr>
          <w:rFonts w:hint="eastAsia" w:ascii="宋体" w:hAnsi="宋体" w:eastAsia="宋体" w:cs="宋体"/>
          <w:color w:val="auto"/>
          <w:sz w:val="21"/>
          <w:szCs w:val="21"/>
          <w:highlight w:val="none"/>
        </w:rPr>
        <w:t>为正版授权软件，</w:t>
      </w:r>
      <w:r>
        <w:rPr>
          <w:rFonts w:hint="eastAsia" w:ascii="宋体" w:hAnsi="宋体" w:eastAsia="宋体" w:cs="宋体"/>
          <w:color w:val="auto"/>
          <w:sz w:val="21"/>
          <w:szCs w:val="21"/>
          <w:highlight w:val="none"/>
          <w:lang w:val="en-US" w:eastAsia="zh-CN"/>
        </w:rPr>
        <w:t>且在授权有效期内，</w:t>
      </w:r>
      <w:r>
        <w:rPr>
          <w:rFonts w:hint="eastAsia" w:ascii="宋体" w:hAnsi="宋体" w:eastAsia="宋体" w:cs="宋体"/>
          <w:color w:val="auto"/>
          <w:sz w:val="21"/>
          <w:szCs w:val="21"/>
          <w:highlight w:val="none"/>
        </w:rPr>
        <w:t>并拥有合法、有效、完备的授权证明文件。</w:t>
      </w:r>
      <w:r>
        <w:rPr>
          <w:rFonts w:hint="eastAsia" w:ascii="宋体" w:hAnsi="宋体" w:eastAsia="宋体" w:cs="宋体"/>
          <w:color w:val="auto"/>
          <w:sz w:val="21"/>
          <w:szCs w:val="21"/>
          <w:highlight w:val="none"/>
          <w:lang w:val="en-US" w:eastAsia="zh-CN"/>
        </w:rPr>
        <w:t>中标人</w:t>
      </w:r>
      <w:r>
        <w:rPr>
          <w:rFonts w:hint="eastAsia" w:ascii="宋体" w:hAnsi="宋体" w:eastAsia="宋体" w:cs="宋体"/>
          <w:color w:val="auto"/>
          <w:sz w:val="21"/>
          <w:szCs w:val="21"/>
          <w:highlight w:val="none"/>
        </w:rPr>
        <w:t>确保所有软件的使用方式（包括授权范围、用户数量、使用期限等）严格符合软件许可协议规定，满足政务系统安全、合规及持续运行要求。</w:t>
      </w:r>
    </w:p>
    <w:p w14:paraId="345BB34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b w:val="0"/>
          <w:bCs w:val="0"/>
          <w:color w:val="auto"/>
          <w:sz w:val="21"/>
          <w:szCs w:val="21"/>
          <w:highlight w:val="none"/>
          <w:lang w:bidi="ar"/>
        </w:rPr>
      </w:pPr>
      <w:r>
        <w:rPr>
          <w:rFonts w:hint="eastAsia" w:ascii="宋体" w:hAnsi="宋体" w:eastAsia="宋体" w:cs="宋体"/>
          <w:color w:val="auto"/>
          <w:sz w:val="21"/>
          <w:szCs w:val="21"/>
          <w:highlight w:val="none"/>
          <w:lang w:val="en-US" w:eastAsia="zh-CN"/>
        </w:rPr>
        <w:t>中标人</w:t>
      </w:r>
      <w:r>
        <w:rPr>
          <w:rFonts w:hint="eastAsia" w:ascii="宋体" w:hAnsi="宋体" w:eastAsia="宋体" w:cs="宋体"/>
          <w:color w:val="auto"/>
          <w:sz w:val="21"/>
          <w:szCs w:val="21"/>
          <w:highlight w:val="none"/>
        </w:rPr>
        <w:t>充分利用已有基础设施，按</w:t>
      </w:r>
      <w:r>
        <w:rPr>
          <w:rFonts w:hint="eastAsia" w:ascii="宋体" w:hAnsi="宋体" w:eastAsia="宋体" w:cs="宋体"/>
          <w:color w:val="auto"/>
          <w:sz w:val="21"/>
          <w:szCs w:val="21"/>
          <w:highlight w:val="none"/>
          <w:lang w:eastAsia="zh-CN"/>
        </w:rPr>
        <w:t>国家及自治区</w:t>
      </w:r>
      <w:r>
        <w:rPr>
          <w:rFonts w:hint="eastAsia" w:ascii="宋体" w:hAnsi="宋体" w:eastAsia="宋体" w:cs="宋体"/>
          <w:color w:val="auto"/>
          <w:sz w:val="21"/>
          <w:szCs w:val="21"/>
          <w:highlight w:val="none"/>
        </w:rPr>
        <w:t>要求建设现有政务云，按照国家和自治区对政务云相关安全要求定期开展相关测评、评估；通过专线与</w:t>
      </w:r>
      <w:r>
        <w:rPr>
          <w:rFonts w:hint="eastAsia" w:ascii="宋体" w:hAnsi="宋体" w:eastAsia="宋体" w:cs="宋体"/>
          <w:color w:val="auto"/>
          <w:sz w:val="21"/>
          <w:szCs w:val="21"/>
          <w:highlight w:val="none"/>
          <w:lang w:val="en-US" w:eastAsia="zh-CN"/>
        </w:rPr>
        <w:t>防城港</w:t>
      </w:r>
      <w:r>
        <w:rPr>
          <w:rFonts w:hint="eastAsia" w:ascii="宋体" w:hAnsi="宋体" w:eastAsia="宋体" w:cs="宋体"/>
          <w:color w:val="auto"/>
          <w:sz w:val="21"/>
          <w:szCs w:val="21"/>
          <w:highlight w:val="none"/>
        </w:rPr>
        <w:t>市电子政务外网联通，通过多云共治平台纳入广西政务云统一管理；接受</w:t>
      </w:r>
      <w:r>
        <w:rPr>
          <w:rFonts w:hint="eastAsia" w:ascii="宋体" w:hAnsi="宋体" w:eastAsia="宋体" w:cs="宋体"/>
          <w:color w:val="auto"/>
          <w:sz w:val="21"/>
          <w:szCs w:val="21"/>
          <w:highlight w:val="none"/>
          <w:lang w:val="en-US" w:eastAsia="zh-CN"/>
        </w:rPr>
        <w:t>防城港</w:t>
      </w:r>
      <w:r>
        <w:rPr>
          <w:rFonts w:hint="eastAsia" w:ascii="宋体" w:hAnsi="宋体" w:eastAsia="宋体" w:cs="宋体"/>
          <w:color w:val="auto"/>
          <w:sz w:val="21"/>
          <w:szCs w:val="21"/>
          <w:highlight w:val="none"/>
        </w:rPr>
        <w:t>市政务云管理部门的统一服务考核</w:t>
      </w:r>
      <w:r>
        <w:rPr>
          <w:rFonts w:hint="eastAsia" w:ascii="宋体" w:hAnsi="宋体" w:cs="宋体"/>
          <w:color w:val="auto"/>
          <w:sz w:val="21"/>
          <w:szCs w:val="21"/>
          <w:highlight w:val="none"/>
          <w:lang w:eastAsia="zh-CN"/>
        </w:rPr>
        <w:t>。</w:t>
      </w:r>
    </w:p>
    <w:p w14:paraId="717B8C9F">
      <w:pPr>
        <w:pStyle w:val="4"/>
        <w:keepNext/>
        <w:keepLines/>
        <w:pageBreakBefore w:val="0"/>
        <w:widowControl w:val="0"/>
        <w:numPr>
          <w:ilvl w:val="0"/>
          <w:numId w:val="0"/>
        </w:numPr>
        <w:tabs>
          <w:tab w:val="left" w:pos="0"/>
        </w:tabs>
        <w:kinsoku/>
        <w:wordWrap/>
        <w:overflowPunct/>
        <w:topLinePunct w:val="0"/>
        <w:autoSpaceDE w:val="0"/>
        <w:autoSpaceDN w:val="0"/>
        <w:bidi w:val="0"/>
        <w:adjustRightInd w:val="0"/>
        <w:snapToGrid/>
        <w:spacing w:before="0" w:after="0" w:line="360" w:lineRule="auto"/>
        <w:ind w:firstLine="562" w:firstLineChars="200"/>
        <w:jc w:val="left"/>
        <w:textAlignment w:val="auto"/>
        <w:rPr>
          <w:rFonts w:hint="eastAsia" w:ascii="宋体" w:hAnsi="宋体" w:eastAsia="宋体" w:cs="宋体"/>
          <w:color w:val="auto"/>
          <w:sz w:val="28"/>
          <w:szCs w:val="28"/>
          <w:highlight w:val="none"/>
          <w:lang w:val="en-US" w:eastAsia="zh-CN"/>
        </w:rPr>
      </w:pPr>
      <w:bookmarkStart w:id="35" w:name="_Toc72067036_WPSOffice_Level2"/>
      <w:bookmarkStart w:id="36" w:name="_Toc1618338872_WPSOffice_Level2"/>
      <w:r>
        <w:rPr>
          <w:rFonts w:hint="eastAsia" w:ascii="宋体" w:hAnsi="宋体" w:eastAsia="宋体" w:cs="宋体"/>
          <w:color w:val="auto"/>
          <w:sz w:val="28"/>
          <w:szCs w:val="28"/>
          <w:highlight w:val="none"/>
          <w:lang w:val="en-US" w:eastAsia="zh-CN"/>
        </w:rPr>
        <w:t>（三）云平台服务</w:t>
      </w:r>
      <w:bookmarkEnd w:id="35"/>
      <w:bookmarkEnd w:id="36"/>
    </w:p>
    <w:p w14:paraId="4C721968">
      <w:pPr>
        <w:pageBreakBefore w:val="0"/>
        <w:widowControl w:val="0"/>
        <w:kinsoku/>
        <w:wordWrap/>
        <w:overflowPunct/>
        <w:topLinePunct w:val="0"/>
        <w:bidi w:val="0"/>
        <w:snapToGrid/>
        <w:spacing w:line="360" w:lineRule="exact"/>
        <w:ind w:firstLine="420" w:firstLineChars="200"/>
        <w:textAlignment w:val="auto"/>
        <w:rPr>
          <w:rFonts w:hint="default"/>
          <w:color w:val="auto"/>
          <w:highlight w:val="none"/>
          <w:lang w:val="en-US" w:eastAsia="zh-CN"/>
        </w:rPr>
      </w:pPr>
      <w:r>
        <w:rPr>
          <w:rFonts w:hint="default"/>
          <w:color w:val="auto"/>
          <w:highlight w:val="none"/>
          <w:lang w:val="en-US" w:eastAsia="zh-CN"/>
        </w:rPr>
        <w:t>本项目采购政务云平台相关服务，中标人须</w:t>
      </w:r>
      <w:r>
        <w:rPr>
          <w:rFonts w:hint="eastAsia"/>
          <w:color w:val="auto"/>
          <w:highlight w:val="none"/>
          <w:lang w:val="en-US" w:eastAsia="zh-CN"/>
        </w:rPr>
        <w:t>严格遵循“统一申请、统一分配、统一调度、统一监测、统一考核”的政务云资源管理</w:t>
      </w:r>
      <w:r>
        <w:rPr>
          <w:rFonts w:hint="default"/>
          <w:color w:val="auto"/>
          <w:highlight w:val="none"/>
          <w:lang w:val="en-US" w:eastAsia="zh-CN"/>
        </w:rPr>
        <w:t>服务体系，提供合规完善的政务云平台服务。本次</w:t>
      </w:r>
      <w:r>
        <w:rPr>
          <w:rFonts w:hint="eastAsia"/>
          <w:color w:val="auto"/>
          <w:highlight w:val="none"/>
          <w:lang w:val="en-US" w:eastAsia="zh-CN"/>
        </w:rPr>
        <w:t>云平台</w:t>
      </w:r>
      <w:r>
        <w:rPr>
          <w:rFonts w:hint="default"/>
          <w:color w:val="auto"/>
          <w:highlight w:val="none"/>
          <w:lang w:val="en-US" w:eastAsia="zh-CN"/>
        </w:rPr>
        <w:t>服务</w:t>
      </w:r>
      <w:r>
        <w:rPr>
          <w:rFonts w:hint="eastAsia"/>
          <w:color w:val="auto"/>
          <w:highlight w:val="none"/>
          <w:lang w:val="en-US" w:eastAsia="zh-CN"/>
        </w:rPr>
        <w:t>的</w:t>
      </w:r>
      <w:r>
        <w:rPr>
          <w:rFonts w:hint="default"/>
          <w:color w:val="auto"/>
          <w:highlight w:val="none"/>
          <w:lang w:val="en-US" w:eastAsia="zh-CN"/>
        </w:rPr>
        <w:t>核心</w:t>
      </w:r>
      <w:r>
        <w:rPr>
          <w:rFonts w:hint="eastAsia"/>
          <w:color w:val="auto"/>
          <w:highlight w:val="none"/>
          <w:lang w:val="en-US" w:eastAsia="zh-CN"/>
        </w:rPr>
        <w:t>内容包括云平台架构、云平台整体要求、</w:t>
      </w:r>
      <w:r>
        <w:rPr>
          <w:rFonts w:hint="default"/>
          <w:color w:val="auto"/>
          <w:highlight w:val="none"/>
          <w:lang w:val="en-US" w:eastAsia="zh-CN"/>
        </w:rPr>
        <w:t>计算资源池、存储资源池、网络资源池、安全资源池（安全服务）、机房服务与灾备服务</w:t>
      </w:r>
      <w:r>
        <w:rPr>
          <w:rFonts w:hint="eastAsia"/>
          <w:color w:val="auto"/>
          <w:highlight w:val="none"/>
          <w:lang w:val="en-US" w:eastAsia="zh-CN"/>
        </w:rPr>
        <w:t>等</w:t>
      </w:r>
      <w:r>
        <w:rPr>
          <w:rFonts w:hint="default"/>
          <w:color w:val="auto"/>
          <w:highlight w:val="none"/>
          <w:lang w:val="en-US" w:eastAsia="zh-CN"/>
        </w:rPr>
        <w:t>，完整覆盖计算、存储、网络、数据备份等基础资源池配套服务内容；整体架构搭建、网络承载部署、安全配置落实、资源调度管理、常态化运维保障等全项工作，均需全面符合网络安全等级保护三级建设规范要求。中标人需依托全品类云资源，支撑各政务业务系统平稳部署、上线及常态化运行，并按照统一运维、统一安全监管要求，按需提供资源弹性调度、日常运维、故障处置、数据备份保障等全生命周期云服务，切实保障政务业务资源供给稳定、业务协同顺畅、数据存储安全可靠。</w:t>
      </w:r>
      <w:r>
        <w:rPr>
          <w:rFonts w:hint="default" w:ascii="宋体" w:hAnsi="宋体" w:eastAsia="宋体" w:cs="宋体"/>
          <w:b w:val="0"/>
          <w:bCs w:val="0"/>
          <w:i w:val="0"/>
          <w:iCs w:val="0"/>
          <w:color w:val="auto"/>
          <w:kern w:val="2"/>
          <w:sz w:val="21"/>
          <w:szCs w:val="21"/>
          <w:highlight w:val="none"/>
          <w:vertAlign w:val="baseline"/>
          <w:lang w:val="en-US" w:eastAsia="zh-CN" w:bidi="ar-SA"/>
        </w:rPr>
        <w:t>建设政务云平台所用设备为政务云专用，未经许可，不得提供给其他用户使用</w:t>
      </w:r>
      <w:r>
        <w:rPr>
          <w:rFonts w:hint="eastAsia" w:ascii="宋体" w:hAnsi="宋体" w:cs="宋体"/>
          <w:b w:val="0"/>
          <w:bCs w:val="0"/>
          <w:i w:val="0"/>
          <w:iCs w:val="0"/>
          <w:color w:val="auto"/>
          <w:kern w:val="2"/>
          <w:sz w:val="21"/>
          <w:szCs w:val="21"/>
          <w:highlight w:val="none"/>
          <w:vertAlign w:val="baseline"/>
          <w:lang w:val="en-US" w:eastAsia="zh-CN" w:bidi="ar-SA"/>
        </w:rPr>
        <w:t>。</w:t>
      </w:r>
    </w:p>
    <w:p w14:paraId="0234B2B7">
      <w:pPr>
        <w:pStyle w:val="32"/>
        <w:pageBreakBefore w:val="0"/>
        <w:widowControl w:val="0"/>
        <w:kinsoku/>
        <w:wordWrap/>
        <w:overflowPunct/>
        <w:topLinePunct w:val="0"/>
        <w:bidi w:val="0"/>
        <w:snapToGrid/>
        <w:spacing w:line="360" w:lineRule="exact"/>
        <w:ind w:firstLine="422" w:firstLineChars="200"/>
        <w:textAlignment w:val="auto"/>
        <w:rPr>
          <w:rFonts w:hint="eastAsia" w:eastAsia="宋体" w:cs="宋体"/>
          <w:b/>
          <w:color w:val="auto"/>
          <w:sz w:val="21"/>
          <w:szCs w:val="21"/>
          <w:highlight w:val="none"/>
        </w:rPr>
      </w:pPr>
      <w:r>
        <w:rPr>
          <w:rFonts w:hint="eastAsia" w:eastAsia="宋体" w:cs="宋体"/>
          <w:b/>
          <w:color w:val="auto"/>
          <w:sz w:val="21"/>
          <w:szCs w:val="21"/>
          <w:highlight w:val="none"/>
          <w:lang w:val="en-US" w:eastAsia="zh-CN"/>
        </w:rPr>
        <w:t>1.</w:t>
      </w:r>
      <w:r>
        <w:rPr>
          <w:rFonts w:hint="eastAsia" w:eastAsia="宋体" w:cs="宋体"/>
          <w:b/>
          <w:color w:val="auto"/>
          <w:sz w:val="21"/>
          <w:szCs w:val="21"/>
          <w:highlight w:val="none"/>
        </w:rPr>
        <w:t>云平台架构</w:t>
      </w:r>
    </w:p>
    <w:p w14:paraId="0E0395E4">
      <w:pPr>
        <w:pageBreakBefore w:val="0"/>
        <w:widowControl w:val="0"/>
        <w:kinsoku/>
        <w:wordWrap/>
        <w:overflowPunct/>
        <w:topLinePunct w:val="0"/>
        <w:bidi w:val="0"/>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防城港市政务云云平台应采用开放及兼容的云计算技术路线，通过软件定义技术及服务封装提供政务云服务</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采用云计算技术构建统一的IaaS层服务，为上层提供敏捷、可靠、安全、弹性的IT基础设施服务</w:t>
      </w:r>
      <w:r>
        <w:rPr>
          <w:rFonts w:hint="eastAsia" w:ascii="宋体" w:hAnsi="宋体" w:eastAsia="宋体" w:cs="宋体"/>
          <w:color w:val="auto"/>
          <w:sz w:val="21"/>
          <w:szCs w:val="21"/>
          <w:highlight w:val="none"/>
          <w:lang w:eastAsia="zh-CN"/>
        </w:rPr>
        <w:t>（涵盖</w:t>
      </w:r>
      <w:r>
        <w:rPr>
          <w:rFonts w:hint="eastAsia" w:ascii="宋体" w:hAnsi="宋体" w:eastAsia="宋体" w:cs="宋体"/>
          <w:color w:val="auto"/>
          <w:sz w:val="21"/>
          <w:szCs w:val="21"/>
          <w:highlight w:val="none"/>
          <w:lang w:val="en-US" w:eastAsia="zh-CN"/>
        </w:rPr>
        <w:t>IaaS、PaaS、DaaS、SaaS的连续体全栈支撑能力</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；云平台包括统一管理、计算、存储、网络</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安全、机房、灾备</w:t>
      </w:r>
      <w:r>
        <w:rPr>
          <w:rFonts w:hint="eastAsia" w:ascii="宋体" w:hAnsi="宋体" w:eastAsia="宋体" w:cs="宋体"/>
          <w:color w:val="auto"/>
          <w:sz w:val="21"/>
          <w:szCs w:val="21"/>
          <w:highlight w:val="none"/>
        </w:rPr>
        <w:t>等服务，具备运营系统，完善的服务目录，平台系统管理功能，大屏展示功能；支持对平台上所有的资源变更情况记录审计日志，支持按照变更时间图形化展示。</w:t>
      </w:r>
    </w:p>
    <w:p w14:paraId="0449BC06">
      <w:pPr>
        <w:numPr>
          <w:ilvl w:val="0"/>
          <w:numId w:val="0"/>
        </w:numPr>
        <w:spacing w:line="380" w:lineRule="exact"/>
        <w:ind w:firstLine="420" w:firstLineChars="200"/>
        <w:jc w:val="both"/>
        <w:rPr>
          <w:rFonts w:hint="eastAsia" w:ascii="宋体" w:hAnsi="宋体" w:eastAsia="宋体" w:cs="宋体"/>
          <w:b w:val="0"/>
          <w:bCs w:val="0"/>
          <w:i w:val="0"/>
          <w:iCs w:val="0"/>
          <w:color w:val="auto"/>
          <w:kern w:val="2"/>
          <w:sz w:val="21"/>
          <w:szCs w:val="21"/>
          <w:highlight w:val="none"/>
          <w:vertAlign w:val="baseline"/>
          <w:lang w:val="en-US" w:eastAsia="zh-CN" w:bidi="ar-SA"/>
        </w:rPr>
      </w:pPr>
      <w:r>
        <w:rPr>
          <w:rFonts w:hint="eastAsia" w:ascii="宋体" w:hAnsi="宋体" w:eastAsia="宋体" w:cs="宋体"/>
          <w:b w:val="0"/>
          <w:bCs w:val="0"/>
          <w:i w:val="0"/>
          <w:iCs w:val="0"/>
          <w:color w:val="auto"/>
          <w:kern w:val="2"/>
          <w:sz w:val="21"/>
          <w:szCs w:val="21"/>
          <w:highlight w:val="none"/>
          <w:vertAlign w:val="baseline"/>
          <w:lang w:val="en-US" w:eastAsia="zh-CN" w:bidi="ar-SA"/>
        </w:rPr>
        <w:t>（1）云平台</w:t>
      </w:r>
    </w:p>
    <w:p w14:paraId="0F146095">
      <w:pPr>
        <w:pageBreakBefore w:val="0"/>
        <w:widowControl w:val="0"/>
        <w:kinsoku/>
        <w:wordWrap/>
        <w:overflowPunct/>
        <w:topLinePunct w:val="0"/>
        <w:bidi w:val="0"/>
        <w:snapToGrid/>
        <w:spacing w:line="360" w:lineRule="exact"/>
        <w:ind w:firstLine="420" w:firstLineChars="200"/>
        <w:textAlignment w:val="auto"/>
        <w:rPr>
          <w:rFonts w:hint="eastAsia"/>
          <w:color w:val="auto"/>
          <w:highlight w:val="none"/>
          <w:lang w:val="en-US" w:eastAsia="zh-CN"/>
        </w:rPr>
      </w:pPr>
      <w:r>
        <w:rPr>
          <w:rFonts w:hint="eastAsia" w:ascii="宋体" w:hAnsi="宋体" w:eastAsia="宋体" w:cs="宋体"/>
          <w:color w:val="auto"/>
          <w:sz w:val="21"/>
          <w:szCs w:val="21"/>
          <w:highlight w:val="none"/>
          <w:lang w:val="en-US"/>
        </w:rPr>
        <w:t>具备高可靠分布式架构与冗余备份能力，平台可用性不低于99.99%，系统运行平稳流畅，故障率低、抗干扰性强，可 7×24 小时不间断稳定运转，有效规避卡顿、宕机、闪退等问题，全面保障各类政务业务数据流转与日常办公服务持续高效正常开展。</w:t>
      </w:r>
    </w:p>
    <w:p w14:paraId="002AA8A5">
      <w:pPr>
        <w:spacing w:line="380" w:lineRule="exact"/>
        <w:ind w:firstLine="420" w:firstLineChars="200"/>
        <w:jc w:val="both"/>
        <w:rPr>
          <w:color w:val="auto"/>
          <w:highlight w:val="none"/>
        </w:rPr>
      </w:pPr>
      <w:r>
        <w:rPr>
          <w:rFonts w:hint="default" w:ascii="宋体" w:hAnsi="宋体" w:eastAsia="宋体" w:cs="宋体"/>
          <w:b w:val="0"/>
          <w:bCs w:val="0"/>
          <w:i w:val="0"/>
          <w:iCs w:val="0"/>
          <w:color w:val="auto"/>
          <w:kern w:val="2"/>
          <w:sz w:val="21"/>
          <w:szCs w:val="21"/>
          <w:highlight w:val="none"/>
          <w:vertAlign w:val="baseline"/>
          <w:lang w:val="en-US" w:eastAsia="zh-CN" w:bidi="ar-SA"/>
        </w:rPr>
        <w:t>①采用开放性和异构兼容的技术架构。</w:t>
      </w:r>
      <w:r>
        <w:rPr>
          <w:rFonts w:hint="eastAsia" w:ascii="宋体" w:hAnsi="宋体" w:eastAsia="宋体" w:cs="宋体"/>
          <w:color w:val="auto"/>
          <w:sz w:val="21"/>
          <w:szCs w:val="21"/>
          <w:highlight w:val="none"/>
          <w:lang w:val="en-US"/>
        </w:rPr>
        <w:t>平台需要采用开放及兼容的云计算技术路线</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rPr>
        <w:t>通过软件定义技术及服务封装提供政务云服务</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rPr>
        <w:t>针对计算、存储、网络、安全等基础资源，提供持续稳定的运行环境，统一易用的管理平台，屏蔽底层技术难度，标准化对外接口。</w:t>
      </w:r>
      <w:r>
        <w:rPr>
          <w:rFonts w:hint="default" w:ascii="宋体" w:hAnsi="宋体" w:eastAsia="宋体" w:cs="宋体"/>
          <w:b w:val="0"/>
          <w:bCs w:val="0"/>
          <w:i w:val="0"/>
          <w:iCs w:val="0"/>
          <w:color w:val="auto"/>
          <w:kern w:val="2"/>
          <w:sz w:val="21"/>
          <w:szCs w:val="21"/>
          <w:highlight w:val="none"/>
          <w:vertAlign w:val="baseline"/>
          <w:lang w:val="en-US" w:eastAsia="zh-CN" w:bidi="ar-SA"/>
        </w:rPr>
        <w:t>云平台能够支撑当前市场主流的操作系统和数据库产品，采用主流技术框架。</w:t>
      </w:r>
    </w:p>
    <w:p w14:paraId="140352EE">
      <w:pPr>
        <w:spacing w:line="380" w:lineRule="exact"/>
        <w:ind w:firstLine="420" w:firstLineChars="200"/>
        <w:jc w:val="both"/>
        <w:rPr>
          <w:color w:val="auto"/>
          <w:highlight w:val="none"/>
        </w:rPr>
      </w:pPr>
      <w:r>
        <w:rPr>
          <w:rFonts w:hint="default" w:ascii="宋体" w:hAnsi="宋体" w:eastAsia="宋体" w:cs="宋体"/>
          <w:b w:val="0"/>
          <w:bCs w:val="0"/>
          <w:i w:val="0"/>
          <w:iCs w:val="0"/>
          <w:color w:val="auto"/>
          <w:kern w:val="2"/>
          <w:sz w:val="21"/>
          <w:szCs w:val="21"/>
          <w:highlight w:val="none"/>
          <w:vertAlign w:val="baseline"/>
          <w:lang w:val="en-US" w:eastAsia="zh-CN" w:bidi="ar-SA"/>
        </w:rPr>
        <w:t>②DRS动态资源调度能力，具备资源动态调整机制并提供相应资源的监控手段，根据业务系统运行情况进行资源的动态调整。持续不断地监控计算资源池的各物理主机的利用率，根据用户业务的实际需要，通过自动的动态分配和平衡计算资源，智能地在集群内的各宿主机间给虚拟机分配所需的计算资源，自动并持续地平衡计算资源池中的容量，可以动态的将虚拟机迁移到有更多可用计算资源的主机上。</w:t>
      </w:r>
    </w:p>
    <w:p w14:paraId="7DAC86E4">
      <w:pPr>
        <w:spacing w:line="380" w:lineRule="exact"/>
        <w:ind w:firstLine="420" w:firstLineChars="200"/>
        <w:jc w:val="both"/>
        <w:rPr>
          <w:color w:val="auto"/>
          <w:highlight w:val="none"/>
        </w:rPr>
      </w:pPr>
      <w:r>
        <w:rPr>
          <w:rFonts w:hint="eastAsia" w:ascii="汉仪书宋二S" w:hAnsi="汉仪书宋二S" w:eastAsia="汉仪书宋二S" w:cs="汉仪书宋二S"/>
          <w:b w:val="0"/>
          <w:bCs w:val="0"/>
          <w:i w:val="0"/>
          <w:iCs w:val="0"/>
          <w:color w:val="auto"/>
          <w:kern w:val="2"/>
          <w:sz w:val="21"/>
          <w:szCs w:val="21"/>
          <w:highlight w:val="none"/>
          <w:vertAlign w:val="baseline"/>
          <w:lang w:val="en-US" w:eastAsia="zh-CN" w:bidi="ar-SA"/>
        </w:rPr>
        <w:t>③</w:t>
      </w:r>
      <w:r>
        <w:rPr>
          <w:rFonts w:hint="default" w:ascii="宋体" w:hAnsi="宋体" w:eastAsia="宋体" w:cs="宋体"/>
          <w:b w:val="0"/>
          <w:bCs w:val="0"/>
          <w:i w:val="0"/>
          <w:iCs w:val="0"/>
          <w:color w:val="auto"/>
          <w:kern w:val="2"/>
          <w:sz w:val="21"/>
          <w:szCs w:val="21"/>
          <w:highlight w:val="none"/>
          <w:vertAlign w:val="baseline"/>
          <w:lang w:val="en-US" w:eastAsia="zh-CN" w:bidi="ar-SA"/>
        </w:rPr>
        <w:t>自动故障处理。集群监控系统监控该集群下所有的主机和物理主机内运行的虚拟主机，云主机具备故障自动漂移能力，具备手动热迁移能力。云服务器之间相互隔离，每一个云服务器发生故障不会影响同一台宿主机上的其它云服务器运行。当物理主机发生故障，出现宕机时，HA功能组件会立即响应并在集群内另一台主机上重启该物理主机内运行的虚拟机。当某一虚拟机发生故障时，HA功能也会自动的将该虚拟机重新启动来支撑恢复中断的业务。</w:t>
      </w:r>
    </w:p>
    <w:p w14:paraId="3CEF8015">
      <w:pPr>
        <w:spacing w:line="380" w:lineRule="exact"/>
        <w:ind w:firstLine="420" w:firstLineChars="200"/>
        <w:jc w:val="both"/>
        <w:rPr>
          <w:rFonts w:hint="default" w:ascii="宋体" w:hAnsi="宋体" w:eastAsia="宋体" w:cs="宋体"/>
          <w:b w:val="0"/>
          <w:bCs w:val="0"/>
          <w:i w:val="0"/>
          <w:iCs w:val="0"/>
          <w:color w:val="auto"/>
          <w:kern w:val="2"/>
          <w:sz w:val="21"/>
          <w:szCs w:val="21"/>
          <w:highlight w:val="none"/>
          <w:vertAlign w:val="baseline"/>
          <w:lang w:val="en-US" w:eastAsia="zh-CN" w:bidi="ar-SA"/>
        </w:rPr>
      </w:pPr>
      <w:r>
        <w:rPr>
          <w:rFonts w:hint="eastAsia" w:ascii="汉仪书宋二S" w:hAnsi="汉仪书宋二S" w:eastAsia="汉仪书宋二S" w:cs="汉仪书宋二S"/>
          <w:b w:val="0"/>
          <w:bCs w:val="0"/>
          <w:i w:val="0"/>
          <w:iCs w:val="0"/>
          <w:color w:val="auto"/>
          <w:kern w:val="2"/>
          <w:sz w:val="21"/>
          <w:szCs w:val="21"/>
          <w:highlight w:val="none"/>
          <w:vertAlign w:val="baseline"/>
          <w:lang w:val="en-US" w:eastAsia="zh-CN" w:bidi="ar-SA"/>
        </w:rPr>
        <w:t>④</w:t>
      </w:r>
      <w:r>
        <w:rPr>
          <w:rFonts w:hint="default" w:ascii="宋体" w:hAnsi="宋体" w:eastAsia="宋体" w:cs="宋体"/>
          <w:b w:val="0"/>
          <w:bCs w:val="0"/>
          <w:i w:val="0"/>
          <w:iCs w:val="0"/>
          <w:color w:val="auto"/>
          <w:kern w:val="2"/>
          <w:sz w:val="21"/>
          <w:szCs w:val="21"/>
          <w:highlight w:val="none"/>
          <w:vertAlign w:val="baseline"/>
          <w:lang w:val="en-US" w:eastAsia="zh-CN" w:bidi="ar-SA"/>
        </w:rPr>
        <w:t>实现租户隔离。不同租户之间实现数据隔离和虚拟网络隔离。</w:t>
      </w:r>
    </w:p>
    <w:p w14:paraId="347D8C0F">
      <w:pPr>
        <w:spacing w:line="380" w:lineRule="exact"/>
        <w:ind w:firstLine="420" w:firstLineChars="200"/>
        <w:jc w:val="both"/>
        <w:rPr>
          <w:color w:val="auto"/>
          <w:highlight w:val="none"/>
        </w:rPr>
      </w:pPr>
      <w:r>
        <w:rPr>
          <w:rFonts w:hint="default" w:ascii="宋体" w:hAnsi="宋体" w:eastAsia="宋体" w:cs="宋体"/>
          <w:b w:val="0"/>
          <w:bCs w:val="0"/>
          <w:i w:val="0"/>
          <w:iCs w:val="0"/>
          <w:color w:val="auto"/>
          <w:kern w:val="2"/>
          <w:sz w:val="21"/>
          <w:szCs w:val="21"/>
          <w:highlight w:val="none"/>
          <w:vertAlign w:val="baseline"/>
          <w:lang w:val="en-US" w:eastAsia="zh-CN" w:bidi="ar-SA"/>
        </w:rPr>
        <w:t>（2）云平台管理</w:t>
      </w:r>
    </w:p>
    <w:p w14:paraId="7F335C76">
      <w:pPr>
        <w:spacing w:line="380" w:lineRule="exact"/>
        <w:ind w:firstLine="420" w:firstLineChars="200"/>
        <w:jc w:val="both"/>
        <w:rPr>
          <w:rFonts w:hint="default" w:ascii="宋体" w:hAnsi="宋体" w:eastAsia="宋体" w:cs="宋体"/>
          <w:b w:val="0"/>
          <w:bCs w:val="0"/>
          <w:i w:val="0"/>
          <w:iCs w:val="0"/>
          <w:color w:val="auto"/>
          <w:kern w:val="2"/>
          <w:sz w:val="21"/>
          <w:szCs w:val="21"/>
          <w:highlight w:val="none"/>
          <w:vertAlign w:val="baseline"/>
          <w:lang w:val="en-US" w:eastAsia="zh-CN" w:bidi="ar-SA"/>
        </w:rPr>
      </w:pPr>
      <w:r>
        <w:rPr>
          <w:rFonts w:hint="default" w:ascii="宋体" w:hAnsi="宋体" w:eastAsia="宋体" w:cs="宋体"/>
          <w:b w:val="0"/>
          <w:bCs w:val="0"/>
          <w:i w:val="0"/>
          <w:iCs w:val="0"/>
          <w:color w:val="auto"/>
          <w:kern w:val="2"/>
          <w:sz w:val="21"/>
          <w:szCs w:val="21"/>
          <w:highlight w:val="none"/>
          <w:vertAlign w:val="baseline"/>
          <w:lang w:val="en-US" w:eastAsia="zh-CN" w:bidi="ar-SA"/>
        </w:rPr>
        <w:t>提供优质定制化服务的能力，向政务云管理单位、政务云使用单位提供统一管理平台，方便各单位了解、申请、使用、管理、监控云资源的情况。云平台管理节点须支持集群部署，可平滑升级扩展，云平台某节点宕机时，其他节点应能代替宕机节点功能，实现流量无缝切换。</w:t>
      </w:r>
    </w:p>
    <w:p w14:paraId="1D71A952">
      <w:pPr>
        <w:pStyle w:val="32"/>
        <w:pageBreakBefore w:val="0"/>
        <w:widowControl w:val="0"/>
        <w:numPr>
          <w:ilvl w:val="0"/>
          <w:numId w:val="0"/>
        </w:numPr>
        <w:kinsoku/>
        <w:wordWrap/>
        <w:overflowPunct/>
        <w:topLinePunct w:val="0"/>
        <w:bidi w:val="0"/>
        <w:snapToGrid/>
        <w:spacing w:line="360" w:lineRule="exact"/>
        <w:ind w:firstLine="420" w:firstLineChars="200"/>
        <w:textAlignment w:val="auto"/>
        <w:rPr>
          <w:rFonts w:hint="eastAsia" w:ascii="宋体" w:hAnsi="宋体" w:eastAsia="宋体" w:cs="宋体"/>
          <w:color w:val="auto"/>
          <w:sz w:val="21"/>
          <w:szCs w:val="21"/>
          <w:highlight w:val="none"/>
          <w:lang w:val="en-US"/>
        </w:rPr>
      </w:pPr>
      <w:r>
        <w:rPr>
          <w:rFonts w:hint="eastAsia" w:ascii="汉仪书宋二S" w:hAnsi="汉仪书宋二S" w:eastAsia="汉仪书宋二S" w:cs="汉仪书宋二S"/>
          <w:color w:val="auto"/>
          <w:sz w:val="21"/>
          <w:szCs w:val="21"/>
          <w:highlight w:val="none"/>
          <w:lang w:val="en-US"/>
        </w:rPr>
        <w:t>①</w:t>
      </w:r>
      <w:r>
        <w:rPr>
          <w:rFonts w:hint="eastAsia" w:ascii="宋体" w:hAnsi="宋体" w:eastAsia="宋体" w:cs="宋体"/>
          <w:color w:val="auto"/>
          <w:sz w:val="21"/>
          <w:szCs w:val="21"/>
          <w:highlight w:val="none"/>
          <w:lang w:val="en-US"/>
        </w:rPr>
        <w:t>运营能力。提供多级虚拟数据中心，支持按照用户的实际组织结构划分多级虚拟数据中心，支持虚拟数据中心分级，无分级数限制。虚拟数据中心管理员可以根据组织内部架构，划分子虚拟数据中心。支持为不同的虚拟数据中心分配资源配额，配额包括CPU、内存、云主机个数等。虚拟数据中心支持跨资源池。支持AZ独享设置，设置为独享的AZ仅为该VDC绑定的部门使用。</w:t>
      </w:r>
    </w:p>
    <w:p w14:paraId="00C53CEF">
      <w:pPr>
        <w:pStyle w:val="32"/>
        <w:pageBreakBefore w:val="0"/>
        <w:widowControl w:val="0"/>
        <w:numPr>
          <w:ilvl w:val="0"/>
          <w:numId w:val="0"/>
        </w:numPr>
        <w:kinsoku/>
        <w:wordWrap/>
        <w:overflowPunct/>
        <w:topLinePunct w:val="0"/>
        <w:bidi w:val="0"/>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汉仪书宋二S" w:hAnsi="汉仪书宋二S" w:eastAsia="汉仪书宋二S" w:cs="汉仪书宋二S"/>
          <w:color w:val="auto"/>
          <w:sz w:val="21"/>
          <w:szCs w:val="21"/>
          <w:highlight w:val="none"/>
        </w:rPr>
        <w:t>②</w:t>
      </w:r>
      <w:r>
        <w:rPr>
          <w:rFonts w:hint="eastAsia" w:ascii="宋体" w:hAnsi="宋体" w:eastAsia="宋体" w:cs="宋体"/>
          <w:color w:val="auto"/>
          <w:sz w:val="21"/>
          <w:szCs w:val="21"/>
          <w:highlight w:val="none"/>
        </w:rPr>
        <w:t>统计功能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支持计费配置，按照服务目录中服务名称，逐条展示每个规格、每个实例的计费信息。报表包括服务名称、规格、实例名称、计费开始时间、单价、服务费金额；查询条件包括一级部门、二级部门、服务分类、服务名称、时间，并支持将查询出的费用统计信息导出，支持按周期性发送计量报表到用户指定邮箱。</w:t>
      </w:r>
    </w:p>
    <w:p w14:paraId="6C9EC5F2">
      <w:pPr>
        <w:spacing w:line="380" w:lineRule="exact"/>
        <w:ind w:firstLine="420" w:firstLineChars="200"/>
        <w:jc w:val="both"/>
        <w:rPr>
          <w:rFonts w:hint="default" w:ascii="宋体" w:hAnsi="宋体" w:eastAsia="宋体" w:cs="宋体"/>
          <w:b w:val="0"/>
          <w:bCs w:val="0"/>
          <w:i w:val="0"/>
          <w:iCs w:val="0"/>
          <w:color w:val="auto"/>
          <w:kern w:val="2"/>
          <w:sz w:val="21"/>
          <w:szCs w:val="21"/>
          <w:highlight w:val="none"/>
          <w:vertAlign w:val="baseline"/>
          <w:lang w:val="en-US" w:eastAsia="zh-CN" w:bidi="ar-SA"/>
        </w:rPr>
      </w:pPr>
      <w:r>
        <w:rPr>
          <w:rFonts w:hint="eastAsia" w:ascii="汉仪书宋二S" w:hAnsi="汉仪书宋二S" w:eastAsia="汉仪书宋二S" w:cs="汉仪书宋二S"/>
          <w:color w:val="auto"/>
          <w:sz w:val="21"/>
          <w:szCs w:val="21"/>
          <w:highlight w:val="none"/>
          <w:lang w:val="en-US" w:eastAsia="zh-CN"/>
        </w:rPr>
        <w:t>③</w:t>
      </w:r>
      <w:r>
        <w:rPr>
          <w:rFonts w:hint="default" w:ascii="宋体" w:hAnsi="宋体" w:eastAsia="宋体" w:cs="宋体"/>
          <w:b w:val="0"/>
          <w:bCs w:val="0"/>
          <w:i w:val="0"/>
          <w:iCs w:val="0"/>
          <w:color w:val="auto"/>
          <w:kern w:val="2"/>
          <w:sz w:val="21"/>
          <w:szCs w:val="21"/>
          <w:highlight w:val="none"/>
          <w:vertAlign w:val="baseline"/>
          <w:lang w:val="en-US" w:eastAsia="zh-CN" w:bidi="ar-SA"/>
        </w:rPr>
        <w:t>健康监控。虚拟化平台内置健康自动监控功能，从系统、集群、主机、存储、网络等维度对系统运行情况进行监控和告警分析，针对监控问题平台可自动给出告警，监控报告支持以电子文档方式导出。基于物理服务器的性能监控，提供物理服务器CPU和内存等计算资源的图形化报表及其运行于其上的虚拟机利用率报表；基于虚拟机的性能监控，提供虚拟机CPU、内存、磁盘I/O、网络I/O等重要资源在内的关键元件进行全面的性能监测；基于虚拟网卡的性能监控，提供进出虚拟机虚端口的流量的图形化实时显示。</w:t>
      </w:r>
    </w:p>
    <w:p w14:paraId="3E109411">
      <w:pPr>
        <w:pStyle w:val="32"/>
        <w:pageBreakBefore w:val="0"/>
        <w:widowControl w:val="0"/>
        <w:numPr>
          <w:ilvl w:val="0"/>
          <w:numId w:val="0"/>
        </w:numPr>
        <w:kinsoku/>
        <w:wordWrap/>
        <w:overflowPunct/>
        <w:topLinePunct w:val="0"/>
        <w:bidi w:val="0"/>
        <w:snapToGrid/>
        <w:spacing w:line="360" w:lineRule="exact"/>
        <w:ind w:firstLine="420" w:firstLineChars="200"/>
        <w:textAlignment w:val="auto"/>
        <w:rPr>
          <w:rFonts w:hint="eastAsia"/>
          <w:color w:val="auto"/>
          <w:highlight w:val="none"/>
        </w:rPr>
      </w:pPr>
      <w:r>
        <w:rPr>
          <w:rFonts w:hint="eastAsia" w:ascii="汉仪书宋二S" w:hAnsi="汉仪书宋二S" w:eastAsia="汉仪书宋二S" w:cs="汉仪书宋二S"/>
          <w:color w:val="auto"/>
          <w:sz w:val="21"/>
          <w:szCs w:val="21"/>
          <w:highlight w:val="none"/>
          <w:lang w:val="en-US" w:eastAsia="zh-CN"/>
        </w:rPr>
        <w:t>④</w:t>
      </w:r>
      <w:r>
        <w:rPr>
          <w:rFonts w:hint="eastAsia" w:ascii="宋体" w:hAnsi="宋体" w:eastAsia="宋体" w:cs="宋体"/>
          <w:color w:val="auto"/>
          <w:sz w:val="21"/>
          <w:szCs w:val="21"/>
          <w:highlight w:val="none"/>
        </w:rPr>
        <w:t>集群管理。支持多集群</w:t>
      </w:r>
      <w:r>
        <w:rPr>
          <w:rFonts w:hint="eastAsia" w:eastAsia="宋体" w:cs="宋体"/>
          <w:color w:val="auto"/>
          <w:sz w:val="21"/>
          <w:szCs w:val="21"/>
          <w:highlight w:val="none"/>
          <w:lang w:eastAsia="zh-CN"/>
        </w:rPr>
        <w:t>注册</w:t>
      </w:r>
      <w:r>
        <w:rPr>
          <w:rFonts w:hint="eastAsia" w:ascii="宋体" w:hAnsi="宋体" w:eastAsia="宋体" w:cs="宋体"/>
          <w:color w:val="auto"/>
          <w:sz w:val="21"/>
          <w:szCs w:val="21"/>
          <w:highlight w:val="none"/>
        </w:rPr>
        <w:t>、资源池接入、资源池授权功能。</w:t>
      </w:r>
    </w:p>
    <w:p w14:paraId="4388D98A">
      <w:pPr>
        <w:spacing w:line="380" w:lineRule="exact"/>
        <w:ind w:firstLine="420" w:firstLineChars="200"/>
        <w:jc w:val="both"/>
        <w:rPr>
          <w:color w:val="auto"/>
          <w:highlight w:val="none"/>
        </w:rPr>
      </w:pPr>
      <w:r>
        <w:rPr>
          <w:rFonts w:hint="default" w:ascii="宋体" w:hAnsi="宋体" w:eastAsia="宋体" w:cs="宋体"/>
          <w:b w:val="0"/>
          <w:bCs w:val="0"/>
          <w:i w:val="0"/>
          <w:iCs w:val="0"/>
          <w:color w:val="auto"/>
          <w:kern w:val="2"/>
          <w:sz w:val="21"/>
          <w:szCs w:val="21"/>
          <w:highlight w:val="none"/>
          <w:vertAlign w:val="baseline"/>
          <w:lang w:val="en-US" w:eastAsia="zh-CN" w:bidi="ar-SA"/>
        </w:rPr>
        <w:t>（3）云服务器（虚拟机）</w:t>
      </w:r>
    </w:p>
    <w:p w14:paraId="13E533E8">
      <w:pPr>
        <w:pStyle w:val="32"/>
        <w:pageBreakBefore w:val="0"/>
        <w:widowControl w:val="0"/>
        <w:numPr>
          <w:ilvl w:val="0"/>
          <w:numId w:val="0"/>
        </w:numPr>
        <w:kinsoku/>
        <w:wordWrap/>
        <w:overflowPunct/>
        <w:topLinePunct w:val="0"/>
        <w:bidi w:val="0"/>
        <w:snapToGrid/>
        <w:spacing w:line="360" w:lineRule="exact"/>
        <w:ind w:left="0" w:firstLine="420" w:firstLineChars="200"/>
        <w:textAlignment w:val="auto"/>
        <w:rPr>
          <w:rFonts w:hint="eastAsia" w:eastAsia="宋体" w:cs="宋体"/>
          <w:b/>
          <w:color w:val="auto"/>
          <w:sz w:val="21"/>
          <w:szCs w:val="21"/>
          <w:highlight w:val="none"/>
          <w:lang w:val="en-US" w:eastAsia="zh-CN"/>
        </w:rPr>
      </w:pPr>
      <w:r>
        <w:rPr>
          <w:rFonts w:hint="default" w:ascii="宋体" w:hAnsi="宋体" w:eastAsia="宋体" w:cs="宋体"/>
          <w:b w:val="0"/>
          <w:bCs w:val="0"/>
          <w:i w:val="0"/>
          <w:iCs w:val="0"/>
          <w:color w:val="auto"/>
          <w:kern w:val="2"/>
          <w:sz w:val="21"/>
          <w:szCs w:val="21"/>
          <w:highlight w:val="none"/>
          <w:vertAlign w:val="baseline"/>
          <w:lang w:val="en-US" w:eastAsia="zh-CN" w:bidi="ar-SA"/>
        </w:rPr>
        <w:t>云服务器具有自己的资源（内存、CPU、网卡、存储），可指定单独的IP地址。根据政务外网技术标准规范制作云服务器虚拟机镜像模板。云服务器支持现有市场上主流国内外操作系统，包括</w:t>
      </w:r>
      <w:r>
        <w:rPr>
          <w:rFonts w:hint="eastAsia" w:cs="宋体"/>
          <w:b w:val="0"/>
          <w:bCs w:val="0"/>
          <w:i w:val="0"/>
          <w:iCs w:val="0"/>
          <w:color w:val="auto"/>
          <w:kern w:val="2"/>
          <w:sz w:val="21"/>
          <w:szCs w:val="21"/>
          <w:highlight w:val="none"/>
          <w:vertAlign w:val="baseline"/>
          <w:lang w:val="en-US" w:eastAsia="zh-CN" w:bidi="ar-SA"/>
        </w:rPr>
        <w:t>但不限于</w:t>
      </w:r>
      <w:r>
        <w:rPr>
          <w:rFonts w:hint="default" w:ascii="宋体" w:hAnsi="宋体" w:eastAsia="宋体" w:cs="宋体"/>
          <w:b w:val="0"/>
          <w:bCs w:val="0"/>
          <w:i w:val="0"/>
          <w:iCs w:val="0"/>
          <w:color w:val="auto"/>
          <w:kern w:val="2"/>
          <w:sz w:val="21"/>
          <w:szCs w:val="21"/>
          <w:highlight w:val="none"/>
          <w:vertAlign w:val="baseline"/>
          <w:lang w:val="en-US" w:eastAsia="zh-CN" w:bidi="ar-SA"/>
        </w:rPr>
        <w:t>Windows、CentOS、RedHat、Ubuntu、中标麒麟</w:t>
      </w:r>
      <w:r>
        <w:rPr>
          <w:rFonts w:hint="eastAsia" w:cs="宋体"/>
          <w:b w:val="0"/>
          <w:bCs w:val="0"/>
          <w:i w:val="0"/>
          <w:iCs w:val="0"/>
          <w:color w:val="auto"/>
          <w:kern w:val="2"/>
          <w:sz w:val="21"/>
          <w:szCs w:val="21"/>
          <w:highlight w:val="none"/>
          <w:vertAlign w:val="baseline"/>
          <w:lang w:val="en-US" w:eastAsia="zh-CN" w:bidi="ar-SA"/>
        </w:rPr>
        <w:t>等</w:t>
      </w:r>
      <w:r>
        <w:rPr>
          <w:rFonts w:hint="default" w:ascii="宋体" w:hAnsi="宋体" w:eastAsia="宋体" w:cs="宋体"/>
          <w:b w:val="0"/>
          <w:bCs w:val="0"/>
          <w:i w:val="0"/>
          <w:iCs w:val="0"/>
          <w:color w:val="auto"/>
          <w:kern w:val="2"/>
          <w:sz w:val="21"/>
          <w:szCs w:val="21"/>
          <w:highlight w:val="none"/>
          <w:vertAlign w:val="baseline"/>
          <w:lang w:val="en-US" w:eastAsia="zh-CN" w:bidi="ar-SA"/>
        </w:rPr>
        <w:t>。云服务器虚拟机支持双网卡配置。云服务器支持IPv6网络。</w:t>
      </w:r>
    </w:p>
    <w:p w14:paraId="45C44C1F">
      <w:pPr>
        <w:pStyle w:val="32"/>
        <w:pageBreakBefore w:val="0"/>
        <w:widowControl w:val="0"/>
        <w:numPr>
          <w:ilvl w:val="0"/>
          <w:numId w:val="0"/>
        </w:numPr>
        <w:kinsoku/>
        <w:wordWrap/>
        <w:overflowPunct/>
        <w:topLinePunct w:val="0"/>
        <w:bidi w:val="0"/>
        <w:snapToGrid/>
        <w:spacing w:line="360" w:lineRule="exact"/>
        <w:ind w:firstLine="422" w:firstLineChars="200"/>
        <w:textAlignment w:val="auto"/>
        <w:rPr>
          <w:rFonts w:hint="eastAsia" w:eastAsia="宋体" w:cs="宋体"/>
          <w:b/>
          <w:color w:val="auto"/>
          <w:sz w:val="21"/>
          <w:szCs w:val="21"/>
          <w:highlight w:val="none"/>
          <w:lang w:val="en-US" w:eastAsia="zh-CN"/>
        </w:rPr>
      </w:pPr>
      <w:r>
        <w:rPr>
          <w:rFonts w:hint="eastAsia" w:cs="宋体"/>
          <w:b/>
          <w:color w:val="auto"/>
          <w:sz w:val="21"/>
          <w:szCs w:val="21"/>
          <w:highlight w:val="none"/>
          <w:lang w:val="en-US" w:eastAsia="zh-CN"/>
        </w:rPr>
        <w:t>2</w:t>
      </w:r>
      <w:r>
        <w:rPr>
          <w:rFonts w:hint="eastAsia" w:eastAsia="宋体" w:cs="宋体"/>
          <w:b/>
          <w:color w:val="auto"/>
          <w:sz w:val="21"/>
          <w:szCs w:val="21"/>
          <w:highlight w:val="none"/>
          <w:lang w:val="en-US" w:eastAsia="zh-CN"/>
        </w:rPr>
        <w:t>.</w:t>
      </w:r>
      <w:r>
        <w:rPr>
          <w:rFonts w:hint="eastAsia" w:eastAsia="宋体" w:cs="宋体"/>
          <w:b/>
          <w:color w:val="auto"/>
          <w:sz w:val="21"/>
          <w:szCs w:val="21"/>
          <w:highlight w:val="none"/>
        </w:rPr>
        <w:t>计算资源池</w:t>
      </w:r>
      <w:r>
        <w:rPr>
          <w:rFonts w:hint="eastAsia" w:eastAsia="宋体" w:cs="宋体"/>
          <w:b/>
          <w:bCs w:val="0"/>
          <w:color w:val="auto"/>
          <w:sz w:val="21"/>
          <w:szCs w:val="21"/>
          <w:highlight w:val="none"/>
          <w:lang w:val="en-US" w:eastAsia="zh-CN"/>
        </w:rPr>
        <w:t>服务</w:t>
      </w:r>
    </w:p>
    <w:p w14:paraId="26CE2365">
      <w:pPr>
        <w:pStyle w:val="32"/>
        <w:pageBreakBefore w:val="0"/>
        <w:widowControl w:val="0"/>
        <w:numPr>
          <w:ilvl w:val="0"/>
          <w:numId w:val="0"/>
        </w:numPr>
        <w:kinsoku/>
        <w:wordWrap/>
        <w:overflowPunct/>
        <w:topLinePunct w:val="0"/>
        <w:bidi w:val="0"/>
        <w:snapToGrid/>
        <w:spacing w:line="360" w:lineRule="exact"/>
        <w:ind w:firstLine="420" w:firstLineChars="200"/>
        <w:textAlignment w:val="auto"/>
        <w:rPr>
          <w:rFonts w:hint="eastAsia" w:eastAsia="宋体" w:cs="宋体"/>
          <w:b w:val="0"/>
          <w:bCs/>
          <w:color w:val="auto"/>
          <w:sz w:val="21"/>
          <w:szCs w:val="21"/>
          <w:highlight w:val="none"/>
        </w:rPr>
      </w:pPr>
      <w:r>
        <w:rPr>
          <w:rFonts w:hint="eastAsia" w:ascii="宋体" w:hAnsi="宋体" w:eastAsia="宋体" w:cs="宋体"/>
          <w:b w:val="0"/>
          <w:bCs/>
          <w:color w:val="auto"/>
          <w:sz w:val="21"/>
          <w:szCs w:val="21"/>
          <w:highlight w:val="none"/>
        </w:rPr>
        <w:t>①计</w:t>
      </w:r>
      <w:r>
        <w:rPr>
          <w:rFonts w:hint="eastAsia" w:eastAsia="宋体" w:cs="宋体"/>
          <w:b w:val="0"/>
          <w:bCs/>
          <w:color w:val="auto"/>
          <w:sz w:val="21"/>
          <w:szCs w:val="21"/>
          <w:highlight w:val="none"/>
        </w:rPr>
        <w:t>算资源池需保证用户业务连续性，支持基于CPU型号兼容性的热迁移（需开启CPU掩码或集群EVC模式），支持虚拟机从低特性节点向高特性节点迁移及回迁；同时，为满足维护需求，支持虚拟机存储热迁移及关机状态下的冷迁移。</w:t>
      </w:r>
    </w:p>
    <w:p w14:paraId="7513A114">
      <w:pPr>
        <w:pStyle w:val="32"/>
        <w:pageBreakBefore w:val="0"/>
        <w:widowControl w:val="0"/>
        <w:numPr>
          <w:ilvl w:val="0"/>
          <w:numId w:val="0"/>
        </w:numPr>
        <w:kinsoku/>
        <w:wordWrap/>
        <w:overflowPunct/>
        <w:topLinePunct w:val="0"/>
        <w:bidi w:val="0"/>
        <w:snapToGrid/>
        <w:spacing w:line="360" w:lineRule="exact"/>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②CPU超配</w:t>
      </w:r>
      <w:r>
        <w:rPr>
          <w:rFonts w:hint="eastAsia" w:eastAsia="宋体" w:cs="宋体"/>
          <w:b w:val="0"/>
          <w:bCs/>
          <w:color w:val="auto"/>
          <w:sz w:val="21"/>
          <w:szCs w:val="21"/>
          <w:highlight w:val="none"/>
          <w:lang w:val="en-US" w:eastAsia="zh-CN"/>
        </w:rPr>
        <w:t>与性能保障要求</w:t>
      </w:r>
      <w:r>
        <w:rPr>
          <w:rFonts w:hint="eastAsia" w:ascii="宋体" w:hAnsi="宋体" w:eastAsia="宋体" w:cs="宋体"/>
          <w:b w:val="0"/>
          <w:bCs/>
          <w:color w:val="auto"/>
          <w:sz w:val="21"/>
          <w:szCs w:val="21"/>
          <w:highlight w:val="none"/>
        </w:rPr>
        <w:t>。</w:t>
      </w:r>
    </w:p>
    <w:p w14:paraId="24BC88EA">
      <w:pPr>
        <w:pStyle w:val="32"/>
        <w:pageBreakBefore w:val="0"/>
        <w:widowControl w:val="0"/>
        <w:numPr>
          <w:ilvl w:val="0"/>
          <w:numId w:val="0"/>
        </w:numPr>
        <w:kinsoku/>
        <w:wordWrap/>
        <w:overflowPunct/>
        <w:topLinePunct w:val="0"/>
        <w:bidi w:val="0"/>
        <w:snapToGrid/>
        <w:spacing w:line="360" w:lineRule="exact"/>
        <w:ind w:firstLine="420" w:firstLineChars="200"/>
        <w:textAlignment w:val="auto"/>
        <w:rPr>
          <w:rFonts w:hint="default" w:ascii="宋体" w:hAnsi="宋体" w:eastAsia="宋体" w:cs="宋体"/>
          <w:b w:val="0"/>
          <w:bCs w:val="0"/>
          <w:i w:val="0"/>
          <w:iCs w:val="0"/>
          <w:color w:val="auto"/>
          <w:kern w:val="2"/>
          <w:sz w:val="21"/>
          <w:szCs w:val="21"/>
          <w:highlight w:val="none"/>
          <w:vertAlign w:val="baseline"/>
          <w:lang w:val="en-US" w:eastAsia="zh-CN" w:bidi="ar-SA"/>
        </w:rPr>
      </w:pPr>
      <w:r>
        <w:rPr>
          <w:rFonts w:hint="eastAsia" w:ascii="宋体" w:hAnsi="宋体" w:eastAsia="宋体" w:cs="宋体"/>
          <w:b w:val="0"/>
          <w:bCs/>
          <w:color w:val="auto"/>
          <w:sz w:val="21"/>
          <w:szCs w:val="21"/>
          <w:highlight w:val="none"/>
        </w:rPr>
        <w:t>③</w:t>
      </w:r>
      <w:r>
        <w:rPr>
          <w:rFonts w:hint="default" w:ascii="宋体" w:hAnsi="宋体" w:eastAsia="宋体" w:cs="宋体"/>
          <w:b w:val="0"/>
          <w:bCs w:val="0"/>
          <w:i w:val="0"/>
          <w:iCs w:val="0"/>
          <w:color w:val="auto"/>
          <w:kern w:val="2"/>
          <w:sz w:val="21"/>
          <w:szCs w:val="21"/>
          <w:highlight w:val="none"/>
          <w:vertAlign w:val="baseline"/>
          <w:lang w:val="en-US" w:eastAsia="zh-CN" w:bidi="ar-SA"/>
        </w:rPr>
        <w:t>超配比上限：为提升资源利用率，允许对CPU资源进行适度超配，但vCPU总量不超过物理CPU逻辑核心总数的3倍。内存资源严格按1:1分配，严禁内存超分，以保障云主机性能稳定。</w:t>
      </w:r>
    </w:p>
    <w:p w14:paraId="667E901C">
      <w:pPr>
        <w:pStyle w:val="32"/>
        <w:pageBreakBefore w:val="0"/>
        <w:widowControl w:val="0"/>
        <w:numPr>
          <w:ilvl w:val="0"/>
          <w:numId w:val="0"/>
        </w:numPr>
        <w:kinsoku/>
        <w:wordWrap/>
        <w:overflowPunct/>
        <w:topLinePunct w:val="0"/>
        <w:bidi w:val="0"/>
        <w:snapToGrid/>
        <w:spacing w:line="360" w:lineRule="exact"/>
        <w:ind w:firstLine="420" w:firstLineChars="200"/>
        <w:textAlignment w:val="auto"/>
        <w:rPr>
          <w:rFonts w:hint="default"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④</w:t>
      </w:r>
      <w:r>
        <w:rPr>
          <w:rFonts w:hint="default" w:ascii="宋体" w:hAnsi="宋体" w:eastAsia="宋体" w:cs="宋体"/>
          <w:b w:val="0"/>
          <w:bCs/>
          <w:color w:val="auto"/>
          <w:sz w:val="21"/>
          <w:szCs w:val="21"/>
          <w:highlight w:val="none"/>
          <w:lang w:val="en-US" w:eastAsia="zh-CN"/>
        </w:rPr>
        <w:t>动态调整能力：云平台应具备CPU超配比的动态调整能力，能够根据业务负载情况灵活调整资源分配策略，避免因资源争抢影响关键业务。</w:t>
      </w:r>
    </w:p>
    <w:p w14:paraId="75C81364">
      <w:pPr>
        <w:pStyle w:val="32"/>
        <w:pageBreakBefore w:val="0"/>
        <w:widowControl w:val="0"/>
        <w:numPr>
          <w:ilvl w:val="0"/>
          <w:numId w:val="0"/>
        </w:numPr>
        <w:kinsoku/>
        <w:wordWrap/>
        <w:overflowPunct/>
        <w:topLinePunct w:val="0"/>
        <w:bidi w:val="0"/>
        <w:snapToGrid/>
        <w:spacing w:line="360" w:lineRule="exact"/>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⑤</w:t>
      </w:r>
      <w:r>
        <w:rPr>
          <w:rFonts w:hint="default" w:ascii="宋体" w:hAnsi="宋体" w:eastAsia="宋体" w:cs="宋体"/>
          <w:b w:val="0"/>
          <w:bCs/>
          <w:color w:val="auto"/>
          <w:sz w:val="21"/>
          <w:szCs w:val="21"/>
          <w:highlight w:val="none"/>
          <w:lang w:val="en-US" w:eastAsia="zh-CN"/>
        </w:rPr>
        <w:t>性能兜底：云平台须提供资源使用率监控和SLA保障机制，确保在超配场景下，单台云主机的CPU性能不低于其申请规格的80%（或根据实际情况设定具体数值）</w:t>
      </w:r>
      <w:r>
        <w:rPr>
          <w:rFonts w:hint="eastAsia" w:ascii="宋体" w:hAnsi="宋体" w:eastAsia="宋体" w:cs="宋体"/>
          <w:b w:val="0"/>
          <w:bCs/>
          <w:color w:val="auto"/>
          <w:sz w:val="21"/>
          <w:szCs w:val="21"/>
          <w:highlight w:val="none"/>
          <w:lang w:val="en-US" w:eastAsia="zh-CN"/>
        </w:rPr>
        <w:t>。</w:t>
      </w:r>
    </w:p>
    <w:p w14:paraId="0CA60453">
      <w:pPr>
        <w:pStyle w:val="32"/>
        <w:pageBreakBefore w:val="0"/>
        <w:widowControl w:val="0"/>
        <w:numPr>
          <w:ilvl w:val="0"/>
          <w:numId w:val="0"/>
        </w:numPr>
        <w:kinsoku/>
        <w:wordWrap/>
        <w:overflowPunct/>
        <w:topLinePunct w:val="0"/>
        <w:bidi w:val="0"/>
        <w:snapToGrid/>
        <w:spacing w:line="360" w:lineRule="exact"/>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⑥提供虚拟机实例的生命周期管理，主要包括虚机实例的创建、开启、关闭、编辑实例名称、调整实例大小、暂停实例、挂起实例、废弃实例、锁定实例、删除实例、重建实例、软/硬重启、接口分离/连接、绑定和解绑浮动IP等功能。</w:t>
      </w:r>
    </w:p>
    <w:p w14:paraId="63FF2286">
      <w:pPr>
        <w:pStyle w:val="32"/>
        <w:pageBreakBefore w:val="0"/>
        <w:widowControl w:val="0"/>
        <w:numPr>
          <w:ilvl w:val="0"/>
          <w:numId w:val="0"/>
        </w:numPr>
        <w:kinsoku/>
        <w:wordWrap/>
        <w:overflowPunct/>
        <w:topLinePunct w:val="0"/>
        <w:bidi w:val="0"/>
        <w:snapToGrid/>
        <w:spacing w:line="360" w:lineRule="exact"/>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⑦云服务器的创建应支持选择区域、可用区、规格、镜像、系统盘大小、数据盘大小、系统盘和数据盘的快照策略、虚拟私有网络、子网、安全组、自动</w:t>
      </w:r>
      <w:r>
        <w:rPr>
          <w:rFonts w:hint="eastAsia" w:ascii="宋体" w:hAnsi="宋体" w:eastAsia="宋体" w:cs="宋体"/>
          <w:b w:val="0"/>
          <w:bCs/>
          <w:color w:val="auto"/>
          <w:sz w:val="21"/>
          <w:szCs w:val="21"/>
          <w:highlight w:val="none"/>
          <w:lang w:eastAsia="zh-CN"/>
        </w:rPr>
        <w:t>获取</w:t>
      </w:r>
      <w:r>
        <w:rPr>
          <w:rFonts w:hint="eastAsia" w:ascii="宋体" w:hAnsi="宋体" w:eastAsia="宋体" w:cs="宋体"/>
          <w:b w:val="0"/>
          <w:bCs/>
          <w:color w:val="auto"/>
          <w:sz w:val="21"/>
          <w:szCs w:val="21"/>
          <w:highlight w:val="none"/>
        </w:rPr>
        <w:t>IP地址或手动设置IP地址、开通弹性IP、设置操作系统密码或开通后设置密码、远程登录端口号、云服务器组等。应支持选择VLAN和VXLAN网络，支持是否开启IPV6。镜像支持公共镜像、私有镜像、共享镜像。支持通过整机备份创建云服务器。</w:t>
      </w:r>
    </w:p>
    <w:p w14:paraId="71B0ABB4">
      <w:pPr>
        <w:pStyle w:val="32"/>
        <w:pageBreakBefore w:val="0"/>
        <w:widowControl w:val="0"/>
        <w:numPr>
          <w:ilvl w:val="0"/>
          <w:numId w:val="0"/>
        </w:numPr>
        <w:kinsoku/>
        <w:wordWrap/>
        <w:overflowPunct/>
        <w:topLinePunct w:val="0"/>
        <w:bidi w:val="0"/>
        <w:snapToGrid/>
        <w:spacing w:line="360" w:lineRule="exact"/>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⑧</w:t>
      </w:r>
      <w:r>
        <w:rPr>
          <w:rFonts w:hint="eastAsia" w:ascii="宋体" w:hAnsi="宋体" w:eastAsia="宋体" w:cs="宋体"/>
          <w:b w:val="0"/>
          <w:bCs/>
          <w:color w:val="auto"/>
          <w:sz w:val="21"/>
          <w:szCs w:val="21"/>
          <w:highlight w:val="none"/>
        </w:rPr>
        <w:t>支持在控制台界面配置亲和性/反亲和性组，支持用户创建云主机时即为云主机配置亲和性、弱亲和性，反亲和性、弱反亲和性。在同一个反亲和性组中的云主机机将尽可能分布在不同主机上，满足云主机的可靠性保障要求；在同一个亲和性组中的云主机尽可能放在相同主机上，满足云主机启动相关性要求。支持用户查看、添加、删除每个亲和/反亲和性组中的云主机。</w:t>
      </w:r>
    </w:p>
    <w:p w14:paraId="44F328C7">
      <w:pPr>
        <w:pStyle w:val="32"/>
        <w:pageBreakBefore w:val="0"/>
        <w:widowControl w:val="0"/>
        <w:numPr>
          <w:ilvl w:val="0"/>
          <w:numId w:val="0"/>
        </w:numPr>
        <w:kinsoku/>
        <w:wordWrap/>
        <w:overflowPunct/>
        <w:topLinePunct w:val="0"/>
        <w:bidi w:val="0"/>
        <w:snapToGrid/>
        <w:spacing w:line="360" w:lineRule="exact"/>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⑨</w:t>
      </w:r>
      <w:r>
        <w:rPr>
          <w:rFonts w:hint="eastAsia" w:ascii="宋体" w:hAnsi="宋体" w:eastAsia="宋体" w:cs="宋体"/>
          <w:b w:val="0"/>
          <w:bCs/>
          <w:color w:val="auto"/>
          <w:sz w:val="21"/>
          <w:szCs w:val="21"/>
          <w:highlight w:val="none"/>
        </w:rPr>
        <w:t>支持云服务器变更实例类型，可根据配置选择要变更的实例类型，可以从一个计算资源池变更到另一个计算资源池。</w:t>
      </w:r>
    </w:p>
    <w:p w14:paraId="3B838C72">
      <w:pPr>
        <w:pStyle w:val="32"/>
        <w:pageBreakBefore w:val="0"/>
        <w:widowControl w:val="0"/>
        <w:numPr>
          <w:ilvl w:val="0"/>
          <w:numId w:val="0"/>
        </w:numPr>
        <w:kinsoku/>
        <w:wordWrap/>
        <w:overflowPunct/>
        <w:topLinePunct w:val="0"/>
        <w:bidi w:val="0"/>
        <w:snapToGrid/>
        <w:spacing w:line="360" w:lineRule="exact"/>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⑩</w:t>
      </w:r>
      <w:r>
        <w:rPr>
          <w:rFonts w:hint="eastAsia" w:ascii="宋体" w:hAnsi="宋体" w:eastAsia="宋体" w:cs="宋体"/>
          <w:b w:val="0"/>
          <w:bCs/>
          <w:color w:val="auto"/>
          <w:sz w:val="21"/>
          <w:szCs w:val="21"/>
          <w:highlight w:val="none"/>
        </w:rPr>
        <w:t>支持虚拟机重建功能，通过镜像/快照重建虚拟机。</w:t>
      </w:r>
    </w:p>
    <w:p w14:paraId="7E65E71C">
      <w:pPr>
        <w:pStyle w:val="32"/>
        <w:pageBreakBefore w:val="0"/>
        <w:widowControl w:val="0"/>
        <w:numPr>
          <w:ilvl w:val="0"/>
          <w:numId w:val="0"/>
        </w:numPr>
        <w:kinsoku/>
        <w:wordWrap/>
        <w:overflowPunct/>
        <w:topLinePunct w:val="0"/>
        <w:bidi w:val="0"/>
        <w:snapToGrid/>
        <w:spacing w:line="360" w:lineRule="exact"/>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⑪</w:t>
      </w:r>
      <w:r>
        <w:rPr>
          <w:rFonts w:hint="eastAsia" w:ascii="宋体" w:hAnsi="宋体" w:eastAsia="宋体" w:cs="宋体"/>
          <w:b w:val="0"/>
          <w:bCs/>
          <w:color w:val="auto"/>
          <w:sz w:val="21"/>
          <w:szCs w:val="21"/>
          <w:highlight w:val="none"/>
        </w:rPr>
        <w:t>支持创建虚拟机时指定网络、IP地址和允许/禁止的端口，支持未开启DHCP协议场景使用指定IP地址配置虚拟机。</w:t>
      </w:r>
    </w:p>
    <w:p w14:paraId="295767B1">
      <w:pPr>
        <w:pStyle w:val="32"/>
        <w:pageBreakBefore w:val="0"/>
        <w:widowControl w:val="0"/>
        <w:numPr>
          <w:ilvl w:val="0"/>
          <w:numId w:val="0"/>
        </w:numPr>
        <w:kinsoku/>
        <w:wordWrap/>
        <w:overflowPunct/>
        <w:topLinePunct w:val="0"/>
        <w:bidi w:val="0"/>
        <w:snapToGrid/>
        <w:spacing w:line="360" w:lineRule="exact"/>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⑫支持根据应用系统的性能需求，灵活调整相关资源虚拟机的配置，包括调整vCPU个数，内存大小，磁盘卷个数，扩展磁盘卷的容量等。</w:t>
      </w:r>
    </w:p>
    <w:p w14:paraId="775F3626">
      <w:pPr>
        <w:pStyle w:val="32"/>
        <w:pageBreakBefore w:val="0"/>
        <w:widowControl w:val="0"/>
        <w:numPr>
          <w:ilvl w:val="0"/>
          <w:numId w:val="0"/>
        </w:numPr>
        <w:kinsoku/>
        <w:wordWrap/>
        <w:overflowPunct/>
        <w:topLinePunct w:val="0"/>
        <w:bidi w:val="0"/>
        <w:snapToGrid/>
        <w:spacing w:line="360" w:lineRule="exact"/>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⑬支持云服务器创建时对系统盘、数据盘的定期快照策略进行设置，支持自定义每天/每周/每月的定期自动快照，根据自动快照策略定时对云服务器磁盘进行快照操作，同一策略支持绑定多个云服务器磁盘。支持整机快照。</w:t>
      </w:r>
    </w:p>
    <w:p w14:paraId="6E83C65C">
      <w:pPr>
        <w:pStyle w:val="32"/>
        <w:pageBreakBefore w:val="0"/>
        <w:widowControl w:val="0"/>
        <w:numPr>
          <w:ilvl w:val="0"/>
          <w:numId w:val="0"/>
        </w:numPr>
        <w:kinsoku/>
        <w:wordWrap/>
        <w:overflowPunct/>
        <w:topLinePunct w:val="0"/>
        <w:bidi w:val="0"/>
        <w:snapToGrid/>
        <w:spacing w:line="360" w:lineRule="exact"/>
        <w:ind w:firstLine="420" w:firstLineChars="200"/>
        <w:textAlignment w:val="auto"/>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rPr>
        <w:t>⑭支持云服务器的CPU、内存不关机热扩容</w:t>
      </w:r>
      <w:r>
        <w:rPr>
          <w:rFonts w:hint="eastAsia" w:ascii="宋体" w:hAnsi="宋体" w:eastAsia="宋体" w:cs="宋体"/>
          <w:b w:val="0"/>
          <w:bCs/>
          <w:color w:val="auto"/>
          <w:sz w:val="21"/>
          <w:szCs w:val="21"/>
          <w:highlight w:val="none"/>
          <w:lang w:eastAsia="zh-CN"/>
        </w:rPr>
        <w:t>。</w:t>
      </w:r>
    </w:p>
    <w:p w14:paraId="278E32AE">
      <w:pPr>
        <w:pStyle w:val="32"/>
        <w:pageBreakBefore w:val="0"/>
        <w:widowControl w:val="0"/>
        <w:numPr>
          <w:ilvl w:val="0"/>
          <w:numId w:val="0"/>
        </w:numPr>
        <w:kinsoku/>
        <w:wordWrap/>
        <w:overflowPunct/>
        <w:topLinePunct w:val="0"/>
        <w:bidi w:val="0"/>
        <w:snapToGrid/>
        <w:spacing w:line="360" w:lineRule="exact"/>
        <w:ind w:firstLine="420" w:firstLineChars="200"/>
        <w:textAlignment w:val="auto"/>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rPr>
        <w:t>⑮支持在控制台界面配置ISO格式镜像文件导入，支持挂载、卸载本地ISO文件，用于安装插件或软件</w:t>
      </w:r>
      <w:r>
        <w:rPr>
          <w:rFonts w:hint="eastAsia" w:ascii="宋体" w:hAnsi="宋体" w:eastAsia="宋体" w:cs="宋体"/>
          <w:b w:val="0"/>
          <w:bCs/>
          <w:color w:val="auto"/>
          <w:sz w:val="21"/>
          <w:szCs w:val="21"/>
          <w:highlight w:val="none"/>
          <w:lang w:eastAsia="zh-CN"/>
        </w:rPr>
        <w:t>。</w:t>
      </w:r>
    </w:p>
    <w:p w14:paraId="1E8D1DF2">
      <w:pPr>
        <w:pStyle w:val="32"/>
        <w:pageBreakBefore w:val="0"/>
        <w:widowControl w:val="0"/>
        <w:numPr>
          <w:ilvl w:val="0"/>
          <w:numId w:val="0"/>
        </w:numPr>
        <w:kinsoku/>
        <w:wordWrap/>
        <w:overflowPunct/>
        <w:topLinePunct w:val="0"/>
        <w:bidi w:val="0"/>
        <w:snapToGrid/>
        <w:spacing w:line="360" w:lineRule="exact"/>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⑯支持在控制台界面配置运行状态云服务器不能直接彻底删除，可以选择是否放入回收站，冷冻期后才能彻底删除，回收站中的云服务器可以选择销毁或恢复。</w:t>
      </w:r>
    </w:p>
    <w:p w14:paraId="14C82014">
      <w:pPr>
        <w:pStyle w:val="32"/>
        <w:pageBreakBefore w:val="0"/>
        <w:widowControl w:val="0"/>
        <w:numPr>
          <w:ilvl w:val="0"/>
          <w:numId w:val="0"/>
        </w:numPr>
        <w:kinsoku/>
        <w:wordWrap/>
        <w:overflowPunct/>
        <w:topLinePunct w:val="0"/>
        <w:bidi w:val="0"/>
        <w:snapToGrid/>
        <w:spacing w:line="360" w:lineRule="exact"/>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⑰支持添加已配置好的主机到公共平台、可将主机从电子政务公共平台中删除；支持禁用/启用主机部署、远程开关机、主机负载均衡设置；支持添加主机到主机资源池，可从主机资源池中删除主机（其中“主机”包括物理主机和虚拟主机）。</w:t>
      </w:r>
    </w:p>
    <w:p w14:paraId="2C345BC1">
      <w:pPr>
        <w:pStyle w:val="32"/>
        <w:pageBreakBefore w:val="0"/>
        <w:widowControl w:val="0"/>
        <w:numPr>
          <w:ilvl w:val="0"/>
          <w:numId w:val="0"/>
        </w:numPr>
        <w:kinsoku/>
        <w:wordWrap/>
        <w:overflowPunct/>
        <w:topLinePunct w:val="0"/>
        <w:bidi w:val="0"/>
        <w:snapToGrid/>
        <w:spacing w:line="360" w:lineRule="exact"/>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eastAsia="zh-CN"/>
        </w:rPr>
        <w:t>⑱</w:t>
      </w:r>
      <w:r>
        <w:rPr>
          <w:rFonts w:hint="eastAsia" w:ascii="宋体" w:hAnsi="宋体" w:eastAsia="宋体" w:cs="宋体"/>
          <w:b w:val="0"/>
          <w:bCs/>
          <w:color w:val="auto"/>
          <w:sz w:val="21"/>
          <w:szCs w:val="21"/>
          <w:highlight w:val="none"/>
        </w:rPr>
        <w:t>提供裸金属服务器管理能力。</w:t>
      </w:r>
    </w:p>
    <w:p w14:paraId="1898CC3F">
      <w:pPr>
        <w:pStyle w:val="32"/>
        <w:pageBreakBefore w:val="0"/>
        <w:widowControl w:val="0"/>
        <w:kinsoku/>
        <w:wordWrap/>
        <w:overflowPunct/>
        <w:topLinePunct w:val="0"/>
        <w:bidi w:val="0"/>
        <w:snapToGrid/>
        <w:spacing w:line="360" w:lineRule="exact"/>
        <w:ind w:firstLine="422" w:firstLineChars="200"/>
        <w:textAlignment w:val="auto"/>
        <w:rPr>
          <w:rFonts w:hint="eastAsia" w:eastAsia="宋体" w:cs="宋体"/>
          <w:b/>
          <w:color w:val="auto"/>
          <w:sz w:val="21"/>
          <w:szCs w:val="21"/>
          <w:highlight w:val="none"/>
          <w:lang w:val="en-US" w:eastAsia="zh-CN"/>
        </w:rPr>
      </w:pPr>
      <w:r>
        <w:rPr>
          <w:rFonts w:hint="eastAsia" w:cs="宋体"/>
          <w:b/>
          <w:color w:val="auto"/>
          <w:sz w:val="21"/>
          <w:szCs w:val="21"/>
          <w:highlight w:val="none"/>
          <w:lang w:val="en-US" w:eastAsia="zh-CN"/>
        </w:rPr>
        <w:t>3</w:t>
      </w:r>
      <w:r>
        <w:rPr>
          <w:rFonts w:hint="eastAsia" w:eastAsia="宋体" w:cs="宋体"/>
          <w:b/>
          <w:color w:val="auto"/>
          <w:sz w:val="21"/>
          <w:szCs w:val="21"/>
          <w:highlight w:val="none"/>
          <w:lang w:val="en-US" w:eastAsia="zh-CN"/>
        </w:rPr>
        <w:t>.</w:t>
      </w:r>
      <w:r>
        <w:rPr>
          <w:rFonts w:hint="eastAsia" w:eastAsia="宋体" w:cs="宋体"/>
          <w:b/>
          <w:color w:val="auto"/>
          <w:sz w:val="21"/>
          <w:szCs w:val="21"/>
          <w:highlight w:val="none"/>
        </w:rPr>
        <w:t>存储资源池</w:t>
      </w:r>
      <w:r>
        <w:rPr>
          <w:rFonts w:hint="eastAsia" w:eastAsia="宋体" w:cs="宋体"/>
          <w:b/>
          <w:bCs w:val="0"/>
          <w:color w:val="auto"/>
          <w:sz w:val="21"/>
          <w:szCs w:val="21"/>
          <w:highlight w:val="none"/>
          <w:lang w:val="en-US" w:eastAsia="zh-CN"/>
        </w:rPr>
        <w:t>服务</w:t>
      </w:r>
    </w:p>
    <w:p w14:paraId="2102DBC8">
      <w:pPr>
        <w:spacing w:line="380" w:lineRule="exact"/>
        <w:ind w:firstLine="420" w:firstLineChars="200"/>
        <w:jc w:val="both"/>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①平台支持分布式存储和集中存储两种存储架构，具备为数据提供多份副本（不少于三副本）或冗余磁盘阵列的功能，支持基于副本数据进行还原操作。</w:t>
      </w:r>
      <w:r>
        <w:rPr>
          <w:rFonts w:hint="default" w:ascii="宋体" w:hAnsi="宋体" w:eastAsia="宋体" w:cs="宋体"/>
          <w:b w:val="0"/>
          <w:bCs/>
          <w:color w:val="auto"/>
          <w:kern w:val="2"/>
          <w:sz w:val="21"/>
          <w:szCs w:val="21"/>
          <w:highlight w:val="none"/>
          <w:lang w:val="en-US" w:eastAsia="zh-CN" w:bidi="ar-SA"/>
        </w:rPr>
        <w:t>集中式存储用来承载对IOPS要求较高的业务数据，提供SAS磁盘和SSD磁盘等多类存储空间。支持Active/Active模式的多控架构，防止单个控制器或光纤链路失效。分布式存储用来承载对存储的容量要求高的数据类型。前后端网络分离，每个分布式存储节点至少2个万兆接口用于提供分布式存储服务，使用SSD硬件加速，满足分布式存储高IOPS的性能要求。要求公用网络区、互联网区的分布式存储相互独立</w:t>
      </w:r>
      <w:r>
        <w:rPr>
          <w:rFonts w:hint="eastAsia" w:ascii="宋体" w:hAnsi="宋体" w:eastAsia="宋体" w:cs="宋体"/>
          <w:b w:val="0"/>
          <w:bCs/>
          <w:color w:val="auto"/>
          <w:kern w:val="2"/>
          <w:sz w:val="21"/>
          <w:szCs w:val="21"/>
          <w:highlight w:val="none"/>
          <w:lang w:val="en-US" w:eastAsia="zh-CN" w:bidi="ar-SA"/>
        </w:rPr>
        <w:t>。</w:t>
      </w:r>
    </w:p>
    <w:p w14:paraId="017C1CD9">
      <w:pPr>
        <w:pStyle w:val="32"/>
        <w:pageBreakBefore w:val="0"/>
        <w:widowControl w:val="0"/>
        <w:kinsoku/>
        <w:wordWrap/>
        <w:overflowPunct/>
        <w:topLinePunct w:val="0"/>
        <w:bidi w:val="0"/>
        <w:snapToGrid/>
        <w:spacing w:line="360" w:lineRule="exact"/>
        <w:ind w:firstLine="420" w:firstLineChars="200"/>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②虚拟机数据盘支持跨存储迁移功能，适用于不同存储之间、同一存储不同介质之间的离线迁移，在线也支持。</w:t>
      </w:r>
    </w:p>
    <w:p w14:paraId="1D588A5D">
      <w:pPr>
        <w:pStyle w:val="32"/>
        <w:pageBreakBefore w:val="0"/>
        <w:widowControl w:val="0"/>
        <w:numPr>
          <w:ilvl w:val="0"/>
          <w:numId w:val="0"/>
        </w:numPr>
        <w:kinsoku/>
        <w:wordWrap/>
        <w:overflowPunct/>
        <w:topLinePunct w:val="0"/>
        <w:bidi w:val="0"/>
        <w:snapToGrid/>
        <w:spacing w:line="360" w:lineRule="exact"/>
        <w:ind w:firstLine="420" w:firstLineChars="200"/>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③满足不同的存储类型需求，支持对块、文件、对象三种存储类型的统一管理；存储资源池单盘IOPS指标不得少于1000。</w:t>
      </w:r>
    </w:p>
    <w:p w14:paraId="4EA7D0FE">
      <w:pPr>
        <w:pStyle w:val="32"/>
        <w:pageBreakBefore w:val="0"/>
        <w:widowControl w:val="0"/>
        <w:numPr>
          <w:ilvl w:val="0"/>
          <w:numId w:val="0"/>
        </w:numPr>
        <w:kinsoku/>
        <w:wordWrap/>
        <w:overflowPunct/>
        <w:topLinePunct w:val="0"/>
        <w:bidi w:val="0"/>
        <w:snapToGrid/>
        <w:spacing w:line="360" w:lineRule="exact"/>
        <w:ind w:firstLine="420" w:firstLineChars="200"/>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④提供手动和自动快照功能，并支持快照自定义策略，并可基于快照回滚。</w:t>
      </w:r>
    </w:p>
    <w:p w14:paraId="1A471914">
      <w:pPr>
        <w:pStyle w:val="32"/>
        <w:pageBreakBefore w:val="0"/>
        <w:widowControl w:val="0"/>
        <w:numPr>
          <w:ilvl w:val="0"/>
          <w:numId w:val="0"/>
        </w:numPr>
        <w:kinsoku/>
        <w:wordWrap/>
        <w:overflowPunct/>
        <w:topLinePunct w:val="0"/>
        <w:bidi w:val="0"/>
        <w:snapToGrid/>
        <w:spacing w:line="360" w:lineRule="exact"/>
        <w:ind w:firstLine="420" w:firstLineChars="200"/>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⑤提供手动和自动备份功能，支持备份自定义策略；同时在备份删除时，通过增量备份技术，减少备份空间浪费。</w:t>
      </w:r>
    </w:p>
    <w:p w14:paraId="6F8D6748">
      <w:pPr>
        <w:pStyle w:val="32"/>
        <w:pageBreakBefore w:val="0"/>
        <w:widowControl w:val="0"/>
        <w:numPr>
          <w:ilvl w:val="0"/>
          <w:numId w:val="0"/>
        </w:numPr>
        <w:kinsoku/>
        <w:wordWrap/>
        <w:overflowPunct/>
        <w:topLinePunct w:val="0"/>
        <w:bidi w:val="0"/>
        <w:snapToGrid/>
        <w:spacing w:line="360" w:lineRule="exact"/>
        <w:ind w:firstLine="420" w:firstLineChars="200"/>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⑥支持高级筛选，可以根据云盘id、云盘名称、云盘属性、云盘类型、云硬盘容量范围等功能筛选。</w:t>
      </w:r>
    </w:p>
    <w:p w14:paraId="492F9266">
      <w:pPr>
        <w:pStyle w:val="32"/>
        <w:pageBreakBefore w:val="0"/>
        <w:widowControl w:val="0"/>
        <w:numPr>
          <w:ilvl w:val="0"/>
          <w:numId w:val="0"/>
        </w:numPr>
        <w:kinsoku/>
        <w:wordWrap/>
        <w:overflowPunct/>
        <w:topLinePunct w:val="0"/>
        <w:bidi w:val="0"/>
        <w:snapToGrid/>
        <w:spacing w:line="360" w:lineRule="exact"/>
        <w:ind w:firstLine="420" w:firstLineChars="200"/>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⑦支持云硬盘批量创建功能。</w:t>
      </w:r>
    </w:p>
    <w:p w14:paraId="32A03A82">
      <w:pPr>
        <w:pStyle w:val="32"/>
        <w:pageBreakBefore w:val="0"/>
        <w:widowControl w:val="0"/>
        <w:numPr>
          <w:ilvl w:val="0"/>
          <w:numId w:val="0"/>
        </w:numPr>
        <w:kinsoku/>
        <w:wordWrap/>
        <w:overflowPunct/>
        <w:topLinePunct w:val="0"/>
        <w:bidi w:val="0"/>
        <w:snapToGrid/>
        <w:spacing w:line="360" w:lineRule="exact"/>
        <w:ind w:firstLine="420" w:firstLineChars="200"/>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⑧支持云盘在线扩容，保障业务不中断。</w:t>
      </w:r>
    </w:p>
    <w:p w14:paraId="247F5BE2">
      <w:pPr>
        <w:pStyle w:val="32"/>
        <w:pageBreakBefore w:val="0"/>
        <w:widowControl w:val="0"/>
        <w:numPr>
          <w:ilvl w:val="0"/>
          <w:numId w:val="0"/>
        </w:numPr>
        <w:kinsoku/>
        <w:wordWrap/>
        <w:overflowPunct/>
        <w:topLinePunct w:val="0"/>
        <w:bidi w:val="0"/>
        <w:snapToGrid/>
        <w:spacing w:line="360" w:lineRule="exact"/>
        <w:ind w:firstLine="420" w:firstLineChars="200"/>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⑨支持回收站功能，放入回收站的云盘可以在有效期内恢复该云盘数据。</w:t>
      </w:r>
    </w:p>
    <w:p w14:paraId="3F531077">
      <w:pPr>
        <w:pStyle w:val="32"/>
        <w:pageBreakBefore w:val="0"/>
        <w:widowControl w:val="0"/>
        <w:numPr>
          <w:ilvl w:val="0"/>
          <w:numId w:val="0"/>
        </w:numPr>
        <w:kinsoku/>
        <w:wordWrap/>
        <w:overflowPunct/>
        <w:topLinePunct w:val="0"/>
        <w:bidi w:val="0"/>
        <w:snapToGrid/>
        <w:spacing w:line="360" w:lineRule="exact"/>
        <w:ind w:firstLine="420" w:firstLineChars="200"/>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⑩在存储数据传输过程中要保持数据的完整性、一致性、高可用性。</w:t>
      </w:r>
    </w:p>
    <w:p w14:paraId="05B63FBA">
      <w:pPr>
        <w:pStyle w:val="32"/>
        <w:pageBreakBefore w:val="0"/>
        <w:widowControl w:val="0"/>
        <w:numPr>
          <w:ilvl w:val="0"/>
          <w:numId w:val="0"/>
        </w:numPr>
        <w:kinsoku/>
        <w:wordWrap/>
        <w:overflowPunct/>
        <w:topLinePunct w:val="0"/>
        <w:bidi w:val="0"/>
        <w:snapToGrid/>
        <w:spacing w:line="360" w:lineRule="exact"/>
        <w:ind w:firstLine="420" w:firstLineChars="200"/>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⑪支持多种状态的统计分析功能，例如存储资源使用、关键服务状态等的统计分析。</w:t>
      </w:r>
    </w:p>
    <w:p w14:paraId="3008A117">
      <w:pPr>
        <w:pStyle w:val="32"/>
        <w:pageBreakBefore w:val="0"/>
        <w:widowControl w:val="0"/>
        <w:numPr>
          <w:ilvl w:val="0"/>
          <w:numId w:val="0"/>
        </w:numPr>
        <w:kinsoku/>
        <w:wordWrap/>
        <w:overflowPunct/>
        <w:topLinePunct w:val="0"/>
        <w:bidi w:val="0"/>
        <w:snapToGrid/>
        <w:spacing w:line="360" w:lineRule="exact"/>
        <w:ind w:firstLine="420" w:firstLineChars="200"/>
        <w:textAlignment w:val="auto"/>
        <w:rPr>
          <w:rFonts w:hint="default" w:ascii="宋体" w:hAnsi="宋体" w:eastAsia="宋体" w:cs="宋体"/>
          <w:b w:val="0"/>
          <w:bCs/>
          <w:color w:val="auto"/>
          <w:sz w:val="21"/>
          <w:szCs w:val="21"/>
          <w:highlight w:val="none"/>
          <w:lang w:val="en-US" w:eastAsia="zh-CN"/>
        </w:rPr>
      </w:pPr>
      <w:r>
        <w:rPr>
          <w:rFonts w:hint="eastAsia" w:ascii="宋体" w:hAnsi="宋体" w:eastAsia="宋体" w:cs="宋体"/>
          <w:b w:val="0"/>
          <w:bCs/>
          <w:color w:val="auto"/>
          <w:kern w:val="2"/>
          <w:sz w:val="21"/>
          <w:szCs w:val="21"/>
          <w:highlight w:val="none"/>
          <w:lang w:val="en-US" w:eastAsia="zh-CN" w:bidi="ar-SA"/>
        </w:rPr>
        <w:t>⑫支持存储设备实时监控机制，包括运行状态监控，设备异常告警机制和告警信息传递方式</w:t>
      </w:r>
      <w:r>
        <w:rPr>
          <w:rFonts w:hint="eastAsia" w:ascii="宋体" w:hAnsi="宋体" w:eastAsia="宋体" w:cs="宋体"/>
          <w:b w:val="0"/>
          <w:bCs/>
          <w:color w:val="auto"/>
          <w:sz w:val="21"/>
          <w:szCs w:val="21"/>
          <w:highlight w:val="none"/>
          <w:lang w:val="en-US" w:eastAsia="zh-CN"/>
        </w:rPr>
        <w:t>。</w:t>
      </w:r>
    </w:p>
    <w:p w14:paraId="2FCA1025">
      <w:pPr>
        <w:pStyle w:val="32"/>
        <w:pageBreakBefore w:val="0"/>
        <w:widowControl w:val="0"/>
        <w:kinsoku/>
        <w:wordWrap/>
        <w:overflowPunct/>
        <w:topLinePunct w:val="0"/>
        <w:bidi w:val="0"/>
        <w:snapToGrid/>
        <w:spacing w:line="360" w:lineRule="exact"/>
        <w:ind w:firstLine="422" w:firstLineChars="200"/>
        <w:textAlignment w:val="auto"/>
        <w:rPr>
          <w:rFonts w:hint="eastAsia" w:eastAsia="宋体" w:cs="宋体"/>
          <w:b/>
          <w:color w:val="auto"/>
          <w:sz w:val="21"/>
          <w:szCs w:val="21"/>
          <w:highlight w:val="none"/>
          <w:lang w:val="en-US" w:eastAsia="zh-CN"/>
        </w:rPr>
      </w:pPr>
      <w:r>
        <w:rPr>
          <w:rFonts w:hint="eastAsia" w:cs="宋体"/>
          <w:b/>
          <w:color w:val="auto"/>
          <w:sz w:val="21"/>
          <w:szCs w:val="21"/>
          <w:highlight w:val="none"/>
          <w:lang w:val="en-US" w:eastAsia="zh-CN"/>
        </w:rPr>
        <w:t>4</w:t>
      </w:r>
      <w:r>
        <w:rPr>
          <w:rFonts w:hint="eastAsia" w:eastAsia="宋体" w:cs="宋体"/>
          <w:b/>
          <w:color w:val="auto"/>
          <w:sz w:val="21"/>
          <w:szCs w:val="21"/>
          <w:highlight w:val="none"/>
          <w:lang w:val="en-US" w:eastAsia="zh-CN"/>
        </w:rPr>
        <w:t>.</w:t>
      </w:r>
      <w:r>
        <w:rPr>
          <w:rFonts w:hint="eastAsia" w:eastAsia="宋体" w:cs="宋体"/>
          <w:b/>
          <w:color w:val="auto"/>
          <w:sz w:val="21"/>
          <w:szCs w:val="21"/>
          <w:highlight w:val="none"/>
        </w:rPr>
        <w:t>网络资源池</w:t>
      </w:r>
      <w:r>
        <w:rPr>
          <w:rFonts w:hint="eastAsia" w:eastAsia="宋体" w:cs="宋体"/>
          <w:b/>
          <w:bCs w:val="0"/>
          <w:color w:val="auto"/>
          <w:sz w:val="21"/>
          <w:szCs w:val="21"/>
          <w:highlight w:val="none"/>
          <w:lang w:val="en-US" w:eastAsia="zh-CN"/>
        </w:rPr>
        <w:t>服务</w:t>
      </w:r>
    </w:p>
    <w:p w14:paraId="675219D9">
      <w:pPr>
        <w:pStyle w:val="32"/>
        <w:pageBreakBefore w:val="0"/>
        <w:widowControl w:val="0"/>
        <w:numPr>
          <w:ilvl w:val="0"/>
          <w:numId w:val="0"/>
        </w:numPr>
        <w:kinsoku/>
        <w:wordWrap/>
        <w:overflowPunct/>
        <w:topLinePunct w:val="0"/>
        <w:bidi w:val="0"/>
        <w:snapToGrid/>
        <w:spacing w:line="360" w:lineRule="exact"/>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根据政务云平台的总体设计要求，云平台应分为互联网区和电子政务外网区。由投标人提供互联网和电子政务外网网络服务能力,可用带宽不低于</w:t>
      </w:r>
      <w:r>
        <w:rPr>
          <w:rFonts w:hint="eastAsia" w:cs="宋体"/>
          <w:b w:val="0"/>
          <w:bCs/>
          <w:color w:val="auto"/>
          <w:sz w:val="21"/>
          <w:szCs w:val="21"/>
          <w:highlight w:val="none"/>
          <w:lang w:val="en-US" w:eastAsia="zh-CN"/>
        </w:rPr>
        <w:t>3</w:t>
      </w:r>
      <w:r>
        <w:rPr>
          <w:rFonts w:hint="eastAsia" w:ascii="宋体" w:hAnsi="宋体" w:eastAsia="宋体" w:cs="宋体"/>
          <w:b w:val="0"/>
          <w:bCs/>
          <w:color w:val="auto"/>
          <w:sz w:val="21"/>
          <w:szCs w:val="21"/>
          <w:highlight w:val="none"/>
        </w:rPr>
        <w:t>Gbps。</w:t>
      </w:r>
      <w:r>
        <w:rPr>
          <w:rFonts w:hint="default" w:ascii="宋体" w:hAnsi="宋体" w:eastAsia="宋体" w:cs="宋体"/>
          <w:b w:val="0"/>
          <w:bCs w:val="0"/>
          <w:i w:val="0"/>
          <w:iCs w:val="0"/>
          <w:color w:val="auto"/>
          <w:kern w:val="2"/>
          <w:sz w:val="21"/>
          <w:szCs w:val="21"/>
          <w:highlight w:val="none"/>
          <w:vertAlign w:val="baseline"/>
          <w:lang w:val="en-US" w:eastAsia="zh-CN" w:bidi="ar-SA"/>
        </w:rPr>
        <w:t>政务外网安全交换区交换速度、并发能力达到政务外网业务需求，吞吐量达到10Gbps，传输延时小于10ms，并发连接数大于200000。</w:t>
      </w:r>
      <w:r>
        <w:rPr>
          <w:rFonts w:hint="eastAsia" w:ascii="宋体" w:hAnsi="宋体" w:eastAsia="宋体" w:cs="宋体"/>
          <w:b w:val="0"/>
          <w:bCs/>
          <w:color w:val="auto"/>
          <w:sz w:val="21"/>
          <w:szCs w:val="21"/>
          <w:highlight w:val="none"/>
        </w:rPr>
        <w:t>两个区域计算、存储、网络、安全设备独立，并根据业务需求细分业务子区，两个区域之间通过安全隔离交换系统实现数据安全交换。政务云平台内部应按使用内容划分为业务网、存储网、管理网等网络。业务网用于应用间通信，云管理平台通过管理网对所有设备进行管理。政务云平台应能够为不同用户和应用在平台上提供划分各自的逻辑隔离区及定义内部的虚拟联网环境。</w:t>
      </w:r>
    </w:p>
    <w:p w14:paraId="293E8C5F">
      <w:pPr>
        <w:pStyle w:val="32"/>
        <w:pageBreakBefore w:val="0"/>
        <w:widowControl w:val="0"/>
        <w:numPr>
          <w:ilvl w:val="0"/>
          <w:numId w:val="0"/>
        </w:numPr>
        <w:kinsoku/>
        <w:wordWrap/>
        <w:overflowPunct/>
        <w:topLinePunct w:val="0"/>
        <w:bidi w:val="0"/>
        <w:snapToGrid/>
        <w:spacing w:line="360" w:lineRule="exact"/>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①支持划分独立的业务网络、存储网络、服务产品管理调度网络、宿主机运维网络、物理节点带外管理网络等，不同网络之间逻辑隔离；业务网络和存储网络采用冗余链路。</w:t>
      </w:r>
    </w:p>
    <w:p w14:paraId="34CAF56E">
      <w:pPr>
        <w:pStyle w:val="32"/>
        <w:pageBreakBefore w:val="0"/>
        <w:widowControl w:val="0"/>
        <w:numPr>
          <w:ilvl w:val="0"/>
          <w:numId w:val="0"/>
        </w:numPr>
        <w:kinsoku/>
        <w:wordWrap/>
        <w:overflowPunct/>
        <w:topLinePunct w:val="0"/>
        <w:bidi w:val="0"/>
        <w:snapToGrid/>
        <w:spacing w:line="360" w:lineRule="exact"/>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②支持软件定义网络技术，可自定义网络范围、路由规则、安全访问策略等，可以根据用户业务需求进行弹性扩缩容、按需取用，资源即开即用。</w:t>
      </w:r>
    </w:p>
    <w:p w14:paraId="264D224B">
      <w:pPr>
        <w:pStyle w:val="32"/>
        <w:pageBreakBefore w:val="0"/>
        <w:widowControl w:val="0"/>
        <w:numPr>
          <w:ilvl w:val="0"/>
          <w:numId w:val="0"/>
        </w:numPr>
        <w:kinsoku/>
        <w:wordWrap/>
        <w:overflowPunct/>
        <w:topLinePunct w:val="0"/>
        <w:bidi w:val="0"/>
        <w:snapToGrid/>
        <w:spacing w:line="360" w:lineRule="exact"/>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③弹性IP支持多线IP地址，根据实际需求申请资源，支持指定地址申请弹性IP，支持批量申请弹性IP、支持释放弹性IP。</w:t>
      </w:r>
    </w:p>
    <w:p w14:paraId="22FFE00D">
      <w:pPr>
        <w:pStyle w:val="32"/>
        <w:pageBreakBefore w:val="0"/>
        <w:widowControl w:val="0"/>
        <w:numPr>
          <w:ilvl w:val="0"/>
          <w:numId w:val="0"/>
        </w:numPr>
        <w:kinsoku/>
        <w:wordWrap/>
        <w:overflowPunct/>
        <w:topLinePunct w:val="0"/>
        <w:bidi w:val="0"/>
        <w:snapToGrid/>
        <w:spacing w:line="360" w:lineRule="exact"/>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④支持安全组，提供云服务器粒度的网络安全访问控制功能，支持设置允许、拒绝策略。</w:t>
      </w:r>
    </w:p>
    <w:p w14:paraId="248A4E71">
      <w:pPr>
        <w:pStyle w:val="32"/>
        <w:pageBreakBefore w:val="0"/>
        <w:widowControl w:val="0"/>
        <w:numPr>
          <w:ilvl w:val="0"/>
          <w:numId w:val="0"/>
        </w:numPr>
        <w:kinsoku/>
        <w:wordWrap/>
        <w:overflowPunct/>
        <w:topLinePunct w:val="0"/>
        <w:bidi w:val="0"/>
        <w:snapToGrid/>
        <w:spacing w:line="360" w:lineRule="exact"/>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⑤提供弹性网卡功能，云服务器支持绑定和解绑多个弹性网卡，每个网卡支持配置独立的安全组。</w:t>
      </w:r>
    </w:p>
    <w:p w14:paraId="3D1254A4">
      <w:pPr>
        <w:pStyle w:val="32"/>
        <w:pageBreakBefore w:val="0"/>
        <w:widowControl w:val="0"/>
        <w:numPr>
          <w:ilvl w:val="0"/>
          <w:numId w:val="0"/>
        </w:numPr>
        <w:kinsoku/>
        <w:wordWrap/>
        <w:overflowPunct/>
        <w:topLinePunct w:val="0"/>
        <w:bidi w:val="0"/>
        <w:snapToGrid/>
        <w:spacing w:line="360" w:lineRule="exact"/>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⑥支持IPv6/IPv4双栈服务，可创建同时支持IPv6、IPv4地址的VPC、子网。</w:t>
      </w:r>
    </w:p>
    <w:p w14:paraId="796BC545">
      <w:pPr>
        <w:pStyle w:val="32"/>
        <w:pageBreakBefore w:val="0"/>
        <w:widowControl w:val="0"/>
        <w:numPr>
          <w:ilvl w:val="0"/>
          <w:numId w:val="0"/>
        </w:numPr>
        <w:kinsoku/>
        <w:wordWrap/>
        <w:overflowPunct/>
        <w:topLinePunct w:val="0"/>
        <w:bidi w:val="0"/>
        <w:snapToGrid/>
        <w:spacing w:line="360" w:lineRule="exact"/>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⑦支持对等连接，打通不同VPC（无网段重叠）之间的通信，支持不同账户之间的VPC打通。</w:t>
      </w:r>
    </w:p>
    <w:p w14:paraId="6A26D94B">
      <w:pPr>
        <w:pStyle w:val="32"/>
        <w:pageBreakBefore w:val="0"/>
        <w:widowControl w:val="0"/>
        <w:numPr>
          <w:ilvl w:val="0"/>
          <w:numId w:val="0"/>
        </w:numPr>
        <w:kinsoku/>
        <w:wordWrap/>
        <w:overflowPunct/>
        <w:topLinePunct w:val="0"/>
        <w:bidi w:val="0"/>
        <w:snapToGrid/>
        <w:spacing w:line="360" w:lineRule="exact"/>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⑧支持Vip，即虚拟ip的管理，支持Vip绑定弹性公网IP、云服务器等资源，用于构建高可用架构等功能。</w:t>
      </w:r>
    </w:p>
    <w:p w14:paraId="228DC135">
      <w:pPr>
        <w:pStyle w:val="32"/>
        <w:pageBreakBefore w:val="0"/>
        <w:widowControl w:val="0"/>
        <w:numPr>
          <w:ilvl w:val="0"/>
          <w:numId w:val="0"/>
        </w:numPr>
        <w:kinsoku/>
        <w:wordWrap/>
        <w:overflowPunct/>
        <w:topLinePunct w:val="0"/>
        <w:bidi w:val="0"/>
        <w:snapToGrid/>
        <w:spacing w:line="360" w:lineRule="exact"/>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⑨支持对于已经创建的云服务器可以变更所属的VPC网络，解决业务迁移和网络调整需求。</w:t>
      </w:r>
    </w:p>
    <w:p w14:paraId="401D9A54">
      <w:pPr>
        <w:pStyle w:val="32"/>
        <w:pageBreakBefore w:val="0"/>
        <w:widowControl w:val="0"/>
        <w:numPr>
          <w:ilvl w:val="0"/>
          <w:numId w:val="0"/>
        </w:numPr>
        <w:kinsoku/>
        <w:wordWrap/>
        <w:overflowPunct/>
        <w:topLinePunct w:val="0"/>
        <w:bidi w:val="0"/>
        <w:snapToGrid/>
        <w:spacing w:line="360" w:lineRule="exact"/>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⑩支持网络拓扑管理功能，通过拓扑自定义网络结构，创建路由、创建网络和虚拟机实例。</w:t>
      </w:r>
    </w:p>
    <w:p w14:paraId="72A05091">
      <w:pPr>
        <w:pStyle w:val="32"/>
        <w:pageBreakBefore w:val="0"/>
        <w:widowControl w:val="0"/>
        <w:numPr>
          <w:ilvl w:val="0"/>
          <w:numId w:val="0"/>
        </w:numPr>
        <w:kinsoku/>
        <w:wordWrap/>
        <w:overflowPunct/>
        <w:topLinePunct w:val="0"/>
        <w:bidi w:val="0"/>
        <w:snapToGrid/>
        <w:spacing w:line="360" w:lineRule="exact"/>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⑪支持VPC内各云服务资源的图形化逻辑拓扑展示，便于直观查看VPC网络及资源情况。</w:t>
      </w:r>
    </w:p>
    <w:p w14:paraId="1CB7BF35">
      <w:pPr>
        <w:spacing w:line="380" w:lineRule="exact"/>
        <w:ind w:firstLine="420" w:firstLineChars="200"/>
        <w:jc w:val="both"/>
        <w:rPr>
          <w:color w:val="auto"/>
          <w:highlight w:val="none"/>
        </w:rPr>
      </w:pPr>
      <w:r>
        <w:rPr>
          <w:rFonts w:hint="eastAsia" w:ascii="宋体" w:hAnsi="宋体" w:eastAsia="宋体" w:cs="宋体"/>
          <w:b w:val="0"/>
          <w:bCs/>
          <w:color w:val="auto"/>
          <w:sz w:val="21"/>
          <w:szCs w:val="21"/>
          <w:highlight w:val="none"/>
          <w:lang w:val="en-US" w:eastAsia="zh-CN"/>
        </w:rPr>
        <w:t>⑫提供软件化、模块化、组件化VPN服务；支持组织机构动态分配VPN服务接入公共平台网络，并支持VPN服务监管。</w:t>
      </w:r>
    </w:p>
    <w:p w14:paraId="7E297F30">
      <w:pPr>
        <w:spacing w:line="380" w:lineRule="exact"/>
        <w:ind w:firstLine="420" w:firstLineChars="200"/>
        <w:jc w:val="both"/>
        <w:rPr>
          <w:color w:val="auto"/>
          <w:highlight w:val="none"/>
        </w:rPr>
      </w:pPr>
      <w:r>
        <w:rPr>
          <w:rFonts w:hint="eastAsia" w:ascii="宋体" w:hAnsi="宋体" w:cs="宋体"/>
          <w:b w:val="0"/>
          <w:bCs w:val="0"/>
          <w:i w:val="0"/>
          <w:iCs w:val="0"/>
          <w:color w:val="auto"/>
          <w:kern w:val="2"/>
          <w:sz w:val="21"/>
          <w:szCs w:val="21"/>
          <w:highlight w:val="none"/>
          <w:vertAlign w:val="baseline"/>
          <w:lang w:val="en-US" w:eastAsia="zh-CN" w:bidi="ar-SA"/>
        </w:rPr>
        <w:t>⑬</w:t>
      </w:r>
      <w:r>
        <w:rPr>
          <w:rFonts w:hint="default" w:ascii="宋体" w:hAnsi="宋体" w:eastAsia="宋体" w:cs="宋体"/>
          <w:b w:val="0"/>
          <w:bCs w:val="0"/>
          <w:i w:val="0"/>
          <w:iCs w:val="0"/>
          <w:color w:val="auto"/>
          <w:kern w:val="2"/>
          <w:sz w:val="21"/>
          <w:szCs w:val="21"/>
          <w:highlight w:val="none"/>
          <w:vertAlign w:val="baseline"/>
          <w:lang w:val="en-US" w:eastAsia="zh-CN" w:bidi="ar-SA"/>
        </w:rPr>
        <w:t>关键网络设备冗余。云平台网络核心骨干设备、出口设备、骨干线路等冗余备份，在业务网络整体设计和设备配置上均按照双备份要求设计，在网络连接上消除单点故障，提供设备的故障切换，关键网络设备之间的物理链路采用双路冗余连接，网络设备的核心处理及交换模块、电源模块必须为1：1主备模式。保证设备可靠性要求达到99.999%。</w:t>
      </w:r>
    </w:p>
    <w:p w14:paraId="42627317">
      <w:pPr>
        <w:spacing w:line="380" w:lineRule="exact"/>
        <w:ind w:firstLine="420" w:firstLineChars="200"/>
        <w:jc w:val="both"/>
        <w:rPr>
          <w:color w:val="auto"/>
          <w:highlight w:val="none"/>
        </w:rPr>
      </w:pPr>
      <w:r>
        <w:rPr>
          <w:rFonts w:hint="eastAsia" w:ascii="宋体" w:hAnsi="宋体" w:cs="宋体"/>
          <w:b w:val="0"/>
          <w:bCs w:val="0"/>
          <w:i w:val="0"/>
          <w:iCs w:val="0"/>
          <w:color w:val="auto"/>
          <w:kern w:val="2"/>
          <w:sz w:val="21"/>
          <w:szCs w:val="21"/>
          <w:highlight w:val="none"/>
          <w:vertAlign w:val="baseline"/>
          <w:lang w:val="en-US" w:eastAsia="zh-CN" w:bidi="ar-SA"/>
        </w:rPr>
        <w:t>⑭</w:t>
      </w:r>
      <w:r>
        <w:rPr>
          <w:rFonts w:hint="default" w:ascii="宋体" w:hAnsi="宋体" w:eastAsia="宋体" w:cs="宋体"/>
          <w:b w:val="0"/>
          <w:bCs w:val="0"/>
          <w:i w:val="0"/>
          <w:iCs w:val="0"/>
          <w:color w:val="auto"/>
          <w:kern w:val="2"/>
          <w:sz w:val="21"/>
          <w:szCs w:val="21"/>
          <w:highlight w:val="none"/>
          <w:vertAlign w:val="baseline"/>
          <w:lang w:val="en-US" w:eastAsia="zh-CN" w:bidi="ar-SA"/>
        </w:rPr>
        <w:t>可拓展性保障。保证满足大规模业务迁移需求，无缝扩容网络容量。</w:t>
      </w:r>
    </w:p>
    <w:p w14:paraId="415C705F">
      <w:pPr>
        <w:spacing w:line="380" w:lineRule="exact"/>
        <w:ind w:firstLine="420" w:firstLineChars="200"/>
        <w:jc w:val="both"/>
        <w:rPr>
          <w:color w:val="auto"/>
          <w:highlight w:val="none"/>
        </w:rPr>
      </w:pPr>
      <w:r>
        <w:rPr>
          <w:rFonts w:hint="eastAsia" w:ascii="宋体" w:hAnsi="宋体" w:cs="宋体"/>
          <w:b w:val="0"/>
          <w:bCs w:val="0"/>
          <w:i w:val="0"/>
          <w:iCs w:val="0"/>
          <w:color w:val="auto"/>
          <w:kern w:val="2"/>
          <w:sz w:val="21"/>
          <w:szCs w:val="21"/>
          <w:highlight w:val="none"/>
          <w:vertAlign w:val="baseline"/>
          <w:lang w:val="en-US" w:eastAsia="zh-CN" w:bidi="ar-SA"/>
        </w:rPr>
        <w:t>⑮</w:t>
      </w:r>
      <w:r>
        <w:rPr>
          <w:rFonts w:hint="default" w:ascii="宋体" w:hAnsi="宋体" w:eastAsia="宋体" w:cs="宋体"/>
          <w:b w:val="0"/>
          <w:bCs w:val="0"/>
          <w:i w:val="0"/>
          <w:iCs w:val="0"/>
          <w:color w:val="auto"/>
          <w:kern w:val="2"/>
          <w:sz w:val="21"/>
          <w:szCs w:val="21"/>
          <w:highlight w:val="none"/>
          <w:vertAlign w:val="baseline"/>
          <w:lang w:val="en-US" w:eastAsia="zh-CN" w:bidi="ar-SA"/>
        </w:rPr>
        <w:t>监控。提供网络流量监控及分析功能，应支持出口网络流量的统计，包括入侵防御检测、态势感知等分析功能。</w:t>
      </w:r>
    </w:p>
    <w:p w14:paraId="402E1771">
      <w:pPr>
        <w:spacing w:line="380" w:lineRule="exact"/>
        <w:ind w:firstLine="420" w:firstLineChars="200"/>
        <w:jc w:val="both"/>
        <w:rPr>
          <w:rFonts w:hint="default" w:ascii="宋体" w:hAnsi="宋体" w:eastAsia="宋体" w:cs="宋体"/>
          <w:b w:val="0"/>
          <w:bCs/>
          <w:color w:val="auto"/>
          <w:sz w:val="21"/>
          <w:szCs w:val="21"/>
          <w:highlight w:val="none"/>
          <w:lang w:val="en-US" w:eastAsia="zh-CN"/>
        </w:rPr>
      </w:pPr>
      <w:r>
        <w:rPr>
          <w:rFonts w:hint="eastAsia" w:ascii="宋体" w:hAnsi="宋体" w:cs="宋体"/>
          <w:b w:val="0"/>
          <w:bCs w:val="0"/>
          <w:i w:val="0"/>
          <w:iCs w:val="0"/>
          <w:color w:val="auto"/>
          <w:kern w:val="2"/>
          <w:sz w:val="21"/>
          <w:szCs w:val="21"/>
          <w:highlight w:val="none"/>
          <w:vertAlign w:val="baseline"/>
          <w:lang w:val="en-US" w:eastAsia="zh-CN" w:bidi="ar-SA"/>
        </w:rPr>
        <w:t>⑯</w:t>
      </w:r>
      <w:r>
        <w:rPr>
          <w:rFonts w:hint="default" w:ascii="宋体" w:hAnsi="宋体" w:eastAsia="宋体" w:cs="宋体"/>
          <w:b w:val="0"/>
          <w:bCs w:val="0"/>
          <w:i w:val="0"/>
          <w:iCs w:val="0"/>
          <w:color w:val="auto"/>
          <w:kern w:val="2"/>
          <w:sz w:val="21"/>
          <w:szCs w:val="21"/>
          <w:highlight w:val="none"/>
          <w:vertAlign w:val="baseline"/>
          <w:lang w:val="en-US" w:eastAsia="zh-CN" w:bidi="ar-SA"/>
        </w:rPr>
        <w:t>IP地址。按照壮美广西·政务云统一的IP地址规划分配、使用和管理网络地址。</w:t>
      </w:r>
    </w:p>
    <w:p w14:paraId="4BAFB018">
      <w:pPr>
        <w:pStyle w:val="32"/>
        <w:pageBreakBefore w:val="0"/>
        <w:widowControl w:val="0"/>
        <w:kinsoku/>
        <w:wordWrap/>
        <w:overflowPunct/>
        <w:topLinePunct w:val="0"/>
        <w:bidi w:val="0"/>
        <w:snapToGrid/>
        <w:spacing w:line="360" w:lineRule="exact"/>
        <w:ind w:firstLine="422" w:firstLineChars="200"/>
        <w:textAlignment w:val="auto"/>
        <w:rPr>
          <w:rFonts w:hint="eastAsia" w:eastAsia="宋体" w:cs="宋体"/>
          <w:b/>
          <w:color w:val="auto"/>
          <w:sz w:val="21"/>
          <w:szCs w:val="21"/>
          <w:highlight w:val="none"/>
          <w:lang w:val="en-US" w:eastAsia="zh-CN"/>
        </w:rPr>
      </w:pPr>
      <w:r>
        <w:rPr>
          <w:rFonts w:hint="eastAsia" w:cs="宋体"/>
          <w:b/>
          <w:color w:val="auto"/>
          <w:sz w:val="21"/>
          <w:szCs w:val="21"/>
          <w:highlight w:val="none"/>
          <w:lang w:val="en-US" w:eastAsia="zh-CN"/>
        </w:rPr>
        <w:t>5</w:t>
      </w:r>
      <w:r>
        <w:rPr>
          <w:rFonts w:hint="eastAsia" w:eastAsia="宋体" w:cs="宋体"/>
          <w:b/>
          <w:color w:val="auto"/>
          <w:sz w:val="21"/>
          <w:szCs w:val="21"/>
          <w:highlight w:val="none"/>
          <w:lang w:val="en-US" w:eastAsia="zh-CN"/>
        </w:rPr>
        <w:t>.安全资源池（安全服务）</w:t>
      </w:r>
    </w:p>
    <w:p w14:paraId="4D5EE840">
      <w:pPr>
        <w:pStyle w:val="32"/>
        <w:pageBreakBefore w:val="0"/>
        <w:widowControl w:val="0"/>
        <w:kinsoku/>
        <w:wordWrap/>
        <w:overflowPunct/>
        <w:topLinePunct w:val="0"/>
        <w:bidi w:val="0"/>
        <w:snapToGrid/>
        <w:spacing w:line="360" w:lineRule="exact"/>
        <w:ind w:firstLine="420" w:firstLineChars="200"/>
        <w:textAlignment w:val="auto"/>
        <w:rPr>
          <w:rFonts w:hint="eastAsia" w:eastAsia="宋体" w:cs="宋体"/>
          <w:color w:val="auto"/>
          <w:sz w:val="21"/>
          <w:szCs w:val="21"/>
          <w:highlight w:val="none"/>
        </w:rPr>
      </w:pPr>
      <w:r>
        <w:rPr>
          <w:rFonts w:hint="eastAsia" w:eastAsia="宋体" w:cs="宋体"/>
          <w:color w:val="auto"/>
          <w:sz w:val="21"/>
          <w:szCs w:val="21"/>
          <w:highlight w:val="none"/>
        </w:rPr>
        <w:t>投标人</w:t>
      </w:r>
      <w:r>
        <w:rPr>
          <w:rFonts w:hint="eastAsia" w:eastAsia="宋体" w:cs="宋体"/>
          <w:color w:val="auto"/>
          <w:sz w:val="21"/>
          <w:szCs w:val="21"/>
          <w:highlight w:val="none"/>
          <w:lang w:val="en-US" w:eastAsia="zh-CN"/>
        </w:rPr>
        <w:t>须</w:t>
      </w:r>
      <w:r>
        <w:rPr>
          <w:rFonts w:hint="eastAsia" w:eastAsia="宋体" w:cs="宋体"/>
          <w:color w:val="auto"/>
          <w:sz w:val="21"/>
          <w:szCs w:val="21"/>
          <w:highlight w:val="none"/>
        </w:rPr>
        <w:t>在中标后完成云平台搭建，并通过信息安全技术网络安全等级保护测评。</w:t>
      </w:r>
      <w:r>
        <w:rPr>
          <w:rFonts w:hint="default" w:ascii="宋体" w:hAnsi="宋体" w:eastAsia="宋体" w:cs="宋体"/>
          <w:b w:val="0"/>
          <w:bCs w:val="0"/>
          <w:i w:val="0"/>
          <w:iCs w:val="0"/>
          <w:color w:val="auto"/>
          <w:kern w:val="2"/>
          <w:sz w:val="21"/>
          <w:szCs w:val="21"/>
          <w:highlight w:val="none"/>
          <w:vertAlign w:val="baseline"/>
          <w:lang w:val="en-US" w:eastAsia="zh-CN" w:bidi="ar-SA"/>
        </w:rPr>
        <w:t>满足《GB</w:t>
      </w:r>
      <w:r>
        <w:rPr>
          <w:rFonts w:hint="eastAsia" w:eastAsia="宋体" w:cs="宋体"/>
          <w:b w:val="0"/>
          <w:bCs w:val="0"/>
          <w:i w:val="0"/>
          <w:iCs w:val="0"/>
          <w:color w:val="auto"/>
          <w:kern w:val="2"/>
          <w:sz w:val="21"/>
          <w:szCs w:val="21"/>
          <w:highlight w:val="none"/>
          <w:vertAlign w:val="baseline"/>
          <w:lang w:val="en-US" w:eastAsia="zh-CN" w:bidi="ar-SA"/>
        </w:rPr>
        <w:t xml:space="preserve"> </w:t>
      </w:r>
      <w:r>
        <w:rPr>
          <w:rFonts w:hint="default" w:ascii="宋体" w:hAnsi="宋体" w:eastAsia="宋体" w:cs="宋体"/>
          <w:b w:val="0"/>
          <w:bCs w:val="0"/>
          <w:i w:val="0"/>
          <w:iCs w:val="0"/>
          <w:color w:val="auto"/>
          <w:kern w:val="2"/>
          <w:sz w:val="21"/>
          <w:szCs w:val="21"/>
          <w:highlight w:val="none"/>
          <w:vertAlign w:val="baseline"/>
          <w:lang w:val="en-US" w:eastAsia="zh-CN" w:bidi="ar-SA"/>
        </w:rPr>
        <w:t>50174-2017数据中心设计规范》、《信息安全技术 云计算服务安全指南（GB∕T 31167-20</w:t>
      </w:r>
      <w:r>
        <w:rPr>
          <w:rFonts w:hint="eastAsia" w:eastAsia="宋体" w:cs="宋体"/>
          <w:b w:val="0"/>
          <w:bCs w:val="0"/>
          <w:i w:val="0"/>
          <w:iCs w:val="0"/>
          <w:color w:val="auto"/>
          <w:kern w:val="2"/>
          <w:sz w:val="21"/>
          <w:szCs w:val="21"/>
          <w:highlight w:val="none"/>
          <w:vertAlign w:val="baseline"/>
          <w:lang w:val="en-US" w:eastAsia="zh-CN" w:bidi="ar-SA"/>
        </w:rPr>
        <w:t>23</w:t>
      </w:r>
      <w:r>
        <w:rPr>
          <w:rFonts w:hint="default" w:ascii="宋体" w:hAnsi="宋体" w:eastAsia="宋体" w:cs="宋体"/>
          <w:b w:val="0"/>
          <w:bCs w:val="0"/>
          <w:i w:val="0"/>
          <w:iCs w:val="0"/>
          <w:color w:val="auto"/>
          <w:kern w:val="2"/>
          <w:sz w:val="21"/>
          <w:szCs w:val="21"/>
          <w:highlight w:val="none"/>
          <w:vertAlign w:val="baseline"/>
          <w:lang w:val="en-US" w:eastAsia="zh-CN" w:bidi="ar-SA"/>
        </w:rPr>
        <w:t>）》、GB/T22239-2019《</w:t>
      </w:r>
      <w:r>
        <w:rPr>
          <w:rFonts w:hint="eastAsia" w:eastAsia="宋体" w:cs="宋体"/>
          <w:b w:val="0"/>
          <w:bCs w:val="0"/>
          <w:i w:val="0"/>
          <w:iCs w:val="0"/>
          <w:color w:val="auto"/>
          <w:kern w:val="2"/>
          <w:sz w:val="21"/>
          <w:szCs w:val="21"/>
          <w:highlight w:val="none"/>
          <w:vertAlign w:val="baseline"/>
          <w:lang w:val="en-US" w:eastAsia="zh-CN" w:bidi="ar-SA"/>
        </w:rPr>
        <w:t xml:space="preserve">信息安全技术 </w:t>
      </w:r>
      <w:r>
        <w:rPr>
          <w:rFonts w:hint="default" w:ascii="宋体" w:hAnsi="宋体" w:eastAsia="宋体" w:cs="宋体"/>
          <w:b w:val="0"/>
          <w:bCs w:val="0"/>
          <w:i w:val="0"/>
          <w:iCs w:val="0"/>
          <w:color w:val="auto"/>
          <w:kern w:val="2"/>
          <w:sz w:val="21"/>
          <w:szCs w:val="21"/>
          <w:highlight w:val="none"/>
          <w:vertAlign w:val="baseline"/>
          <w:lang w:val="en-US" w:eastAsia="zh-CN" w:bidi="ar-SA"/>
        </w:rPr>
        <w:t>网络安全等级保护基本要求》第三级安全通用和云计算安全扩展要求，在服务前必须完成公安部门备案并通过安全等级保护三级测评</w:t>
      </w:r>
      <w:r>
        <w:rPr>
          <w:rFonts w:hint="eastAsia" w:cs="宋体"/>
          <w:b w:val="0"/>
          <w:bCs w:val="0"/>
          <w:i w:val="0"/>
          <w:iCs w:val="0"/>
          <w:color w:val="auto"/>
          <w:kern w:val="2"/>
          <w:sz w:val="21"/>
          <w:szCs w:val="21"/>
          <w:highlight w:val="none"/>
          <w:vertAlign w:val="baseline"/>
          <w:lang w:val="en-US" w:eastAsia="zh-CN" w:bidi="ar-SA"/>
        </w:rPr>
        <w:t>。</w:t>
      </w:r>
      <w:r>
        <w:rPr>
          <w:rFonts w:hint="default" w:ascii="宋体" w:hAnsi="宋体" w:eastAsia="宋体" w:cs="宋体"/>
          <w:b w:val="0"/>
          <w:bCs w:val="0"/>
          <w:i w:val="0"/>
          <w:iCs w:val="0"/>
          <w:color w:val="auto"/>
          <w:kern w:val="2"/>
          <w:sz w:val="21"/>
          <w:szCs w:val="21"/>
          <w:highlight w:val="none"/>
          <w:vertAlign w:val="baseline"/>
          <w:lang w:val="en-US" w:eastAsia="zh-CN" w:bidi="ar-SA"/>
        </w:rPr>
        <w:t>根据政务外网标准规范，扩容政务云分为互联网区、公共网络区、管理区、安全交换区等区域。互联网区与公共网络区之间相互隔离，两个区域之间的数据交换通过安全交换区进行。</w:t>
      </w:r>
      <w:r>
        <w:rPr>
          <w:rFonts w:hint="eastAsia" w:eastAsia="宋体" w:cs="宋体"/>
          <w:color w:val="auto"/>
          <w:sz w:val="21"/>
          <w:szCs w:val="21"/>
          <w:highlight w:val="none"/>
        </w:rPr>
        <w:t>云平台安全建设必须符合《信息安全技术</w:t>
      </w:r>
      <w:r>
        <w:rPr>
          <w:rFonts w:hint="eastAsia" w:eastAsia="宋体" w:cs="宋体"/>
          <w:color w:val="auto"/>
          <w:sz w:val="21"/>
          <w:szCs w:val="21"/>
          <w:highlight w:val="none"/>
          <w:lang w:val="en-US" w:eastAsia="zh-CN"/>
        </w:rPr>
        <w:t xml:space="preserve"> </w:t>
      </w:r>
      <w:r>
        <w:rPr>
          <w:rFonts w:hint="eastAsia" w:eastAsia="宋体" w:cs="宋体"/>
          <w:color w:val="auto"/>
          <w:sz w:val="21"/>
          <w:szCs w:val="21"/>
          <w:highlight w:val="none"/>
        </w:rPr>
        <w:t>网络安全等级保护基本要求》（GB/T22239-2019）三级标准和《GW0013—2017政务云安全要求》，云平台需部署出口防火墙设备、DDOS防护设备、VPN设备、主机安全、web应用防火墙、安全审计设备、运维安全管理设备、集中日志审计等产品，满足安全通信网络、安全区域边界、安全计算环境、安全管理中心等相关要求。投标人</w:t>
      </w:r>
      <w:r>
        <w:rPr>
          <w:rFonts w:hint="eastAsia" w:eastAsia="宋体" w:cs="宋体"/>
          <w:color w:val="auto"/>
          <w:sz w:val="21"/>
          <w:szCs w:val="21"/>
          <w:highlight w:val="none"/>
          <w:lang w:val="en-US" w:eastAsia="zh-CN"/>
        </w:rPr>
        <w:t>须</w:t>
      </w:r>
      <w:r>
        <w:rPr>
          <w:rFonts w:hint="eastAsia" w:eastAsia="宋体" w:cs="宋体"/>
          <w:color w:val="auto"/>
          <w:sz w:val="21"/>
          <w:szCs w:val="21"/>
          <w:highlight w:val="none"/>
        </w:rPr>
        <w:t>具备</w:t>
      </w:r>
      <w:r>
        <w:rPr>
          <w:rFonts w:hint="eastAsia" w:eastAsia="宋体" w:cs="宋体"/>
          <w:color w:val="auto"/>
          <w:sz w:val="21"/>
          <w:szCs w:val="21"/>
          <w:highlight w:val="none"/>
          <w:lang w:val="en-US" w:eastAsia="zh-CN"/>
        </w:rPr>
        <w:t>以下</w:t>
      </w:r>
      <w:r>
        <w:rPr>
          <w:rFonts w:hint="eastAsia" w:eastAsia="宋体" w:cs="宋体"/>
          <w:color w:val="auto"/>
          <w:sz w:val="21"/>
          <w:szCs w:val="21"/>
          <w:highlight w:val="none"/>
        </w:rPr>
        <w:t>网络安全服务</w:t>
      </w:r>
      <w:r>
        <w:rPr>
          <w:rFonts w:hint="eastAsia" w:eastAsia="宋体" w:cs="宋体"/>
          <w:color w:val="auto"/>
          <w:sz w:val="21"/>
          <w:szCs w:val="21"/>
          <w:highlight w:val="none"/>
          <w:lang w:eastAsia="zh-CN"/>
        </w:rPr>
        <w:t>：</w:t>
      </w:r>
    </w:p>
    <w:tbl>
      <w:tblPr>
        <w:tblStyle w:val="20"/>
        <w:tblW w:w="497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9"/>
        <w:gridCol w:w="1530"/>
        <w:gridCol w:w="7255"/>
      </w:tblGrid>
      <w:tr w14:paraId="0A67C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19" w:type="dxa"/>
            <w:shd w:val="clear" w:color="auto" w:fill="D7D7D7"/>
            <w:noWrap w:val="0"/>
            <w:vAlign w:val="center"/>
          </w:tcPr>
          <w:p w14:paraId="59A1E449">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类别</w:t>
            </w:r>
          </w:p>
        </w:tc>
        <w:tc>
          <w:tcPr>
            <w:tcW w:w="1530" w:type="dxa"/>
            <w:shd w:val="clear" w:color="auto" w:fill="D7D7D7"/>
            <w:noWrap w:val="0"/>
            <w:vAlign w:val="center"/>
          </w:tcPr>
          <w:p w14:paraId="3B18C1FA">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指标项</w:t>
            </w:r>
          </w:p>
        </w:tc>
        <w:tc>
          <w:tcPr>
            <w:tcW w:w="7257" w:type="dxa"/>
            <w:shd w:val="clear" w:color="auto" w:fill="D7D7D7"/>
            <w:noWrap w:val="0"/>
            <w:vAlign w:val="center"/>
          </w:tcPr>
          <w:p w14:paraId="16633EEC">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服务</w:t>
            </w:r>
            <w:r>
              <w:rPr>
                <w:rFonts w:hint="eastAsia" w:ascii="宋体" w:hAnsi="宋体" w:eastAsia="宋体" w:cs="宋体"/>
                <w:b/>
                <w:bCs/>
                <w:color w:val="auto"/>
                <w:sz w:val="21"/>
                <w:szCs w:val="21"/>
                <w:highlight w:val="none"/>
              </w:rPr>
              <w:t>要求</w:t>
            </w:r>
          </w:p>
        </w:tc>
      </w:tr>
      <w:tr w14:paraId="42DB4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19" w:type="dxa"/>
            <w:vMerge w:val="restart"/>
            <w:noWrap w:val="0"/>
            <w:vAlign w:val="center"/>
          </w:tcPr>
          <w:p w14:paraId="533321BE">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安全通信网络</w:t>
            </w:r>
          </w:p>
        </w:tc>
        <w:tc>
          <w:tcPr>
            <w:tcW w:w="1530" w:type="dxa"/>
            <w:noWrap w:val="0"/>
            <w:vAlign w:val="center"/>
          </w:tcPr>
          <w:p w14:paraId="57562B5B">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VPN</w:t>
            </w:r>
          </w:p>
        </w:tc>
        <w:tc>
          <w:tcPr>
            <w:tcW w:w="7257" w:type="dxa"/>
            <w:noWrap w:val="0"/>
            <w:vAlign w:val="center"/>
          </w:tcPr>
          <w:p w14:paraId="4A1CB3E1">
            <w:pPr>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采用标准SSL、TLS协议，支持IPSecVPN、SSLVPN模式接入，实现终端和网络接入云中心数据传输加密。</w:t>
            </w:r>
          </w:p>
        </w:tc>
      </w:tr>
      <w:tr w14:paraId="4AB7E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19" w:type="dxa"/>
            <w:vMerge w:val="continue"/>
            <w:noWrap w:val="0"/>
            <w:vAlign w:val="center"/>
          </w:tcPr>
          <w:p w14:paraId="59A514C6">
            <w:pPr>
              <w:pStyle w:val="33"/>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color w:val="auto"/>
                <w:sz w:val="21"/>
                <w:highlight w:val="none"/>
              </w:rPr>
            </w:pPr>
          </w:p>
        </w:tc>
        <w:tc>
          <w:tcPr>
            <w:tcW w:w="1530" w:type="dxa"/>
            <w:noWrap w:val="0"/>
            <w:vAlign w:val="center"/>
          </w:tcPr>
          <w:p w14:paraId="28B442E7">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网闸</w:t>
            </w:r>
          </w:p>
        </w:tc>
        <w:tc>
          <w:tcPr>
            <w:tcW w:w="7257" w:type="dxa"/>
            <w:noWrap w:val="0"/>
            <w:vAlign w:val="center"/>
          </w:tcPr>
          <w:p w14:paraId="4A06042E">
            <w:pPr>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为政务外网以及互联网提供数据安全交换能力。</w:t>
            </w:r>
          </w:p>
        </w:tc>
      </w:tr>
      <w:tr w14:paraId="3009B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19" w:type="dxa"/>
            <w:vMerge w:val="restart"/>
            <w:noWrap w:val="0"/>
            <w:vAlign w:val="center"/>
          </w:tcPr>
          <w:p w14:paraId="79B4C445">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安全区域边界</w:t>
            </w:r>
          </w:p>
        </w:tc>
        <w:tc>
          <w:tcPr>
            <w:tcW w:w="1530" w:type="dxa"/>
            <w:noWrap w:val="0"/>
            <w:vAlign w:val="center"/>
          </w:tcPr>
          <w:p w14:paraId="7770ACA3">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DDos</w:t>
            </w:r>
          </w:p>
        </w:tc>
        <w:tc>
          <w:tcPr>
            <w:tcW w:w="7257" w:type="dxa"/>
            <w:noWrap/>
            <w:vAlign w:val="center"/>
          </w:tcPr>
          <w:p w14:paraId="547237CF">
            <w:pPr>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提供云平台互联网出口的DDos流量清洗和检测能力。</w:t>
            </w:r>
          </w:p>
        </w:tc>
      </w:tr>
      <w:tr w14:paraId="4870A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19" w:type="dxa"/>
            <w:vMerge w:val="continue"/>
            <w:noWrap w:val="0"/>
            <w:vAlign w:val="center"/>
          </w:tcPr>
          <w:p w14:paraId="468D7509">
            <w:pPr>
              <w:pStyle w:val="33"/>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color w:val="auto"/>
                <w:sz w:val="21"/>
                <w:highlight w:val="none"/>
              </w:rPr>
            </w:pPr>
          </w:p>
        </w:tc>
        <w:tc>
          <w:tcPr>
            <w:tcW w:w="1530" w:type="dxa"/>
            <w:noWrap w:val="0"/>
            <w:vAlign w:val="center"/>
          </w:tcPr>
          <w:p w14:paraId="7EF099C1">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IPS</w:t>
            </w:r>
          </w:p>
        </w:tc>
        <w:tc>
          <w:tcPr>
            <w:tcW w:w="7257" w:type="dxa"/>
            <w:noWrap w:val="0"/>
            <w:vAlign w:val="center"/>
          </w:tcPr>
          <w:p w14:paraId="68BCEB55">
            <w:pPr>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提供云平台入侵防御和网络防病毒能力。</w:t>
            </w:r>
          </w:p>
        </w:tc>
      </w:tr>
      <w:tr w14:paraId="568DC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19" w:type="dxa"/>
            <w:vMerge w:val="continue"/>
            <w:noWrap w:val="0"/>
            <w:vAlign w:val="center"/>
          </w:tcPr>
          <w:p w14:paraId="23E62421">
            <w:pPr>
              <w:pStyle w:val="33"/>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color w:val="auto"/>
                <w:sz w:val="21"/>
                <w:highlight w:val="none"/>
              </w:rPr>
            </w:pPr>
          </w:p>
        </w:tc>
        <w:tc>
          <w:tcPr>
            <w:tcW w:w="1530" w:type="dxa"/>
            <w:noWrap w:val="0"/>
            <w:vAlign w:val="center"/>
          </w:tcPr>
          <w:p w14:paraId="5206A866">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网络安全审计</w:t>
            </w:r>
          </w:p>
        </w:tc>
        <w:tc>
          <w:tcPr>
            <w:tcW w:w="7257" w:type="dxa"/>
            <w:noWrap w:val="0"/>
            <w:vAlign w:val="center"/>
          </w:tcPr>
          <w:p w14:paraId="650F19E1">
            <w:pPr>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支持对访问云平台的异常流量进行安全审计。</w:t>
            </w:r>
          </w:p>
        </w:tc>
      </w:tr>
      <w:tr w14:paraId="51561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19" w:type="dxa"/>
            <w:vMerge w:val="continue"/>
            <w:noWrap w:val="0"/>
            <w:vAlign w:val="center"/>
          </w:tcPr>
          <w:p w14:paraId="026244D5">
            <w:pPr>
              <w:pStyle w:val="33"/>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color w:val="auto"/>
                <w:sz w:val="21"/>
                <w:highlight w:val="none"/>
              </w:rPr>
            </w:pPr>
          </w:p>
        </w:tc>
        <w:tc>
          <w:tcPr>
            <w:tcW w:w="1530" w:type="dxa"/>
            <w:noWrap w:val="0"/>
            <w:vAlign w:val="center"/>
          </w:tcPr>
          <w:p w14:paraId="7811D2EE">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WAF</w:t>
            </w:r>
          </w:p>
        </w:tc>
        <w:tc>
          <w:tcPr>
            <w:tcW w:w="7257" w:type="dxa"/>
            <w:noWrap w:val="0"/>
            <w:vAlign w:val="center"/>
          </w:tcPr>
          <w:p w14:paraId="255E75A2">
            <w:pPr>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支持对云平台网站，APIConsole等进行web安全防护。</w:t>
            </w:r>
          </w:p>
        </w:tc>
      </w:tr>
      <w:tr w14:paraId="4319A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19" w:type="dxa"/>
            <w:vMerge w:val="restart"/>
            <w:noWrap w:val="0"/>
            <w:vAlign w:val="center"/>
          </w:tcPr>
          <w:p w14:paraId="370B9231">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安全计算环境</w:t>
            </w:r>
          </w:p>
        </w:tc>
        <w:tc>
          <w:tcPr>
            <w:tcW w:w="1530" w:type="dxa"/>
            <w:noWrap w:val="0"/>
            <w:vAlign w:val="center"/>
          </w:tcPr>
          <w:p w14:paraId="4103AD05">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宿主机安全</w:t>
            </w:r>
          </w:p>
        </w:tc>
        <w:tc>
          <w:tcPr>
            <w:tcW w:w="7257" w:type="dxa"/>
            <w:noWrap w:val="0"/>
            <w:vAlign w:val="center"/>
          </w:tcPr>
          <w:p w14:paraId="68983127">
            <w:pPr>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对宿主机进行安全保护，支持恶意程序检测（病毒云查杀），文件完整性保护，主机资产管理，主机漏洞管理等。</w:t>
            </w:r>
          </w:p>
        </w:tc>
      </w:tr>
      <w:tr w14:paraId="7CA70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19" w:type="dxa"/>
            <w:vMerge w:val="continue"/>
            <w:noWrap w:val="0"/>
            <w:vAlign w:val="center"/>
          </w:tcPr>
          <w:p w14:paraId="216AD73C">
            <w:pPr>
              <w:pStyle w:val="33"/>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color w:val="auto"/>
                <w:sz w:val="21"/>
                <w:highlight w:val="none"/>
              </w:rPr>
            </w:pPr>
          </w:p>
        </w:tc>
        <w:tc>
          <w:tcPr>
            <w:tcW w:w="1530" w:type="dxa"/>
            <w:noWrap w:val="0"/>
            <w:vAlign w:val="center"/>
          </w:tcPr>
          <w:p w14:paraId="740AD782">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漏洞扫描</w:t>
            </w:r>
          </w:p>
        </w:tc>
        <w:tc>
          <w:tcPr>
            <w:tcW w:w="7257" w:type="dxa"/>
            <w:noWrap w:val="0"/>
            <w:vAlign w:val="center"/>
          </w:tcPr>
          <w:p w14:paraId="56ADA3E2">
            <w:pPr>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支持对系统漏洞扫描、配置合规进行检查和综合分析。</w:t>
            </w:r>
          </w:p>
        </w:tc>
      </w:tr>
      <w:tr w14:paraId="7364F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19" w:type="dxa"/>
            <w:vMerge w:val="continue"/>
            <w:noWrap w:val="0"/>
            <w:vAlign w:val="center"/>
          </w:tcPr>
          <w:p w14:paraId="2D9CF4CE">
            <w:pPr>
              <w:pStyle w:val="33"/>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color w:val="auto"/>
                <w:sz w:val="21"/>
                <w:highlight w:val="none"/>
              </w:rPr>
            </w:pPr>
          </w:p>
        </w:tc>
        <w:tc>
          <w:tcPr>
            <w:tcW w:w="1530" w:type="dxa"/>
            <w:noWrap w:val="0"/>
            <w:vAlign w:val="center"/>
          </w:tcPr>
          <w:p w14:paraId="27211363">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数据库审计</w:t>
            </w:r>
          </w:p>
        </w:tc>
        <w:tc>
          <w:tcPr>
            <w:tcW w:w="7257" w:type="dxa"/>
            <w:noWrap w:val="0"/>
            <w:vAlign w:val="center"/>
          </w:tcPr>
          <w:p w14:paraId="1746E346">
            <w:pPr>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支持对云平台的数据库进行审计，满足审计追踪溯源、分析安全问题等需求。</w:t>
            </w:r>
          </w:p>
          <w:p w14:paraId="3CDD2FA1">
            <w:pPr>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支持根据SQL语句、语句模板、新增语句、失败语句、语句耗时、会话检索、失败会话、应用会话、风险语句、风险语句模板及风险命中等维度进行查询分析；支持自定义告警规则，能够根据客户端信息（IP、名称、访问工具），数据库服务器信息（IP、数据库名、数据库实例名、数据库表名）、操作类型，操作结果（关联表数量、受影响行数、执行时长、命中次数、持续时长）及SQL语句关键字配置告警规则。</w:t>
            </w:r>
          </w:p>
        </w:tc>
      </w:tr>
      <w:tr w14:paraId="260BA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19" w:type="dxa"/>
            <w:vMerge w:val="restart"/>
            <w:noWrap w:val="0"/>
            <w:vAlign w:val="center"/>
          </w:tcPr>
          <w:p w14:paraId="0C93DF94">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安全管理中心</w:t>
            </w:r>
          </w:p>
        </w:tc>
        <w:tc>
          <w:tcPr>
            <w:tcW w:w="1530" w:type="dxa"/>
            <w:noWrap w:val="0"/>
            <w:vAlign w:val="center"/>
          </w:tcPr>
          <w:p w14:paraId="5834EC29">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堡垒机</w:t>
            </w:r>
          </w:p>
        </w:tc>
        <w:tc>
          <w:tcPr>
            <w:tcW w:w="7257" w:type="dxa"/>
            <w:noWrap/>
            <w:vAlign w:val="center"/>
          </w:tcPr>
          <w:p w14:paraId="73160741">
            <w:pPr>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通过运维管理设备对平台运维操作行为进行集中管理、细粒度访问控制和安全审计。</w:t>
            </w:r>
          </w:p>
        </w:tc>
      </w:tr>
      <w:tr w14:paraId="02B5A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19" w:type="dxa"/>
            <w:vMerge w:val="continue"/>
            <w:noWrap w:val="0"/>
            <w:vAlign w:val="center"/>
          </w:tcPr>
          <w:p w14:paraId="4C95425C">
            <w:pPr>
              <w:pStyle w:val="33"/>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宋体" w:hAnsi="宋体" w:eastAsia="宋体" w:cs="宋体"/>
                <w:color w:val="auto"/>
                <w:sz w:val="21"/>
                <w:highlight w:val="none"/>
              </w:rPr>
            </w:pPr>
          </w:p>
        </w:tc>
        <w:tc>
          <w:tcPr>
            <w:tcW w:w="1530" w:type="dxa"/>
            <w:noWrap w:val="0"/>
            <w:vAlign w:val="center"/>
          </w:tcPr>
          <w:p w14:paraId="1160A8F1">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日志审计</w:t>
            </w:r>
          </w:p>
        </w:tc>
        <w:tc>
          <w:tcPr>
            <w:tcW w:w="7257" w:type="dxa"/>
            <w:noWrap/>
            <w:vAlign w:val="center"/>
          </w:tcPr>
          <w:p w14:paraId="5F24E6E0">
            <w:pPr>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支持对云平台日志进行收集以及审计能力。</w:t>
            </w:r>
          </w:p>
          <w:p w14:paraId="2222D160">
            <w:pPr>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支持以来源ip、发生地址、日志级别、设备标识、解析时间、资产名、区域名、生成时间、解析规则、采集方式、采集标识、厂商、源端口、目的IP、目的端口等条件进行查询；支持范化字段管理，内置范化字段≥3000条，并且用户可以自定义字段。</w:t>
            </w:r>
          </w:p>
        </w:tc>
      </w:tr>
      <w:tr w14:paraId="27B0E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19" w:type="dxa"/>
            <w:vMerge w:val="continue"/>
            <w:noWrap w:val="0"/>
            <w:vAlign w:val="center"/>
          </w:tcPr>
          <w:p w14:paraId="24C101B2">
            <w:pPr>
              <w:pStyle w:val="33"/>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宋体" w:hAnsi="宋体" w:eastAsia="宋体" w:cs="宋体"/>
                <w:color w:val="auto"/>
                <w:sz w:val="21"/>
                <w:highlight w:val="none"/>
              </w:rPr>
            </w:pPr>
          </w:p>
        </w:tc>
        <w:tc>
          <w:tcPr>
            <w:tcW w:w="1530" w:type="dxa"/>
            <w:noWrap w:val="0"/>
            <w:vAlign w:val="center"/>
          </w:tcPr>
          <w:p w14:paraId="7981D77C">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态势感知</w:t>
            </w:r>
          </w:p>
        </w:tc>
        <w:tc>
          <w:tcPr>
            <w:tcW w:w="7257" w:type="dxa"/>
            <w:noWrap/>
            <w:vAlign w:val="center"/>
          </w:tcPr>
          <w:p w14:paraId="2FD5A463">
            <w:pPr>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提供专业级的安全分析能力，实现对云负载威胁、网络威胁、应用等威胁分析。</w:t>
            </w:r>
          </w:p>
          <w:p w14:paraId="39447220">
            <w:pPr>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支持勒索专项检测，支持对勒索主题的安全告警进行统一展示和管理，支持以勒索病毒的感染途径/方式为维度进行分类，支持展示受害资产以及受害资产攻击数TOP5，支持以列表的形式展示勒索事件，包括最近发生时间、威胁描述、威胁定性、勒索风险、威胁等级、受害者IP、攻击次数等信息。</w:t>
            </w:r>
          </w:p>
        </w:tc>
      </w:tr>
      <w:tr w14:paraId="184FE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19" w:type="dxa"/>
            <w:vMerge w:val="continue"/>
            <w:noWrap w:val="0"/>
            <w:vAlign w:val="center"/>
          </w:tcPr>
          <w:p w14:paraId="64BE7388">
            <w:pPr>
              <w:pStyle w:val="33"/>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宋体" w:hAnsi="宋体" w:eastAsia="宋体" w:cs="宋体"/>
                <w:color w:val="auto"/>
                <w:sz w:val="21"/>
                <w:highlight w:val="none"/>
              </w:rPr>
            </w:pPr>
          </w:p>
        </w:tc>
        <w:tc>
          <w:tcPr>
            <w:tcW w:w="1530" w:type="dxa"/>
            <w:noWrap w:val="0"/>
            <w:vAlign w:val="center"/>
          </w:tcPr>
          <w:p w14:paraId="517B70C5">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云合规性</w:t>
            </w:r>
          </w:p>
        </w:tc>
        <w:tc>
          <w:tcPr>
            <w:tcW w:w="7257" w:type="dxa"/>
            <w:noWrap/>
            <w:vAlign w:val="center"/>
          </w:tcPr>
          <w:p w14:paraId="66B30FB9">
            <w:pPr>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要求</w:t>
            </w:r>
            <w:r>
              <w:rPr>
                <w:rFonts w:hint="eastAsia" w:ascii="宋体" w:hAnsi="宋体" w:eastAsia="宋体" w:cs="宋体"/>
                <w:color w:val="auto"/>
                <w:sz w:val="21"/>
                <w:szCs w:val="21"/>
                <w:highlight w:val="none"/>
                <w:lang w:eastAsia="zh"/>
              </w:rPr>
              <w:t>云主机应能实现故障热迁移的高可用性</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支持云平台创建一台测试虚拟机，长ping状态下执行虚拟机迁移，从A宿主机迁移到B宿主机，迁移过程中网络须持续连通、无中断</w:t>
            </w:r>
            <w:r>
              <w:rPr>
                <w:rFonts w:hint="eastAsia" w:ascii="宋体" w:hAnsi="宋体" w:eastAsia="宋体" w:cs="宋体"/>
                <w:color w:val="auto"/>
                <w:sz w:val="21"/>
                <w:szCs w:val="21"/>
                <w:highlight w:val="none"/>
                <w:lang w:eastAsia="zh-CN"/>
              </w:rPr>
              <w:t>。</w:t>
            </w:r>
          </w:p>
          <w:p w14:paraId="02D9A4F2">
            <w:pPr>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
              </w:rPr>
              <w:t>具备对租户内部虚拟机所承载的不同业务进行划子区域或安全组的能力，及时发现并阻断租户内部的恶意攻击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支持登录云平台，创建一个测试租户，租户下创建两个子网，使用安全组配置对同一个子网的两台虚拟机进行阻断。</w:t>
            </w:r>
          </w:p>
          <w:p w14:paraId="2DDE1D76">
            <w:pPr>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
              </w:rPr>
              <w:t>提供异常流量清洗服务，具备防范来自互联网的DDoS攻击、webshell攻击、木马病毒等各类恶意攻击。</w:t>
            </w:r>
            <w:r>
              <w:rPr>
                <w:rFonts w:hint="eastAsia" w:ascii="宋体" w:hAnsi="宋体" w:eastAsia="宋体" w:cs="宋体"/>
                <w:color w:val="auto"/>
                <w:sz w:val="21"/>
                <w:szCs w:val="21"/>
                <w:highlight w:val="none"/>
                <w:lang w:val="en-US" w:eastAsia="zh-CN"/>
              </w:rPr>
              <w:t>同时</w:t>
            </w:r>
            <w:r>
              <w:rPr>
                <w:rFonts w:hint="eastAsia" w:ascii="宋体" w:hAnsi="宋体" w:eastAsia="宋体" w:cs="宋体"/>
                <w:color w:val="auto"/>
                <w:sz w:val="21"/>
                <w:szCs w:val="21"/>
                <w:highlight w:val="none"/>
                <w:lang w:eastAsia="zh"/>
              </w:rPr>
              <w:t>外部和内部网络应提供冗余连接和带宽预留，进行流量控制和过滤</w:t>
            </w:r>
            <w:r>
              <w:rPr>
                <w:rFonts w:hint="eastAsia" w:ascii="宋体" w:hAnsi="宋体" w:eastAsia="宋体" w:cs="宋体"/>
                <w:color w:val="auto"/>
                <w:sz w:val="21"/>
                <w:szCs w:val="21"/>
                <w:highlight w:val="none"/>
                <w:lang w:eastAsia="zh-CN"/>
              </w:rPr>
              <w:t>。</w:t>
            </w:r>
          </w:p>
          <w:p w14:paraId="506C1F97">
            <w:pPr>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
              </w:rPr>
              <w:t>具备云灾备能力</w:t>
            </w:r>
            <w:r>
              <w:rPr>
                <w:rFonts w:hint="eastAsia" w:ascii="宋体" w:hAnsi="宋体" w:eastAsia="宋体" w:cs="宋体"/>
                <w:color w:val="auto"/>
                <w:sz w:val="21"/>
                <w:szCs w:val="21"/>
                <w:highlight w:val="none"/>
                <w:lang w:eastAsia="zh-CN"/>
              </w:rPr>
              <w:t>，部署灾备系统，</w:t>
            </w:r>
            <w:r>
              <w:rPr>
                <w:rFonts w:hint="eastAsia" w:ascii="宋体" w:hAnsi="宋体" w:eastAsia="宋体" w:cs="宋体"/>
                <w:color w:val="auto"/>
                <w:sz w:val="21"/>
                <w:szCs w:val="21"/>
                <w:highlight w:val="none"/>
                <w:lang w:val="en-US" w:eastAsia="zh-CN"/>
              </w:rPr>
              <w:t>支持</w:t>
            </w:r>
            <w:r>
              <w:rPr>
                <w:rFonts w:hint="eastAsia" w:ascii="宋体" w:hAnsi="宋体" w:eastAsia="宋体" w:cs="宋体"/>
                <w:color w:val="auto"/>
                <w:sz w:val="21"/>
                <w:szCs w:val="21"/>
                <w:highlight w:val="none"/>
                <w:lang w:eastAsia="zh-CN"/>
              </w:rPr>
              <w:t>登录灾备系统查看云资源备份情况</w:t>
            </w:r>
            <w:r>
              <w:rPr>
                <w:rFonts w:hint="eastAsia" w:ascii="宋体" w:hAnsi="宋体" w:eastAsia="宋体" w:cs="宋体"/>
                <w:color w:val="auto"/>
                <w:sz w:val="21"/>
                <w:szCs w:val="21"/>
                <w:highlight w:val="none"/>
                <w:lang w:eastAsia="zh"/>
              </w:rPr>
              <w:t>。</w:t>
            </w:r>
          </w:p>
        </w:tc>
      </w:tr>
    </w:tbl>
    <w:p w14:paraId="69B22DED">
      <w:pPr>
        <w:pStyle w:val="32"/>
        <w:pageBreakBefore w:val="0"/>
        <w:kinsoku/>
        <w:wordWrap/>
        <w:overflowPunct/>
        <w:topLinePunct w:val="0"/>
        <w:bidi w:val="0"/>
        <w:spacing w:line="360" w:lineRule="exact"/>
        <w:ind w:firstLine="480"/>
        <w:rPr>
          <w:rFonts w:hint="eastAsia" w:eastAsia="宋体" w:cs="宋体"/>
          <w:color w:val="auto"/>
          <w:sz w:val="21"/>
          <w:szCs w:val="21"/>
          <w:highlight w:val="none"/>
          <w:lang w:eastAsia="zh-CN"/>
        </w:rPr>
      </w:pPr>
    </w:p>
    <w:p w14:paraId="21EEF16B">
      <w:pPr>
        <w:pStyle w:val="32"/>
        <w:keepNext/>
        <w:keepLines/>
        <w:pageBreakBefore w:val="0"/>
        <w:widowControl w:val="0"/>
        <w:tabs>
          <w:tab w:val="left" w:pos="0"/>
        </w:tabs>
        <w:kinsoku/>
        <w:wordWrap/>
        <w:overflowPunct/>
        <w:topLinePunct w:val="0"/>
        <w:autoSpaceDE w:val="0"/>
        <w:autoSpaceDN w:val="0"/>
        <w:bidi w:val="0"/>
        <w:adjustRightInd w:val="0"/>
        <w:snapToGrid/>
        <w:spacing w:line="360" w:lineRule="exact"/>
        <w:ind w:firstLine="422" w:firstLineChars="200"/>
        <w:jc w:val="left"/>
        <w:textAlignment w:val="auto"/>
        <w:rPr>
          <w:rFonts w:hint="eastAsia" w:ascii="宋体" w:hAnsi="宋体" w:eastAsia="宋体" w:cs="宋体"/>
          <w:b/>
          <w:color w:val="auto"/>
          <w:sz w:val="21"/>
          <w:szCs w:val="21"/>
          <w:highlight w:val="none"/>
          <w:lang w:val="en-US" w:eastAsia="zh-CN"/>
        </w:rPr>
      </w:pPr>
      <w:r>
        <w:rPr>
          <w:rFonts w:hint="eastAsia" w:cs="宋体"/>
          <w:b/>
          <w:color w:val="auto"/>
          <w:sz w:val="21"/>
          <w:szCs w:val="21"/>
          <w:highlight w:val="none"/>
          <w:lang w:val="en-US" w:eastAsia="zh-CN"/>
        </w:rPr>
        <w:t>6</w:t>
      </w:r>
      <w:r>
        <w:rPr>
          <w:rFonts w:hint="eastAsia" w:eastAsia="宋体" w:cs="宋体"/>
          <w:b/>
          <w:color w:val="auto"/>
          <w:sz w:val="21"/>
          <w:szCs w:val="21"/>
          <w:highlight w:val="none"/>
          <w:lang w:val="en-US" w:eastAsia="zh-CN"/>
        </w:rPr>
        <w:t>.</w:t>
      </w:r>
      <w:r>
        <w:rPr>
          <w:rFonts w:hint="eastAsia" w:ascii="宋体" w:hAnsi="宋体" w:eastAsia="宋体" w:cs="宋体"/>
          <w:b/>
          <w:color w:val="auto"/>
          <w:sz w:val="21"/>
          <w:szCs w:val="21"/>
          <w:highlight w:val="none"/>
          <w:lang w:val="en-US" w:eastAsia="zh-CN"/>
        </w:rPr>
        <w:t>机房服务与灾备服务</w:t>
      </w:r>
    </w:p>
    <w:p w14:paraId="03148E4D">
      <w:pPr>
        <w:pStyle w:val="32"/>
        <w:keepNext/>
        <w:keepLines/>
        <w:pageBreakBefore w:val="0"/>
        <w:widowControl w:val="0"/>
        <w:tabs>
          <w:tab w:val="left" w:pos="0"/>
        </w:tabs>
        <w:kinsoku/>
        <w:wordWrap/>
        <w:overflowPunct/>
        <w:topLinePunct w:val="0"/>
        <w:autoSpaceDE w:val="0"/>
        <w:autoSpaceDN w:val="0"/>
        <w:bidi w:val="0"/>
        <w:adjustRightInd w:val="0"/>
        <w:snapToGrid/>
        <w:spacing w:line="360" w:lineRule="exact"/>
        <w:ind w:firstLine="420" w:firstLineChars="200"/>
        <w:jc w:val="left"/>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（1）机房服务</w:t>
      </w:r>
      <w:r>
        <w:rPr>
          <w:rFonts w:hint="eastAsia" w:eastAsia="宋体" w:cs="宋体"/>
          <w:b w:val="0"/>
          <w:bCs/>
          <w:color w:val="auto"/>
          <w:sz w:val="21"/>
          <w:szCs w:val="21"/>
          <w:highlight w:val="none"/>
          <w:lang w:val="en-US" w:eastAsia="zh-CN"/>
        </w:rPr>
        <w:t>要求</w:t>
      </w:r>
    </w:p>
    <w:p w14:paraId="2652927F">
      <w:pPr>
        <w:pageBreakBefore w:val="0"/>
        <w:kinsoku/>
        <w:wordWrap/>
        <w:overflowPunct/>
        <w:topLinePunct w:val="0"/>
        <w:bidi w:val="0"/>
        <w:spacing w:line="360" w:lineRule="exact"/>
        <w:ind w:firstLine="420" w:firstLineChars="200"/>
        <w:rPr>
          <w:rFonts w:hint="default" w:eastAsia="宋体"/>
          <w:color w:val="auto"/>
          <w:highlight w:val="none"/>
          <w:lang w:val="en-US" w:eastAsia="zh-CN" w:bidi="ar"/>
        </w:rPr>
      </w:pPr>
      <w:r>
        <w:rPr>
          <w:rFonts w:hint="eastAsia"/>
          <w:color w:val="auto"/>
          <w:highlight w:val="none"/>
          <w:lang w:val="en-US" w:eastAsia="zh-CN" w:bidi="ar"/>
        </w:rPr>
        <w:t>中标人须将</w:t>
      </w:r>
      <w:r>
        <w:rPr>
          <w:rFonts w:hint="eastAsia"/>
          <w:color w:val="auto"/>
          <w:highlight w:val="none"/>
          <w:lang w:bidi="ar"/>
        </w:rPr>
        <w:t>政务云机房设置在</w:t>
      </w:r>
      <w:r>
        <w:rPr>
          <w:rFonts w:hint="eastAsia"/>
          <w:color w:val="auto"/>
          <w:highlight w:val="none"/>
          <w:lang w:val="en-US" w:eastAsia="zh-CN" w:bidi="ar"/>
        </w:rPr>
        <w:t>防城港</w:t>
      </w:r>
      <w:r>
        <w:rPr>
          <w:rFonts w:hint="eastAsia"/>
          <w:color w:val="auto"/>
          <w:highlight w:val="none"/>
          <w:lang w:bidi="ar"/>
        </w:rPr>
        <w:t>市内，且符合商用密码应用性评估测评中机房物理和环境要求</w:t>
      </w:r>
      <w:r>
        <w:rPr>
          <w:rFonts w:hint="eastAsia"/>
          <w:color w:val="auto"/>
          <w:highlight w:val="none"/>
          <w:lang w:eastAsia="zh-CN" w:bidi="ar"/>
        </w:rPr>
        <w:t>，</w:t>
      </w:r>
      <w:r>
        <w:rPr>
          <w:rFonts w:hint="eastAsia"/>
          <w:color w:val="auto"/>
          <w:highlight w:val="none"/>
          <w:lang w:bidi="ar"/>
        </w:rPr>
        <w:t>所提供的基础配套设施包括机房、供电、制冷、消防、布线、机柜及其他配套设施。</w:t>
      </w:r>
    </w:p>
    <w:p w14:paraId="6D4720DB">
      <w:pPr>
        <w:pageBreakBefore w:val="0"/>
        <w:numPr>
          <w:ilvl w:val="0"/>
          <w:numId w:val="0"/>
        </w:numPr>
        <w:tabs>
          <w:tab w:val="left" w:pos="3150"/>
        </w:tabs>
        <w:kinsoku/>
        <w:wordWrap/>
        <w:overflowPunct/>
        <w:topLinePunct w:val="0"/>
        <w:bidi w:val="0"/>
        <w:spacing w:line="360" w:lineRule="exact"/>
        <w:ind w:firstLine="420" w:firstLineChars="200"/>
        <w:rPr>
          <w:rFonts w:hint="eastAsia" w:ascii="宋体" w:hAnsi="宋体" w:eastAsia="宋体" w:cs="宋体"/>
          <w:color w:val="auto"/>
          <w:szCs w:val="21"/>
          <w:highlight w:val="none"/>
          <w:lang w:val="zh-CN" w:bidi="ar"/>
        </w:rPr>
      </w:pPr>
      <w:r>
        <w:rPr>
          <w:rFonts w:hint="eastAsia" w:ascii="宋体" w:hAnsi="宋体" w:eastAsia="宋体" w:cs="宋体"/>
          <w:color w:val="auto"/>
          <w:sz w:val="21"/>
          <w:szCs w:val="21"/>
          <w:highlight w:val="none"/>
          <w:lang w:val="en-US" w:eastAsia="zh-CN"/>
        </w:rPr>
        <w:t>①机</w:t>
      </w:r>
      <w:r>
        <w:rPr>
          <w:rFonts w:hint="eastAsia"/>
          <w:color w:val="auto"/>
          <w:highlight w:val="none"/>
          <w:lang w:val="en-US" w:eastAsia="zh-CN" w:bidi="ar"/>
        </w:rPr>
        <w:t>房要求。</w:t>
      </w:r>
      <w:r>
        <w:rPr>
          <w:rFonts w:hint="eastAsia" w:ascii="宋体" w:hAnsi="宋体" w:cs="宋体"/>
          <w:color w:val="auto"/>
          <w:szCs w:val="21"/>
          <w:highlight w:val="none"/>
        </w:rPr>
        <w:t>所用机房为政务云专用，</w:t>
      </w:r>
      <w:r>
        <w:rPr>
          <w:rFonts w:hint="eastAsia"/>
          <w:color w:val="auto"/>
          <w:highlight w:val="none"/>
          <w:lang w:val="en-US" w:eastAsia="zh-CN" w:bidi="ar"/>
        </w:rPr>
        <w:t>位于安全区域，</w:t>
      </w:r>
      <w:r>
        <w:rPr>
          <w:rFonts w:hint="eastAsia"/>
          <w:color w:val="auto"/>
          <w:highlight w:val="none"/>
          <w:lang w:bidi="ar"/>
        </w:rPr>
        <w:t>提供完全</w:t>
      </w:r>
      <w:r>
        <w:rPr>
          <w:rFonts w:hint="eastAsia"/>
          <w:color w:val="auto"/>
          <w:highlight w:val="none"/>
          <w:lang w:eastAsia="zh-CN" w:bidi="ar"/>
        </w:rPr>
        <w:t>、</w:t>
      </w:r>
      <w:r>
        <w:rPr>
          <w:rFonts w:hint="eastAsia"/>
          <w:color w:val="auto"/>
          <w:highlight w:val="none"/>
          <w:lang w:bidi="ar"/>
        </w:rPr>
        <w:t>单独的物理隔离房间</w:t>
      </w:r>
      <w:r>
        <w:rPr>
          <w:rFonts w:hint="eastAsia"/>
          <w:color w:val="auto"/>
          <w:highlight w:val="none"/>
          <w:lang w:eastAsia="zh-CN" w:bidi="ar"/>
        </w:rPr>
        <w:t>，</w:t>
      </w:r>
      <w:r>
        <w:rPr>
          <w:rFonts w:hint="eastAsia" w:ascii="宋体" w:hAnsi="宋体" w:cs="宋体"/>
          <w:color w:val="auto"/>
          <w:szCs w:val="21"/>
          <w:highlight w:val="none"/>
        </w:rPr>
        <w:t>与非政务云业务区域隔离</w:t>
      </w:r>
      <w:r>
        <w:rPr>
          <w:rFonts w:hint="eastAsia" w:ascii="宋体" w:hAnsi="宋体" w:cs="宋体"/>
          <w:color w:val="auto"/>
          <w:szCs w:val="21"/>
          <w:highlight w:val="none"/>
          <w:lang w:eastAsia="zh-CN"/>
        </w:rPr>
        <w:t>，</w:t>
      </w:r>
      <w:r>
        <w:rPr>
          <w:rFonts w:hint="eastAsia" w:ascii="宋体" w:hAnsi="宋体" w:eastAsia="宋体" w:cs="宋体"/>
          <w:color w:val="auto"/>
          <w:sz w:val="21"/>
          <w:szCs w:val="21"/>
          <w:highlight w:val="none"/>
          <w:lang w:eastAsia="zh-CN"/>
        </w:rPr>
        <w:t>须</w:t>
      </w:r>
      <w:r>
        <w:rPr>
          <w:rFonts w:hint="eastAsia" w:ascii="宋体" w:hAnsi="宋体" w:eastAsia="宋体" w:cs="宋体"/>
          <w:color w:val="auto"/>
          <w:sz w:val="21"/>
          <w:szCs w:val="21"/>
          <w:highlight w:val="none"/>
          <w:lang w:val="en-US" w:eastAsia="zh-CN"/>
        </w:rPr>
        <w:t>具备为特殊用户需要划分独立机房区域的功能</w:t>
      </w:r>
      <w:r>
        <w:rPr>
          <w:rFonts w:hint="eastAsia"/>
          <w:color w:val="auto"/>
          <w:highlight w:val="none"/>
          <w:lang w:bidi="ar"/>
        </w:rPr>
        <w:t>。</w:t>
      </w:r>
      <w:r>
        <w:rPr>
          <w:rFonts w:hint="eastAsia"/>
          <w:color w:val="auto"/>
          <w:highlight w:val="none"/>
          <w:lang w:val="en-US" w:eastAsia="zh-CN" w:bidi="ar"/>
        </w:rPr>
        <w:t>所在</w:t>
      </w:r>
      <w:r>
        <w:rPr>
          <w:rFonts w:hint="eastAsia"/>
          <w:color w:val="auto"/>
          <w:highlight w:val="none"/>
          <w:lang w:bidi="ar"/>
        </w:rPr>
        <w:t>数据中心需满足《计算机场地通用</w:t>
      </w:r>
      <w:r>
        <w:rPr>
          <w:rFonts w:hint="eastAsia" w:ascii="宋体" w:hAnsi="宋体" w:eastAsia="宋体" w:cs="宋体"/>
          <w:color w:val="auto"/>
          <w:szCs w:val="21"/>
          <w:highlight w:val="none"/>
          <w:lang w:val="zh-CN" w:bidi="ar"/>
        </w:rPr>
        <w:t>规范》（GB</w:t>
      </w:r>
      <w:r>
        <w:rPr>
          <w:rFonts w:hint="eastAsia" w:ascii="宋体" w:hAnsi="宋体" w:eastAsia="宋体" w:cs="宋体"/>
          <w:color w:val="auto"/>
          <w:szCs w:val="21"/>
          <w:highlight w:val="none"/>
          <w:lang w:val="en-US" w:eastAsia="zh-CN" w:bidi="ar"/>
        </w:rPr>
        <w:t xml:space="preserve">/T </w:t>
      </w:r>
      <w:r>
        <w:rPr>
          <w:rFonts w:hint="eastAsia" w:ascii="宋体" w:hAnsi="宋体" w:eastAsia="宋体" w:cs="宋体"/>
          <w:color w:val="auto"/>
          <w:szCs w:val="21"/>
          <w:highlight w:val="none"/>
          <w:lang w:val="zh-CN" w:bidi="ar"/>
        </w:rPr>
        <w:t>2887-2011）、《计算站场地安全要求》（GB</w:t>
      </w:r>
      <w:r>
        <w:rPr>
          <w:rFonts w:hint="eastAsia" w:ascii="宋体" w:hAnsi="宋体" w:eastAsia="宋体" w:cs="宋体"/>
          <w:color w:val="auto"/>
          <w:szCs w:val="21"/>
          <w:highlight w:val="none"/>
          <w:lang w:val="en-US" w:eastAsia="zh-CN" w:bidi="ar"/>
        </w:rPr>
        <w:t xml:space="preserve">/T </w:t>
      </w:r>
      <w:r>
        <w:rPr>
          <w:rFonts w:hint="eastAsia" w:ascii="宋体" w:hAnsi="宋体" w:eastAsia="宋体" w:cs="宋体"/>
          <w:color w:val="auto"/>
          <w:szCs w:val="21"/>
          <w:highlight w:val="none"/>
          <w:lang w:val="zh-CN" w:bidi="ar"/>
        </w:rPr>
        <w:t>9361-2011）、《数据中心设计规范》（GB50174-2017）、《信息安全技术</w:t>
      </w:r>
      <w:r>
        <w:rPr>
          <w:rFonts w:hint="eastAsia" w:ascii="宋体" w:hAnsi="宋体" w:eastAsia="宋体" w:cs="宋体"/>
          <w:color w:val="auto"/>
          <w:szCs w:val="21"/>
          <w:highlight w:val="none"/>
          <w:lang w:val="en-US" w:eastAsia="zh-CN" w:bidi="ar"/>
        </w:rPr>
        <w:t xml:space="preserve"> 网络</w:t>
      </w:r>
      <w:r>
        <w:rPr>
          <w:rFonts w:hint="eastAsia" w:ascii="宋体" w:hAnsi="宋体" w:eastAsia="宋体" w:cs="宋体"/>
          <w:color w:val="auto"/>
          <w:szCs w:val="21"/>
          <w:highlight w:val="none"/>
          <w:lang w:val="zh-CN" w:bidi="ar"/>
        </w:rPr>
        <w:t>安全等级保护基本要求》（GB</w:t>
      </w:r>
      <w:r>
        <w:rPr>
          <w:rFonts w:hint="eastAsia" w:ascii="宋体" w:hAnsi="宋体" w:eastAsia="宋体" w:cs="宋体"/>
          <w:color w:val="auto"/>
          <w:szCs w:val="21"/>
          <w:highlight w:val="none"/>
          <w:lang w:val="en-US" w:eastAsia="zh-CN" w:bidi="ar"/>
        </w:rPr>
        <w:t>/</w:t>
      </w:r>
      <w:r>
        <w:rPr>
          <w:rFonts w:hint="eastAsia" w:ascii="宋体" w:hAnsi="宋体" w:eastAsia="宋体" w:cs="宋体"/>
          <w:color w:val="auto"/>
          <w:szCs w:val="21"/>
          <w:highlight w:val="none"/>
          <w:lang w:val="zh-CN" w:bidi="ar"/>
        </w:rPr>
        <w:t>T</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val="zh-CN" w:bidi="ar"/>
        </w:rPr>
        <w:t>22239-20</w:t>
      </w:r>
      <w:r>
        <w:rPr>
          <w:rFonts w:hint="eastAsia" w:ascii="宋体" w:hAnsi="宋体" w:eastAsia="宋体" w:cs="宋体"/>
          <w:color w:val="auto"/>
          <w:szCs w:val="21"/>
          <w:highlight w:val="none"/>
          <w:lang w:val="en-US" w:eastAsia="zh-CN" w:bidi="ar"/>
        </w:rPr>
        <w:t>19</w:t>
      </w:r>
      <w:r>
        <w:rPr>
          <w:rFonts w:hint="eastAsia" w:ascii="宋体" w:hAnsi="宋体" w:eastAsia="宋体" w:cs="宋体"/>
          <w:color w:val="auto"/>
          <w:szCs w:val="21"/>
          <w:highlight w:val="none"/>
          <w:lang w:val="zh-CN" w:bidi="ar"/>
        </w:rPr>
        <w:t>）等标准的要求，并按照A类机房和安全等级保护三级要求进行建设</w:t>
      </w:r>
      <w:r>
        <w:rPr>
          <w:rFonts w:hint="eastAsia" w:ascii="宋体" w:hAnsi="宋体" w:eastAsia="宋体" w:cs="宋体"/>
          <w:color w:val="auto"/>
          <w:szCs w:val="21"/>
          <w:highlight w:val="none"/>
          <w:lang w:val="zh-CN" w:eastAsia="zh-CN" w:bidi="ar"/>
        </w:rPr>
        <w:t>。</w:t>
      </w:r>
    </w:p>
    <w:p w14:paraId="7BDFA9EA">
      <w:pPr>
        <w:pageBreakBefore w:val="0"/>
        <w:numPr>
          <w:ilvl w:val="0"/>
          <w:numId w:val="0"/>
        </w:numPr>
        <w:tabs>
          <w:tab w:val="left" w:pos="3150"/>
        </w:tabs>
        <w:kinsoku/>
        <w:wordWrap/>
        <w:overflowPunct/>
        <w:topLinePunct w:val="0"/>
        <w:bidi w:val="0"/>
        <w:spacing w:line="360" w:lineRule="exact"/>
        <w:ind w:firstLine="420" w:firstLineChars="200"/>
        <w:rPr>
          <w:rFonts w:hint="eastAsia" w:ascii="宋体" w:hAnsi="宋体" w:eastAsia="宋体" w:cs="宋体"/>
          <w:color w:val="auto"/>
          <w:szCs w:val="21"/>
          <w:highlight w:val="none"/>
          <w:lang w:val="zh-CN" w:bidi="ar"/>
        </w:rPr>
      </w:pPr>
      <w:r>
        <w:rPr>
          <w:rFonts w:hint="eastAsia" w:ascii="宋体" w:hAnsi="宋体" w:eastAsia="宋体" w:cs="宋体"/>
          <w:color w:val="auto"/>
          <w:sz w:val="21"/>
          <w:szCs w:val="21"/>
          <w:highlight w:val="none"/>
          <w:lang w:val="zh-CN" w:eastAsia="zh-CN" w:bidi="ar"/>
        </w:rPr>
        <w:t>②</w:t>
      </w:r>
      <w:r>
        <w:rPr>
          <w:rFonts w:hint="eastAsia" w:ascii="宋体" w:hAnsi="宋体" w:eastAsia="宋体" w:cs="宋体"/>
          <w:color w:val="auto"/>
          <w:szCs w:val="21"/>
          <w:highlight w:val="none"/>
          <w:lang w:val="zh-CN" w:eastAsia="zh-CN" w:bidi="ar"/>
        </w:rPr>
        <w:t>温湿度控制。</w:t>
      </w:r>
      <w:r>
        <w:rPr>
          <w:rFonts w:hint="eastAsia" w:ascii="宋体" w:hAnsi="宋体" w:cs="宋体"/>
          <w:color w:val="auto"/>
          <w:szCs w:val="21"/>
          <w:highlight w:val="none"/>
        </w:rPr>
        <w:t>政务云所在的数据中心空调系统采用N+2冗余结构</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lang w:val="zh-CN" w:bidi="ar"/>
        </w:rPr>
        <w:t>配备温湿度控制系统，整体温度</w:t>
      </w:r>
      <w:r>
        <w:rPr>
          <w:rFonts w:hint="eastAsia" w:ascii="宋体" w:hAnsi="宋体" w:eastAsia="宋体" w:cs="宋体"/>
          <w:color w:val="auto"/>
          <w:szCs w:val="21"/>
          <w:highlight w:val="none"/>
          <w:lang w:val="zh-CN" w:eastAsia="zh-CN" w:bidi="ar"/>
        </w:rPr>
        <w:t>范围18</w:t>
      </w:r>
      <w:r>
        <w:rPr>
          <w:rFonts w:hint="eastAsia" w:ascii="宋体" w:hAnsi="宋体" w:eastAsia="宋体" w:cs="宋体"/>
          <w:color w:val="auto"/>
          <w:szCs w:val="21"/>
          <w:highlight w:val="none"/>
          <w:lang w:val="zh-CN" w:bidi="ar"/>
        </w:rPr>
        <w:t>℃</w:t>
      </w:r>
      <w:r>
        <w:rPr>
          <w:rFonts w:hint="eastAsia" w:ascii="宋体" w:hAnsi="宋体" w:eastAsia="宋体" w:cs="宋体"/>
          <w:color w:val="auto"/>
          <w:szCs w:val="21"/>
          <w:highlight w:val="none"/>
          <w:lang w:val="zh-CN" w:eastAsia="zh-CN" w:bidi="ar"/>
        </w:rPr>
        <w:t>-27</w:t>
      </w:r>
      <w:r>
        <w:rPr>
          <w:rFonts w:hint="eastAsia" w:ascii="宋体" w:hAnsi="宋体" w:eastAsia="宋体" w:cs="宋体"/>
          <w:color w:val="auto"/>
          <w:szCs w:val="21"/>
          <w:highlight w:val="none"/>
          <w:lang w:val="zh-CN" w:bidi="ar"/>
        </w:rPr>
        <w:t>℃</w:t>
      </w:r>
      <w:r>
        <w:rPr>
          <w:rFonts w:hint="eastAsia" w:ascii="宋体" w:hAnsi="宋体" w:eastAsia="宋体" w:cs="宋体"/>
          <w:color w:val="auto"/>
          <w:szCs w:val="21"/>
          <w:highlight w:val="none"/>
          <w:lang w:val="zh-CN" w:eastAsia="zh-CN" w:bidi="ar"/>
        </w:rPr>
        <w:t>，</w:t>
      </w:r>
      <w:r>
        <w:rPr>
          <w:rFonts w:hint="eastAsia" w:ascii="宋体" w:hAnsi="宋体" w:eastAsia="宋体" w:cs="宋体"/>
          <w:color w:val="auto"/>
          <w:szCs w:val="21"/>
          <w:highlight w:val="none"/>
          <w:lang w:val="zh-CN" w:bidi="ar"/>
        </w:rPr>
        <w:t>整体湿度保持在4</w:t>
      </w:r>
      <w:r>
        <w:rPr>
          <w:rFonts w:hint="eastAsia" w:ascii="宋体" w:hAnsi="宋体" w:eastAsia="宋体" w:cs="宋体"/>
          <w:color w:val="auto"/>
          <w:szCs w:val="21"/>
          <w:highlight w:val="none"/>
          <w:lang w:val="zh-CN" w:eastAsia="zh-CN" w:bidi="ar"/>
        </w:rPr>
        <w:t>0</w:t>
      </w:r>
      <w:r>
        <w:rPr>
          <w:rFonts w:hint="eastAsia" w:ascii="宋体" w:hAnsi="宋体" w:eastAsia="宋体" w:cs="宋体"/>
          <w:color w:val="auto"/>
          <w:szCs w:val="21"/>
          <w:highlight w:val="none"/>
          <w:lang w:val="zh-CN" w:bidi="ar"/>
        </w:rPr>
        <w:t>%-6</w:t>
      </w:r>
      <w:r>
        <w:rPr>
          <w:rFonts w:hint="eastAsia" w:ascii="宋体" w:hAnsi="宋体" w:eastAsia="宋体" w:cs="宋体"/>
          <w:color w:val="auto"/>
          <w:szCs w:val="21"/>
          <w:highlight w:val="none"/>
          <w:lang w:val="zh-CN" w:eastAsia="zh-CN" w:bidi="ar"/>
        </w:rPr>
        <w:t>0</w:t>
      </w:r>
      <w:r>
        <w:rPr>
          <w:rFonts w:hint="eastAsia" w:ascii="宋体" w:hAnsi="宋体" w:eastAsia="宋体" w:cs="宋体"/>
          <w:color w:val="auto"/>
          <w:szCs w:val="21"/>
          <w:highlight w:val="none"/>
          <w:lang w:val="zh-CN" w:bidi="ar"/>
        </w:rPr>
        <w:t>%，</w:t>
      </w:r>
      <w:r>
        <w:rPr>
          <w:rFonts w:hint="eastAsia" w:ascii="宋体" w:hAnsi="宋体" w:cs="宋体"/>
          <w:color w:val="auto"/>
          <w:szCs w:val="21"/>
          <w:highlight w:val="none"/>
        </w:rPr>
        <w:t>保证机房常年保持恒温恒湿环境，确保机房防潮、防水灾、防凝露</w:t>
      </w:r>
      <w:r>
        <w:rPr>
          <w:rFonts w:hint="eastAsia" w:ascii="宋体" w:hAnsi="宋体" w:eastAsia="宋体" w:cs="宋体"/>
          <w:color w:val="auto"/>
          <w:szCs w:val="21"/>
          <w:highlight w:val="none"/>
          <w:lang w:val="zh-CN" w:bidi="ar"/>
        </w:rPr>
        <w:t>。</w:t>
      </w:r>
    </w:p>
    <w:p w14:paraId="3070252A">
      <w:pPr>
        <w:keepNext w:val="0"/>
        <w:keepLines w:val="0"/>
        <w:pageBreakBefore w:val="0"/>
        <w:widowControl w:val="0"/>
        <w:numPr>
          <w:ilvl w:val="0"/>
          <w:numId w:val="0"/>
        </w:numPr>
        <w:tabs>
          <w:tab w:val="left" w:pos="3150"/>
        </w:tabs>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lang w:val="zh-CN" w:eastAsia="zh-CN" w:bidi="ar"/>
        </w:rPr>
      </w:pPr>
      <w:r>
        <w:rPr>
          <w:rFonts w:hint="eastAsia" w:ascii="汉仪书宋二S" w:hAnsi="汉仪书宋二S" w:eastAsia="汉仪书宋二S" w:cs="汉仪书宋二S"/>
          <w:color w:val="auto"/>
          <w:sz w:val="21"/>
          <w:szCs w:val="21"/>
          <w:highlight w:val="none"/>
          <w:lang w:val="zh-CN" w:eastAsia="zh-CN" w:bidi="ar"/>
        </w:rPr>
        <w:t>③</w:t>
      </w:r>
      <w:r>
        <w:rPr>
          <w:rFonts w:hint="eastAsia" w:ascii="宋体" w:hAnsi="宋体" w:eastAsia="宋体" w:cs="宋体"/>
          <w:color w:val="auto"/>
          <w:sz w:val="21"/>
          <w:szCs w:val="21"/>
          <w:highlight w:val="none"/>
          <w:lang w:val="zh-CN" w:eastAsia="zh-CN" w:bidi="ar"/>
        </w:rPr>
        <w:t>柴油发电机。机房配备有柴油发电机，柴油发电机采用N+1配置；在电力中断的情况下能够自动启动；柴油发电机应能在4小时内获得油站补充，保证机房持续电力供应。</w:t>
      </w:r>
    </w:p>
    <w:p w14:paraId="2CCE170E">
      <w:pPr>
        <w:pageBreakBefore w:val="0"/>
        <w:numPr>
          <w:ilvl w:val="0"/>
          <w:numId w:val="0"/>
        </w:numPr>
        <w:kinsoku/>
        <w:wordWrap/>
        <w:overflowPunct/>
        <w:topLinePunct w:val="0"/>
        <w:bidi w:val="0"/>
        <w:spacing w:line="360" w:lineRule="exact"/>
        <w:ind w:firstLine="420" w:firstLineChars="200"/>
        <w:rPr>
          <w:rFonts w:hint="eastAsia"/>
          <w:color w:val="auto"/>
          <w:highlight w:val="none"/>
        </w:rPr>
      </w:pPr>
      <w:r>
        <w:rPr>
          <w:rFonts w:hint="eastAsia" w:ascii="汉仪书宋二S" w:hAnsi="汉仪书宋二S" w:eastAsia="汉仪书宋二S" w:cs="汉仪书宋二S"/>
          <w:color w:val="auto"/>
          <w:sz w:val="21"/>
          <w:szCs w:val="21"/>
          <w:highlight w:val="none"/>
          <w:lang w:val="en-US" w:eastAsia="zh-CN"/>
        </w:rPr>
        <w:t>④</w:t>
      </w:r>
      <w:r>
        <w:rPr>
          <w:rFonts w:hint="eastAsia" w:ascii="宋体" w:hAnsi="宋体" w:eastAsia="宋体" w:cs="宋体"/>
          <w:color w:val="auto"/>
          <w:sz w:val="21"/>
          <w:szCs w:val="21"/>
          <w:highlight w:val="none"/>
          <w:lang w:val="en-US" w:eastAsia="zh-CN"/>
        </w:rPr>
        <w:t>电力保障。</w:t>
      </w:r>
      <w:r>
        <w:rPr>
          <w:rFonts w:hint="eastAsia" w:ascii="宋体" w:hAnsi="宋体" w:eastAsia="宋体" w:cs="宋体"/>
          <w:color w:val="auto"/>
          <w:sz w:val="21"/>
          <w:szCs w:val="21"/>
          <w:highlight w:val="none"/>
        </w:rPr>
        <w:t>机房应保证</w:t>
      </w:r>
      <w:r>
        <w:rPr>
          <w:rFonts w:hint="eastAsia" w:ascii="宋体" w:hAnsi="宋体" w:eastAsia="宋体" w:cs="宋体"/>
          <w:color w:val="auto"/>
          <w:sz w:val="21"/>
          <w:szCs w:val="21"/>
          <w:highlight w:val="none"/>
          <w:lang w:val="en-US" w:eastAsia="zh-CN"/>
        </w:rPr>
        <w:t>7</w:t>
      </w:r>
      <w:r>
        <w:rPr>
          <w:rFonts w:hint="default" w:ascii="Arial" w:hAnsi="Arial" w:eastAsia="宋体" w:cs="Arial"/>
          <w:color w:val="auto"/>
          <w:sz w:val="21"/>
          <w:szCs w:val="21"/>
          <w:highlight w:val="none"/>
          <w:lang w:val="en-US" w:eastAsia="zh-CN"/>
        </w:rPr>
        <w:t>×</w:t>
      </w:r>
      <w:r>
        <w:rPr>
          <w:rFonts w:hint="eastAsia" w:ascii="宋体" w:hAnsi="宋体" w:eastAsia="宋体" w:cs="宋体"/>
          <w:color w:val="auto"/>
          <w:sz w:val="21"/>
          <w:szCs w:val="21"/>
          <w:highlight w:val="none"/>
        </w:rPr>
        <w:t>24小时不间断运行</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应配备发电机，</w:t>
      </w:r>
      <w:r>
        <w:rPr>
          <w:rFonts w:hint="eastAsia" w:ascii="宋体" w:hAnsi="宋体" w:eastAsia="宋体" w:cs="宋体"/>
          <w:color w:val="auto"/>
          <w:sz w:val="21"/>
          <w:szCs w:val="21"/>
          <w:highlight w:val="none"/>
        </w:rPr>
        <w:t>在电力中断的情况下能够自动启动，并</w:t>
      </w:r>
      <w:r>
        <w:rPr>
          <w:rFonts w:hint="eastAsia" w:ascii="宋体" w:hAnsi="宋体" w:cs="宋体"/>
          <w:color w:val="auto"/>
          <w:sz w:val="21"/>
          <w:szCs w:val="21"/>
          <w:highlight w:val="none"/>
          <w:lang w:val="en-US" w:eastAsia="zh-CN"/>
        </w:rPr>
        <w:t>无缝对接</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供电双路市电从不同变电站接入，配备双回路投切开关，其中一个电源失电的情况下可以投切到另一个电源供电。</w:t>
      </w:r>
    </w:p>
    <w:p w14:paraId="32BBCE5B">
      <w:pPr>
        <w:pStyle w:val="12"/>
        <w:keepNext w:val="0"/>
        <w:keepLines w:val="0"/>
        <w:pageBreakBefore w:val="0"/>
        <w:widowControl w:val="0"/>
        <w:kinsoku/>
        <w:wordWrap/>
        <w:overflowPunct/>
        <w:topLinePunct w:val="0"/>
        <w:autoSpaceDE/>
        <w:autoSpaceDN/>
        <w:bidi w:val="0"/>
        <w:adjustRightInd/>
        <w:snapToGrid/>
        <w:spacing w:before="0" w:after="0" w:line="360" w:lineRule="exact"/>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汉仪书宋二S" w:hAnsi="汉仪书宋二S" w:eastAsia="汉仪书宋二S" w:cs="汉仪书宋二S"/>
          <w:b w:val="0"/>
          <w:bCs w:val="0"/>
          <w:color w:val="auto"/>
          <w:sz w:val="21"/>
          <w:szCs w:val="21"/>
          <w:highlight w:val="none"/>
          <w:lang w:val="en-US" w:eastAsia="zh-CN"/>
        </w:rPr>
        <w:t>⑤</w:t>
      </w:r>
      <w:r>
        <w:rPr>
          <w:rFonts w:hint="eastAsia" w:ascii="宋体" w:hAnsi="宋体" w:eastAsia="宋体" w:cs="宋体"/>
          <w:b w:val="0"/>
          <w:bCs w:val="0"/>
          <w:color w:val="auto"/>
          <w:kern w:val="2"/>
          <w:sz w:val="21"/>
          <w:szCs w:val="21"/>
          <w:highlight w:val="none"/>
          <w:lang w:val="en-US" w:eastAsia="zh-CN" w:bidi="ar-SA"/>
        </w:rPr>
        <w:t>UPS。以2N冗余备份模式工作，能够支撑政务云机房整体供电30分钟以上。</w:t>
      </w:r>
    </w:p>
    <w:p w14:paraId="79CC39B1">
      <w:pPr>
        <w:pStyle w:val="32"/>
        <w:keepNext/>
        <w:keepLines/>
        <w:pageBreakBefore w:val="0"/>
        <w:widowControl w:val="0"/>
        <w:tabs>
          <w:tab w:val="left" w:pos="0"/>
        </w:tabs>
        <w:kinsoku/>
        <w:wordWrap/>
        <w:overflowPunct/>
        <w:topLinePunct w:val="0"/>
        <w:autoSpaceDE w:val="0"/>
        <w:autoSpaceDN w:val="0"/>
        <w:bidi w:val="0"/>
        <w:adjustRightInd w:val="0"/>
        <w:snapToGrid/>
        <w:spacing w:line="360" w:lineRule="exact"/>
        <w:ind w:firstLine="420" w:firstLineChars="200"/>
        <w:jc w:val="left"/>
        <w:rPr>
          <w:rFonts w:hint="eastAsia" w:ascii="宋体" w:hAnsi="宋体" w:eastAsia="宋体" w:cs="宋体"/>
          <w:b w:val="0"/>
          <w:bCs w:val="0"/>
          <w:color w:val="auto"/>
          <w:sz w:val="21"/>
          <w:szCs w:val="21"/>
          <w:highlight w:val="none"/>
          <w:lang w:val="en-US" w:eastAsia="zh-CN"/>
        </w:rPr>
      </w:pPr>
      <w:r>
        <w:rPr>
          <w:rFonts w:hint="eastAsia" w:ascii="汉仪书宋二S" w:hAnsi="汉仪书宋二S" w:eastAsia="汉仪书宋二S" w:cs="汉仪书宋二S"/>
          <w:b w:val="0"/>
          <w:bCs w:val="0"/>
          <w:color w:val="auto"/>
          <w:sz w:val="21"/>
          <w:szCs w:val="21"/>
          <w:highlight w:val="none"/>
          <w:lang w:val="en-US" w:eastAsia="zh-CN"/>
        </w:rPr>
        <w:t>⑥</w:t>
      </w:r>
      <w:r>
        <w:rPr>
          <w:rFonts w:hint="eastAsia" w:ascii="宋体" w:hAnsi="宋体" w:eastAsia="宋体" w:cs="宋体"/>
          <w:b w:val="0"/>
          <w:bCs w:val="0"/>
          <w:color w:val="auto"/>
          <w:sz w:val="21"/>
          <w:szCs w:val="21"/>
          <w:highlight w:val="none"/>
          <w:lang w:val="en-US" w:eastAsia="zh-CN"/>
        </w:rPr>
        <w:t>消防与安防。具备基础保障能力，须配备门禁、入侵报警系统等安全防护设施，配备气体灭火器等消防设施，定期检查设备保障能力。</w:t>
      </w:r>
    </w:p>
    <w:p w14:paraId="46B8041E">
      <w:pPr>
        <w:pStyle w:val="32"/>
        <w:keepNext/>
        <w:keepLines/>
        <w:pageBreakBefore w:val="0"/>
        <w:widowControl w:val="0"/>
        <w:tabs>
          <w:tab w:val="left" w:pos="0"/>
        </w:tabs>
        <w:kinsoku/>
        <w:wordWrap/>
        <w:overflowPunct/>
        <w:topLinePunct w:val="0"/>
        <w:autoSpaceDE w:val="0"/>
        <w:autoSpaceDN w:val="0"/>
        <w:bidi w:val="0"/>
        <w:adjustRightInd w:val="0"/>
        <w:snapToGrid/>
        <w:spacing w:line="360" w:lineRule="exact"/>
        <w:ind w:firstLine="420" w:firstLineChars="200"/>
        <w:jc w:val="left"/>
        <w:rPr>
          <w:rFonts w:hint="eastAsia" w:ascii="宋体" w:hAnsi="宋体" w:eastAsia="宋体" w:cs="宋体"/>
          <w:b w:val="0"/>
          <w:bCs w:val="0"/>
          <w:color w:val="auto"/>
          <w:sz w:val="21"/>
          <w:szCs w:val="21"/>
          <w:highlight w:val="none"/>
          <w:lang w:val="en-US" w:eastAsia="zh-CN"/>
        </w:rPr>
      </w:pPr>
      <w:r>
        <w:rPr>
          <w:rFonts w:hint="eastAsia" w:ascii="汉仪书宋二S" w:hAnsi="汉仪书宋二S" w:eastAsia="汉仪书宋二S" w:cs="汉仪书宋二S"/>
          <w:b w:val="0"/>
          <w:bCs w:val="0"/>
          <w:color w:val="auto"/>
          <w:sz w:val="21"/>
          <w:szCs w:val="21"/>
          <w:highlight w:val="none"/>
          <w:lang w:val="en-US" w:eastAsia="zh-CN"/>
        </w:rPr>
        <w:t>⑦</w:t>
      </w:r>
      <w:r>
        <w:rPr>
          <w:rFonts w:hint="eastAsia" w:ascii="宋体" w:hAnsi="宋体" w:eastAsia="宋体" w:cs="宋体"/>
          <w:b w:val="0"/>
          <w:bCs w:val="0"/>
          <w:color w:val="auto"/>
          <w:sz w:val="21"/>
          <w:szCs w:val="21"/>
          <w:highlight w:val="none"/>
          <w:lang w:val="en-US" w:eastAsia="zh-CN"/>
        </w:rPr>
        <w:t>监控能力。配备火灾自动报警、烟感温感智能化监控系统，7×24小时视频监控，录像保存半年以上。</w:t>
      </w:r>
    </w:p>
    <w:p w14:paraId="3818DDC4">
      <w:pPr>
        <w:pStyle w:val="32"/>
        <w:pageBreakBefore w:val="0"/>
        <w:kinsoku/>
        <w:wordWrap/>
        <w:overflowPunct/>
        <w:topLinePunct w:val="0"/>
        <w:bidi w:val="0"/>
        <w:spacing w:line="360" w:lineRule="exact"/>
        <w:ind w:firstLine="480"/>
        <w:rPr>
          <w:rFonts w:hint="eastAsia" w:ascii="宋体" w:hAnsi="宋体" w:eastAsia="宋体" w:cs="宋体"/>
          <w:b w:val="0"/>
          <w:bCs w:val="0"/>
          <w:color w:val="auto"/>
          <w:sz w:val="21"/>
          <w:szCs w:val="21"/>
          <w:highlight w:val="none"/>
          <w:lang w:bidi="ar"/>
        </w:rPr>
      </w:pPr>
      <w:r>
        <w:rPr>
          <w:rFonts w:hint="eastAsia" w:ascii="汉仪书宋二S" w:hAnsi="汉仪书宋二S" w:eastAsia="汉仪书宋二S" w:cs="汉仪书宋二S"/>
          <w:color w:val="auto"/>
          <w:sz w:val="21"/>
          <w:szCs w:val="21"/>
          <w:highlight w:val="none"/>
          <w:lang w:val="en-US" w:eastAsia="zh-CN"/>
        </w:rPr>
        <w:t>⑧</w:t>
      </w:r>
      <w:r>
        <w:rPr>
          <w:rFonts w:hint="eastAsia" w:ascii="宋体" w:hAnsi="宋体" w:eastAsia="宋体" w:cs="宋体"/>
          <w:b w:val="0"/>
          <w:bCs w:val="0"/>
          <w:color w:val="auto"/>
          <w:sz w:val="21"/>
          <w:szCs w:val="21"/>
          <w:highlight w:val="none"/>
          <w:lang w:val="en-US" w:eastAsia="zh-CN"/>
        </w:rPr>
        <w:t>可靠性。全年服务可用性≥99.99%，</w:t>
      </w:r>
      <w:r>
        <w:rPr>
          <w:rFonts w:hint="eastAsia" w:ascii="宋体" w:hAnsi="宋体" w:eastAsia="宋体" w:cs="宋体"/>
          <w:b w:val="0"/>
          <w:bCs w:val="0"/>
          <w:color w:val="auto"/>
          <w:sz w:val="21"/>
          <w:szCs w:val="21"/>
          <w:highlight w:val="none"/>
          <w:lang w:bidi="ar"/>
        </w:rPr>
        <w:t>确保7</w:t>
      </w:r>
      <w:r>
        <w:rPr>
          <w:rFonts w:hint="default" w:ascii="Arial" w:hAnsi="Arial" w:eastAsia="宋体" w:cs="Arial"/>
          <w:b w:val="0"/>
          <w:bCs w:val="0"/>
          <w:color w:val="auto"/>
          <w:sz w:val="21"/>
          <w:szCs w:val="21"/>
          <w:highlight w:val="none"/>
          <w:lang w:bidi="ar"/>
        </w:rPr>
        <w:t>×</w:t>
      </w:r>
      <w:r>
        <w:rPr>
          <w:rFonts w:hint="eastAsia" w:ascii="宋体" w:hAnsi="宋体" w:eastAsia="宋体" w:cs="宋体"/>
          <w:b w:val="0"/>
          <w:bCs w:val="0"/>
          <w:color w:val="auto"/>
          <w:sz w:val="21"/>
          <w:szCs w:val="21"/>
          <w:highlight w:val="none"/>
          <w:lang w:bidi="ar"/>
        </w:rPr>
        <w:t>24小时办理机房相关事务。</w:t>
      </w:r>
    </w:p>
    <w:p w14:paraId="408A0C0A">
      <w:pPr>
        <w:pStyle w:val="32"/>
        <w:keepNext w:val="0"/>
        <w:keepLines w:val="0"/>
        <w:pageBreakBefore w:val="0"/>
        <w:tabs>
          <w:tab w:val="left" w:pos="0"/>
        </w:tabs>
        <w:kinsoku/>
        <w:wordWrap/>
        <w:overflowPunct/>
        <w:topLinePunct w:val="0"/>
        <w:autoSpaceDE w:val="0"/>
        <w:autoSpaceDN w:val="0"/>
        <w:bidi w:val="0"/>
        <w:adjustRightInd w:val="0"/>
        <w:spacing w:line="360" w:lineRule="exact"/>
        <w:ind w:firstLine="420"/>
        <w:jc w:val="left"/>
        <w:rPr>
          <w:rFonts w:hint="eastAsia" w:ascii="宋体" w:hAnsi="宋体" w:eastAsia="宋体" w:cs="宋体"/>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⑨</w:t>
      </w:r>
      <w:r>
        <w:rPr>
          <w:rFonts w:hint="eastAsia" w:ascii="宋体" w:hAnsi="宋体" w:eastAsia="宋体" w:cs="宋体"/>
          <w:color w:val="auto"/>
          <w:sz w:val="21"/>
          <w:szCs w:val="21"/>
          <w:highlight w:val="none"/>
          <w:lang w:val="en-US" w:eastAsia="zh-CN"/>
        </w:rPr>
        <w:t>提供政务云平台统一监控环境，服务期间后台管理员权限由采购人所有。</w:t>
      </w:r>
    </w:p>
    <w:p w14:paraId="47B0B6DA">
      <w:pPr>
        <w:pStyle w:val="32"/>
        <w:pageBreakBefore w:val="0"/>
        <w:widowControl w:val="0"/>
        <w:kinsoku/>
        <w:wordWrap/>
        <w:overflowPunct/>
        <w:topLinePunct w:val="0"/>
        <w:bidi w:val="0"/>
        <w:snapToGrid/>
        <w:spacing w:line="360" w:lineRule="exact"/>
        <w:ind w:firstLine="420" w:firstLineChars="200"/>
        <w:textAlignment w:val="auto"/>
        <w:rPr>
          <w:rFonts w:hint="eastAsia" w:eastAsia="宋体" w:cs="宋体"/>
          <w:b w:val="0"/>
          <w:bCs/>
          <w:color w:val="auto"/>
          <w:sz w:val="21"/>
          <w:szCs w:val="21"/>
          <w:highlight w:val="none"/>
        </w:rPr>
      </w:pPr>
      <w:r>
        <w:rPr>
          <w:rFonts w:hint="eastAsia" w:eastAsia="宋体" w:cs="宋体"/>
          <w:b w:val="0"/>
          <w:bCs/>
          <w:color w:val="auto"/>
          <w:sz w:val="21"/>
          <w:szCs w:val="21"/>
          <w:highlight w:val="none"/>
          <w:lang w:val="en-US" w:eastAsia="zh-CN"/>
        </w:rPr>
        <w:t>（2）</w:t>
      </w:r>
      <w:r>
        <w:rPr>
          <w:rFonts w:hint="eastAsia" w:eastAsia="宋体" w:cs="宋体"/>
          <w:b w:val="0"/>
          <w:bCs/>
          <w:color w:val="auto"/>
          <w:sz w:val="21"/>
          <w:szCs w:val="21"/>
          <w:highlight w:val="none"/>
          <w:lang w:val="en-US"/>
        </w:rPr>
        <w:t>备份服务要求</w:t>
      </w:r>
    </w:p>
    <w:p w14:paraId="12258261">
      <w:pPr>
        <w:pStyle w:val="32"/>
        <w:keepNext w:val="0"/>
        <w:keepLines w:val="0"/>
        <w:pageBreakBefore w:val="0"/>
        <w:widowControl w:val="0"/>
        <w:tabs>
          <w:tab w:val="left" w:pos="0"/>
        </w:tabs>
        <w:kinsoku/>
        <w:wordWrap/>
        <w:overflowPunct/>
        <w:topLinePunct w:val="0"/>
        <w:autoSpaceDE w:val="0"/>
        <w:autoSpaceDN w:val="0"/>
        <w:bidi w:val="0"/>
        <w:adjustRightInd w:val="0"/>
        <w:snapToGrid/>
        <w:spacing w:line="360" w:lineRule="exact"/>
        <w:ind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①支持备份服务，用户可以自助申请对虚拟机磁盘或者虚拟机进行备份，支持用户自助配置备份策略，包括指定备份周期、执行时间点、备份策略有效期、副本保存策略（要保留的副本数或者副本保留时间）、全备/增备策略、备份数据进行远端备份的周期等，用户可以选择特定策略进行手动备份，或者按照策略规则自动备份。</w:t>
      </w:r>
    </w:p>
    <w:p w14:paraId="53B05391">
      <w:pPr>
        <w:pStyle w:val="32"/>
        <w:keepNext w:val="0"/>
        <w:keepLines w:val="0"/>
        <w:pageBreakBefore w:val="0"/>
        <w:widowControl w:val="0"/>
        <w:tabs>
          <w:tab w:val="left" w:pos="0"/>
        </w:tabs>
        <w:kinsoku/>
        <w:wordWrap/>
        <w:overflowPunct/>
        <w:topLinePunct w:val="0"/>
        <w:autoSpaceDE w:val="0"/>
        <w:autoSpaceDN w:val="0"/>
        <w:bidi w:val="0"/>
        <w:adjustRightInd w:val="0"/>
        <w:snapToGrid/>
        <w:spacing w:line="360" w:lineRule="exact"/>
        <w:ind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②支持云服务器备份数据的管理，支持用户在云管界面通过云服务器备份数据进行恢复，可以将备份数据恢复到原服务器或者恢复到新的指定服务器；支持删除不需要的备份数据。</w:t>
      </w:r>
    </w:p>
    <w:p w14:paraId="6BFC1503">
      <w:pPr>
        <w:pStyle w:val="32"/>
        <w:keepNext w:val="0"/>
        <w:keepLines w:val="0"/>
        <w:pageBreakBefore w:val="0"/>
        <w:widowControl w:val="0"/>
        <w:tabs>
          <w:tab w:val="left" w:pos="0"/>
        </w:tabs>
        <w:kinsoku/>
        <w:wordWrap/>
        <w:overflowPunct/>
        <w:topLinePunct w:val="0"/>
        <w:autoSpaceDE w:val="0"/>
        <w:autoSpaceDN w:val="0"/>
        <w:bidi w:val="0"/>
        <w:adjustRightInd w:val="0"/>
        <w:snapToGrid/>
        <w:spacing w:line="360" w:lineRule="exact"/>
        <w:ind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③支持用户通过自定义时间段和服务器名称/ID搜索这段时间内的备份数据。</w:t>
      </w:r>
    </w:p>
    <w:p w14:paraId="337B0E8B">
      <w:pPr>
        <w:pStyle w:val="32"/>
        <w:pageBreakBefore w:val="0"/>
        <w:widowControl w:val="0"/>
        <w:kinsoku/>
        <w:wordWrap/>
        <w:overflowPunct/>
        <w:topLinePunct w:val="0"/>
        <w:bidi w:val="0"/>
        <w:snapToGrid/>
        <w:spacing w:line="360" w:lineRule="exact"/>
        <w:ind w:firstLine="422" w:firstLineChars="200"/>
        <w:textAlignment w:val="auto"/>
        <w:rPr>
          <w:rFonts w:hint="eastAsia" w:eastAsia="宋体" w:cs="宋体"/>
          <w:b/>
          <w:bCs w:val="0"/>
          <w:color w:val="auto"/>
          <w:sz w:val="21"/>
          <w:szCs w:val="21"/>
          <w:highlight w:val="none"/>
          <w:lang w:val="en-US" w:eastAsia="zh-CN"/>
        </w:rPr>
      </w:pPr>
      <w:r>
        <w:rPr>
          <w:rFonts w:hint="eastAsia" w:cs="宋体"/>
          <w:b/>
          <w:bCs w:val="0"/>
          <w:color w:val="auto"/>
          <w:sz w:val="21"/>
          <w:szCs w:val="21"/>
          <w:highlight w:val="none"/>
          <w:lang w:val="en-US" w:eastAsia="zh-CN"/>
        </w:rPr>
        <w:t>7.</w:t>
      </w:r>
      <w:r>
        <w:rPr>
          <w:rFonts w:hint="eastAsia" w:eastAsia="宋体" w:cs="宋体"/>
          <w:b/>
          <w:bCs w:val="0"/>
          <w:color w:val="auto"/>
          <w:sz w:val="21"/>
          <w:szCs w:val="21"/>
          <w:highlight w:val="none"/>
          <w:lang w:val="en-US" w:eastAsia="zh-CN"/>
        </w:rPr>
        <w:t>密码服务</w:t>
      </w:r>
    </w:p>
    <w:p w14:paraId="2A1B171D">
      <w:pPr>
        <w:pStyle w:val="32"/>
        <w:pageBreakBefore w:val="0"/>
        <w:widowControl w:val="0"/>
        <w:kinsoku/>
        <w:wordWrap/>
        <w:overflowPunct/>
        <w:topLinePunct w:val="0"/>
        <w:bidi w:val="0"/>
        <w:snapToGrid/>
        <w:spacing w:line="360" w:lineRule="exact"/>
        <w:ind w:firstLine="420" w:firstLineChars="200"/>
        <w:textAlignment w:val="auto"/>
        <w:rPr>
          <w:rFonts w:hint="eastAsia" w:eastAsia="宋体" w:cs="宋体"/>
          <w:b w:val="0"/>
          <w:bCs/>
          <w:color w:val="auto"/>
          <w:sz w:val="21"/>
          <w:szCs w:val="21"/>
          <w:highlight w:val="none"/>
          <w:lang w:val="en-US" w:eastAsia="zh-CN"/>
        </w:rPr>
      </w:pPr>
      <w:r>
        <w:rPr>
          <w:rFonts w:hint="eastAsia" w:ascii="汉仪书宋二S" w:hAnsi="汉仪书宋二S" w:eastAsia="汉仪书宋二S" w:cs="汉仪书宋二S"/>
          <w:b w:val="0"/>
          <w:bCs/>
          <w:color w:val="auto"/>
          <w:sz w:val="21"/>
          <w:szCs w:val="21"/>
          <w:highlight w:val="none"/>
          <w:lang w:val="en-US" w:eastAsia="zh-CN"/>
        </w:rPr>
        <w:t>①</w:t>
      </w:r>
      <w:r>
        <w:rPr>
          <w:rFonts w:hint="eastAsia" w:eastAsia="宋体" w:cs="宋体"/>
          <w:b w:val="0"/>
          <w:bCs/>
          <w:color w:val="auto"/>
          <w:sz w:val="21"/>
          <w:szCs w:val="21"/>
          <w:highlight w:val="none"/>
          <w:lang w:val="en-US" w:eastAsia="zh-CN"/>
        </w:rPr>
        <w:t>统一密码服务</w:t>
      </w:r>
      <w:r>
        <w:rPr>
          <w:rFonts w:hint="eastAsia" w:cs="宋体"/>
          <w:b w:val="0"/>
          <w:bCs/>
          <w:color w:val="auto"/>
          <w:sz w:val="21"/>
          <w:szCs w:val="21"/>
          <w:highlight w:val="none"/>
          <w:lang w:val="en-US" w:eastAsia="zh-CN"/>
        </w:rPr>
        <w:t>。</w:t>
      </w:r>
      <w:r>
        <w:rPr>
          <w:rFonts w:hint="eastAsia" w:ascii="宋体" w:hAnsi="宋体" w:eastAsia="宋体" w:cs="宋体"/>
          <w:color w:val="auto"/>
          <w:kern w:val="0"/>
          <w:sz w:val="21"/>
          <w:szCs w:val="21"/>
          <w:highlight w:val="none"/>
          <w:lang w:bidi="ar"/>
        </w:rPr>
        <w:t>以RESTful应用接口形式统一提供：密钥管理服务、基于数字证书的身份认证服务、数据加解密服务、数据签验服务、基于数字证书的数据签验服务、时间戳服务等。支持RSA算法和SM2/3/4国产密码算法。实现对各类密码服务的统一封装，为业务应用提供全面、规范和高效的密码安全服务。提供对称密钥和非对称密钥的产生、更新、停用、启用、失信、查询等密钥全生命周期的密钥管理服务。提供对称密钥加解密、消息鉴别码产生和验证、数据摘要、随机数生成、非对称加解密、非对称签名等密钥级密码计算服务。提供基于数字证书的数字签名、验证签名等安全服务接口，通过该服务实现不同算法、不同类型、不同方式的数据签名和验证接口服务。提供基于数字证书的身份认证服务类安全接口，通过该服务实现检验用户身份的有效性。认证服务包括数字证书身份认证和对称密钥认证服务，实现检验对应数字证书身份或对应对称密钥身份的有效性。</w:t>
      </w:r>
    </w:p>
    <w:p w14:paraId="7EE0F3B9">
      <w:pPr>
        <w:pStyle w:val="32"/>
        <w:pageBreakBefore w:val="0"/>
        <w:widowControl w:val="0"/>
        <w:kinsoku/>
        <w:wordWrap/>
        <w:overflowPunct/>
        <w:topLinePunct w:val="0"/>
        <w:bidi w:val="0"/>
        <w:snapToGrid/>
        <w:spacing w:line="360" w:lineRule="exact"/>
        <w:ind w:firstLine="420" w:firstLineChars="200"/>
        <w:textAlignment w:val="auto"/>
        <w:rPr>
          <w:rFonts w:hint="eastAsia" w:cs="宋体"/>
          <w:color w:val="auto"/>
          <w:kern w:val="0"/>
          <w:sz w:val="21"/>
          <w:szCs w:val="21"/>
          <w:highlight w:val="none"/>
          <w:lang w:eastAsia="zh-CN" w:bidi="ar"/>
        </w:rPr>
      </w:pPr>
      <w:r>
        <w:rPr>
          <w:rFonts w:hint="eastAsia" w:ascii="东文宋体" w:hAnsi="东文宋体" w:eastAsia="东文宋体" w:cs="东文宋体"/>
          <w:b w:val="0"/>
          <w:bCs/>
          <w:color w:val="auto"/>
          <w:sz w:val="21"/>
          <w:szCs w:val="21"/>
          <w:highlight w:val="none"/>
          <w:lang w:val="en-US" w:eastAsia="zh-CN"/>
        </w:rPr>
        <w:t>②</w:t>
      </w:r>
      <w:r>
        <w:rPr>
          <w:rFonts w:hint="eastAsia" w:eastAsia="宋体" w:cs="宋体"/>
          <w:b w:val="0"/>
          <w:bCs/>
          <w:color w:val="auto"/>
          <w:sz w:val="21"/>
          <w:szCs w:val="21"/>
          <w:highlight w:val="none"/>
          <w:lang w:val="en-US" w:eastAsia="zh-CN"/>
        </w:rPr>
        <w:t>独立云密码机</w:t>
      </w:r>
      <w:r>
        <w:rPr>
          <w:rFonts w:hint="eastAsia" w:cs="宋体"/>
          <w:b w:val="0"/>
          <w:bCs/>
          <w:color w:val="auto"/>
          <w:sz w:val="21"/>
          <w:szCs w:val="21"/>
          <w:highlight w:val="none"/>
          <w:lang w:val="en-US" w:eastAsia="zh-CN"/>
        </w:rPr>
        <w:t>。</w:t>
      </w:r>
      <w:r>
        <w:rPr>
          <w:rFonts w:hint="eastAsia" w:ascii="宋体" w:hAnsi="宋体" w:eastAsia="宋体" w:cs="宋体"/>
          <w:color w:val="auto"/>
          <w:kern w:val="0"/>
          <w:sz w:val="21"/>
          <w:szCs w:val="21"/>
          <w:highlight w:val="none"/>
          <w:lang w:bidi="ar"/>
        </w:rPr>
        <w:t>独立使用，以虚拟化设备形态云密码机，云密码机提供密钥管理，数据加解密，签名验证服务。密钥生成与管理：采用国家密码管理局批准的WNG-9硬件物理噪声源生成真正随机数，随机数质量高，支持通过物理噪声源生成 256 位 SM2 密钥对和1024/2048/3072/4096 位RSA 密钥对；对称加解密：支持 SM1、SM4、SM7 国密算法和 3DES、AES 国际算法的数据加密和解密运算；消息鉴别码的产生和验证：支持基于 SM4 算法、SM1 算法的 MAC 产生及验证；数据摘要的产生和验证：支持 SM3、SHA1、SHA256 杂凑算法；数字签名的产生和验证：可以根据需要使用内部存储的 RSA/SM2 私钥或外部 RSA/SM2 私钥进行数字签名和验签；随机数的产生：采用由国家密码管理局批准的双物理噪声源生成随机数</w:t>
      </w:r>
      <w:r>
        <w:rPr>
          <w:rFonts w:hint="eastAsia" w:cs="宋体"/>
          <w:color w:val="auto"/>
          <w:kern w:val="0"/>
          <w:sz w:val="21"/>
          <w:szCs w:val="21"/>
          <w:highlight w:val="none"/>
          <w:lang w:eastAsia="zh-CN" w:bidi="ar"/>
        </w:rPr>
        <w:t>。</w:t>
      </w:r>
    </w:p>
    <w:p w14:paraId="54106212">
      <w:pPr>
        <w:pStyle w:val="32"/>
        <w:pageBreakBefore w:val="0"/>
        <w:widowControl w:val="0"/>
        <w:kinsoku/>
        <w:wordWrap/>
        <w:overflowPunct/>
        <w:topLinePunct w:val="0"/>
        <w:bidi w:val="0"/>
        <w:snapToGrid/>
        <w:spacing w:line="360" w:lineRule="exact"/>
        <w:ind w:firstLine="420" w:firstLineChars="200"/>
        <w:textAlignment w:val="auto"/>
        <w:rPr>
          <w:rFonts w:hint="eastAsia" w:ascii="汉仪书宋二S" w:hAnsi="汉仪书宋二S" w:eastAsia="汉仪书宋二S" w:cs="汉仪书宋二S"/>
          <w:b w:val="0"/>
          <w:bCs/>
          <w:color w:val="auto"/>
          <w:sz w:val="21"/>
          <w:szCs w:val="21"/>
          <w:highlight w:val="none"/>
          <w:lang w:val="en-US" w:eastAsia="zh-CN"/>
        </w:rPr>
      </w:pPr>
      <w:r>
        <w:rPr>
          <w:rFonts w:hint="eastAsia" w:ascii="汉仪书宋二S" w:hAnsi="汉仪书宋二S" w:eastAsia="汉仪书宋二S" w:cs="汉仪书宋二S"/>
          <w:b w:val="0"/>
          <w:bCs/>
          <w:color w:val="auto"/>
          <w:sz w:val="21"/>
          <w:szCs w:val="21"/>
          <w:highlight w:val="none"/>
          <w:lang w:val="en-US" w:eastAsia="zh-CN"/>
        </w:rPr>
        <w:t>③独立云数字签名资源。独立使用，以虚拟化设备形态云数字签名设备，由云数字签名设备提供基于数字证书的签名及签名验证服务，可单独管理本单位身份的数字证书。非对称算法：SM2、RSA算法；摘要算法：SM3、MD5、SHA1、SHA256、SHA224、SHA384、SHA512；加密算法：SM4、3DES、AES、DES；支持任务管理功能，可以制作数字签名，支持数据原文制作数字签名，签名结构符合PKCS#7标准；支持针对大数据量（至少1GB以上）的数字签名方法；可以验证数字签名，支持验证标准的PKCS#7签名结果，验证签名过程中，对制作签名证书进行完整验证，包括信任域、有效期、证书状态；提供PKCS#1/ PKCS#7 Attach/ PKCS#7Detach等多种格式的数字签名和验证功能；实现对各类电子数据的数据加密功能，支持非对称加密、对称加密以及数字信封加密 ；提供证书吊销列表（CRL）下载功能和证书有效性验证功能，自动完成按CRL发布时间和定时更新等多种方式进行CRL更新。</w:t>
      </w:r>
    </w:p>
    <w:p w14:paraId="7F4E7E55">
      <w:pPr>
        <w:pStyle w:val="32"/>
        <w:pageBreakBefore w:val="0"/>
        <w:widowControl w:val="0"/>
        <w:kinsoku/>
        <w:wordWrap/>
        <w:overflowPunct/>
        <w:topLinePunct w:val="0"/>
        <w:bidi w:val="0"/>
        <w:snapToGrid/>
        <w:spacing w:line="360" w:lineRule="exact"/>
        <w:ind w:firstLine="420" w:firstLineChars="200"/>
        <w:textAlignment w:val="auto"/>
        <w:rPr>
          <w:rFonts w:hint="eastAsia" w:eastAsia="宋体" w:cs="宋体"/>
          <w:b w:val="0"/>
          <w:bCs/>
          <w:color w:val="auto"/>
          <w:sz w:val="21"/>
          <w:szCs w:val="21"/>
          <w:highlight w:val="none"/>
          <w:lang w:val="en-US" w:eastAsia="zh-CN"/>
        </w:rPr>
      </w:pPr>
      <w:r>
        <w:rPr>
          <w:rFonts w:hint="eastAsia" w:ascii="汉仪书宋二S" w:hAnsi="汉仪书宋二S" w:eastAsia="汉仪书宋二S" w:cs="汉仪书宋二S"/>
          <w:b w:val="0"/>
          <w:bCs/>
          <w:color w:val="auto"/>
          <w:sz w:val="21"/>
          <w:szCs w:val="21"/>
          <w:highlight w:val="none"/>
          <w:lang w:val="en-US" w:eastAsia="zh-CN"/>
        </w:rPr>
        <w:t>④</w:t>
      </w:r>
      <w:r>
        <w:rPr>
          <w:rFonts w:hint="default" w:eastAsia="宋体" w:cs="宋体"/>
          <w:b w:val="0"/>
          <w:bCs/>
          <w:color w:val="auto"/>
          <w:sz w:val="21"/>
          <w:szCs w:val="21"/>
          <w:highlight w:val="none"/>
          <w:lang w:val="en-US" w:eastAsia="zh-CN"/>
        </w:rPr>
        <w:t>SS</w:t>
      </w:r>
      <w:r>
        <w:rPr>
          <w:rFonts w:hint="eastAsia" w:cs="宋体"/>
          <w:b w:val="0"/>
          <w:bCs/>
          <w:color w:val="auto"/>
          <w:sz w:val="21"/>
          <w:szCs w:val="21"/>
          <w:highlight w:val="none"/>
          <w:lang w:val="en-US" w:eastAsia="zh-CN"/>
        </w:rPr>
        <w:t>L</w:t>
      </w:r>
      <w:r>
        <w:rPr>
          <w:rFonts w:hint="eastAsia" w:eastAsia="宋体" w:cs="宋体"/>
          <w:b w:val="0"/>
          <w:bCs/>
          <w:color w:val="auto"/>
          <w:sz w:val="21"/>
          <w:szCs w:val="21"/>
          <w:highlight w:val="none"/>
          <w:lang w:val="en-US" w:eastAsia="zh-CN"/>
        </w:rPr>
        <w:t>证书</w:t>
      </w:r>
      <w:r>
        <w:rPr>
          <w:rFonts w:hint="eastAsia" w:cs="宋体"/>
          <w:b w:val="0"/>
          <w:bCs/>
          <w:color w:val="auto"/>
          <w:sz w:val="21"/>
          <w:szCs w:val="21"/>
          <w:highlight w:val="none"/>
          <w:lang w:val="en-US" w:eastAsia="zh-CN"/>
        </w:rPr>
        <w:t>。</w:t>
      </w:r>
      <w:r>
        <w:rPr>
          <w:rFonts w:hint="eastAsia" w:ascii="宋体" w:hAnsi="宋体" w:eastAsia="宋体" w:cs="宋体"/>
          <w:color w:val="auto"/>
          <w:kern w:val="0"/>
          <w:sz w:val="21"/>
          <w:szCs w:val="21"/>
          <w:highlight w:val="none"/>
          <w:lang w:bidi="ar"/>
        </w:rPr>
        <w:t>提供SSL证书：ECC、RSA 或国密算法的DV证书</w:t>
      </w:r>
      <w:r>
        <w:rPr>
          <w:rFonts w:hint="eastAsia" w:cs="宋体"/>
          <w:color w:val="auto"/>
          <w:kern w:val="0"/>
          <w:sz w:val="21"/>
          <w:szCs w:val="21"/>
          <w:highlight w:val="none"/>
          <w:lang w:eastAsia="zh-CN" w:bidi="ar"/>
        </w:rPr>
        <w:t>。</w:t>
      </w:r>
    </w:p>
    <w:p w14:paraId="799770F8">
      <w:pPr>
        <w:pStyle w:val="4"/>
        <w:keepNext/>
        <w:keepLines/>
        <w:pageBreakBefore w:val="0"/>
        <w:widowControl w:val="0"/>
        <w:tabs>
          <w:tab w:val="left" w:pos="0"/>
        </w:tabs>
        <w:kinsoku/>
        <w:wordWrap/>
        <w:overflowPunct/>
        <w:topLinePunct w:val="0"/>
        <w:autoSpaceDE/>
        <w:autoSpaceDN/>
        <w:bidi w:val="0"/>
        <w:adjustRightInd w:val="0"/>
        <w:snapToGrid/>
        <w:spacing w:before="0" w:after="0" w:line="360" w:lineRule="auto"/>
        <w:ind w:firstLine="562" w:firstLineChars="200"/>
        <w:jc w:val="left"/>
        <w:textAlignment w:val="auto"/>
        <w:rPr>
          <w:rFonts w:hint="eastAsia" w:ascii="宋体" w:hAnsi="宋体" w:eastAsia="宋体" w:cs="宋体"/>
          <w:b/>
          <w:bCs/>
          <w:color w:val="auto"/>
          <w:sz w:val="28"/>
          <w:szCs w:val="28"/>
          <w:highlight w:val="none"/>
          <w:lang w:eastAsia="zh-CN"/>
        </w:rPr>
      </w:pPr>
      <w:bookmarkStart w:id="37" w:name="_Toc368270058_WPSOffice_Level2"/>
      <w:bookmarkStart w:id="38" w:name="_Toc1829753461_WPSOffice_Level2"/>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四</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运维</w:t>
      </w:r>
      <w:r>
        <w:rPr>
          <w:rFonts w:hint="eastAsia" w:ascii="宋体" w:hAnsi="宋体" w:eastAsia="宋体" w:cs="宋体"/>
          <w:b/>
          <w:bCs/>
          <w:color w:val="auto"/>
          <w:sz w:val="28"/>
          <w:szCs w:val="28"/>
          <w:highlight w:val="none"/>
          <w:lang w:val="en-US" w:eastAsia="zh-CN"/>
        </w:rPr>
        <w:t>服务</w:t>
      </w:r>
      <w:bookmarkEnd w:id="37"/>
      <w:bookmarkEnd w:id="38"/>
    </w:p>
    <w:p w14:paraId="19577285">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中标人须</w:t>
      </w:r>
      <w:r>
        <w:rPr>
          <w:rFonts w:hint="eastAsia" w:ascii="宋体" w:hAnsi="宋体" w:eastAsia="宋体" w:cs="宋体"/>
          <w:color w:val="auto"/>
          <w:sz w:val="21"/>
          <w:szCs w:val="21"/>
          <w:highlight w:val="none"/>
        </w:rPr>
        <w:t>统筹考虑计算资源、存储资源、网络资源、安全资源等</w:t>
      </w: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rPr>
        <w:t>要素，</w:t>
      </w:r>
      <w:r>
        <w:rPr>
          <w:rFonts w:hint="eastAsia" w:ascii="宋体" w:hAnsi="宋体" w:eastAsia="宋体" w:cs="宋体"/>
          <w:color w:val="auto"/>
          <w:sz w:val="21"/>
          <w:szCs w:val="21"/>
          <w:highlight w:val="none"/>
          <w:lang w:val="en-US" w:eastAsia="zh-CN"/>
        </w:rPr>
        <w:t>落实数字政府建设运维标准，保障政务云基础设施、云平台、政务应用系统安全稳定、高效合规运行，符合政务云运维规范要求。</w:t>
      </w:r>
    </w:p>
    <w:p w14:paraId="4D7EBEFD">
      <w:pPr>
        <w:pageBreakBefore w:val="0"/>
        <w:widowControl w:val="0"/>
        <w:numPr>
          <w:ilvl w:val="0"/>
          <w:numId w:val="0"/>
        </w:numPr>
        <w:kinsoku/>
        <w:wordWrap/>
        <w:overflowPunct/>
        <w:topLinePunct w:val="0"/>
        <w:bidi w:val="0"/>
        <w:snapToGrid/>
        <w:spacing w:line="360" w:lineRule="exact"/>
        <w:ind w:firstLine="420" w:firstLineChars="200"/>
        <w:textAlignment w:val="auto"/>
        <w:rPr>
          <w:rFonts w:hint="eastAsia"/>
          <w:color w:val="auto"/>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运维</w:t>
      </w:r>
      <w:r>
        <w:rPr>
          <w:rFonts w:hint="eastAsia" w:ascii="宋体" w:hAnsi="宋体" w:eastAsia="宋体" w:cs="宋体"/>
          <w:color w:val="auto"/>
          <w:sz w:val="21"/>
          <w:szCs w:val="21"/>
          <w:highlight w:val="none"/>
          <w:lang w:val="en-US" w:eastAsia="zh-CN"/>
        </w:rPr>
        <w:t>团队</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配备专属的运维团队和运维服务渠道。运维团队核心人员</w:t>
      </w:r>
      <w:r>
        <w:rPr>
          <w:rFonts w:hint="eastAsia" w:ascii="宋体" w:hAnsi="宋体" w:eastAsia="宋体" w:cs="宋体"/>
          <w:color w:val="auto"/>
          <w:sz w:val="21"/>
          <w:szCs w:val="21"/>
          <w:highlight w:val="none"/>
          <w:lang w:val="en-US" w:eastAsia="zh-CN"/>
        </w:rPr>
        <w:t>须熟悉</w:t>
      </w:r>
      <w:r>
        <w:rPr>
          <w:rFonts w:hint="eastAsia" w:ascii="宋体" w:hAnsi="宋体" w:eastAsia="宋体" w:cs="宋体"/>
          <w:color w:val="auto"/>
          <w:sz w:val="21"/>
          <w:szCs w:val="21"/>
          <w:highlight w:val="none"/>
        </w:rPr>
        <w:t>云计算、网络安全、服务器运维、数据库运维等专业</w:t>
      </w:r>
      <w:r>
        <w:rPr>
          <w:rFonts w:hint="eastAsia" w:ascii="宋体" w:hAnsi="宋体" w:eastAsia="宋体" w:cs="宋体"/>
          <w:color w:val="auto"/>
          <w:sz w:val="21"/>
          <w:szCs w:val="21"/>
          <w:highlight w:val="none"/>
          <w:lang w:val="en-US" w:eastAsia="zh-CN"/>
        </w:rPr>
        <w:t>技术</w:t>
      </w:r>
      <w:r>
        <w:rPr>
          <w:rFonts w:hint="eastAsia" w:ascii="宋体" w:hAnsi="宋体" w:eastAsia="宋体" w:cs="宋体"/>
          <w:color w:val="auto"/>
          <w:sz w:val="21"/>
          <w:szCs w:val="21"/>
          <w:highlight w:val="none"/>
        </w:rPr>
        <w:t>，熟悉政务行业运维规范与等保合规要求，</w:t>
      </w:r>
      <w:r>
        <w:rPr>
          <w:rFonts w:hint="eastAsia" w:ascii="宋体" w:hAnsi="宋体" w:eastAsia="宋体" w:cs="宋体"/>
          <w:color w:val="auto"/>
          <w:sz w:val="21"/>
          <w:szCs w:val="21"/>
          <w:highlight w:val="none"/>
          <w:lang w:val="en-US" w:eastAsia="zh-CN"/>
        </w:rPr>
        <w:t>投入</w:t>
      </w:r>
      <w:r>
        <w:rPr>
          <w:rFonts w:hint="eastAsia" w:ascii="宋体" w:hAnsi="宋体" w:eastAsia="宋体" w:cs="宋体"/>
          <w:color w:val="auto"/>
          <w:sz w:val="21"/>
          <w:szCs w:val="21"/>
          <w:highlight w:val="none"/>
        </w:rPr>
        <w:t>专业技术人员不少于 10人</w:t>
      </w:r>
      <w:r>
        <w:rPr>
          <w:rFonts w:hint="eastAsia" w:ascii="宋体" w:hAnsi="宋体" w:eastAsia="宋体" w:cs="宋体"/>
          <w:color w:val="auto"/>
          <w:sz w:val="21"/>
          <w:szCs w:val="21"/>
          <w:highlight w:val="none"/>
          <w:lang w:eastAsia="zh-CN"/>
        </w:rPr>
        <w:t>。</w:t>
      </w:r>
    </w:p>
    <w:p w14:paraId="3FA99A8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2.日常运维服务。</w:t>
      </w:r>
      <w:r>
        <w:rPr>
          <w:rFonts w:hint="eastAsia" w:ascii="宋体" w:hAnsi="宋体" w:eastAsia="宋体" w:cs="宋体"/>
          <w:color w:val="auto"/>
          <w:sz w:val="21"/>
          <w:szCs w:val="21"/>
          <w:highlight w:val="none"/>
        </w:rPr>
        <w:t>负责</w:t>
      </w:r>
      <w:r>
        <w:rPr>
          <w:rFonts w:hint="eastAsia" w:ascii="宋体" w:hAnsi="宋体" w:eastAsia="宋体" w:cs="宋体"/>
          <w:color w:val="auto"/>
          <w:sz w:val="21"/>
          <w:szCs w:val="21"/>
          <w:highlight w:val="none"/>
          <w:lang w:val="en-US" w:eastAsia="zh-CN"/>
        </w:rPr>
        <w:t>日常巡检、设备管理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具备7×24小时技术支持、运维服务能力，建立电话、微信、邮箱等多种运维服务渠道，服务渠道畅通率99.9%</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配备</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lang w:val="en-US" w:eastAsia="zh-CN"/>
        </w:rPr>
        <w:t>名运维驻场人员，</w:t>
      </w:r>
      <w:r>
        <w:rPr>
          <w:rFonts w:hint="eastAsia" w:ascii="宋体" w:hAnsi="宋体" w:eastAsia="宋体" w:cs="宋体"/>
          <w:color w:val="auto"/>
          <w:sz w:val="21"/>
          <w:szCs w:val="21"/>
          <w:highlight w:val="none"/>
        </w:rPr>
        <w:t>提供7×24 小时现场值守，</w:t>
      </w:r>
      <w:r>
        <w:rPr>
          <w:rFonts w:hint="eastAsia" w:ascii="宋体" w:hAnsi="宋体" w:eastAsia="宋体" w:cs="宋体"/>
          <w:color w:val="auto"/>
          <w:sz w:val="21"/>
          <w:szCs w:val="21"/>
          <w:highlight w:val="none"/>
          <w:lang w:val="en-US" w:eastAsia="zh-CN"/>
        </w:rPr>
        <w:t>确保节假日、重大政务活动随时响应运维需求。</w:t>
      </w:r>
    </w:p>
    <w:p w14:paraId="057187AB">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3.运维</w:t>
      </w:r>
      <w:r>
        <w:rPr>
          <w:rFonts w:hint="eastAsia" w:ascii="宋体" w:hAnsi="宋体" w:eastAsia="宋体" w:cs="宋体"/>
          <w:color w:val="auto"/>
          <w:sz w:val="21"/>
          <w:szCs w:val="21"/>
          <w:highlight w:val="none"/>
          <w:u w:val="none"/>
          <w:lang w:val="en-US" w:eastAsia="zh-CN"/>
        </w:rPr>
        <w:t>保障</w:t>
      </w: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rPr>
        <w:t>按照</w:t>
      </w:r>
      <w:r>
        <w:rPr>
          <w:rFonts w:hint="eastAsia" w:ascii="宋体" w:hAnsi="宋体" w:eastAsia="宋体" w:cs="宋体"/>
          <w:color w:val="auto"/>
          <w:sz w:val="21"/>
          <w:szCs w:val="21"/>
          <w:highlight w:val="none"/>
          <w:lang w:val="en-US" w:eastAsia="zh-CN"/>
        </w:rPr>
        <w:t>建设</w:t>
      </w:r>
      <w:r>
        <w:rPr>
          <w:rFonts w:hint="eastAsia" w:ascii="宋体" w:hAnsi="宋体" w:eastAsia="宋体" w:cs="宋体"/>
          <w:color w:val="auto"/>
          <w:sz w:val="21"/>
          <w:szCs w:val="21"/>
          <w:highlight w:val="none"/>
        </w:rPr>
        <w:t>单位要求，制定</w:t>
      </w:r>
      <w:r>
        <w:rPr>
          <w:rFonts w:hint="eastAsia" w:ascii="宋体" w:hAnsi="宋体" w:eastAsia="宋体" w:cs="宋体"/>
          <w:color w:val="auto"/>
          <w:sz w:val="21"/>
          <w:szCs w:val="21"/>
          <w:highlight w:val="none"/>
          <w:lang w:val="en-US" w:eastAsia="zh-CN"/>
        </w:rPr>
        <w:t>运维服务方案及标准，</w:t>
      </w:r>
      <w:r>
        <w:rPr>
          <w:rFonts w:hint="eastAsia" w:eastAsia="宋体" w:cs="宋体"/>
          <w:color w:val="auto"/>
          <w:sz w:val="21"/>
          <w:szCs w:val="21"/>
          <w:highlight w:val="none"/>
          <w:lang w:eastAsia="zh-CN"/>
        </w:rPr>
        <w:t>负责</w:t>
      </w:r>
      <w:r>
        <w:rPr>
          <w:rFonts w:hint="eastAsia" w:cs="宋体"/>
          <w:color w:val="auto"/>
          <w:sz w:val="21"/>
          <w:szCs w:val="21"/>
          <w:highlight w:val="none"/>
        </w:rPr>
        <w:t>基础设施、安全、网络</w:t>
      </w:r>
      <w:r>
        <w:rPr>
          <w:rFonts w:hint="eastAsia" w:ascii="宋体" w:hAnsi="宋体" w:cs="宋体"/>
          <w:i w:val="0"/>
          <w:iCs w:val="0"/>
          <w:color w:val="auto"/>
          <w:kern w:val="0"/>
          <w:sz w:val="21"/>
          <w:szCs w:val="21"/>
          <w:highlight w:val="none"/>
          <w:u w:val="none"/>
          <w:lang w:val="en-US" w:eastAsia="zh-CN" w:bidi="ar"/>
        </w:rPr>
        <w:t>以及</w:t>
      </w:r>
      <w:r>
        <w:rPr>
          <w:rFonts w:hint="eastAsia" w:ascii="宋体" w:hAnsi="宋体" w:eastAsia="宋体" w:cs="宋体"/>
          <w:i w:val="0"/>
          <w:iCs w:val="0"/>
          <w:color w:val="auto"/>
          <w:kern w:val="0"/>
          <w:sz w:val="21"/>
          <w:szCs w:val="21"/>
          <w:highlight w:val="none"/>
          <w:u w:val="none"/>
          <w:lang w:val="en-US" w:eastAsia="zh-CN" w:bidi="ar"/>
        </w:rPr>
        <w:t>应用系统</w:t>
      </w:r>
      <w:r>
        <w:rPr>
          <w:rFonts w:hint="eastAsia" w:cs="宋体"/>
          <w:color w:val="auto"/>
          <w:sz w:val="21"/>
          <w:szCs w:val="21"/>
          <w:highlight w:val="none"/>
        </w:rPr>
        <w:t>等运维</w:t>
      </w:r>
      <w:r>
        <w:rPr>
          <w:rFonts w:hint="eastAsia" w:cs="宋体"/>
          <w:color w:val="auto"/>
          <w:sz w:val="21"/>
          <w:szCs w:val="21"/>
          <w:highlight w:val="none"/>
          <w:lang w:eastAsia="zh-CN"/>
        </w:rPr>
        <w:t>，</w:t>
      </w:r>
      <w:r>
        <w:rPr>
          <w:rFonts w:hint="eastAsia" w:ascii="宋体" w:hAnsi="宋体" w:eastAsia="宋体" w:cs="宋体"/>
          <w:color w:val="auto"/>
          <w:sz w:val="21"/>
          <w:szCs w:val="21"/>
          <w:highlight w:val="none"/>
        </w:rPr>
        <w:t>包括但不限于提供政务云管理</w:t>
      </w:r>
      <w:r>
        <w:rPr>
          <w:rFonts w:hint="eastAsia" w:ascii="宋体" w:hAnsi="宋体" w:eastAsia="宋体" w:cs="宋体"/>
          <w:color w:val="auto"/>
          <w:sz w:val="21"/>
          <w:szCs w:val="21"/>
          <w:highlight w:val="none"/>
          <w:lang w:val="en-US" w:eastAsia="zh-CN"/>
        </w:rPr>
        <w:t>制度</w:t>
      </w:r>
      <w:r>
        <w:rPr>
          <w:rFonts w:hint="eastAsia" w:ascii="宋体" w:hAnsi="宋体" w:eastAsia="宋体" w:cs="宋体"/>
          <w:color w:val="auto"/>
          <w:sz w:val="21"/>
          <w:szCs w:val="21"/>
          <w:highlight w:val="none"/>
        </w:rPr>
        <w:t>、运维制度、应急预案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节假日重保服务</w:t>
      </w:r>
      <w:r>
        <w:rPr>
          <w:rFonts w:hint="eastAsia" w:ascii="宋体" w:hAnsi="宋体" w:eastAsia="宋体" w:cs="宋体"/>
          <w:color w:val="auto"/>
          <w:sz w:val="21"/>
          <w:szCs w:val="21"/>
          <w:highlight w:val="none"/>
        </w:rPr>
        <w:t>等。提供政务云平台的资源监测、资源配置优化、</w:t>
      </w:r>
      <w:r>
        <w:rPr>
          <w:rFonts w:hint="eastAsia" w:ascii="宋体" w:hAnsi="宋体" w:eastAsia="宋体" w:cs="宋体"/>
          <w:color w:val="auto"/>
          <w:sz w:val="21"/>
          <w:szCs w:val="21"/>
          <w:highlight w:val="none"/>
          <w:lang w:val="en-US" w:eastAsia="zh-CN"/>
        </w:rPr>
        <w:t>故障管理</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资源变更</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故障处理</w:t>
      </w:r>
      <w:r>
        <w:rPr>
          <w:rFonts w:hint="eastAsia" w:ascii="宋体" w:hAnsi="宋体" w:eastAsia="宋体" w:cs="宋体"/>
          <w:color w:val="auto"/>
          <w:sz w:val="21"/>
          <w:szCs w:val="21"/>
          <w:highlight w:val="none"/>
        </w:rPr>
        <w:t>、日常巡检、备份恢复、灾备管理、应急预案管理、服务质量监督和报告等服务</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政务云服务的各项资源，包括但不限于计算设备、存储设备、网络设备、软件、人员以及相关必要工具，保障资源的可用性，保持资源弹性可扩展性。</w:t>
      </w:r>
    </w:p>
    <w:p w14:paraId="3B2C77D7">
      <w:pPr>
        <w:pageBreakBefore w:val="0"/>
        <w:widowControl w:val="0"/>
        <w:numPr>
          <w:ilvl w:val="0"/>
          <w:numId w:val="0"/>
        </w:numPr>
        <w:kinsoku/>
        <w:wordWrap/>
        <w:overflowPunct/>
        <w:topLinePunct w:val="0"/>
        <w:bidi w:val="0"/>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.其他要求。</w:t>
      </w:r>
      <w:r>
        <w:rPr>
          <w:rFonts w:hint="eastAsia" w:ascii="宋体" w:hAnsi="宋体" w:eastAsia="宋体" w:cs="宋体"/>
          <w:color w:val="auto"/>
          <w:sz w:val="21"/>
          <w:szCs w:val="21"/>
          <w:highlight w:val="none"/>
        </w:rPr>
        <w:t>与政务云现有业务对接，制定工作方案，具备提供政务云各项业务服务的能力</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与政务外网现有运维体系对接，与政务外网现有运维体系</w:t>
      </w:r>
      <w:r>
        <w:rPr>
          <w:rFonts w:hint="eastAsia" w:ascii="宋体" w:hAnsi="宋体" w:eastAsia="宋体" w:cs="宋体"/>
          <w:color w:val="auto"/>
          <w:sz w:val="21"/>
          <w:szCs w:val="21"/>
          <w:highlight w:val="none"/>
          <w:lang w:val="en-US" w:eastAsia="zh-CN"/>
        </w:rPr>
        <w:t>协作</w:t>
      </w:r>
      <w:r>
        <w:rPr>
          <w:rFonts w:hint="eastAsia" w:ascii="宋体" w:hAnsi="宋体" w:eastAsia="宋体" w:cs="宋体"/>
          <w:color w:val="auto"/>
          <w:sz w:val="21"/>
          <w:szCs w:val="21"/>
          <w:highlight w:val="none"/>
        </w:rPr>
        <w:t>开展故障排查等运维工作。</w:t>
      </w:r>
      <w:r>
        <w:rPr>
          <w:rFonts w:hint="default" w:ascii="宋体" w:hAnsi="宋体" w:eastAsia="宋体" w:cs="宋体"/>
          <w:b w:val="0"/>
          <w:bCs w:val="0"/>
          <w:i w:val="0"/>
          <w:iCs w:val="0"/>
          <w:color w:val="auto"/>
          <w:kern w:val="2"/>
          <w:sz w:val="21"/>
          <w:szCs w:val="21"/>
          <w:highlight w:val="none"/>
          <w:vertAlign w:val="baseline"/>
          <w:lang w:val="en-US" w:eastAsia="zh-CN" w:bidi="ar-SA"/>
        </w:rPr>
        <w:t>自动化运维管理能力</w:t>
      </w:r>
      <w:r>
        <w:rPr>
          <w:rFonts w:hint="eastAsia" w:ascii="宋体" w:hAnsi="宋体" w:cs="宋体"/>
          <w:b w:val="0"/>
          <w:bCs w:val="0"/>
          <w:i w:val="0"/>
          <w:iCs w:val="0"/>
          <w:color w:val="auto"/>
          <w:kern w:val="2"/>
          <w:sz w:val="21"/>
          <w:szCs w:val="21"/>
          <w:highlight w:val="none"/>
          <w:vertAlign w:val="baseline"/>
          <w:lang w:val="en-US" w:eastAsia="zh-CN" w:bidi="ar-SA"/>
        </w:rPr>
        <w:t>，</w:t>
      </w:r>
      <w:r>
        <w:rPr>
          <w:rFonts w:hint="default" w:ascii="宋体" w:hAnsi="宋体" w:eastAsia="宋体" w:cs="宋体"/>
          <w:b w:val="0"/>
          <w:bCs w:val="0"/>
          <w:i w:val="0"/>
          <w:iCs w:val="0"/>
          <w:color w:val="auto"/>
          <w:kern w:val="2"/>
          <w:sz w:val="21"/>
          <w:szCs w:val="21"/>
          <w:highlight w:val="none"/>
          <w:vertAlign w:val="baseline"/>
          <w:lang w:val="en-US" w:eastAsia="zh-CN" w:bidi="ar-SA"/>
        </w:rPr>
        <w:t>对云基础设施和平台软件提供集中运维管理、监控，包括虚拟化、服务器、存储、网络、安全等，实现资源、事件、问题、流程可视化，达到事前预警、事中处理和事后审计。</w:t>
      </w:r>
    </w:p>
    <w:p w14:paraId="428F2535">
      <w:pPr>
        <w:pStyle w:val="32"/>
        <w:pageBreakBefore w:val="0"/>
        <w:widowControl w:val="0"/>
        <w:kinsoku/>
        <w:wordWrap/>
        <w:overflowPunct/>
        <w:topLinePunct w:val="0"/>
        <w:bidi w:val="0"/>
        <w:snapToGrid/>
        <w:spacing w:line="360" w:lineRule="auto"/>
        <w:ind w:firstLine="562" w:firstLineChars="200"/>
        <w:textAlignment w:val="auto"/>
        <w:rPr>
          <w:rFonts w:hint="eastAsia" w:eastAsia="宋体" w:cs="宋体"/>
          <w:b/>
          <w:bCs/>
          <w:color w:val="auto"/>
          <w:sz w:val="28"/>
          <w:szCs w:val="28"/>
          <w:highlight w:val="none"/>
          <w:lang w:val="en-US" w:eastAsia="zh-CN"/>
        </w:rPr>
      </w:pPr>
      <w:bookmarkStart w:id="39" w:name="_Toc1849835788_WPSOffice_Level2"/>
      <w:bookmarkStart w:id="40" w:name="_Toc588066723_WPSOffice_Level2"/>
      <w:r>
        <w:rPr>
          <w:rFonts w:hint="eastAsia" w:ascii="宋体" w:hAnsi="宋体" w:eastAsia="宋体" w:cs="宋体"/>
          <w:b/>
          <w:bCs/>
          <w:color w:val="auto"/>
          <w:sz w:val="28"/>
          <w:highlight w:val="none"/>
          <w:lang w:val="en-US"/>
        </w:rPr>
        <w:t>（</w:t>
      </w:r>
      <w:r>
        <w:rPr>
          <w:rFonts w:hint="eastAsia" w:eastAsia="宋体" w:cs="宋体"/>
          <w:b/>
          <w:bCs/>
          <w:color w:val="auto"/>
          <w:sz w:val="28"/>
          <w:highlight w:val="none"/>
          <w:lang w:val="en-US" w:eastAsia="zh-CN"/>
        </w:rPr>
        <w:t>五</w:t>
      </w:r>
      <w:r>
        <w:rPr>
          <w:rFonts w:hint="eastAsia" w:ascii="宋体" w:hAnsi="宋体" w:eastAsia="宋体" w:cs="宋体"/>
          <w:b/>
          <w:bCs/>
          <w:color w:val="auto"/>
          <w:sz w:val="28"/>
          <w:highlight w:val="none"/>
          <w:lang w:val="en-US"/>
        </w:rPr>
        <w:t>）</w:t>
      </w:r>
      <w:r>
        <w:rPr>
          <w:rFonts w:hint="eastAsia" w:eastAsia="宋体" w:cs="宋体"/>
          <w:b/>
          <w:bCs/>
          <w:color w:val="auto"/>
          <w:sz w:val="28"/>
          <w:szCs w:val="28"/>
          <w:highlight w:val="none"/>
          <w:lang w:val="en-US"/>
        </w:rPr>
        <w:t>迁移</w:t>
      </w:r>
      <w:r>
        <w:rPr>
          <w:rFonts w:hint="eastAsia" w:eastAsia="宋体" w:cs="宋体"/>
          <w:b/>
          <w:bCs/>
          <w:color w:val="auto"/>
          <w:sz w:val="28"/>
          <w:szCs w:val="28"/>
          <w:highlight w:val="none"/>
          <w:lang w:val="en-US" w:eastAsia="zh-CN"/>
        </w:rPr>
        <w:t>服务</w:t>
      </w:r>
      <w:bookmarkEnd w:id="39"/>
      <w:bookmarkEnd w:id="40"/>
    </w:p>
    <w:p w14:paraId="4124B47F">
      <w:pPr>
        <w:pStyle w:val="32"/>
        <w:pageBreakBefore w:val="0"/>
        <w:kinsoku/>
        <w:wordWrap/>
        <w:overflowPunct/>
        <w:topLinePunct w:val="0"/>
        <w:bidi w:val="0"/>
        <w:spacing w:line="360" w:lineRule="exact"/>
        <w:ind w:firstLine="480"/>
        <w:rPr>
          <w:rFonts w:hint="eastAsia" w:eastAsia="宋体" w:cs="宋体"/>
          <w:color w:val="auto"/>
          <w:sz w:val="21"/>
          <w:szCs w:val="24"/>
          <w:highlight w:val="none"/>
        </w:rPr>
      </w:pPr>
      <w:r>
        <w:rPr>
          <w:rFonts w:hint="eastAsia" w:eastAsia="宋体" w:cs="宋体"/>
          <w:color w:val="auto"/>
          <w:sz w:val="21"/>
          <w:szCs w:val="24"/>
          <w:highlight w:val="none"/>
        </w:rPr>
        <w:t>合同签订生效后，</w:t>
      </w:r>
      <w:r>
        <w:rPr>
          <w:rFonts w:hint="eastAsia" w:eastAsia="宋体" w:cs="宋体"/>
          <w:color w:val="auto"/>
          <w:sz w:val="21"/>
          <w:szCs w:val="24"/>
          <w:highlight w:val="none"/>
          <w:lang w:val="en-US" w:eastAsia="zh-CN"/>
        </w:rPr>
        <w:t>中标</w:t>
      </w:r>
      <w:r>
        <w:rPr>
          <w:rFonts w:hint="eastAsia" w:eastAsia="宋体" w:cs="宋体"/>
          <w:color w:val="auto"/>
          <w:sz w:val="21"/>
          <w:szCs w:val="24"/>
          <w:highlight w:val="none"/>
        </w:rPr>
        <w:t>人必须保证现有业务系统连续性和稳定性，</w:t>
      </w:r>
      <w:r>
        <w:rPr>
          <w:rFonts w:hint="eastAsia" w:ascii="宋体" w:hAnsi="宋体" w:eastAsia="宋体" w:cs="宋体"/>
          <w:color w:val="auto"/>
          <w:sz w:val="21"/>
          <w:szCs w:val="24"/>
          <w:highlight w:val="none"/>
          <w:lang w:val="en-US"/>
        </w:rPr>
        <w:t>承诺在合同签订后</w:t>
      </w:r>
      <w:r>
        <w:rPr>
          <w:rFonts w:hint="eastAsia" w:eastAsia="宋体" w:cs="宋体"/>
          <w:color w:val="auto"/>
          <w:sz w:val="21"/>
          <w:szCs w:val="24"/>
          <w:highlight w:val="none"/>
          <w:lang w:val="en-US" w:eastAsia="zh-CN"/>
        </w:rPr>
        <w:t>45</w:t>
      </w:r>
      <w:r>
        <w:rPr>
          <w:rFonts w:hint="eastAsia" w:ascii="宋体" w:hAnsi="宋体" w:eastAsia="宋体" w:cs="宋体"/>
          <w:color w:val="auto"/>
          <w:sz w:val="21"/>
          <w:szCs w:val="24"/>
          <w:highlight w:val="none"/>
          <w:lang w:val="en-US"/>
        </w:rPr>
        <w:t>个自然天内将已运行政务信息系统从原云平台迁移至</w:t>
      </w:r>
      <w:r>
        <w:rPr>
          <w:rFonts w:hint="eastAsia" w:ascii="宋体" w:hAnsi="宋体" w:eastAsia="宋体" w:cs="宋体"/>
          <w:color w:val="auto"/>
          <w:sz w:val="21"/>
          <w:szCs w:val="24"/>
          <w:highlight w:val="none"/>
          <w:lang w:val="en-US" w:eastAsia="zh-CN"/>
        </w:rPr>
        <w:t>中标方建设</w:t>
      </w:r>
      <w:r>
        <w:rPr>
          <w:rFonts w:hint="eastAsia" w:ascii="宋体" w:hAnsi="宋体" w:eastAsia="宋体" w:cs="宋体"/>
          <w:color w:val="auto"/>
          <w:sz w:val="21"/>
          <w:szCs w:val="24"/>
          <w:highlight w:val="none"/>
          <w:lang w:val="en-US"/>
        </w:rPr>
        <w:t>的</w:t>
      </w:r>
      <w:r>
        <w:rPr>
          <w:rFonts w:hint="eastAsia" w:ascii="宋体" w:hAnsi="宋体" w:eastAsia="宋体" w:cs="宋体"/>
          <w:color w:val="auto"/>
          <w:sz w:val="21"/>
          <w:szCs w:val="24"/>
          <w:highlight w:val="none"/>
          <w:lang w:val="en-US" w:eastAsia="zh-CN"/>
        </w:rPr>
        <w:t>政务</w:t>
      </w:r>
      <w:r>
        <w:rPr>
          <w:rFonts w:hint="eastAsia" w:ascii="宋体" w:hAnsi="宋体" w:eastAsia="宋体" w:cs="宋体"/>
          <w:color w:val="auto"/>
          <w:sz w:val="21"/>
          <w:szCs w:val="24"/>
          <w:highlight w:val="none"/>
          <w:lang w:val="en-US"/>
        </w:rPr>
        <w:t>云平台</w:t>
      </w:r>
      <w:r>
        <w:rPr>
          <w:rFonts w:hint="eastAsia" w:ascii="宋体" w:hAnsi="宋体" w:eastAsia="宋体" w:cs="宋体"/>
          <w:color w:val="auto"/>
          <w:sz w:val="21"/>
          <w:szCs w:val="24"/>
          <w:highlight w:val="none"/>
          <w:lang w:val="en-US" w:eastAsia="zh-CN"/>
        </w:rPr>
        <w:t>，</w:t>
      </w:r>
      <w:r>
        <w:rPr>
          <w:rFonts w:hint="eastAsia" w:eastAsia="宋体" w:cs="宋体"/>
          <w:color w:val="auto"/>
          <w:sz w:val="21"/>
          <w:szCs w:val="24"/>
          <w:highlight w:val="none"/>
          <w:lang w:val="en-US" w:eastAsia="zh-CN"/>
        </w:rPr>
        <w:t>迁移过程中产生的费用由中标人自行承担</w:t>
      </w:r>
      <w:r>
        <w:rPr>
          <w:rFonts w:hint="eastAsia" w:eastAsia="宋体" w:cs="宋体"/>
          <w:color w:val="auto"/>
          <w:sz w:val="21"/>
          <w:szCs w:val="24"/>
          <w:highlight w:val="none"/>
        </w:rPr>
        <w:t>。</w:t>
      </w:r>
      <w:r>
        <w:rPr>
          <w:rFonts w:hint="eastAsia" w:eastAsia="宋体" w:cs="宋体"/>
          <w:color w:val="auto"/>
          <w:sz w:val="21"/>
          <w:szCs w:val="24"/>
          <w:highlight w:val="none"/>
          <w:lang w:val="en-US" w:eastAsia="zh-CN"/>
        </w:rPr>
        <w:t>中标人</w:t>
      </w:r>
      <w:r>
        <w:rPr>
          <w:rFonts w:hint="eastAsia" w:eastAsia="宋体" w:cs="宋体"/>
          <w:color w:val="auto"/>
          <w:sz w:val="21"/>
          <w:szCs w:val="24"/>
          <w:highlight w:val="none"/>
          <w:lang w:val="en-US"/>
        </w:rPr>
        <w:t>实施迁移前应与业务系统管理单位确认迁移方案，业务系统管理单位同意后才可进行</w:t>
      </w:r>
      <w:r>
        <w:rPr>
          <w:rFonts w:hint="eastAsia" w:eastAsia="宋体" w:cs="宋体"/>
          <w:color w:val="auto"/>
          <w:sz w:val="21"/>
          <w:szCs w:val="24"/>
          <w:highlight w:val="none"/>
        </w:rPr>
        <w:t>迁移，</w:t>
      </w:r>
      <w:r>
        <w:rPr>
          <w:rFonts w:hint="eastAsia" w:eastAsia="宋体" w:cs="宋体"/>
          <w:color w:val="auto"/>
          <w:sz w:val="21"/>
          <w:szCs w:val="24"/>
          <w:highlight w:val="none"/>
          <w:lang w:val="en-US"/>
        </w:rPr>
        <w:t>迁移</w:t>
      </w:r>
      <w:r>
        <w:rPr>
          <w:rFonts w:hint="eastAsia" w:eastAsia="宋体" w:cs="宋体"/>
          <w:color w:val="auto"/>
          <w:sz w:val="21"/>
          <w:szCs w:val="24"/>
          <w:highlight w:val="none"/>
        </w:rPr>
        <w:t>过程中须保障相关政务信息系统的可用性、延续性、安全性</w:t>
      </w:r>
      <w:r>
        <w:rPr>
          <w:rFonts w:hint="eastAsia" w:eastAsia="宋体" w:cs="宋体"/>
          <w:color w:val="auto"/>
          <w:sz w:val="21"/>
          <w:szCs w:val="24"/>
          <w:highlight w:val="none"/>
          <w:lang w:eastAsia="zh-CN"/>
        </w:rPr>
        <w:t>、</w:t>
      </w:r>
      <w:r>
        <w:rPr>
          <w:rFonts w:hint="eastAsia" w:eastAsia="宋体" w:cs="宋体"/>
          <w:color w:val="auto"/>
          <w:sz w:val="21"/>
          <w:szCs w:val="24"/>
          <w:highlight w:val="none"/>
        </w:rPr>
        <w:t>完整性，由</w:t>
      </w:r>
      <w:r>
        <w:rPr>
          <w:rFonts w:hint="eastAsia" w:eastAsia="宋体" w:cs="宋体"/>
          <w:color w:val="auto"/>
          <w:sz w:val="21"/>
          <w:szCs w:val="24"/>
          <w:highlight w:val="none"/>
          <w:lang w:val="en-US" w:eastAsia="zh-CN"/>
        </w:rPr>
        <w:t>中标人</w:t>
      </w:r>
      <w:r>
        <w:rPr>
          <w:rFonts w:hint="eastAsia" w:eastAsia="宋体" w:cs="宋体"/>
          <w:color w:val="auto"/>
          <w:sz w:val="21"/>
          <w:szCs w:val="24"/>
          <w:highlight w:val="none"/>
        </w:rPr>
        <w:t>承担业务系统迁移涉及的全部责任（如数据丢失、业务中断、设备和系统损坏、迁移费用等）。（必须提供业务系统迁移责任承诺函，格式自拟，否则响应文件作无效处理）现有已上云非涉密信息系统清单如下所示：</w:t>
      </w:r>
    </w:p>
    <w:tbl>
      <w:tblPr>
        <w:tblStyle w:val="20"/>
        <w:tblW w:w="889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3"/>
        <w:gridCol w:w="3044"/>
        <w:gridCol w:w="5098"/>
      </w:tblGrid>
      <w:tr w14:paraId="21BE9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95" w:type="dxa"/>
            <w:gridSpan w:val="3"/>
            <w:tcBorders>
              <w:top w:val="single" w:color="000000" w:sz="4" w:space="0"/>
              <w:left w:val="single" w:color="000000" w:sz="4" w:space="0"/>
              <w:bottom w:val="single" w:color="000000" w:sz="4" w:space="0"/>
              <w:right w:val="single" w:color="000000" w:sz="4" w:space="0"/>
            </w:tcBorders>
            <w:noWrap/>
            <w:vAlign w:val="center"/>
          </w:tcPr>
          <w:p w14:paraId="08FD4FEA">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2026年非涉密信息系统上云情况表</w:t>
            </w:r>
          </w:p>
        </w:tc>
      </w:tr>
      <w:tr w14:paraId="0957E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753" w:type="dxa"/>
            <w:vMerge w:val="restart"/>
            <w:tcBorders>
              <w:top w:val="single" w:color="000000" w:sz="4" w:space="0"/>
              <w:left w:val="single" w:color="000000" w:sz="4" w:space="0"/>
              <w:bottom w:val="single" w:color="000000" w:sz="4" w:space="0"/>
              <w:right w:val="single" w:color="000000" w:sz="4" w:space="0"/>
            </w:tcBorders>
            <w:noWrap/>
            <w:vAlign w:val="center"/>
          </w:tcPr>
          <w:p w14:paraId="77141E18">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序号</w:t>
            </w:r>
          </w:p>
        </w:tc>
        <w:tc>
          <w:tcPr>
            <w:tcW w:w="3044" w:type="dxa"/>
            <w:vMerge w:val="restart"/>
            <w:tcBorders>
              <w:top w:val="single" w:color="000000" w:sz="4" w:space="0"/>
              <w:left w:val="single" w:color="000000" w:sz="4" w:space="0"/>
              <w:bottom w:val="single" w:color="000000" w:sz="4" w:space="0"/>
              <w:right w:val="single" w:color="000000" w:sz="4" w:space="0"/>
            </w:tcBorders>
            <w:noWrap w:val="0"/>
            <w:vAlign w:val="center"/>
          </w:tcPr>
          <w:p w14:paraId="7D431A0D">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单位名称</w:t>
            </w:r>
          </w:p>
        </w:tc>
        <w:tc>
          <w:tcPr>
            <w:tcW w:w="5098" w:type="dxa"/>
            <w:vMerge w:val="restart"/>
            <w:tcBorders>
              <w:top w:val="single" w:color="000000" w:sz="4" w:space="0"/>
              <w:left w:val="single" w:color="000000" w:sz="4" w:space="0"/>
              <w:bottom w:val="single" w:color="000000" w:sz="4" w:space="0"/>
              <w:right w:val="single" w:color="000000" w:sz="4" w:space="0"/>
            </w:tcBorders>
            <w:noWrap w:val="0"/>
            <w:vAlign w:val="center"/>
          </w:tcPr>
          <w:p w14:paraId="657CDBCC">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系统名称</w:t>
            </w:r>
          </w:p>
        </w:tc>
      </w:tr>
      <w:tr w14:paraId="1BAD4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753" w:type="dxa"/>
            <w:vMerge w:val="continue"/>
            <w:tcBorders>
              <w:top w:val="single" w:color="000000" w:sz="4" w:space="0"/>
              <w:left w:val="single" w:color="000000" w:sz="4" w:space="0"/>
              <w:bottom w:val="single" w:color="000000" w:sz="4" w:space="0"/>
              <w:right w:val="single" w:color="000000" w:sz="4" w:space="0"/>
            </w:tcBorders>
            <w:noWrap/>
            <w:vAlign w:val="center"/>
          </w:tcPr>
          <w:p w14:paraId="7A1B7C57">
            <w:pPr>
              <w:pageBreakBefore w:val="0"/>
              <w:kinsoku/>
              <w:wordWrap/>
              <w:overflowPunct/>
              <w:topLinePunct w:val="0"/>
              <w:bidi w:val="0"/>
              <w:spacing w:line="360" w:lineRule="exact"/>
              <w:jc w:val="center"/>
              <w:rPr>
                <w:rFonts w:hint="eastAsia" w:ascii="宋体" w:hAnsi="宋体" w:eastAsia="宋体" w:cs="宋体"/>
                <w:b/>
                <w:bCs/>
                <w:i w:val="0"/>
                <w:iCs w:val="0"/>
                <w:color w:val="auto"/>
                <w:sz w:val="20"/>
                <w:szCs w:val="20"/>
                <w:highlight w:val="none"/>
                <w:u w:val="none"/>
              </w:rPr>
            </w:pPr>
          </w:p>
        </w:tc>
        <w:tc>
          <w:tcPr>
            <w:tcW w:w="30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C46687">
            <w:pPr>
              <w:pageBreakBefore w:val="0"/>
              <w:kinsoku/>
              <w:wordWrap/>
              <w:overflowPunct/>
              <w:topLinePunct w:val="0"/>
              <w:bidi w:val="0"/>
              <w:spacing w:line="360" w:lineRule="exact"/>
              <w:jc w:val="center"/>
              <w:rPr>
                <w:rFonts w:hint="eastAsia" w:ascii="宋体" w:hAnsi="宋体" w:eastAsia="宋体" w:cs="宋体"/>
                <w:b/>
                <w:bCs/>
                <w:i w:val="0"/>
                <w:iCs w:val="0"/>
                <w:color w:val="auto"/>
                <w:sz w:val="20"/>
                <w:szCs w:val="20"/>
                <w:highlight w:val="none"/>
                <w:u w:val="none"/>
              </w:rPr>
            </w:pPr>
          </w:p>
        </w:tc>
        <w:tc>
          <w:tcPr>
            <w:tcW w:w="509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00AE58">
            <w:pPr>
              <w:pageBreakBefore w:val="0"/>
              <w:kinsoku/>
              <w:wordWrap/>
              <w:overflowPunct/>
              <w:topLinePunct w:val="0"/>
              <w:bidi w:val="0"/>
              <w:spacing w:line="360" w:lineRule="exact"/>
              <w:jc w:val="center"/>
              <w:rPr>
                <w:rFonts w:hint="eastAsia" w:ascii="宋体" w:hAnsi="宋体" w:eastAsia="宋体" w:cs="宋体"/>
                <w:b/>
                <w:bCs/>
                <w:i w:val="0"/>
                <w:iCs w:val="0"/>
                <w:color w:val="auto"/>
                <w:sz w:val="20"/>
                <w:szCs w:val="20"/>
                <w:highlight w:val="none"/>
                <w:u w:val="none"/>
              </w:rPr>
            </w:pPr>
          </w:p>
        </w:tc>
      </w:tr>
      <w:tr w14:paraId="1A195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53" w:type="dxa"/>
            <w:vMerge w:val="restart"/>
            <w:tcBorders>
              <w:top w:val="single" w:color="000000" w:sz="4" w:space="0"/>
              <w:left w:val="single" w:color="000000" w:sz="4" w:space="0"/>
              <w:bottom w:val="single" w:color="000000" w:sz="4" w:space="0"/>
              <w:right w:val="single" w:color="000000" w:sz="4" w:space="0"/>
            </w:tcBorders>
            <w:noWrap/>
            <w:vAlign w:val="center"/>
          </w:tcPr>
          <w:p w14:paraId="016269DB">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3044" w:type="dxa"/>
            <w:vMerge w:val="restart"/>
            <w:tcBorders>
              <w:top w:val="single" w:color="000000" w:sz="4" w:space="0"/>
              <w:left w:val="single" w:color="000000" w:sz="4" w:space="0"/>
              <w:bottom w:val="single" w:color="000000" w:sz="4" w:space="0"/>
              <w:right w:val="single" w:color="000000" w:sz="4" w:space="0"/>
            </w:tcBorders>
            <w:noWrap w:val="0"/>
            <w:vAlign w:val="center"/>
          </w:tcPr>
          <w:p w14:paraId="5389E4B5">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防城港市委党校</w:t>
            </w:r>
          </w:p>
        </w:tc>
        <w:tc>
          <w:tcPr>
            <w:tcW w:w="5098" w:type="dxa"/>
            <w:tcBorders>
              <w:top w:val="single" w:color="000000" w:sz="4" w:space="0"/>
              <w:left w:val="single" w:color="000000" w:sz="4" w:space="0"/>
              <w:bottom w:val="single" w:color="000000" w:sz="4" w:space="0"/>
              <w:right w:val="single" w:color="000000" w:sz="4" w:space="0"/>
            </w:tcBorders>
            <w:noWrap w:val="0"/>
            <w:vAlign w:val="center"/>
          </w:tcPr>
          <w:p w14:paraId="6963FF9F">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中共防城港市委党校OA办公系统</w:t>
            </w:r>
          </w:p>
        </w:tc>
      </w:tr>
      <w:tr w14:paraId="067F9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53" w:type="dxa"/>
            <w:vMerge w:val="continue"/>
            <w:tcBorders>
              <w:top w:val="single" w:color="000000" w:sz="4" w:space="0"/>
              <w:left w:val="single" w:color="000000" w:sz="4" w:space="0"/>
              <w:bottom w:val="single" w:color="000000" w:sz="4" w:space="0"/>
              <w:right w:val="single" w:color="000000" w:sz="4" w:space="0"/>
            </w:tcBorders>
            <w:noWrap/>
            <w:vAlign w:val="center"/>
          </w:tcPr>
          <w:p w14:paraId="76680C9D">
            <w:pPr>
              <w:pageBreakBefore w:val="0"/>
              <w:kinsoku/>
              <w:wordWrap/>
              <w:overflowPunct/>
              <w:topLinePunct w:val="0"/>
              <w:bidi w:val="0"/>
              <w:spacing w:line="360" w:lineRule="exact"/>
              <w:jc w:val="center"/>
              <w:rPr>
                <w:rFonts w:hint="eastAsia" w:ascii="宋体" w:hAnsi="宋体" w:eastAsia="宋体" w:cs="宋体"/>
                <w:i w:val="0"/>
                <w:iCs w:val="0"/>
                <w:color w:val="auto"/>
                <w:sz w:val="20"/>
                <w:szCs w:val="20"/>
                <w:highlight w:val="none"/>
                <w:u w:val="none"/>
              </w:rPr>
            </w:pPr>
          </w:p>
        </w:tc>
        <w:tc>
          <w:tcPr>
            <w:tcW w:w="30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515780">
            <w:pPr>
              <w:pageBreakBefore w:val="0"/>
              <w:kinsoku/>
              <w:wordWrap/>
              <w:overflowPunct/>
              <w:topLinePunct w:val="0"/>
              <w:bidi w:val="0"/>
              <w:spacing w:line="360" w:lineRule="exact"/>
              <w:jc w:val="center"/>
              <w:rPr>
                <w:rFonts w:hint="eastAsia" w:ascii="宋体" w:hAnsi="宋体" w:eastAsia="宋体" w:cs="宋体"/>
                <w:i w:val="0"/>
                <w:iCs w:val="0"/>
                <w:color w:val="auto"/>
                <w:sz w:val="20"/>
                <w:szCs w:val="20"/>
                <w:highlight w:val="none"/>
                <w:u w:val="none"/>
              </w:rPr>
            </w:pPr>
          </w:p>
        </w:tc>
        <w:tc>
          <w:tcPr>
            <w:tcW w:w="5098" w:type="dxa"/>
            <w:tcBorders>
              <w:top w:val="single" w:color="000000" w:sz="4" w:space="0"/>
              <w:left w:val="single" w:color="000000" w:sz="4" w:space="0"/>
              <w:bottom w:val="single" w:color="000000" w:sz="4" w:space="0"/>
              <w:right w:val="single" w:color="000000" w:sz="4" w:space="0"/>
            </w:tcBorders>
            <w:noWrap w:val="0"/>
            <w:vAlign w:val="center"/>
          </w:tcPr>
          <w:p w14:paraId="65BC0F1B">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中共防城港市委党校网站</w:t>
            </w:r>
          </w:p>
        </w:tc>
      </w:tr>
      <w:tr w14:paraId="495FD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53" w:type="dxa"/>
            <w:tcBorders>
              <w:top w:val="single" w:color="000000" w:sz="4" w:space="0"/>
              <w:left w:val="single" w:color="000000" w:sz="4" w:space="0"/>
              <w:bottom w:val="single" w:color="000000" w:sz="4" w:space="0"/>
              <w:right w:val="single" w:color="000000" w:sz="4" w:space="0"/>
            </w:tcBorders>
            <w:noWrap/>
            <w:vAlign w:val="center"/>
          </w:tcPr>
          <w:p w14:paraId="3DBF75E7">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3044" w:type="dxa"/>
            <w:tcBorders>
              <w:top w:val="single" w:color="000000" w:sz="4" w:space="0"/>
              <w:left w:val="single" w:color="000000" w:sz="4" w:space="0"/>
              <w:bottom w:val="single" w:color="000000" w:sz="4" w:space="0"/>
              <w:right w:val="single" w:color="000000" w:sz="4" w:space="0"/>
            </w:tcBorders>
            <w:noWrap w:val="0"/>
            <w:vAlign w:val="center"/>
          </w:tcPr>
          <w:p w14:paraId="6FD7C90F">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防城港市委史志办</w:t>
            </w:r>
          </w:p>
        </w:tc>
        <w:tc>
          <w:tcPr>
            <w:tcW w:w="5098" w:type="dxa"/>
            <w:tcBorders>
              <w:top w:val="single" w:color="000000" w:sz="4" w:space="0"/>
              <w:left w:val="single" w:color="000000" w:sz="4" w:space="0"/>
              <w:bottom w:val="single" w:color="000000" w:sz="4" w:space="0"/>
              <w:right w:val="single" w:color="000000" w:sz="4" w:space="0"/>
            </w:tcBorders>
            <w:noWrap w:val="0"/>
            <w:vAlign w:val="center"/>
          </w:tcPr>
          <w:p w14:paraId="5AB4D3F9">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防城港史志网</w:t>
            </w:r>
          </w:p>
        </w:tc>
      </w:tr>
      <w:tr w14:paraId="18EFA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53" w:type="dxa"/>
            <w:vMerge w:val="restart"/>
            <w:tcBorders>
              <w:top w:val="single" w:color="000000" w:sz="4" w:space="0"/>
              <w:left w:val="single" w:color="000000" w:sz="4" w:space="0"/>
              <w:bottom w:val="single" w:color="000000" w:sz="4" w:space="0"/>
              <w:right w:val="single" w:color="000000" w:sz="4" w:space="0"/>
            </w:tcBorders>
            <w:noWrap/>
            <w:vAlign w:val="center"/>
          </w:tcPr>
          <w:p w14:paraId="7966D789">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3044" w:type="dxa"/>
            <w:vMerge w:val="restart"/>
            <w:tcBorders>
              <w:top w:val="single" w:color="000000" w:sz="4" w:space="0"/>
              <w:left w:val="single" w:color="000000" w:sz="4" w:space="0"/>
              <w:bottom w:val="single" w:color="000000" w:sz="4" w:space="0"/>
              <w:right w:val="single" w:color="000000" w:sz="4" w:space="0"/>
            </w:tcBorders>
            <w:noWrap w:val="0"/>
            <w:vAlign w:val="center"/>
          </w:tcPr>
          <w:p w14:paraId="4A027F0B">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防城港市人大常委会办公室</w:t>
            </w:r>
          </w:p>
        </w:tc>
        <w:tc>
          <w:tcPr>
            <w:tcW w:w="5098" w:type="dxa"/>
            <w:tcBorders>
              <w:top w:val="single" w:color="000000" w:sz="4" w:space="0"/>
              <w:left w:val="single" w:color="000000" w:sz="4" w:space="0"/>
              <w:bottom w:val="single" w:color="000000" w:sz="4" w:space="0"/>
              <w:right w:val="single" w:color="000000" w:sz="4" w:space="0"/>
            </w:tcBorders>
            <w:noWrap w:val="0"/>
            <w:vAlign w:val="center"/>
          </w:tcPr>
          <w:p w14:paraId="678524C1">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防城港市人大网</w:t>
            </w:r>
          </w:p>
        </w:tc>
      </w:tr>
      <w:tr w14:paraId="37214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53" w:type="dxa"/>
            <w:vMerge w:val="continue"/>
            <w:tcBorders>
              <w:top w:val="single" w:color="000000" w:sz="4" w:space="0"/>
              <w:left w:val="single" w:color="000000" w:sz="4" w:space="0"/>
              <w:bottom w:val="single" w:color="000000" w:sz="4" w:space="0"/>
              <w:right w:val="single" w:color="000000" w:sz="4" w:space="0"/>
            </w:tcBorders>
            <w:noWrap/>
            <w:vAlign w:val="center"/>
          </w:tcPr>
          <w:p w14:paraId="56588D47">
            <w:pPr>
              <w:pageBreakBefore w:val="0"/>
              <w:kinsoku/>
              <w:wordWrap/>
              <w:overflowPunct/>
              <w:topLinePunct w:val="0"/>
              <w:bidi w:val="0"/>
              <w:spacing w:line="360" w:lineRule="exact"/>
              <w:jc w:val="center"/>
              <w:rPr>
                <w:rFonts w:hint="eastAsia" w:ascii="宋体" w:hAnsi="宋体" w:eastAsia="宋体" w:cs="宋体"/>
                <w:i w:val="0"/>
                <w:iCs w:val="0"/>
                <w:color w:val="auto"/>
                <w:sz w:val="20"/>
                <w:szCs w:val="20"/>
                <w:highlight w:val="none"/>
                <w:u w:val="none"/>
              </w:rPr>
            </w:pPr>
          </w:p>
        </w:tc>
        <w:tc>
          <w:tcPr>
            <w:tcW w:w="30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F7818E">
            <w:pPr>
              <w:pageBreakBefore w:val="0"/>
              <w:kinsoku/>
              <w:wordWrap/>
              <w:overflowPunct/>
              <w:topLinePunct w:val="0"/>
              <w:bidi w:val="0"/>
              <w:spacing w:line="360" w:lineRule="exact"/>
              <w:jc w:val="center"/>
              <w:rPr>
                <w:rFonts w:hint="eastAsia" w:ascii="宋体" w:hAnsi="宋体" w:eastAsia="宋体" w:cs="宋体"/>
                <w:i w:val="0"/>
                <w:iCs w:val="0"/>
                <w:color w:val="auto"/>
                <w:sz w:val="20"/>
                <w:szCs w:val="20"/>
                <w:highlight w:val="none"/>
                <w:u w:val="none"/>
              </w:rPr>
            </w:pPr>
          </w:p>
        </w:tc>
        <w:tc>
          <w:tcPr>
            <w:tcW w:w="5098" w:type="dxa"/>
            <w:tcBorders>
              <w:top w:val="single" w:color="000000" w:sz="4" w:space="0"/>
              <w:left w:val="single" w:color="000000" w:sz="4" w:space="0"/>
              <w:bottom w:val="single" w:color="000000" w:sz="4" w:space="0"/>
              <w:right w:val="single" w:color="000000" w:sz="4" w:space="0"/>
            </w:tcBorders>
            <w:noWrap w:val="0"/>
            <w:vAlign w:val="center"/>
          </w:tcPr>
          <w:p w14:paraId="33A0BAC7">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办公管理系统(OA)</w:t>
            </w:r>
          </w:p>
        </w:tc>
      </w:tr>
      <w:tr w14:paraId="45872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53" w:type="dxa"/>
            <w:tcBorders>
              <w:top w:val="single" w:color="000000" w:sz="4" w:space="0"/>
              <w:left w:val="single" w:color="000000" w:sz="4" w:space="0"/>
              <w:bottom w:val="single" w:color="000000" w:sz="4" w:space="0"/>
              <w:right w:val="single" w:color="000000" w:sz="4" w:space="0"/>
            </w:tcBorders>
            <w:noWrap/>
            <w:vAlign w:val="center"/>
          </w:tcPr>
          <w:p w14:paraId="450A9E69">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c>
          <w:tcPr>
            <w:tcW w:w="3044" w:type="dxa"/>
            <w:tcBorders>
              <w:top w:val="single" w:color="000000" w:sz="4" w:space="0"/>
              <w:left w:val="single" w:color="000000" w:sz="4" w:space="0"/>
              <w:bottom w:val="single" w:color="000000" w:sz="4" w:space="0"/>
              <w:right w:val="single" w:color="000000" w:sz="4" w:space="0"/>
            </w:tcBorders>
            <w:noWrap w:val="0"/>
            <w:vAlign w:val="center"/>
          </w:tcPr>
          <w:p w14:paraId="051C5219">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防城港市纪律检查委员会</w:t>
            </w:r>
          </w:p>
        </w:tc>
        <w:tc>
          <w:tcPr>
            <w:tcW w:w="5098" w:type="dxa"/>
            <w:tcBorders>
              <w:top w:val="single" w:color="000000" w:sz="4" w:space="0"/>
              <w:left w:val="single" w:color="000000" w:sz="4" w:space="0"/>
              <w:bottom w:val="single" w:color="000000" w:sz="4" w:space="0"/>
              <w:right w:val="single" w:color="000000" w:sz="4" w:space="0"/>
            </w:tcBorders>
            <w:noWrap w:val="0"/>
            <w:vAlign w:val="center"/>
          </w:tcPr>
          <w:p w14:paraId="7780E709">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防城港市纪检监察网</w:t>
            </w:r>
          </w:p>
        </w:tc>
      </w:tr>
      <w:tr w14:paraId="101C7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53" w:type="dxa"/>
            <w:vMerge w:val="restart"/>
            <w:tcBorders>
              <w:top w:val="single" w:color="000000" w:sz="4" w:space="0"/>
              <w:left w:val="single" w:color="000000" w:sz="4" w:space="0"/>
              <w:bottom w:val="single" w:color="000000" w:sz="4" w:space="0"/>
              <w:right w:val="single" w:color="000000" w:sz="4" w:space="0"/>
            </w:tcBorders>
            <w:noWrap/>
            <w:vAlign w:val="center"/>
          </w:tcPr>
          <w:p w14:paraId="49728B15">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3044" w:type="dxa"/>
            <w:vMerge w:val="restart"/>
            <w:tcBorders>
              <w:top w:val="single" w:color="000000" w:sz="4" w:space="0"/>
              <w:left w:val="single" w:color="000000" w:sz="4" w:space="0"/>
              <w:bottom w:val="single" w:color="000000" w:sz="4" w:space="0"/>
              <w:right w:val="single" w:color="000000" w:sz="4" w:space="0"/>
            </w:tcBorders>
            <w:noWrap/>
            <w:vAlign w:val="center"/>
          </w:tcPr>
          <w:p w14:paraId="77BDA409">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防城港市发展和改革委员会</w:t>
            </w:r>
          </w:p>
        </w:tc>
        <w:tc>
          <w:tcPr>
            <w:tcW w:w="5098" w:type="dxa"/>
            <w:tcBorders>
              <w:top w:val="single" w:color="000000" w:sz="4" w:space="0"/>
              <w:left w:val="single" w:color="000000" w:sz="4" w:space="0"/>
              <w:bottom w:val="single" w:color="000000" w:sz="4" w:space="0"/>
              <w:right w:val="single" w:color="000000" w:sz="4" w:space="0"/>
            </w:tcBorders>
            <w:noWrap w:val="0"/>
            <w:vAlign w:val="center"/>
          </w:tcPr>
          <w:p w14:paraId="374D9816">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防城港信用信息系统</w:t>
            </w:r>
          </w:p>
        </w:tc>
      </w:tr>
      <w:tr w14:paraId="11344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53" w:type="dxa"/>
            <w:vMerge w:val="continue"/>
            <w:tcBorders>
              <w:top w:val="single" w:color="000000" w:sz="4" w:space="0"/>
              <w:left w:val="single" w:color="000000" w:sz="4" w:space="0"/>
              <w:bottom w:val="single" w:color="000000" w:sz="4" w:space="0"/>
              <w:right w:val="single" w:color="000000" w:sz="4" w:space="0"/>
            </w:tcBorders>
            <w:noWrap/>
            <w:vAlign w:val="center"/>
          </w:tcPr>
          <w:p w14:paraId="6627F1EE">
            <w:pPr>
              <w:pageBreakBefore w:val="0"/>
              <w:kinsoku/>
              <w:wordWrap/>
              <w:overflowPunct/>
              <w:topLinePunct w:val="0"/>
              <w:bidi w:val="0"/>
              <w:spacing w:line="360" w:lineRule="exact"/>
              <w:jc w:val="center"/>
              <w:rPr>
                <w:rFonts w:hint="eastAsia" w:ascii="宋体" w:hAnsi="宋体" w:eastAsia="宋体" w:cs="宋体"/>
                <w:i w:val="0"/>
                <w:iCs w:val="0"/>
                <w:color w:val="auto"/>
                <w:sz w:val="20"/>
                <w:szCs w:val="20"/>
                <w:highlight w:val="none"/>
                <w:u w:val="none"/>
              </w:rPr>
            </w:pPr>
          </w:p>
        </w:tc>
        <w:tc>
          <w:tcPr>
            <w:tcW w:w="3044" w:type="dxa"/>
            <w:vMerge w:val="continue"/>
            <w:tcBorders>
              <w:top w:val="single" w:color="000000" w:sz="4" w:space="0"/>
              <w:left w:val="single" w:color="000000" w:sz="4" w:space="0"/>
              <w:bottom w:val="single" w:color="000000" w:sz="4" w:space="0"/>
              <w:right w:val="single" w:color="000000" w:sz="4" w:space="0"/>
            </w:tcBorders>
            <w:noWrap/>
            <w:vAlign w:val="center"/>
          </w:tcPr>
          <w:p w14:paraId="06CE4135">
            <w:pPr>
              <w:pageBreakBefore w:val="0"/>
              <w:kinsoku/>
              <w:wordWrap/>
              <w:overflowPunct/>
              <w:topLinePunct w:val="0"/>
              <w:bidi w:val="0"/>
              <w:spacing w:line="360" w:lineRule="exact"/>
              <w:jc w:val="center"/>
              <w:rPr>
                <w:rFonts w:hint="eastAsia" w:ascii="宋体" w:hAnsi="宋体" w:eastAsia="宋体" w:cs="宋体"/>
                <w:i w:val="0"/>
                <w:iCs w:val="0"/>
                <w:color w:val="auto"/>
                <w:sz w:val="20"/>
                <w:szCs w:val="20"/>
                <w:highlight w:val="none"/>
                <w:u w:val="none"/>
              </w:rPr>
            </w:pPr>
          </w:p>
        </w:tc>
        <w:tc>
          <w:tcPr>
            <w:tcW w:w="5098" w:type="dxa"/>
            <w:tcBorders>
              <w:top w:val="single" w:color="000000" w:sz="4" w:space="0"/>
              <w:left w:val="single" w:color="000000" w:sz="4" w:space="0"/>
              <w:bottom w:val="single" w:color="000000" w:sz="4" w:space="0"/>
              <w:right w:val="single" w:color="000000" w:sz="4" w:space="0"/>
            </w:tcBorders>
            <w:noWrap w:val="0"/>
            <w:vAlign w:val="center"/>
          </w:tcPr>
          <w:p w14:paraId="15965BDA">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信用防城港</w:t>
            </w:r>
          </w:p>
        </w:tc>
      </w:tr>
      <w:tr w14:paraId="0BF6D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53" w:type="dxa"/>
            <w:vMerge w:val="restart"/>
            <w:tcBorders>
              <w:top w:val="single" w:color="000000" w:sz="4" w:space="0"/>
              <w:left w:val="single" w:color="000000" w:sz="4" w:space="0"/>
              <w:bottom w:val="single" w:color="000000" w:sz="4" w:space="0"/>
              <w:right w:val="single" w:color="000000" w:sz="4" w:space="0"/>
            </w:tcBorders>
            <w:noWrap/>
            <w:vAlign w:val="center"/>
          </w:tcPr>
          <w:p w14:paraId="02D4F14B">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w:t>
            </w:r>
          </w:p>
        </w:tc>
        <w:tc>
          <w:tcPr>
            <w:tcW w:w="3044" w:type="dxa"/>
            <w:vMerge w:val="restart"/>
            <w:tcBorders>
              <w:top w:val="single" w:color="000000" w:sz="4" w:space="0"/>
              <w:left w:val="single" w:color="000000" w:sz="4" w:space="0"/>
              <w:bottom w:val="single" w:color="000000" w:sz="4" w:space="0"/>
              <w:right w:val="single" w:color="000000" w:sz="4" w:space="0"/>
            </w:tcBorders>
            <w:noWrap w:val="0"/>
            <w:vAlign w:val="center"/>
          </w:tcPr>
          <w:p w14:paraId="531558AF">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防城港市住房和城乡建设局</w:t>
            </w:r>
          </w:p>
        </w:tc>
        <w:tc>
          <w:tcPr>
            <w:tcW w:w="5098" w:type="dxa"/>
            <w:tcBorders>
              <w:top w:val="single" w:color="000000" w:sz="4" w:space="0"/>
              <w:left w:val="single" w:color="000000" w:sz="4" w:space="0"/>
              <w:bottom w:val="single" w:color="000000" w:sz="4" w:space="0"/>
              <w:right w:val="single" w:color="000000" w:sz="4" w:space="0"/>
            </w:tcBorders>
            <w:noWrap w:val="0"/>
            <w:vAlign w:val="center"/>
          </w:tcPr>
          <w:p w14:paraId="2105D146">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防城港市工程招标造价信息网</w:t>
            </w:r>
          </w:p>
        </w:tc>
      </w:tr>
      <w:tr w14:paraId="6FED7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53" w:type="dxa"/>
            <w:vMerge w:val="continue"/>
            <w:tcBorders>
              <w:top w:val="single" w:color="000000" w:sz="4" w:space="0"/>
              <w:left w:val="single" w:color="000000" w:sz="4" w:space="0"/>
              <w:bottom w:val="single" w:color="000000" w:sz="4" w:space="0"/>
              <w:right w:val="single" w:color="000000" w:sz="4" w:space="0"/>
            </w:tcBorders>
            <w:noWrap/>
            <w:vAlign w:val="center"/>
          </w:tcPr>
          <w:p w14:paraId="4D2F3310">
            <w:pPr>
              <w:pageBreakBefore w:val="0"/>
              <w:kinsoku/>
              <w:wordWrap/>
              <w:overflowPunct/>
              <w:topLinePunct w:val="0"/>
              <w:bidi w:val="0"/>
              <w:spacing w:line="360" w:lineRule="exact"/>
              <w:jc w:val="center"/>
              <w:rPr>
                <w:rFonts w:hint="eastAsia" w:ascii="宋体" w:hAnsi="宋体" w:eastAsia="宋体" w:cs="宋体"/>
                <w:i w:val="0"/>
                <w:iCs w:val="0"/>
                <w:color w:val="auto"/>
                <w:sz w:val="20"/>
                <w:szCs w:val="20"/>
                <w:highlight w:val="none"/>
                <w:u w:val="none"/>
              </w:rPr>
            </w:pPr>
          </w:p>
        </w:tc>
        <w:tc>
          <w:tcPr>
            <w:tcW w:w="30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72ED78">
            <w:pPr>
              <w:pageBreakBefore w:val="0"/>
              <w:kinsoku/>
              <w:wordWrap/>
              <w:overflowPunct/>
              <w:topLinePunct w:val="0"/>
              <w:bidi w:val="0"/>
              <w:spacing w:line="360" w:lineRule="exact"/>
              <w:jc w:val="center"/>
              <w:rPr>
                <w:rFonts w:hint="eastAsia" w:ascii="宋体" w:hAnsi="宋体" w:eastAsia="宋体" w:cs="宋体"/>
                <w:i w:val="0"/>
                <w:iCs w:val="0"/>
                <w:color w:val="auto"/>
                <w:sz w:val="20"/>
                <w:szCs w:val="20"/>
                <w:highlight w:val="none"/>
                <w:u w:val="none"/>
              </w:rPr>
            </w:pPr>
          </w:p>
        </w:tc>
        <w:tc>
          <w:tcPr>
            <w:tcW w:w="5098" w:type="dxa"/>
            <w:tcBorders>
              <w:top w:val="single" w:color="000000" w:sz="4" w:space="0"/>
              <w:left w:val="single" w:color="000000" w:sz="4" w:space="0"/>
              <w:bottom w:val="single" w:color="000000" w:sz="4" w:space="0"/>
              <w:right w:val="single" w:color="000000" w:sz="4" w:space="0"/>
            </w:tcBorders>
            <w:noWrap w:val="0"/>
            <w:vAlign w:val="center"/>
          </w:tcPr>
          <w:p w14:paraId="3A5E0908">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防城港市建筑业企业信用行为评价系统</w:t>
            </w:r>
          </w:p>
        </w:tc>
      </w:tr>
      <w:tr w14:paraId="4B65B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53" w:type="dxa"/>
            <w:vMerge w:val="restart"/>
            <w:tcBorders>
              <w:top w:val="single" w:color="000000" w:sz="4" w:space="0"/>
              <w:left w:val="single" w:color="000000" w:sz="4" w:space="0"/>
              <w:bottom w:val="single" w:color="000000" w:sz="4" w:space="0"/>
              <w:right w:val="single" w:color="000000" w:sz="4" w:space="0"/>
            </w:tcBorders>
            <w:noWrap/>
            <w:vAlign w:val="center"/>
          </w:tcPr>
          <w:p w14:paraId="20587B83">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w:t>
            </w:r>
          </w:p>
        </w:tc>
        <w:tc>
          <w:tcPr>
            <w:tcW w:w="3044" w:type="dxa"/>
            <w:vMerge w:val="restart"/>
            <w:tcBorders>
              <w:top w:val="single" w:color="000000" w:sz="4" w:space="0"/>
              <w:left w:val="single" w:color="000000" w:sz="4" w:space="0"/>
              <w:bottom w:val="single" w:color="000000" w:sz="4" w:space="0"/>
              <w:right w:val="single" w:color="000000" w:sz="4" w:space="0"/>
            </w:tcBorders>
            <w:noWrap w:val="0"/>
            <w:vAlign w:val="center"/>
          </w:tcPr>
          <w:p w14:paraId="77715238">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防城港市文化广电体育和旅游局</w:t>
            </w:r>
          </w:p>
        </w:tc>
        <w:tc>
          <w:tcPr>
            <w:tcW w:w="5098" w:type="dxa"/>
            <w:tcBorders>
              <w:top w:val="single" w:color="000000" w:sz="4" w:space="0"/>
              <w:left w:val="single" w:color="000000" w:sz="4" w:space="0"/>
              <w:bottom w:val="single" w:color="000000" w:sz="4" w:space="0"/>
              <w:right w:val="single" w:color="000000" w:sz="4" w:space="0"/>
            </w:tcBorders>
            <w:noWrap w:val="0"/>
            <w:vAlign w:val="center"/>
          </w:tcPr>
          <w:p w14:paraId="2317284C">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政府信息展示平台web端</w:t>
            </w:r>
          </w:p>
        </w:tc>
      </w:tr>
      <w:tr w14:paraId="2099F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53" w:type="dxa"/>
            <w:vMerge w:val="continue"/>
            <w:tcBorders>
              <w:top w:val="single" w:color="000000" w:sz="4" w:space="0"/>
              <w:left w:val="single" w:color="000000" w:sz="4" w:space="0"/>
              <w:bottom w:val="single" w:color="000000" w:sz="4" w:space="0"/>
              <w:right w:val="single" w:color="000000" w:sz="4" w:space="0"/>
            </w:tcBorders>
            <w:noWrap/>
            <w:vAlign w:val="center"/>
          </w:tcPr>
          <w:p w14:paraId="6DAAB3AD">
            <w:pPr>
              <w:pageBreakBefore w:val="0"/>
              <w:kinsoku/>
              <w:wordWrap/>
              <w:overflowPunct/>
              <w:topLinePunct w:val="0"/>
              <w:bidi w:val="0"/>
              <w:spacing w:line="360" w:lineRule="exact"/>
              <w:jc w:val="center"/>
              <w:rPr>
                <w:rFonts w:hint="eastAsia" w:ascii="宋体" w:hAnsi="宋体" w:eastAsia="宋体" w:cs="宋体"/>
                <w:i w:val="0"/>
                <w:iCs w:val="0"/>
                <w:color w:val="auto"/>
                <w:sz w:val="20"/>
                <w:szCs w:val="20"/>
                <w:highlight w:val="none"/>
                <w:u w:val="none"/>
              </w:rPr>
            </w:pPr>
          </w:p>
        </w:tc>
        <w:tc>
          <w:tcPr>
            <w:tcW w:w="30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01310C">
            <w:pPr>
              <w:pageBreakBefore w:val="0"/>
              <w:kinsoku/>
              <w:wordWrap/>
              <w:overflowPunct/>
              <w:topLinePunct w:val="0"/>
              <w:bidi w:val="0"/>
              <w:spacing w:line="360" w:lineRule="exact"/>
              <w:jc w:val="center"/>
              <w:rPr>
                <w:rFonts w:hint="eastAsia" w:ascii="宋体" w:hAnsi="宋体" w:eastAsia="宋体" w:cs="宋体"/>
                <w:i w:val="0"/>
                <w:iCs w:val="0"/>
                <w:color w:val="auto"/>
                <w:sz w:val="20"/>
                <w:szCs w:val="20"/>
                <w:highlight w:val="none"/>
                <w:u w:val="none"/>
              </w:rPr>
            </w:pPr>
          </w:p>
        </w:tc>
        <w:tc>
          <w:tcPr>
            <w:tcW w:w="5098" w:type="dxa"/>
            <w:tcBorders>
              <w:top w:val="single" w:color="000000" w:sz="4" w:space="0"/>
              <w:left w:val="single" w:color="000000" w:sz="4" w:space="0"/>
              <w:bottom w:val="single" w:color="000000" w:sz="4" w:space="0"/>
              <w:right w:val="single" w:color="000000" w:sz="4" w:space="0"/>
            </w:tcBorders>
            <w:noWrap w:val="0"/>
            <w:vAlign w:val="center"/>
          </w:tcPr>
          <w:p w14:paraId="58592A68">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防城港市图书馆集群管理系统</w:t>
            </w:r>
          </w:p>
        </w:tc>
      </w:tr>
      <w:tr w14:paraId="543D7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53" w:type="dxa"/>
            <w:vMerge w:val="continue"/>
            <w:tcBorders>
              <w:top w:val="single" w:color="000000" w:sz="4" w:space="0"/>
              <w:left w:val="single" w:color="000000" w:sz="4" w:space="0"/>
              <w:bottom w:val="single" w:color="000000" w:sz="4" w:space="0"/>
              <w:right w:val="single" w:color="000000" w:sz="4" w:space="0"/>
            </w:tcBorders>
            <w:noWrap/>
            <w:vAlign w:val="center"/>
          </w:tcPr>
          <w:p w14:paraId="48072FA2">
            <w:pPr>
              <w:pageBreakBefore w:val="0"/>
              <w:kinsoku/>
              <w:wordWrap/>
              <w:overflowPunct/>
              <w:topLinePunct w:val="0"/>
              <w:bidi w:val="0"/>
              <w:spacing w:line="360" w:lineRule="exact"/>
              <w:jc w:val="center"/>
              <w:rPr>
                <w:rFonts w:hint="eastAsia" w:ascii="宋体" w:hAnsi="宋体" w:eastAsia="宋体" w:cs="宋体"/>
                <w:i w:val="0"/>
                <w:iCs w:val="0"/>
                <w:color w:val="auto"/>
                <w:sz w:val="20"/>
                <w:szCs w:val="20"/>
                <w:highlight w:val="none"/>
                <w:u w:val="none"/>
              </w:rPr>
            </w:pPr>
          </w:p>
        </w:tc>
        <w:tc>
          <w:tcPr>
            <w:tcW w:w="30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4C5951">
            <w:pPr>
              <w:pageBreakBefore w:val="0"/>
              <w:kinsoku/>
              <w:wordWrap/>
              <w:overflowPunct/>
              <w:topLinePunct w:val="0"/>
              <w:bidi w:val="0"/>
              <w:spacing w:line="360" w:lineRule="exact"/>
              <w:jc w:val="center"/>
              <w:rPr>
                <w:rFonts w:hint="eastAsia" w:ascii="宋体" w:hAnsi="宋体" w:eastAsia="宋体" w:cs="宋体"/>
                <w:i w:val="0"/>
                <w:iCs w:val="0"/>
                <w:color w:val="auto"/>
                <w:sz w:val="20"/>
                <w:szCs w:val="20"/>
                <w:highlight w:val="none"/>
                <w:u w:val="none"/>
              </w:rPr>
            </w:pPr>
          </w:p>
        </w:tc>
        <w:tc>
          <w:tcPr>
            <w:tcW w:w="5098" w:type="dxa"/>
            <w:tcBorders>
              <w:top w:val="single" w:color="000000" w:sz="4" w:space="0"/>
              <w:left w:val="single" w:color="000000" w:sz="4" w:space="0"/>
              <w:bottom w:val="single" w:color="000000" w:sz="4" w:space="0"/>
              <w:right w:val="single" w:color="000000" w:sz="4" w:space="0"/>
            </w:tcBorders>
            <w:noWrap w:val="0"/>
            <w:vAlign w:val="center"/>
          </w:tcPr>
          <w:p w14:paraId="0F65B722">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防城港市图书馆OPAC</w:t>
            </w:r>
          </w:p>
        </w:tc>
      </w:tr>
      <w:tr w14:paraId="0AF1A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53" w:type="dxa"/>
            <w:vMerge w:val="continue"/>
            <w:tcBorders>
              <w:top w:val="single" w:color="000000" w:sz="4" w:space="0"/>
              <w:left w:val="single" w:color="000000" w:sz="4" w:space="0"/>
              <w:bottom w:val="single" w:color="000000" w:sz="4" w:space="0"/>
              <w:right w:val="single" w:color="000000" w:sz="4" w:space="0"/>
            </w:tcBorders>
            <w:noWrap/>
            <w:vAlign w:val="center"/>
          </w:tcPr>
          <w:p w14:paraId="33568F42">
            <w:pPr>
              <w:pageBreakBefore w:val="0"/>
              <w:kinsoku/>
              <w:wordWrap/>
              <w:overflowPunct/>
              <w:topLinePunct w:val="0"/>
              <w:bidi w:val="0"/>
              <w:spacing w:line="360" w:lineRule="exact"/>
              <w:jc w:val="center"/>
              <w:rPr>
                <w:rFonts w:hint="eastAsia" w:ascii="宋体" w:hAnsi="宋体" w:eastAsia="宋体" w:cs="宋体"/>
                <w:i w:val="0"/>
                <w:iCs w:val="0"/>
                <w:color w:val="auto"/>
                <w:sz w:val="20"/>
                <w:szCs w:val="20"/>
                <w:highlight w:val="none"/>
                <w:u w:val="none"/>
              </w:rPr>
            </w:pPr>
          </w:p>
        </w:tc>
        <w:tc>
          <w:tcPr>
            <w:tcW w:w="30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E15A5D">
            <w:pPr>
              <w:pageBreakBefore w:val="0"/>
              <w:kinsoku/>
              <w:wordWrap/>
              <w:overflowPunct/>
              <w:topLinePunct w:val="0"/>
              <w:bidi w:val="0"/>
              <w:spacing w:line="360" w:lineRule="exact"/>
              <w:jc w:val="center"/>
              <w:rPr>
                <w:rFonts w:hint="eastAsia" w:ascii="宋体" w:hAnsi="宋体" w:eastAsia="宋体" w:cs="宋体"/>
                <w:i w:val="0"/>
                <w:iCs w:val="0"/>
                <w:color w:val="auto"/>
                <w:sz w:val="20"/>
                <w:szCs w:val="20"/>
                <w:highlight w:val="none"/>
                <w:u w:val="none"/>
              </w:rPr>
            </w:pPr>
          </w:p>
        </w:tc>
        <w:tc>
          <w:tcPr>
            <w:tcW w:w="5098" w:type="dxa"/>
            <w:tcBorders>
              <w:top w:val="single" w:color="000000" w:sz="4" w:space="0"/>
              <w:left w:val="single" w:color="000000" w:sz="4" w:space="0"/>
              <w:bottom w:val="single" w:color="000000" w:sz="4" w:space="0"/>
              <w:right w:val="single" w:color="000000" w:sz="4" w:space="0"/>
            </w:tcBorders>
            <w:noWrap w:val="0"/>
            <w:vAlign w:val="center"/>
          </w:tcPr>
          <w:p w14:paraId="422F7C3C">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防城港市文旅资源共享平台</w:t>
            </w:r>
          </w:p>
        </w:tc>
      </w:tr>
      <w:tr w14:paraId="27457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53" w:type="dxa"/>
            <w:vMerge w:val="continue"/>
            <w:tcBorders>
              <w:top w:val="single" w:color="000000" w:sz="4" w:space="0"/>
              <w:left w:val="single" w:color="000000" w:sz="4" w:space="0"/>
              <w:bottom w:val="single" w:color="000000" w:sz="4" w:space="0"/>
              <w:right w:val="single" w:color="000000" w:sz="4" w:space="0"/>
            </w:tcBorders>
            <w:noWrap/>
            <w:vAlign w:val="center"/>
          </w:tcPr>
          <w:p w14:paraId="72F4DE3D">
            <w:pPr>
              <w:pageBreakBefore w:val="0"/>
              <w:kinsoku/>
              <w:wordWrap/>
              <w:overflowPunct/>
              <w:topLinePunct w:val="0"/>
              <w:bidi w:val="0"/>
              <w:spacing w:line="360" w:lineRule="exact"/>
              <w:jc w:val="center"/>
              <w:rPr>
                <w:rFonts w:hint="eastAsia" w:ascii="宋体" w:hAnsi="宋体" w:eastAsia="宋体" w:cs="宋体"/>
                <w:i w:val="0"/>
                <w:iCs w:val="0"/>
                <w:color w:val="auto"/>
                <w:sz w:val="20"/>
                <w:szCs w:val="20"/>
                <w:highlight w:val="none"/>
                <w:u w:val="none"/>
              </w:rPr>
            </w:pPr>
          </w:p>
        </w:tc>
        <w:tc>
          <w:tcPr>
            <w:tcW w:w="30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480ECD">
            <w:pPr>
              <w:pageBreakBefore w:val="0"/>
              <w:kinsoku/>
              <w:wordWrap/>
              <w:overflowPunct/>
              <w:topLinePunct w:val="0"/>
              <w:bidi w:val="0"/>
              <w:spacing w:line="360" w:lineRule="exact"/>
              <w:jc w:val="center"/>
              <w:rPr>
                <w:rFonts w:hint="eastAsia" w:ascii="宋体" w:hAnsi="宋体" w:eastAsia="宋体" w:cs="宋体"/>
                <w:i w:val="0"/>
                <w:iCs w:val="0"/>
                <w:color w:val="auto"/>
                <w:sz w:val="20"/>
                <w:szCs w:val="20"/>
                <w:highlight w:val="none"/>
                <w:u w:val="none"/>
              </w:rPr>
            </w:pPr>
          </w:p>
        </w:tc>
        <w:tc>
          <w:tcPr>
            <w:tcW w:w="5098" w:type="dxa"/>
            <w:tcBorders>
              <w:top w:val="single" w:color="000000" w:sz="4" w:space="0"/>
              <w:left w:val="single" w:color="000000" w:sz="4" w:space="0"/>
              <w:bottom w:val="single" w:color="000000" w:sz="4" w:space="0"/>
              <w:right w:val="single" w:color="000000" w:sz="4" w:space="0"/>
            </w:tcBorders>
            <w:noWrap w:val="0"/>
            <w:vAlign w:val="center"/>
          </w:tcPr>
          <w:p w14:paraId="3DEA372A">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防城港市图书馆网站</w:t>
            </w:r>
          </w:p>
        </w:tc>
      </w:tr>
      <w:tr w14:paraId="4E0E3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53" w:type="dxa"/>
            <w:vMerge w:val="continue"/>
            <w:tcBorders>
              <w:top w:val="single" w:color="000000" w:sz="4" w:space="0"/>
              <w:left w:val="single" w:color="000000" w:sz="4" w:space="0"/>
              <w:bottom w:val="single" w:color="000000" w:sz="4" w:space="0"/>
              <w:right w:val="single" w:color="000000" w:sz="4" w:space="0"/>
            </w:tcBorders>
            <w:noWrap/>
            <w:vAlign w:val="center"/>
          </w:tcPr>
          <w:p w14:paraId="52F5264C">
            <w:pPr>
              <w:pageBreakBefore w:val="0"/>
              <w:kinsoku/>
              <w:wordWrap/>
              <w:overflowPunct/>
              <w:topLinePunct w:val="0"/>
              <w:bidi w:val="0"/>
              <w:spacing w:line="360" w:lineRule="exact"/>
              <w:jc w:val="center"/>
              <w:rPr>
                <w:rFonts w:hint="eastAsia" w:ascii="宋体" w:hAnsi="宋体" w:eastAsia="宋体" w:cs="宋体"/>
                <w:i w:val="0"/>
                <w:iCs w:val="0"/>
                <w:color w:val="auto"/>
                <w:sz w:val="20"/>
                <w:szCs w:val="20"/>
                <w:highlight w:val="none"/>
                <w:u w:val="none"/>
              </w:rPr>
            </w:pPr>
          </w:p>
        </w:tc>
        <w:tc>
          <w:tcPr>
            <w:tcW w:w="30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384FCF">
            <w:pPr>
              <w:pageBreakBefore w:val="0"/>
              <w:kinsoku/>
              <w:wordWrap/>
              <w:overflowPunct/>
              <w:topLinePunct w:val="0"/>
              <w:bidi w:val="0"/>
              <w:spacing w:line="360" w:lineRule="exact"/>
              <w:jc w:val="center"/>
              <w:rPr>
                <w:rFonts w:hint="eastAsia" w:ascii="宋体" w:hAnsi="宋体" w:eastAsia="宋体" w:cs="宋体"/>
                <w:i w:val="0"/>
                <w:iCs w:val="0"/>
                <w:color w:val="auto"/>
                <w:sz w:val="20"/>
                <w:szCs w:val="20"/>
                <w:highlight w:val="none"/>
                <w:u w:val="none"/>
              </w:rPr>
            </w:pPr>
          </w:p>
        </w:tc>
        <w:tc>
          <w:tcPr>
            <w:tcW w:w="5098" w:type="dxa"/>
            <w:tcBorders>
              <w:top w:val="single" w:color="000000" w:sz="4" w:space="0"/>
              <w:left w:val="single" w:color="000000" w:sz="4" w:space="0"/>
              <w:bottom w:val="single" w:color="000000" w:sz="4" w:space="0"/>
              <w:right w:val="single" w:color="000000" w:sz="4" w:space="0"/>
            </w:tcBorders>
            <w:noWrap w:val="0"/>
            <w:vAlign w:val="center"/>
          </w:tcPr>
          <w:p w14:paraId="3AF25BCC">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防城港地方特色文化资源库</w:t>
            </w:r>
          </w:p>
        </w:tc>
      </w:tr>
      <w:tr w14:paraId="54D59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53" w:type="dxa"/>
            <w:vMerge w:val="continue"/>
            <w:tcBorders>
              <w:top w:val="single" w:color="000000" w:sz="4" w:space="0"/>
              <w:left w:val="single" w:color="000000" w:sz="4" w:space="0"/>
              <w:bottom w:val="single" w:color="000000" w:sz="4" w:space="0"/>
              <w:right w:val="single" w:color="000000" w:sz="4" w:space="0"/>
            </w:tcBorders>
            <w:noWrap/>
            <w:vAlign w:val="center"/>
          </w:tcPr>
          <w:p w14:paraId="4B3563FA">
            <w:pPr>
              <w:pageBreakBefore w:val="0"/>
              <w:kinsoku/>
              <w:wordWrap/>
              <w:overflowPunct/>
              <w:topLinePunct w:val="0"/>
              <w:bidi w:val="0"/>
              <w:spacing w:line="360" w:lineRule="exact"/>
              <w:jc w:val="center"/>
              <w:rPr>
                <w:rFonts w:hint="eastAsia" w:ascii="宋体" w:hAnsi="宋体" w:eastAsia="宋体" w:cs="宋体"/>
                <w:i w:val="0"/>
                <w:iCs w:val="0"/>
                <w:color w:val="auto"/>
                <w:sz w:val="20"/>
                <w:szCs w:val="20"/>
                <w:highlight w:val="none"/>
                <w:u w:val="none"/>
              </w:rPr>
            </w:pPr>
          </w:p>
        </w:tc>
        <w:tc>
          <w:tcPr>
            <w:tcW w:w="30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82EC49">
            <w:pPr>
              <w:pageBreakBefore w:val="0"/>
              <w:kinsoku/>
              <w:wordWrap/>
              <w:overflowPunct/>
              <w:topLinePunct w:val="0"/>
              <w:bidi w:val="0"/>
              <w:spacing w:line="360" w:lineRule="exact"/>
              <w:jc w:val="center"/>
              <w:rPr>
                <w:rFonts w:hint="eastAsia" w:ascii="宋体" w:hAnsi="宋体" w:eastAsia="宋体" w:cs="宋体"/>
                <w:i w:val="0"/>
                <w:iCs w:val="0"/>
                <w:color w:val="auto"/>
                <w:sz w:val="20"/>
                <w:szCs w:val="20"/>
                <w:highlight w:val="none"/>
                <w:u w:val="none"/>
              </w:rPr>
            </w:pPr>
          </w:p>
        </w:tc>
        <w:tc>
          <w:tcPr>
            <w:tcW w:w="5098" w:type="dxa"/>
            <w:tcBorders>
              <w:top w:val="single" w:color="000000" w:sz="4" w:space="0"/>
              <w:left w:val="single" w:color="000000" w:sz="4" w:space="0"/>
              <w:bottom w:val="single" w:color="000000" w:sz="4" w:space="0"/>
              <w:right w:val="single" w:color="000000" w:sz="4" w:space="0"/>
            </w:tcBorders>
            <w:noWrap w:val="0"/>
            <w:vAlign w:val="center"/>
          </w:tcPr>
          <w:p w14:paraId="1AF44DE5">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SIP II自助借还接口平台（依赖）</w:t>
            </w:r>
          </w:p>
        </w:tc>
      </w:tr>
      <w:tr w14:paraId="38D94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53" w:type="dxa"/>
            <w:vMerge w:val="continue"/>
            <w:tcBorders>
              <w:top w:val="single" w:color="000000" w:sz="4" w:space="0"/>
              <w:left w:val="single" w:color="000000" w:sz="4" w:space="0"/>
              <w:bottom w:val="single" w:color="000000" w:sz="4" w:space="0"/>
              <w:right w:val="single" w:color="000000" w:sz="4" w:space="0"/>
            </w:tcBorders>
            <w:noWrap/>
            <w:vAlign w:val="center"/>
          </w:tcPr>
          <w:p w14:paraId="729DEA27">
            <w:pPr>
              <w:pageBreakBefore w:val="0"/>
              <w:kinsoku/>
              <w:wordWrap/>
              <w:overflowPunct/>
              <w:topLinePunct w:val="0"/>
              <w:bidi w:val="0"/>
              <w:spacing w:line="360" w:lineRule="exact"/>
              <w:jc w:val="center"/>
              <w:rPr>
                <w:rFonts w:hint="eastAsia" w:ascii="宋体" w:hAnsi="宋体" w:eastAsia="宋体" w:cs="宋体"/>
                <w:i w:val="0"/>
                <w:iCs w:val="0"/>
                <w:color w:val="auto"/>
                <w:sz w:val="20"/>
                <w:szCs w:val="20"/>
                <w:highlight w:val="none"/>
                <w:u w:val="none"/>
              </w:rPr>
            </w:pPr>
          </w:p>
        </w:tc>
        <w:tc>
          <w:tcPr>
            <w:tcW w:w="30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12C6CC">
            <w:pPr>
              <w:pageBreakBefore w:val="0"/>
              <w:kinsoku/>
              <w:wordWrap/>
              <w:overflowPunct/>
              <w:topLinePunct w:val="0"/>
              <w:bidi w:val="0"/>
              <w:spacing w:line="360" w:lineRule="exact"/>
              <w:jc w:val="center"/>
              <w:rPr>
                <w:rFonts w:hint="eastAsia" w:ascii="宋体" w:hAnsi="宋体" w:eastAsia="宋体" w:cs="宋体"/>
                <w:i w:val="0"/>
                <w:iCs w:val="0"/>
                <w:color w:val="auto"/>
                <w:sz w:val="20"/>
                <w:szCs w:val="20"/>
                <w:highlight w:val="none"/>
                <w:u w:val="none"/>
              </w:rPr>
            </w:pPr>
          </w:p>
        </w:tc>
        <w:tc>
          <w:tcPr>
            <w:tcW w:w="5098" w:type="dxa"/>
            <w:tcBorders>
              <w:top w:val="single" w:color="000000" w:sz="4" w:space="0"/>
              <w:left w:val="single" w:color="000000" w:sz="4" w:space="0"/>
              <w:bottom w:val="single" w:color="000000" w:sz="4" w:space="0"/>
              <w:right w:val="single" w:color="000000" w:sz="4" w:space="0"/>
            </w:tcBorders>
            <w:noWrap w:val="0"/>
            <w:vAlign w:val="center"/>
          </w:tcPr>
          <w:p w14:paraId="1255630C">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数字文化馆官网</w:t>
            </w:r>
          </w:p>
        </w:tc>
      </w:tr>
      <w:tr w14:paraId="3A2D2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53" w:type="dxa"/>
            <w:vMerge w:val="continue"/>
            <w:tcBorders>
              <w:top w:val="single" w:color="000000" w:sz="4" w:space="0"/>
              <w:left w:val="single" w:color="000000" w:sz="4" w:space="0"/>
              <w:bottom w:val="single" w:color="000000" w:sz="4" w:space="0"/>
              <w:right w:val="single" w:color="000000" w:sz="4" w:space="0"/>
            </w:tcBorders>
            <w:noWrap/>
            <w:vAlign w:val="center"/>
          </w:tcPr>
          <w:p w14:paraId="47DE66DB">
            <w:pPr>
              <w:pageBreakBefore w:val="0"/>
              <w:kinsoku/>
              <w:wordWrap/>
              <w:overflowPunct/>
              <w:topLinePunct w:val="0"/>
              <w:bidi w:val="0"/>
              <w:spacing w:line="360" w:lineRule="exact"/>
              <w:jc w:val="center"/>
              <w:rPr>
                <w:rFonts w:hint="eastAsia" w:ascii="宋体" w:hAnsi="宋体" w:eastAsia="宋体" w:cs="宋体"/>
                <w:i w:val="0"/>
                <w:iCs w:val="0"/>
                <w:color w:val="auto"/>
                <w:sz w:val="20"/>
                <w:szCs w:val="20"/>
                <w:highlight w:val="none"/>
                <w:u w:val="none"/>
              </w:rPr>
            </w:pPr>
          </w:p>
        </w:tc>
        <w:tc>
          <w:tcPr>
            <w:tcW w:w="30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E68653">
            <w:pPr>
              <w:pageBreakBefore w:val="0"/>
              <w:kinsoku/>
              <w:wordWrap/>
              <w:overflowPunct/>
              <w:topLinePunct w:val="0"/>
              <w:bidi w:val="0"/>
              <w:spacing w:line="360" w:lineRule="exact"/>
              <w:jc w:val="center"/>
              <w:rPr>
                <w:rFonts w:hint="eastAsia" w:ascii="宋体" w:hAnsi="宋体" w:eastAsia="宋体" w:cs="宋体"/>
                <w:i w:val="0"/>
                <w:iCs w:val="0"/>
                <w:color w:val="auto"/>
                <w:sz w:val="20"/>
                <w:szCs w:val="20"/>
                <w:highlight w:val="none"/>
                <w:u w:val="none"/>
              </w:rPr>
            </w:pPr>
          </w:p>
        </w:tc>
        <w:tc>
          <w:tcPr>
            <w:tcW w:w="5098" w:type="dxa"/>
            <w:tcBorders>
              <w:top w:val="single" w:color="000000" w:sz="4" w:space="0"/>
              <w:left w:val="single" w:color="000000" w:sz="4" w:space="0"/>
              <w:bottom w:val="single" w:color="000000" w:sz="4" w:space="0"/>
              <w:right w:val="single" w:color="000000" w:sz="4" w:space="0"/>
            </w:tcBorders>
            <w:noWrap w:val="0"/>
            <w:vAlign w:val="center"/>
          </w:tcPr>
          <w:p w14:paraId="16948EA6">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数字文化馆微官网</w:t>
            </w:r>
          </w:p>
        </w:tc>
      </w:tr>
      <w:tr w14:paraId="4BDD5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53" w:type="dxa"/>
            <w:vMerge w:val="continue"/>
            <w:tcBorders>
              <w:top w:val="single" w:color="000000" w:sz="4" w:space="0"/>
              <w:left w:val="single" w:color="000000" w:sz="4" w:space="0"/>
              <w:bottom w:val="single" w:color="000000" w:sz="4" w:space="0"/>
              <w:right w:val="single" w:color="000000" w:sz="4" w:space="0"/>
            </w:tcBorders>
            <w:noWrap/>
            <w:vAlign w:val="center"/>
          </w:tcPr>
          <w:p w14:paraId="1097E593">
            <w:pPr>
              <w:pageBreakBefore w:val="0"/>
              <w:kinsoku/>
              <w:wordWrap/>
              <w:overflowPunct/>
              <w:topLinePunct w:val="0"/>
              <w:bidi w:val="0"/>
              <w:spacing w:line="360" w:lineRule="exact"/>
              <w:jc w:val="center"/>
              <w:rPr>
                <w:rFonts w:hint="eastAsia" w:ascii="宋体" w:hAnsi="宋体" w:eastAsia="宋体" w:cs="宋体"/>
                <w:i w:val="0"/>
                <w:iCs w:val="0"/>
                <w:color w:val="auto"/>
                <w:sz w:val="20"/>
                <w:szCs w:val="20"/>
                <w:highlight w:val="none"/>
                <w:u w:val="none"/>
              </w:rPr>
            </w:pPr>
          </w:p>
        </w:tc>
        <w:tc>
          <w:tcPr>
            <w:tcW w:w="30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DB479E">
            <w:pPr>
              <w:pageBreakBefore w:val="0"/>
              <w:kinsoku/>
              <w:wordWrap/>
              <w:overflowPunct/>
              <w:topLinePunct w:val="0"/>
              <w:bidi w:val="0"/>
              <w:spacing w:line="360" w:lineRule="exact"/>
              <w:jc w:val="center"/>
              <w:rPr>
                <w:rFonts w:hint="eastAsia" w:ascii="宋体" w:hAnsi="宋体" w:eastAsia="宋体" w:cs="宋体"/>
                <w:i w:val="0"/>
                <w:iCs w:val="0"/>
                <w:color w:val="auto"/>
                <w:sz w:val="20"/>
                <w:szCs w:val="20"/>
                <w:highlight w:val="none"/>
                <w:u w:val="none"/>
              </w:rPr>
            </w:pPr>
          </w:p>
        </w:tc>
        <w:tc>
          <w:tcPr>
            <w:tcW w:w="5098" w:type="dxa"/>
            <w:tcBorders>
              <w:top w:val="single" w:color="000000" w:sz="4" w:space="0"/>
              <w:left w:val="single" w:color="000000" w:sz="4" w:space="0"/>
              <w:bottom w:val="single" w:color="000000" w:sz="4" w:space="0"/>
              <w:right w:val="single" w:color="000000" w:sz="4" w:space="0"/>
            </w:tcBorders>
            <w:noWrap w:val="0"/>
            <w:vAlign w:val="center"/>
          </w:tcPr>
          <w:p w14:paraId="62BCADE9">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防城港市博物馆官网</w:t>
            </w:r>
          </w:p>
        </w:tc>
      </w:tr>
      <w:tr w14:paraId="61B17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53" w:type="dxa"/>
            <w:vMerge w:val="continue"/>
            <w:tcBorders>
              <w:top w:val="single" w:color="000000" w:sz="4" w:space="0"/>
              <w:left w:val="single" w:color="000000" w:sz="4" w:space="0"/>
              <w:bottom w:val="single" w:color="000000" w:sz="4" w:space="0"/>
              <w:right w:val="single" w:color="000000" w:sz="4" w:space="0"/>
            </w:tcBorders>
            <w:noWrap/>
            <w:vAlign w:val="center"/>
          </w:tcPr>
          <w:p w14:paraId="76A5BEF4">
            <w:pPr>
              <w:pageBreakBefore w:val="0"/>
              <w:kinsoku/>
              <w:wordWrap/>
              <w:overflowPunct/>
              <w:topLinePunct w:val="0"/>
              <w:bidi w:val="0"/>
              <w:spacing w:line="360" w:lineRule="exact"/>
              <w:jc w:val="center"/>
              <w:rPr>
                <w:rFonts w:hint="eastAsia" w:ascii="宋体" w:hAnsi="宋体" w:eastAsia="宋体" w:cs="宋体"/>
                <w:i w:val="0"/>
                <w:iCs w:val="0"/>
                <w:color w:val="auto"/>
                <w:sz w:val="20"/>
                <w:szCs w:val="20"/>
                <w:highlight w:val="none"/>
                <w:u w:val="none"/>
              </w:rPr>
            </w:pPr>
          </w:p>
        </w:tc>
        <w:tc>
          <w:tcPr>
            <w:tcW w:w="30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61046B">
            <w:pPr>
              <w:pageBreakBefore w:val="0"/>
              <w:kinsoku/>
              <w:wordWrap/>
              <w:overflowPunct/>
              <w:topLinePunct w:val="0"/>
              <w:bidi w:val="0"/>
              <w:spacing w:line="360" w:lineRule="exact"/>
              <w:jc w:val="center"/>
              <w:rPr>
                <w:rFonts w:hint="eastAsia" w:ascii="宋体" w:hAnsi="宋体" w:eastAsia="宋体" w:cs="宋体"/>
                <w:i w:val="0"/>
                <w:iCs w:val="0"/>
                <w:color w:val="auto"/>
                <w:sz w:val="20"/>
                <w:szCs w:val="20"/>
                <w:highlight w:val="none"/>
                <w:u w:val="none"/>
              </w:rPr>
            </w:pPr>
          </w:p>
        </w:tc>
        <w:tc>
          <w:tcPr>
            <w:tcW w:w="5098" w:type="dxa"/>
            <w:tcBorders>
              <w:top w:val="single" w:color="000000" w:sz="4" w:space="0"/>
              <w:left w:val="single" w:color="000000" w:sz="4" w:space="0"/>
              <w:bottom w:val="single" w:color="000000" w:sz="4" w:space="0"/>
              <w:right w:val="single" w:color="000000" w:sz="4" w:space="0"/>
            </w:tcBorders>
            <w:noWrap w:val="0"/>
            <w:vAlign w:val="center"/>
          </w:tcPr>
          <w:p w14:paraId="25BCE56C">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防城港市博物馆官网后台管理系统</w:t>
            </w:r>
          </w:p>
        </w:tc>
      </w:tr>
      <w:tr w14:paraId="0C57C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53" w:type="dxa"/>
            <w:vMerge w:val="continue"/>
            <w:tcBorders>
              <w:top w:val="single" w:color="000000" w:sz="4" w:space="0"/>
              <w:left w:val="single" w:color="000000" w:sz="4" w:space="0"/>
              <w:bottom w:val="single" w:color="000000" w:sz="4" w:space="0"/>
              <w:right w:val="single" w:color="000000" w:sz="4" w:space="0"/>
            </w:tcBorders>
            <w:noWrap/>
            <w:vAlign w:val="center"/>
          </w:tcPr>
          <w:p w14:paraId="052B14EA">
            <w:pPr>
              <w:pageBreakBefore w:val="0"/>
              <w:kinsoku/>
              <w:wordWrap/>
              <w:overflowPunct/>
              <w:topLinePunct w:val="0"/>
              <w:bidi w:val="0"/>
              <w:spacing w:line="360" w:lineRule="exact"/>
              <w:jc w:val="center"/>
              <w:rPr>
                <w:rFonts w:hint="eastAsia" w:ascii="宋体" w:hAnsi="宋体" w:eastAsia="宋体" w:cs="宋体"/>
                <w:i w:val="0"/>
                <w:iCs w:val="0"/>
                <w:color w:val="auto"/>
                <w:sz w:val="20"/>
                <w:szCs w:val="20"/>
                <w:highlight w:val="none"/>
                <w:u w:val="none"/>
              </w:rPr>
            </w:pPr>
          </w:p>
        </w:tc>
        <w:tc>
          <w:tcPr>
            <w:tcW w:w="30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7BB087">
            <w:pPr>
              <w:pageBreakBefore w:val="0"/>
              <w:kinsoku/>
              <w:wordWrap/>
              <w:overflowPunct/>
              <w:topLinePunct w:val="0"/>
              <w:bidi w:val="0"/>
              <w:spacing w:line="360" w:lineRule="exact"/>
              <w:jc w:val="center"/>
              <w:rPr>
                <w:rFonts w:hint="eastAsia" w:ascii="宋体" w:hAnsi="宋体" w:eastAsia="宋体" w:cs="宋体"/>
                <w:i w:val="0"/>
                <w:iCs w:val="0"/>
                <w:color w:val="auto"/>
                <w:sz w:val="20"/>
                <w:szCs w:val="20"/>
                <w:highlight w:val="none"/>
                <w:u w:val="none"/>
              </w:rPr>
            </w:pPr>
          </w:p>
        </w:tc>
        <w:tc>
          <w:tcPr>
            <w:tcW w:w="5098" w:type="dxa"/>
            <w:tcBorders>
              <w:top w:val="single" w:color="000000" w:sz="4" w:space="0"/>
              <w:left w:val="single" w:color="000000" w:sz="4" w:space="0"/>
              <w:bottom w:val="single" w:color="000000" w:sz="4" w:space="0"/>
              <w:right w:val="single" w:color="000000" w:sz="4" w:space="0"/>
            </w:tcBorders>
            <w:noWrap w:val="0"/>
            <w:vAlign w:val="center"/>
          </w:tcPr>
          <w:p w14:paraId="30E6C058">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防城港文化云</w:t>
            </w:r>
          </w:p>
        </w:tc>
      </w:tr>
      <w:tr w14:paraId="39D17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53" w:type="dxa"/>
            <w:vMerge w:val="continue"/>
            <w:tcBorders>
              <w:top w:val="single" w:color="000000" w:sz="4" w:space="0"/>
              <w:left w:val="single" w:color="000000" w:sz="4" w:space="0"/>
              <w:bottom w:val="single" w:color="000000" w:sz="4" w:space="0"/>
              <w:right w:val="single" w:color="000000" w:sz="4" w:space="0"/>
            </w:tcBorders>
            <w:noWrap/>
            <w:vAlign w:val="center"/>
          </w:tcPr>
          <w:p w14:paraId="0CDC987D">
            <w:pPr>
              <w:pageBreakBefore w:val="0"/>
              <w:kinsoku/>
              <w:wordWrap/>
              <w:overflowPunct/>
              <w:topLinePunct w:val="0"/>
              <w:bidi w:val="0"/>
              <w:spacing w:line="360" w:lineRule="exact"/>
              <w:jc w:val="center"/>
              <w:rPr>
                <w:rFonts w:hint="eastAsia" w:ascii="宋体" w:hAnsi="宋体" w:eastAsia="宋体" w:cs="宋体"/>
                <w:i w:val="0"/>
                <w:iCs w:val="0"/>
                <w:color w:val="auto"/>
                <w:sz w:val="20"/>
                <w:szCs w:val="20"/>
                <w:highlight w:val="none"/>
                <w:u w:val="none"/>
              </w:rPr>
            </w:pPr>
          </w:p>
        </w:tc>
        <w:tc>
          <w:tcPr>
            <w:tcW w:w="30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A91401">
            <w:pPr>
              <w:pageBreakBefore w:val="0"/>
              <w:kinsoku/>
              <w:wordWrap/>
              <w:overflowPunct/>
              <w:topLinePunct w:val="0"/>
              <w:bidi w:val="0"/>
              <w:spacing w:line="360" w:lineRule="exact"/>
              <w:jc w:val="center"/>
              <w:rPr>
                <w:rFonts w:hint="eastAsia" w:ascii="宋体" w:hAnsi="宋体" w:eastAsia="宋体" w:cs="宋体"/>
                <w:i w:val="0"/>
                <w:iCs w:val="0"/>
                <w:color w:val="auto"/>
                <w:sz w:val="20"/>
                <w:szCs w:val="20"/>
                <w:highlight w:val="none"/>
                <w:u w:val="none"/>
              </w:rPr>
            </w:pPr>
          </w:p>
        </w:tc>
        <w:tc>
          <w:tcPr>
            <w:tcW w:w="5098" w:type="dxa"/>
            <w:tcBorders>
              <w:top w:val="single" w:color="000000" w:sz="4" w:space="0"/>
              <w:left w:val="single" w:color="000000" w:sz="4" w:space="0"/>
              <w:bottom w:val="single" w:color="000000" w:sz="4" w:space="0"/>
              <w:right w:val="single" w:color="000000" w:sz="4" w:space="0"/>
            </w:tcBorders>
            <w:noWrap w:val="0"/>
            <w:vAlign w:val="center"/>
          </w:tcPr>
          <w:p w14:paraId="741DB522">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旅游应急指挥平台</w:t>
            </w:r>
          </w:p>
        </w:tc>
      </w:tr>
      <w:tr w14:paraId="5F6D1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53" w:type="dxa"/>
            <w:vMerge w:val="restart"/>
            <w:tcBorders>
              <w:top w:val="single" w:color="000000" w:sz="4" w:space="0"/>
              <w:left w:val="single" w:color="000000" w:sz="4" w:space="0"/>
              <w:bottom w:val="single" w:color="000000" w:sz="4" w:space="0"/>
              <w:right w:val="single" w:color="000000" w:sz="4" w:space="0"/>
            </w:tcBorders>
            <w:noWrap/>
            <w:vAlign w:val="center"/>
          </w:tcPr>
          <w:p w14:paraId="4E80DD92">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3044" w:type="dxa"/>
            <w:vMerge w:val="restart"/>
            <w:tcBorders>
              <w:top w:val="single" w:color="000000" w:sz="4" w:space="0"/>
              <w:left w:val="single" w:color="000000" w:sz="4" w:space="0"/>
              <w:bottom w:val="single" w:color="000000" w:sz="4" w:space="0"/>
              <w:right w:val="single" w:color="000000" w:sz="4" w:space="0"/>
            </w:tcBorders>
            <w:noWrap w:val="0"/>
            <w:vAlign w:val="center"/>
          </w:tcPr>
          <w:p w14:paraId="309FE6BB">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防城港市生态环境局</w:t>
            </w:r>
          </w:p>
        </w:tc>
        <w:tc>
          <w:tcPr>
            <w:tcW w:w="5098" w:type="dxa"/>
            <w:tcBorders>
              <w:top w:val="single" w:color="000000" w:sz="4" w:space="0"/>
              <w:left w:val="single" w:color="000000" w:sz="4" w:space="0"/>
              <w:bottom w:val="single" w:color="000000" w:sz="4" w:space="0"/>
              <w:right w:val="single" w:color="000000" w:sz="4" w:space="0"/>
            </w:tcBorders>
            <w:noWrap w:val="0"/>
            <w:vAlign w:val="center"/>
          </w:tcPr>
          <w:p w14:paraId="5B656268">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化工园区有毒有害气体环境风险预警平台</w:t>
            </w:r>
          </w:p>
        </w:tc>
      </w:tr>
      <w:tr w14:paraId="56CB7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53" w:type="dxa"/>
            <w:vMerge w:val="continue"/>
            <w:tcBorders>
              <w:top w:val="single" w:color="000000" w:sz="4" w:space="0"/>
              <w:left w:val="single" w:color="000000" w:sz="4" w:space="0"/>
              <w:bottom w:val="single" w:color="000000" w:sz="4" w:space="0"/>
              <w:right w:val="single" w:color="000000" w:sz="4" w:space="0"/>
            </w:tcBorders>
            <w:noWrap/>
            <w:vAlign w:val="center"/>
          </w:tcPr>
          <w:p w14:paraId="62B81170">
            <w:pPr>
              <w:pageBreakBefore w:val="0"/>
              <w:kinsoku/>
              <w:wordWrap/>
              <w:overflowPunct/>
              <w:topLinePunct w:val="0"/>
              <w:bidi w:val="0"/>
              <w:spacing w:line="360" w:lineRule="exact"/>
              <w:jc w:val="center"/>
              <w:rPr>
                <w:rFonts w:hint="eastAsia" w:ascii="宋体" w:hAnsi="宋体" w:eastAsia="宋体" w:cs="宋体"/>
                <w:i w:val="0"/>
                <w:iCs w:val="0"/>
                <w:color w:val="auto"/>
                <w:sz w:val="20"/>
                <w:szCs w:val="20"/>
                <w:highlight w:val="none"/>
                <w:u w:val="none"/>
              </w:rPr>
            </w:pPr>
          </w:p>
        </w:tc>
        <w:tc>
          <w:tcPr>
            <w:tcW w:w="30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D44CCB">
            <w:pPr>
              <w:pageBreakBefore w:val="0"/>
              <w:kinsoku/>
              <w:wordWrap/>
              <w:overflowPunct/>
              <w:topLinePunct w:val="0"/>
              <w:bidi w:val="0"/>
              <w:spacing w:line="360" w:lineRule="exact"/>
              <w:jc w:val="center"/>
              <w:rPr>
                <w:rFonts w:hint="eastAsia" w:ascii="宋体" w:hAnsi="宋体" w:eastAsia="宋体" w:cs="宋体"/>
                <w:i w:val="0"/>
                <w:iCs w:val="0"/>
                <w:color w:val="auto"/>
                <w:sz w:val="20"/>
                <w:szCs w:val="20"/>
                <w:highlight w:val="none"/>
                <w:u w:val="none"/>
              </w:rPr>
            </w:pPr>
          </w:p>
        </w:tc>
        <w:tc>
          <w:tcPr>
            <w:tcW w:w="5098" w:type="dxa"/>
            <w:tcBorders>
              <w:top w:val="single" w:color="000000" w:sz="4" w:space="0"/>
              <w:left w:val="single" w:color="000000" w:sz="4" w:space="0"/>
              <w:bottom w:val="single" w:color="000000" w:sz="4" w:space="0"/>
              <w:right w:val="single" w:color="000000" w:sz="4" w:space="0"/>
            </w:tcBorders>
            <w:noWrap w:val="0"/>
            <w:vAlign w:val="center"/>
          </w:tcPr>
          <w:p w14:paraId="1A9D4C82">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大气环境网格化监管系统</w:t>
            </w:r>
          </w:p>
        </w:tc>
      </w:tr>
      <w:tr w14:paraId="6F9BE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53" w:type="dxa"/>
            <w:tcBorders>
              <w:top w:val="single" w:color="000000" w:sz="4" w:space="0"/>
              <w:left w:val="single" w:color="000000" w:sz="4" w:space="0"/>
              <w:bottom w:val="single" w:color="000000" w:sz="4" w:space="0"/>
              <w:right w:val="single" w:color="000000" w:sz="4" w:space="0"/>
            </w:tcBorders>
            <w:noWrap/>
            <w:vAlign w:val="center"/>
          </w:tcPr>
          <w:p w14:paraId="0598D418">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w:t>
            </w:r>
          </w:p>
        </w:tc>
        <w:tc>
          <w:tcPr>
            <w:tcW w:w="3044" w:type="dxa"/>
            <w:tcBorders>
              <w:top w:val="single" w:color="000000" w:sz="4" w:space="0"/>
              <w:left w:val="single" w:color="000000" w:sz="4" w:space="0"/>
              <w:bottom w:val="single" w:color="000000" w:sz="4" w:space="0"/>
              <w:right w:val="single" w:color="000000" w:sz="4" w:space="0"/>
            </w:tcBorders>
            <w:noWrap w:val="0"/>
            <w:vAlign w:val="center"/>
          </w:tcPr>
          <w:p w14:paraId="55CA8374">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防城港市城市管理监督局</w:t>
            </w:r>
          </w:p>
        </w:tc>
        <w:tc>
          <w:tcPr>
            <w:tcW w:w="5098" w:type="dxa"/>
            <w:tcBorders>
              <w:top w:val="single" w:color="000000" w:sz="4" w:space="0"/>
              <w:left w:val="single" w:color="000000" w:sz="4" w:space="0"/>
              <w:bottom w:val="single" w:color="000000" w:sz="4" w:space="0"/>
              <w:right w:val="single" w:color="000000" w:sz="4" w:space="0"/>
            </w:tcBorders>
            <w:noWrap w:val="0"/>
            <w:vAlign w:val="center"/>
          </w:tcPr>
          <w:p w14:paraId="6C92CE8B">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防城港市城市照明监控系统</w:t>
            </w:r>
          </w:p>
        </w:tc>
      </w:tr>
      <w:tr w14:paraId="151B8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53" w:type="dxa"/>
            <w:tcBorders>
              <w:top w:val="single" w:color="000000" w:sz="4" w:space="0"/>
              <w:left w:val="single" w:color="000000" w:sz="4" w:space="0"/>
              <w:bottom w:val="single" w:color="000000" w:sz="4" w:space="0"/>
              <w:right w:val="single" w:color="000000" w:sz="4" w:space="0"/>
            </w:tcBorders>
            <w:noWrap/>
            <w:vAlign w:val="center"/>
          </w:tcPr>
          <w:p w14:paraId="29B75AA3">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w:t>
            </w:r>
          </w:p>
        </w:tc>
        <w:tc>
          <w:tcPr>
            <w:tcW w:w="3044" w:type="dxa"/>
            <w:tcBorders>
              <w:top w:val="single" w:color="000000" w:sz="4" w:space="0"/>
              <w:left w:val="single" w:color="000000" w:sz="4" w:space="0"/>
              <w:bottom w:val="single" w:color="000000" w:sz="4" w:space="0"/>
              <w:right w:val="single" w:color="000000" w:sz="4" w:space="0"/>
            </w:tcBorders>
            <w:noWrap w:val="0"/>
            <w:vAlign w:val="center"/>
          </w:tcPr>
          <w:p w14:paraId="6632BB3F">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防城港市卫生健康委员会</w:t>
            </w:r>
          </w:p>
        </w:tc>
        <w:tc>
          <w:tcPr>
            <w:tcW w:w="5098" w:type="dxa"/>
            <w:tcBorders>
              <w:top w:val="single" w:color="000000" w:sz="4" w:space="0"/>
              <w:left w:val="single" w:color="000000" w:sz="4" w:space="0"/>
              <w:bottom w:val="single" w:color="000000" w:sz="4" w:space="0"/>
              <w:right w:val="single" w:color="000000" w:sz="4" w:space="0"/>
            </w:tcBorders>
            <w:noWrap w:val="0"/>
            <w:vAlign w:val="center"/>
          </w:tcPr>
          <w:p w14:paraId="4895B659">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防城港市分级诊疗平台</w:t>
            </w:r>
          </w:p>
        </w:tc>
      </w:tr>
      <w:tr w14:paraId="1A69B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53" w:type="dxa"/>
            <w:vMerge w:val="restart"/>
            <w:tcBorders>
              <w:top w:val="single" w:color="000000" w:sz="4" w:space="0"/>
              <w:left w:val="single" w:color="000000" w:sz="4" w:space="0"/>
              <w:right w:val="single" w:color="000000" w:sz="4" w:space="0"/>
            </w:tcBorders>
            <w:noWrap/>
            <w:vAlign w:val="center"/>
          </w:tcPr>
          <w:p w14:paraId="0585FB4C">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w:t>
            </w:r>
          </w:p>
        </w:tc>
        <w:tc>
          <w:tcPr>
            <w:tcW w:w="3044" w:type="dxa"/>
            <w:vMerge w:val="restart"/>
            <w:tcBorders>
              <w:top w:val="single" w:color="000000" w:sz="4" w:space="0"/>
              <w:left w:val="single" w:color="000000" w:sz="4" w:space="0"/>
              <w:right w:val="single" w:color="000000" w:sz="4" w:space="0"/>
            </w:tcBorders>
            <w:noWrap w:val="0"/>
            <w:vAlign w:val="center"/>
          </w:tcPr>
          <w:p w14:paraId="303736EC">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防城港市大数据和行政审批局</w:t>
            </w:r>
          </w:p>
        </w:tc>
        <w:tc>
          <w:tcPr>
            <w:tcW w:w="5098" w:type="dxa"/>
            <w:tcBorders>
              <w:top w:val="single" w:color="000000" w:sz="4" w:space="0"/>
              <w:left w:val="single" w:color="000000" w:sz="4" w:space="0"/>
              <w:bottom w:val="single" w:color="000000" w:sz="4" w:space="0"/>
              <w:right w:val="single" w:color="000000" w:sz="4" w:space="0"/>
            </w:tcBorders>
            <w:noWrap w:val="0"/>
            <w:vAlign w:val="center"/>
          </w:tcPr>
          <w:p w14:paraId="1C8DCFF1">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广西公共资源交易平台系统</w:t>
            </w:r>
          </w:p>
        </w:tc>
      </w:tr>
      <w:tr w14:paraId="6FE96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53" w:type="dxa"/>
            <w:vMerge w:val="continue"/>
            <w:tcBorders>
              <w:left w:val="single" w:color="000000" w:sz="4" w:space="0"/>
              <w:right w:val="single" w:color="000000" w:sz="4" w:space="0"/>
            </w:tcBorders>
            <w:noWrap/>
            <w:vAlign w:val="center"/>
          </w:tcPr>
          <w:p w14:paraId="4D78635D">
            <w:pPr>
              <w:pageBreakBefore w:val="0"/>
              <w:kinsoku/>
              <w:wordWrap/>
              <w:overflowPunct/>
              <w:topLinePunct w:val="0"/>
              <w:bidi w:val="0"/>
              <w:spacing w:line="360" w:lineRule="exact"/>
              <w:jc w:val="center"/>
              <w:rPr>
                <w:rFonts w:hint="eastAsia" w:ascii="宋体" w:hAnsi="宋体" w:eastAsia="宋体" w:cs="宋体"/>
                <w:i w:val="0"/>
                <w:iCs w:val="0"/>
                <w:color w:val="auto"/>
                <w:sz w:val="20"/>
                <w:szCs w:val="20"/>
                <w:highlight w:val="none"/>
                <w:u w:val="none"/>
              </w:rPr>
            </w:pPr>
          </w:p>
        </w:tc>
        <w:tc>
          <w:tcPr>
            <w:tcW w:w="3044" w:type="dxa"/>
            <w:vMerge w:val="continue"/>
            <w:tcBorders>
              <w:left w:val="single" w:color="000000" w:sz="4" w:space="0"/>
              <w:right w:val="single" w:color="000000" w:sz="4" w:space="0"/>
            </w:tcBorders>
            <w:noWrap w:val="0"/>
            <w:vAlign w:val="center"/>
          </w:tcPr>
          <w:p w14:paraId="52F947C2">
            <w:pPr>
              <w:pageBreakBefore w:val="0"/>
              <w:kinsoku/>
              <w:wordWrap/>
              <w:overflowPunct/>
              <w:topLinePunct w:val="0"/>
              <w:bidi w:val="0"/>
              <w:spacing w:line="360" w:lineRule="exact"/>
              <w:jc w:val="center"/>
              <w:rPr>
                <w:rFonts w:hint="eastAsia" w:ascii="宋体" w:hAnsi="宋体" w:eastAsia="宋体" w:cs="宋体"/>
                <w:i w:val="0"/>
                <w:iCs w:val="0"/>
                <w:color w:val="auto"/>
                <w:sz w:val="20"/>
                <w:szCs w:val="20"/>
                <w:highlight w:val="none"/>
                <w:u w:val="none"/>
              </w:rPr>
            </w:pPr>
          </w:p>
        </w:tc>
        <w:tc>
          <w:tcPr>
            <w:tcW w:w="5098" w:type="dxa"/>
            <w:tcBorders>
              <w:top w:val="single" w:color="000000" w:sz="4" w:space="0"/>
              <w:left w:val="single" w:color="000000" w:sz="4" w:space="0"/>
              <w:bottom w:val="single" w:color="000000" w:sz="4" w:space="0"/>
              <w:right w:val="single" w:color="000000" w:sz="4" w:space="0"/>
            </w:tcBorders>
            <w:noWrap w:val="0"/>
            <w:vAlign w:val="center"/>
          </w:tcPr>
          <w:p w14:paraId="021C0A28">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一事一码平台</w:t>
            </w:r>
          </w:p>
        </w:tc>
      </w:tr>
      <w:tr w14:paraId="74C9C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53" w:type="dxa"/>
            <w:vMerge w:val="continue"/>
            <w:tcBorders>
              <w:left w:val="single" w:color="000000" w:sz="4" w:space="0"/>
              <w:bottom w:val="single" w:color="000000" w:sz="4" w:space="0"/>
              <w:right w:val="single" w:color="000000" w:sz="4" w:space="0"/>
            </w:tcBorders>
            <w:noWrap/>
            <w:vAlign w:val="center"/>
          </w:tcPr>
          <w:p w14:paraId="4FB48E68">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kern w:val="0"/>
                <w:sz w:val="20"/>
                <w:szCs w:val="20"/>
                <w:highlight w:val="none"/>
                <w:u w:val="none"/>
                <w:lang w:val="en-US" w:eastAsia="zh-CN" w:bidi="ar"/>
              </w:rPr>
            </w:pPr>
          </w:p>
        </w:tc>
        <w:tc>
          <w:tcPr>
            <w:tcW w:w="3044" w:type="dxa"/>
            <w:vMerge w:val="continue"/>
            <w:tcBorders>
              <w:left w:val="single" w:color="000000" w:sz="4" w:space="0"/>
              <w:bottom w:val="single" w:color="000000" w:sz="4" w:space="0"/>
              <w:right w:val="single" w:color="000000" w:sz="4" w:space="0"/>
            </w:tcBorders>
            <w:noWrap w:val="0"/>
            <w:vAlign w:val="center"/>
          </w:tcPr>
          <w:p w14:paraId="46DE88C5">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kern w:val="0"/>
                <w:sz w:val="20"/>
                <w:szCs w:val="20"/>
                <w:highlight w:val="none"/>
                <w:u w:val="none"/>
                <w:lang w:val="en-US" w:eastAsia="zh-CN" w:bidi="ar"/>
              </w:rPr>
            </w:pPr>
          </w:p>
        </w:tc>
        <w:tc>
          <w:tcPr>
            <w:tcW w:w="5098" w:type="dxa"/>
            <w:tcBorders>
              <w:top w:val="single" w:color="000000" w:sz="4" w:space="0"/>
              <w:left w:val="single" w:color="000000" w:sz="4" w:space="0"/>
              <w:bottom w:val="single" w:color="000000" w:sz="4" w:space="0"/>
              <w:right w:val="single" w:color="000000" w:sz="4" w:space="0"/>
            </w:tcBorders>
            <w:noWrap w:val="0"/>
            <w:vAlign w:val="center"/>
          </w:tcPr>
          <w:p w14:paraId="1D79CB62">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防城港市工程建设项目审批管理平台</w:t>
            </w:r>
          </w:p>
        </w:tc>
      </w:tr>
      <w:tr w14:paraId="6C02F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53" w:type="dxa"/>
            <w:tcBorders>
              <w:top w:val="single" w:color="000000" w:sz="4" w:space="0"/>
              <w:left w:val="single" w:color="000000" w:sz="4" w:space="0"/>
              <w:bottom w:val="single" w:color="000000" w:sz="4" w:space="0"/>
              <w:right w:val="single" w:color="000000" w:sz="4" w:space="0"/>
            </w:tcBorders>
            <w:noWrap/>
            <w:vAlign w:val="center"/>
          </w:tcPr>
          <w:p w14:paraId="2060545E">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3044" w:type="dxa"/>
            <w:tcBorders>
              <w:top w:val="single" w:color="000000" w:sz="4" w:space="0"/>
              <w:left w:val="single" w:color="000000" w:sz="4" w:space="0"/>
              <w:bottom w:val="single" w:color="000000" w:sz="4" w:space="0"/>
              <w:right w:val="single" w:color="000000" w:sz="4" w:space="0"/>
            </w:tcBorders>
            <w:noWrap w:val="0"/>
            <w:vAlign w:val="center"/>
          </w:tcPr>
          <w:p w14:paraId="729510F5">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防城港市水利局</w:t>
            </w:r>
          </w:p>
        </w:tc>
        <w:tc>
          <w:tcPr>
            <w:tcW w:w="5098" w:type="dxa"/>
            <w:tcBorders>
              <w:top w:val="single" w:color="000000" w:sz="4" w:space="0"/>
              <w:left w:val="single" w:color="000000" w:sz="4" w:space="0"/>
              <w:bottom w:val="single" w:color="000000" w:sz="4" w:space="0"/>
              <w:right w:val="single" w:color="000000" w:sz="4" w:space="0"/>
            </w:tcBorders>
            <w:noWrap w:val="0"/>
            <w:vAlign w:val="center"/>
          </w:tcPr>
          <w:p w14:paraId="5E6D6D89">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河长制信息管理系统</w:t>
            </w:r>
          </w:p>
        </w:tc>
      </w:tr>
      <w:tr w14:paraId="70F3A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53" w:type="dxa"/>
            <w:tcBorders>
              <w:top w:val="single" w:color="000000" w:sz="4" w:space="0"/>
              <w:left w:val="single" w:color="000000" w:sz="4" w:space="0"/>
              <w:bottom w:val="single" w:color="000000" w:sz="4" w:space="0"/>
              <w:right w:val="single" w:color="000000" w:sz="4" w:space="0"/>
            </w:tcBorders>
            <w:noWrap/>
            <w:vAlign w:val="center"/>
          </w:tcPr>
          <w:p w14:paraId="6AB8C26F">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w:t>
            </w:r>
          </w:p>
        </w:tc>
        <w:tc>
          <w:tcPr>
            <w:tcW w:w="3044" w:type="dxa"/>
            <w:tcBorders>
              <w:top w:val="single" w:color="000000" w:sz="4" w:space="0"/>
              <w:left w:val="single" w:color="000000" w:sz="4" w:space="0"/>
              <w:bottom w:val="single" w:color="000000" w:sz="4" w:space="0"/>
              <w:right w:val="single" w:color="000000" w:sz="4" w:space="0"/>
            </w:tcBorders>
            <w:noWrap w:val="0"/>
            <w:vAlign w:val="center"/>
          </w:tcPr>
          <w:p w14:paraId="73B365C1">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防城港市住房公积金管理中心</w:t>
            </w:r>
          </w:p>
        </w:tc>
        <w:tc>
          <w:tcPr>
            <w:tcW w:w="5098" w:type="dxa"/>
            <w:tcBorders>
              <w:top w:val="single" w:color="000000" w:sz="4" w:space="0"/>
              <w:left w:val="single" w:color="000000" w:sz="4" w:space="0"/>
              <w:bottom w:val="single" w:color="000000" w:sz="4" w:space="0"/>
              <w:right w:val="single" w:color="000000" w:sz="4" w:space="0"/>
            </w:tcBorders>
            <w:noWrap w:val="0"/>
            <w:vAlign w:val="center"/>
          </w:tcPr>
          <w:p w14:paraId="7DB929AB">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综合信息管理系统</w:t>
            </w:r>
          </w:p>
        </w:tc>
      </w:tr>
      <w:tr w14:paraId="3FF6B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53" w:type="dxa"/>
            <w:tcBorders>
              <w:top w:val="single" w:color="000000" w:sz="4" w:space="0"/>
              <w:left w:val="single" w:color="000000" w:sz="4" w:space="0"/>
              <w:bottom w:val="single" w:color="000000" w:sz="4" w:space="0"/>
              <w:right w:val="single" w:color="000000" w:sz="4" w:space="0"/>
            </w:tcBorders>
            <w:noWrap/>
            <w:vAlign w:val="center"/>
          </w:tcPr>
          <w:p w14:paraId="121C9B95">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w:t>
            </w:r>
          </w:p>
        </w:tc>
        <w:tc>
          <w:tcPr>
            <w:tcW w:w="3044" w:type="dxa"/>
            <w:tcBorders>
              <w:top w:val="single" w:color="000000" w:sz="4" w:space="0"/>
              <w:left w:val="single" w:color="000000" w:sz="4" w:space="0"/>
              <w:bottom w:val="single" w:color="000000" w:sz="4" w:space="0"/>
              <w:right w:val="single" w:color="000000" w:sz="4" w:space="0"/>
            </w:tcBorders>
            <w:noWrap w:val="0"/>
            <w:vAlign w:val="center"/>
          </w:tcPr>
          <w:p w14:paraId="6CF71EBD">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lang w:eastAsia="zh-CN"/>
              </w:rPr>
            </w:pPr>
            <w:r>
              <w:rPr>
                <w:rFonts w:hint="eastAsia" w:ascii="宋体" w:hAnsi="宋体" w:eastAsia="宋体" w:cs="宋体"/>
                <w:i w:val="0"/>
                <w:iCs w:val="0"/>
                <w:color w:val="auto"/>
                <w:kern w:val="0"/>
                <w:sz w:val="20"/>
                <w:szCs w:val="20"/>
                <w:highlight w:val="none"/>
                <w:u w:val="none"/>
                <w:lang w:val="en-US" w:eastAsia="zh-CN" w:bidi="ar"/>
              </w:rPr>
              <w:t>防城港市教育局</w:t>
            </w:r>
          </w:p>
        </w:tc>
        <w:tc>
          <w:tcPr>
            <w:tcW w:w="5098" w:type="dxa"/>
            <w:tcBorders>
              <w:top w:val="single" w:color="000000" w:sz="4" w:space="0"/>
              <w:left w:val="single" w:color="000000" w:sz="4" w:space="0"/>
              <w:bottom w:val="single" w:color="000000" w:sz="4" w:space="0"/>
              <w:right w:val="single" w:color="000000" w:sz="4" w:space="0"/>
            </w:tcBorders>
            <w:noWrap w:val="0"/>
            <w:vAlign w:val="center"/>
          </w:tcPr>
          <w:p w14:paraId="3AE83B87">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智慧教育大数据云平台</w:t>
            </w:r>
          </w:p>
        </w:tc>
      </w:tr>
      <w:tr w14:paraId="3FA38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53" w:type="dxa"/>
            <w:vMerge w:val="restart"/>
            <w:tcBorders>
              <w:top w:val="single" w:color="000000" w:sz="4" w:space="0"/>
              <w:left w:val="single" w:color="000000" w:sz="4" w:space="0"/>
              <w:bottom w:val="single" w:color="000000" w:sz="4" w:space="0"/>
              <w:right w:val="single" w:color="000000" w:sz="4" w:space="0"/>
            </w:tcBorders>
            <w:noWrap/>
            <w:vAlign w:val="center"/>
          </w:tcPr>
          <w:p w14:paraId="47CDFDD6">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w:t>
            </w:r>
          </w:p>
        </w:tc>
        <w:tc>
          <w:tcPr>
            <w:tcW w:w="3044" w:type="dxa"/>
            <w:vMerge w:val="restart"/>
            <w:tcBorders>
              <w:top w:val="single" w:color="000000" w:sz="4" w:space="0"/>
              <w:left w:val="single" w:color="000000" w:sz="4" w:space="0"/>
              <w:bottom w:val="single" w:color="000000" w:sz="4" w:space="0"/>
              <w:right w:val="single" w:color="000000" w:sz="4" w:space="0"/>
            </w:tcBorders>
            <w:noWrap w:val="0"/>
            <w:vAlign w:val="center"/>
          </w:tcPr>
          <w:p w14:paraId="7D1548C0">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上思县图书馆</w:t>
            </w:r>
          </w:p>
        </w:tc>
        <w:tc>
          <w:tcPr>
            <w:tcW w:w="5098" w:type="dxa"/>
            <w:tcBorders>
              <w:top w:val="single" w:color="000000" w:sz="4" w:space="0"/>
              <w:left w:val="single" w:color="000000" w:sz="4" w:space="0"/>
              <w:bottom w:val="single" w:color="000000" w:sz="4" w:space="0"/>
              <w:right w:val="single" w:color="000000" w:sz="4" w:space="0"/>
            </w:tcBorders>
            <w:noWrap w:val="0"/>
            <w:vAlign w:val="center"/>
          </w:tcPr>
          <w:p w14:paraId="298C5784">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上思县图书馆集群管理系统</w:t>
            </w:r>
          </w:p>
        </w:tc>
      </w:tr>
      <w:tr w14:paraId="1B517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53" w:type="dxa"/>
            <w:vMerge w:val="continue"/>
            <w:tcBorders>
              <w:top w:val="single" w:color="000000" w:sz="4" w:space="0"/>
              <w:left w:val="single" w:color="000000" w:sz="4" w:space="0"/>
              <w:bottom w:val="single" w:color="000000" w:sz="4" w:space="0"/>
              <w:right w:val="single" w:color="000000" w:sz="4" w:space="0"/>
            </w:tcBorders>
            <w:noWrap/>
            <w:vAlign w:val="center"/>
          </w:tcPr>
          <w:p w14:paraId="7F5E2536">
            <w:pPr>
              <w:pageBreakBefore w:val="0"/>
              <w:kinsoku/>
              <w:wordWrap/>
              <w:overflowPunct/>
              <w:topLinePunct w:val="0"/>
              <w:bidi w:val="0"/>
              <w:spacing w:line="360" w:lineRule="exact"/>
              <w:jc w:val="center"/>
              <w:rPr>
                <w:rFonts w:hint="eastAsia" w:ascii="宋体" w:hAnsi="宋体" w:eastAsia="宋体" w:cs="宋体"/>
                <w:i w:val="0"/>
                <w:iCs w:val="0"/>
                <w:color w:val="auto"/>
                <w:sz w:val="20"/>
                <w:szCs w:val="20"/>
                <w:highlight w:val="none"/>
                <w:u w:val="none"/>
              </w:rPr>
            </w:pPr>
          </w:p>
        </w:tc>
        <w:tc>
          <w:tcPr>
            <w:tcW w:w="30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EBF933">
            <w:pPr>
              <w:pageBreakBefore w:val="0"/>
              <w:kinsoku/>
              <w:wordWrap/>
              <w:overflowPunct/>
              <w:topLinePunct w:val="0"/>
              <w:bidi w:val="0"/>
              <w:spacing w:line="360" w:lineRule="exact"/>
              <w:jc w:val="center"/>
              <w:rPr>
                <w:rFonts w:hint="eastAsia" w:ascii="宋体" w:hAnsi="宋体" w:eastAsia="宋体" w:cs="宋体"/>
                <w:i w:val="0"/>
                <w:iCs w:val="0"/>
                <w:color w:val="auto"/>
                <w:sz w:val="20"/>
                <w:szCs w:val="20"/>
                <w:highlight w:val="none"/>
                <w:u w:val="none"/>
              </w:rPr>
            </w:pPr>
          </w:p>
        </w:tc>
        <w:tc>
          <w:tcPr>
            <w:tcW w:w="5098" w:type="dxa"/>
            <w:tcBorders>
              <w:top w:val="single" w:color="000000" w:sz="4" w:space="0"/>
              <w:left w:val="single" w:color="000000" w:sz="4" w:space="0"/>
              <w:bottom w:val="single" w:color="000000" w:sz="4" w:space="0"/>
              <w:right w:val="single" w:color="000000" w:sz="4" w:space="0"/>
            </w:tcBorders>
            <w:noWrap w:val="0"/>
            <w:vAlign w:val="center"/>
          </w:tcPr>
          <w:p w14:paraId="0DB655F4">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图书馆OPAC</w:t>
            </w:r>
          </w:p>
        </w:tc>
      </w:tr>
      <w:tr w14:paraId="33AA3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53" w:type="dxa"/>
            <w:vMerge w:val="continue"/>
            <w:tcBorders>
              <w:top w:val="single" w:color="000000" w:sz="4" w:space="0"/>
              <w:left w:val="single" w:color="000000" w:sz="4" w:space="0"/>
              <w:bottom w:val="single" w:color="000000" w:sz="4" w:space="0"/>
              <w:right w:val="single" w:color="000000" w:sz="4" w:space="0"/>
            </w:tcBorders>
            <w:noWrap/>
            <w:vAlign w:val="center"/>
          </w:tcPr>
          <w:p w14:paraId="67DCACD6">
            <w:pPr>
              <w:pageBreakBefore w:val="0"/>
              <w:kinsoku/>
              <w:wordWrap/>
              <w:overflowPunct/>
              <w:topLinePunct w:val="0"/>
              <w:bidi w:val="0"/>
              <w:spacing w:line="360" w:lineRule="exact"/>
              <w:jc w:val="center"/>
              <w:rPr>
                <w:rFonts w:hint="eastAsia" w:ascii="宋体" w:hAnsi="宋体" w:eastAsia="宋体" w:cs="宋体"/>
                <w:i w:val="0"/>
                <w:iCs w:val="0"/>
                <w:color w:val="auto"/>
                <w:sz w:val="20"/>
                <w:szCs w:val="20"/>
                <w:highlight w:val="none"/>
                <w:u w:val="none"/>
              </w:rPr>
            </w:pPr>
          </w:p>
        </w:tc>
        <w:tc>
          <w:tcPr>
            <w:tcW w:w="30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5DCD91">
            <w:pPr>
              <w:pageBreakBefore w:val="0"/>
              <w:kinsoku/>
              <w:wordWrap/>
              <w:overflowPunct/>
              <w:topLinePunct w:val="0"/>
              <w:bidi w:val="0"/>
              <w:spacing w:line="360" w:lineRule="exact"/>
              <w:jc w:val="center"/>
              <w:rPr>
                <w:rFonts w:hint="eastAsia" w:ascii="宋体" w:hAnsi="宋体" w:eastAsia="宋体" w:cs="宋体"/>
                <w:i w:val="0"/>
                <w:iCs w:val="0"/>
                <w:color w:val="auto"/>
                <w:sz w:val="20"/>
                <w:szCs w:val="20"/>
                <w:highlight w:val="none"/>
                <w:u w:val="none"/>
              </w:rPr>
            </w:pPr>
          </w:p>
        </w:tc>
        <w:tc>
          <w:tcPr>
            <w:tcW w:w="5098" w:type="dxa"/>
            <w:tcBorders>
              <w:top w:val="single" w:color="000000" w:sz="4" w:space="0"/>
              <w:left w:val="single" w:color="000000" w:sz="4" w:space="0"/>
              <w:bottom w:val="single" w:color="000000" w:sz="4" w:space="0"/>
              <w:right w:val="single" w:color="000000" w:sz="4" w:space="0"/>
            </w:tcBorders>
            <w:noWrap w:val="0"/>
            <w:vAlign w:val="center"/>
          </w:tcPr>
          <w:p w14:paraId="3A073985">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图书馆网站</w:t>
            </w:r>
          </w:p>
        </w:tc>
      </w:tr>
      <w:tr w14:paraId="59162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53" w:type="dxa"/>
            <w:vMerge w:val="continue"/>
            <w:tcBorders>
              <w:top w:val="single" w:color="000000" w:sz="4" w:space="0"/>
              <w:left w:val="single" w:color="000000" w:sz="4" w:space="0"/>
              <w:bottom w:val="single" w:color="000000" w:sz="4" w:space="0"/>
              <w:right w:val="single" w:color="000000" w:sz="4" w:space="0"/>
            </w:tcBorders>
            <w:noWrap/>
            <w:vAlign w:val="center"/>
          </w:tcPr>
          <w:p w14:paraId="0EFD12FD">
            <w:pPr>
              <w:pageBreakBefore w:val="0"/>
              <w:kinsoku/>
              <w:wordWrap/>
              <w:overflowPunct/>
              <w:topLinePunct w:val="0"/>
              <w:bidi w:val="0"/>
              <w:spacing w:line="360" w:lineRule="exact"/>
              <w:jc w:val="center"/>
              <w:rPr>
                <w:rFonts w:hint="eastAsia" w:ascii="宋体" w:hAnsi="宋体" w:eastAsia="宋体" w:cs="宋体"/>
                <w:i w:val="0"/>
                <w:iCs w:val="0"/>
                <w:color w:val="auto"/>
                <w:sz w:val="20"/>
                <w:szCs w:val="20"/>
                <w:highlight w:val="none"/>
                <w:u w:val="none"/>
              </w:rPr>
            </w:pPr>
          </w:p>
        </w:tc>
        <w:tc>
          <w:tcPr>
            <w:tcW w:w="30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B23DFA">
            <w:pPr>
              <w:pageBreakBefore w:val="0"/>
              <w:kinsoku/>
              <w:wordWrap/>
              <w:overflowPunct/>
              <w:topLinePunct w:val="0"/>
              <w:bidi w:val="0"/>
              <w:spacing w:line="360" w:lineRule="exact"/>
              <w:jc w:val="center"/>
              <w:rPr>
                <w:rFonts w:hint="eastAsia" w:ascii="宋体" w:hAnsi="宋体" w:eastAsia="宋体" w:cs="宋体"/>
                <w:i w:val="0"/>
                <w:iCs w:val="0"/>
                <w:color w:val="auto"/>
                <w:sz w:val="20"/>
                <w:szCs w:val="20"/>
                <w:highlight w:val="none"/>
                <w:u w:val="none"/>
              </w:rPr>
            </w:pPr>
          </w:p>
        </w:tc>
        <w:tc>
          <w:tcPr>
            <w:tcW w:w="5098" w:type="dxa"/>
            <w:tcBorders>
              <w:top w:val="single" w:color="000000" w:sz="4" w:space="0"/>
              <w:left w:val="single" w:color="000000" w:sz="4" w:space="0"/>
              <w:bottom w:val="single" w:color="000000" w:sz="4" w:space="0"/>
              <w:right w:val="single" w:color="000000" w:sz="4" w:space="0"/>
            </w:tcBorders>
            <w:noWrap w:val="0"/>
            <w:vAlign w:val="center"/>
          </w:tcPr>
          <w:p w14:paraId="7FE52200">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图书馆特色文化资源库</w:t>
            </w:r>
          </w:p>
        </w:tc>
      </w:tr>
      <w:tr w14:paraId="65F12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53" w:type="dxa"/>
            <w:tcBorders>
              <w:top w:val="single" w:color="000000" w:sz="4" w:space="0"/>
              <w:left w:val="single" w:color="000000" w:sz="4" w:space="0"/>
              <w:bottom w:val="single" w:color="000000" w:sz="4" w:space="0"/>
              <w:right w:val="single" w:color="000000" w:sz="4" w:space="0"/>
            </w:tcBorders>
            <w:noWrap/>
            <w:vAlign w:val="center"/>
          </w:tcPr>
          <w:p w14:paraId="7C9270B5">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16</w:t>
            </w:r>
          </w:p>
        </w:tc>
        <w:tc>
          <w:tcPr>
            <w:tcW w:w="3044" w:type="dxa"/>
            <w:tcBorders>
              <w:top w:val="single" w:color="000000" w:sz="4" w:space="0"/>
              <w:left w:val="single" w:color="000000" w:sz="4" w:space="0"/>
              <w:bottom w:val="single" w:color="000000" w:sz="4" w:space="0"/>
              <w:right w:val="single" w:color="000000" w:sz="4" w:space="0"/>
            </w:tcBorders>
            <w:noWrap w:val="0"/>
            <w:vAlign w:val="center"/>
          </w:tcPr>
          <w:p w14:paraId="0C38FCE7">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上思县纪律检查委员会</w:t>
            </w:r>
          </w:p>
        </w:tc>
        <w:tc>
          <w:tcPr>
            <w:tcW w:w="5098" w:type="dxa"/>
            <w:tcBorders>
              <w:top w:val="single" w:color="000000" w:sz="4" w:space="0"/>
              <w:left w:val="single" w:color="000000" w:sz="4" w:space="0"/>
              <w:bottom w:val="single" w:color="000000" w:sz="4" w:space="0"/>
              <w:right w:val="single" w:color="000000" w:sz="4" w:space="0"/>
            </w:tcBorders>
            <w:noWrap w:val="0"/>
            <w:vAlign w:val="center"/>
          </w:tcPr>
          <w:p w14:paraId="3C9A9D4A">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上思县纪检监察网</w:t>
            </w:r>
          </w:p>
        </w:tc>
      </w:tr>
      <w:tr w14:paraId="1E32E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53" w:type="dxa"/>
            <w:vMerge w:val="restart"/>
            <w:tcBorders>
              <w:top w:val="single" w:color="000000" w:sz="4" w:space="0"/>
              <w:left w:val="single" w:color="000000" w:sz="4" w:space="0"/>
              <w:bottom w:val="single" w:color="000000" w:sz="4" w:space="0"/>
              <w:right w:val="single" w:color="000000" w:sz="4" w:space="0"/>
            </w:tcBorders>
            <w:noWrap/>
            <w:vAlign w:val="center"/>
          </w:tcPr>
          <w:p w14:paraId="7E301846">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17</w:t>
            </w:r>
          </w:p>
        </w:tc>
        <w:tc>
          <w:tcPr>
            <w:tcW w:w="3044" w:type="dxa"/>
            <w:vMerge w:val="restart"/>
            <w:tcBorders>
              <w:top w:val="single" w:color="000000" w:sz="4" w:space="0"/>
              <w:left w:val="single" w:color="000000" w:sz="4" w:space="0"/>
              <w:bottom w:val="single" w:color="000000" w:sz="4" w:space="0"/>
              <w:right w:val="single" w:color="000000" w:sz="4" w:space="0"/>
            </w:tcBorders>
            <w:noWrap w:val="0"/>
            <w:vAlign w:val="center"/>
          </w:tcPr>
          <w:p w14:paraId="7BB4A346">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东兴市图书馆</w:t>
            </w:r>
          </w:p>
        </w:tc>
        <w:tc>
          <w:tcPr>
            <w:tcW w:w="5098" w:type="dxa"/>
            <w:tcBorders>
              <w:top w:val="single" w:color="000000" w:sz="4" w:space="0"/>
              <w:left w:val="single" w:color="000000" w:sz="4" w:space="0"/>
              <w:bottom w:val="single" w:color="000000" w:sz="4" w:space="0"/>
              <w:right w:val="single" w:color="000000" w:sz="4" w:space="0"/>
            </w:tcBorders>
            <w:noWrap w:val="0"/>
            <w:vAlign w:val="center"/>
          </w:tcPr>
          <w:p w14:paraId="60BC6624">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Interlib图书馆集群管理系统</w:t>
            </w:r>
          </w:p>
        </w:tc>
      </w:tr>
      <w:tr w14:paraId="5C581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53" w:type="dxa"/>
            <w:vMerge w:val="continue"/>
            <w:tcBorders>
              <w:top w:val="single" w:color="000000" w:sz="4" w:space="0"/>
              <w:left w:val="single" w:color="000000" w:sz="4" w:space="0"/>
              <w:bottom w:val="single" w:color="000000" w:sz="4" w:space="0"/>
              <w:right w:val="single" w:color="000000" w:sz="4" w:space="0"/>
            </w:tcBorders>
            <w:noWrap/>
            <w:vAlign w:val="center"/>
          </w:tcPr>
          <w:p w14:paraId="21916027">
            <w:pPr>
              <w:pageBreakBefore w:val="0"/>
              <w:kinsoku/>
              <w:wordWrap/>
              <w:overflowPunct/>
              <w:topLinePunct w:val="0"/>
              <w:bidi w:val="0"/>
              <w:spacing w:line="360" w:lineRule="exact"/>
              <w:jc w:val="center"/>
              <w:rPr>
                <w:rFonts w:hint="eastAsia" w:ascii="宋体" w:hAnsi="宋体" w:eastAsia="宋体" w:cs="宋体"/>
                <w:i w:val="0"/>
                <w:iCs w:val="0"/>
                <w:color w:val="auto"/>
                <w:sz w:val="20"/>
                <w:szCs w:val="20"/>
                <w:highlight w:val="none"/>
                <w:u w:val="none"/>
              </w:rPr>
            </w:pPr>
          </w:p>
        </w:tc>
        <w:tc>
          <w:tcPr>
            <w:tcW w:w="30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C239DE">
            <w:pPr>
              <w:pageBreakBefore w:val="0"/>
              <w:kinsoku/>
              <w:wordWrap/>
              <w:overflowPunct/>
              <w:topLinePunct w:val="0"/>
              <w:bidi w:val="0"/>
              <w:spacing w:line="360" w:lineRule="exact"/>
              <w:jc w:val="center"/>
              <w:rPr>
                <w:rFonts w:hint="eastAsia" w:ascii="宋体" w:hAnsi="宋体" w:eastAsia="宋体" w:cs="宋体"/>
                <w:i w:val="0"/>
                <w:iCs w:val="0"/>
                <w:color w:val="auto"/>
                <w:sz w:val="20"/>
                <w:szCs w:val="20"/>
                <w:highlight w:val="none"/>
                <w:u w:val="none"/>
              </w:rPr>
            </w:pPr>
          </w:p>
        </w:tc>
        <w:tc>
          <w:tcPr>
            <w:tcW w:w="5098" w:type="dxa"/>
            <w:tcBorders>
              <w:top w:val="single" w:color="000000" w:sz="4" w:space="0"/>
              <w:left w:val="single" w:color="000000" w:sz="4" w:space="0"/>
              <w:bottom w:val="single" w:color="000000" w:sz="4" w:space="0"/>
              <w:right w:val="single" w:color="000000" w:sz="4" w:space="0"/>
            </w:tcBorders>
            <w:noWrap w:val="0"/>
            <w:vAlign w:val="center"/>
          </w:tcPr>
          <w:p w14:paraId="64F2C057">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OPAC图书公共检索平台</w:t>
            </w:r>
          </w:p>
        </w:tc>
      </w:tr>
      <w:tr w14:paraId="55B7A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53" w:type="dxa"/>
            <w:vMerge w:val="continue"/>
            <w:tcBorders>
              <w:top w:val="single" w:color="000000" w:sz="4" w:space="0"/>
              <w:left w:val="single" w:color="000000" w:sz="4" w:space="0"/>
              <w:bottom w:val="single" w:color="000000" w:sz="4" w:space="0"/>
              <w:right w:val="single" w:color="000000" w:sz="4" w:space="0"/>
            </w:tcBorders>
            <w:noWrap/>
            <w:vAlign w:val="center"/>
          </w:tcPr>
          <w:p w14:paraId="284655FC">
            <w:pPr>
              <w:pageBreakBefore w:val="0"/>
              <w:kinsoku/>
              <w:wordWrap/>
              <w:overflowPunct/>
              <w:topLinePunct w:val="0"/>
              <w:bidi w:val="0"/>
              <w:spacing w:line="360" w:lineRule="exact"/>
              <w:jc w:val="center"/>
              <w:rPr>
                <w:rFonts w:hint="eastAsia" w:ascii="宋体" w:hAnsi="宋体" w:eastAsia="宋体" w:cs="宋体"/>
                <w:i w:val="0"/>
                <w:iCs w:val="0"/>
                <w:color w:val="auto"/>
                <w:sz w:val="20"/>
                <w:szCs w:val="20"/>
                <w:highlight w:val="none"/>
                <w:u w:val="none"/>
              </w:rPr>
            </w:pPr>
          </w:p>
        </w:tc>
        <w:tc>
          <w:tcPr>
            <w:tcW w:w="30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F587DB">
            <w:pPr>
              <w:pageBreakBefore w:val="0"/>
              <w:kinsoku/>
              <w:wordWrap/>
              <w:overflowPunct/>
              <w:topLinePunct w:val="0"/>
              <w:bidi w:val="0"/>
              <w:spacing w:line="360" w:lineRule="exact"/>
              <w:jc w:val="center"/>
              <w:rPr>
                <w:rFonts w:hint="eastAsia" w:ascii="宋体" w:hAnsi="宋体" w:eastAsia="宋体" w:cs="宋体"/>
                <w:i w:val="0"/>
                <w:iCs w:val="0"/>
                <w:color w:val="auto"/>
                <w:sz w:val="20"/>
                <w:szCs w:val="20"/>
                <w:highlight w:val="none"/>
                <w:u w:val="none"/>
              </w:rPr>
            </w:pPr>
          </w:p>
        </w:tc>
        <w:tc>
          <w:tcPr>
            <w:tcW w:w="5098" w:type="dxa"/>
            <w:tcBorders>
              <w:top w:val="single" w:color="000000" w:sz="4" w:space="0"/>
              <w:left w:val="single" w:color="000000" w:sz="4" w:space="0"/>
              <w:bottom w:val="single" w:color="000000" w:sz="4" w:space="0"/>
              <w:right w:val="single" w:color="000000" w:sz="4" w:space="0"/>
            </w:tcBorders>
            <w:noWrap w:val="0"/>
            <w:vAlign w:val="center"/>
          </w:tcPr>
          <w:p w14:paraId="2B53BE41">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图书馆集群通借通还平台</w:t>
            </w:r>
          </w:p>
        </w:tc>
      </w:tr>
      <w:tr w14:paraId="1D717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53" w:type="dxa"/>
            <w:tcBorders>
              <w:top w:val="single" w:color="000000" w:sz="4" w:space="0"/>
              <w:left w:val="single" w:color="000000" w:sz="4" w:space="0"/>
              <w:bottom w:val="single" w:color="000000" w:sz="4" w:space="0"/>
              <w:right w:val="single" w:color="000000" w:sz="4" w:space="0"/>
            </w:tcBorders>
            <w:noWrap/>
            <w:vAlign w:val="center"/>
          </w:tcPr>
          <w:p w14:paraId="0048BB22">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18</w:t>
            </w:r>
          </w:p>
        </w:tc>
        <w:tc>
          <w:tcPr>
            <w:tcW w:w="3044" w:type="dxa"/>
            <w:tcBorders>
              <w:top w:val="single" w:color="000000" w:sz="4" w:space="0"/>
              <w:left w:val="single" w:color="000000" w:sz="4" w:space="0"/>
              <w:bottom w:val="single" w:color="000000" w:sz="4" w:space="0"/>
              <w:right w:val="single" w:color="000000" w:sz="4" w:space="0"/>
            </w:tcBorders>
            <w:noWrap w:val="0"/>
            <w:vAlign w:val="center"/>
          </w:tcPr>
          <w:p w14:paraId="17D7E164">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东兴市纪律检查委员会</w:t>
            </w:r>
          </w:p>
        </w:tc>
        <w:tc>
          <w:tcPr>
            <w:tcW w:w="5098" w:type="dxa"/>
            <w:tcBorders>
              <w:top w:val="single" w:color="000000" w:sz="4" w:space="0"/>
              <w:left w:val="single" w:color="000000" w:sz="4" w:space="0"/>
              <w:bottom w:val="single" w:color="000000" w:sz="4" w:space="0"/>
              <w:right w:val="single" w:color="000000" w:sz="4" w:space="0"/>
            </w:tcBorders>
            <w:noWrap w:val="0"/>
            <w:vAlign w:val="center"/>
          </w:tcPr>
          <w:p w14:paraId="35712E94">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东兴市纪检监察网</w:t>
            </w:r>
          </w:p>
        </w:tc>
      </w:tr>
      <w:tr w14:paraId="2559F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53" w:type="dxa"/>
            <w:tcBorders>
              <w:top w:val="single" w:color="000000" w:sz="4" w:space="0"/>
              <w:left w:val="single" w:color="000000" w:sz="4" w:space="0"/>
              <w:bottom w:val="single" w:color="000000" w:sz="4" w:space="0"/>
              <w:right w:val="single" w:color="000000" w:sz="4" w:space="0"/>
            </w:tcBorders>
            <w:noWrap/>
            <w:vAlign w:val="center"/>
          </w:tcPr>
          <w:p w14:paraId="322AEAA9">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19</w:t>
            </w:r>
          </w:p>
        </w:tc>
        <w:tc>
          <w:tcPr>
            <w:tcW w:w="3044" w:type="dxa"/>
            <w:tcBorders>
              <w:top w:val="single" w:color="000000" w:sz="4" w:space="0"/>
              <w:left w:val="single" w:color="000000" w:sz="4" w:space="0"/>
              <w:bottom w:val="single" w:color="000000" w:sz="4" w:space="0"/>
              <w:right w:val="single" w:color="000000" w:sz="4" w:space="0"/>
            </w:tcBorders>
            <w:noWrap w:val="0"/>
            <w:vAlign w:val="center"/>
          </w:tcPr>
          <w:p w14:paraId="5E9107FF">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东兴市财政局</w:t>
            </w:r>
          </w:p>
        </w:tc>
        <w:tc>
          <w:tcPr>
            <w:tcW w:w="5098" w:type="dxa"/>
            <w:tcBorders>
              <w:top w:val="single" w:color="000000" w:sz="4" w:space="0"/>
              <w:left w:val="single" w:color="000000" w:sz="4" w:space="0"/>
              <w:bottom w:val="single" w:color="000000" w:sz="4" w:space="0"/>
              <w:right w:val="single" w:color="000000" w:sz="4" w:space="0"/>
            </w:tcBorders>
            <w:noWrap w:val="0"/>
            <w:vAlign w:val="center"/>
          </w:tcPr>
          <w:p w14:paraId="6986815F">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综合治税分析平台建设服务</w:t>
            </w:r>
          </w:p>
        </w:tc>
      </w:tr>
      <w:tr w14:paraId="27AED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53" w:type="dxa"/>
            <w:tcBorders>
              <w:top w:val="single" w:color="000000" w:sz="4" w:space="0"/>
              <w:left w:val="single" w:color="000000" w:sz="4" w:space="0"/>
              <w:bottom w:val="single" w:color="000000" w:sz="4" w:space="0"/>
              <w:right w:val="single" w:color="000000" w:sz="4" w:space="0"/>
            </w:tcBorders>
            <w:noWrap/>
            <w:vAlign w:val="center"/>
          </w:tcPr>
          <w:p w14:paraId="3E66E489">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w:t>
            </w:r>
          </w:p>
        </w:tc>
        <w:tc>
          <w:tcPr>
            <w:tcW w:w="3044" w:type="dxa"/>
            <w:tcBorders>
              <w:top w:val="single" w:color="000000" w:sz="4" w:space="0"/>
              <w:left w:val="single" w:color="000000" w:sz="4" w:space="0"/>
              <w:bottom w:val="single" w:color="000000" w:sz="4" w:space="0"/>
              <w:right w:val="single" w:color="000000" w:sz="4" w:space="0"/>
            </w:tcBorders>
            <w:noWrap w:val="0"/>
            <w:vAlign w:val="center"/>
          </w:tcPr>
          <w:p w14:paraId="31BA2230">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东兴市委员会宣传部</w:t>
            </w:r>
          </w:p>
        </w:tc>
        <w:tc>
          <w:tcPr>
            <w:tcW w:w="5098" w:type="dxa"/>
            <w:tcBorders>
              <w:top w:val="single" w:color="000000" w:sz="4" w:space="0"/>
              <w:left w:val="single" w:color="000000" w:sz="4" w:space="0"/>
              <w:bottom w:val="single" w:color="000000" w:sz="4" w:space="0"/>
              <w:right w:val="single" w:color="000000" w:sz="4" w:space="0"/>
            </w:tcBorders>
            <w:noWrap/>
            <w:vAlign w:val="center"/>
          </w:tcPr>
          <w:p w14:paraId="1F4F110F">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东兴之窗</w:t>
            </w:r>
          </w:p>
        </w:tc>
      </w:tr>
      <w:tr w14:paraId="20663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53" w:type="dxa"/>
            <w:vMerge w:val="restart"/>
            <w:tcBorders>
              <w:top w:val="single" w:color="000000" w:sz="4" w:space="0"/>
              <w:left w:val="single" w:color="000000" w:sz="4" w:space="0"/>
              <w:bottom w:val="single" w:color="000000" w:sz="4" w:space="0"/>
              <w:right w:val="single" w:color="000000" w:sz="4" w:space="0"/>
            </w:tcBorders>
            <w:noWrap/>
            <w:vAlign w:val="center"/>
          </w:tcPr>
          <w:p w14:paraId="54A89347">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w:t>
            </w:r>
          </w:p>
        </w:tc>
        <w:tc>
          <w:tcPr>
            <w:tcW w:w="3044" w:type="dxa"/>
            <w:vMerge w:val="restart"/>
            <w:tcBorders>
              <w:top w:val="single" w:color="000000" w:sz="4" w:space="0"/>
              <w:left w:val="single" w:color="000000" w:sz="4" w:space="0"/>
              <w:bottom w:val="single" w:color="000000" w:sz="4" w:space="0"/>
              <w:right w:val="single" w:color="000000" w:sz="4" w:space="0"/>
            </w:tcBorders>
            <w:noWrap w:val="0"/>
            <w:vAlign w:val="center"/>
          </w:tcPr>
          <w:p w14:paraId="51CBB90E">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港口区图书馆</w:t>
            </w:r>
          </w:p>
        </w:tc>
        <w:tc>
          <w:tcPr>
            <w:tcW w:w="5098" w:type="dxa"/>
            <w:tcBorders>
              <w:top w:val="single" w:color="000000" w:sz="4" w:space="0"/>
              <w:left w:val="single" w:color="000000" w:sz="4" w:space="0"/>
              <w:bottom w:val="single" w:color="000000" w:sz="4" w:space="0"/>
              <w:right w:val="single" w:color="000000" w:sz="4" w:space="0"/>
            </w:tcBorders>
            <w:noWrap w:val="0"/>
            <w:vAlign w:val="center"/>
          </w:tcPr>
          <w:p w14:paraId="61F5156C">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港口区图书馆OPAC系统</w:t>
            </w:r>
          </w:p>
        </w:tc>
      </w:tr>
      <w:tr w14:paraId="07692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53" w:type="dxa"/>
            <w:vMerge w:val="continue"/>
            <w:tcBorders>
              <w:top w:val="single" w:color="000000" w:sz="4" w:space="0"/>
              <w:left w:val="single" w:color="000000" w:sz="4" w:space="0"/>
              <w:bottom w:val="single" w:color="000000" w:sz="4" w:space="0"/>
              <w:right w:val="single" w:color="000000" w:sz="4" w:space="0"/>
            </w:tcBorders>
            <w:noWrap/>
            <w:vAlign w:val="center"/>
          </w:tcPr>
          <w:p w14:paraId="725C56A1">
            <w:pPr>
              <w:pageBreakBefore w:val="0"/>
              <w:kinsoku/>
              <w:wordWrap/>
              <w:overflowPunct/>
              <w:topLinePunct w:val="0"/>
              <w:bidi w:val="0"/>
              <w:spacing w:line="360" w:lineRule="exact"/>
              <w:jc w:val="center"/>
              <w:rPr>
                <w:rFonts w:hint="eastAsia" w:ascii="宋体" w:hAnsi="宋体" w:eastAsia="宋体" w:cs="宋体"/>
                <w:i w:val="0"/>
                <w:iCs w:val="0"/>
                <w:color w:val="auto"/>
                <w:sz w:val="20"/>
                <w:szCs w:val="20"/>
                <w:highlight w:val="none"/>
                <w:u w:val="none"/>
              </w:rPr>
            </w:pPr>
          </w:p>
        </w:tc>
        <w:tc>
          <w:tcPr>
            <w:tcW w:w="30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102A40">
            <w:pPr>
              <w:pageBreakBefore w:val="0"/>
              <w:kinsoku/>
              <w:wordWrap/>
              <w:overflowPunct/>
              <w:topLinePunct w:val="0"/>
              <w:bidi w:val="0"/>
              <w:spacing w:line="360" w:lineRule="exact"/>
              <w:jc w:val="center"/>
              <w:rPr>
                <w:rFonts w:hint="eastAsia" w:ascii="宋体" w:hAnsi="宋体" w:eastAsia="宋体" w:cs="宋体"/>
                <w:i w:val="0"/>
                <w:iCs w:val="0"/>
                <w:color w:val="auto"/>
                <w:sz w:val="20"/>
                <w:szCs w:val="20"/>
                <w:highlight w:val="none"/>
                <w:u w:val="none"/>
              </w:rPr>
            </w:pPr>
          </w:p>
        </w:tc>
        <w:tc>
          <w:tcPr>
            <w:tcW w:w="5098" w:type="dxa"/>
            <w:tcBorders>
              <w:top w:val="single" w:color="000000" w:sz="4" w:space="0"/>
              <w:left w:val="single" w:color="000000" w:sz="4" w:space="0"/>
              <w:bottom w:val="single" w:color="000000" w:sz="4" w:space="0"/>
              <w:right w:val="single" w:color="000000" w:sz="4" w:space="0"/>
            </w:tcBorders>
            <w:noWrap w:val="0"/>
            <w:vAlign w:val="center"/>
          </w:tcPr>
          <w:p w14:paraId="6626BE78">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Interlib图书馆集群管理系统</w:t>
            </w:r>
          </w:p>
        </w:tc>
      </w:tr>
      <w:tr w14:paraId="0A725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53" w:type="dxa"/>
            <w:tcBorders>
              <w:top w:val="single" w:color="000000" w:sz="4" w:space="0"/>
              <w:left w:val="single" w:color="000000" w:sz="4" w:space="0"/>
              <w:bottom w:val="single" w:color="000000" w:sz="4" w:space="0"/>
              <w:right w:val="single" w:color="000000" w:sz="4" w:space="0"/>
            </w:tcBorders>
            <w:noWrap/>
            <w:vAlign w:val="center"/>
          </w:tcPr>
          <w:p w14:paraId="4F2B0D1B">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w:t>
            </w:r>
          </w:p>
        </w:tc>
        <w:tc>
          <w:tcPr>
            <w:tcW w:w="3044" w:type="dxa"/>
            <w:tcBorders>
              <w:top w:val="single" w:color="000000" w:sz="4" w:space="0"/>
              <w:left w:val="single" w:color="000000" w:sz="4" w:space="0"/>
              <w:bottom w:val="single" w:color="000000" w:sz="4" w:space="0"/>
              <w:right w:val="single" w:color="000000" w:sz="4" w:space="0"/>
            </w:tcBorders>
            <w:noWrap w:val="0"/>
            <w:vAlign w:val="center"/>
          </w:tcPr>
          <w:p w14:paraId="2FB7B6AA">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港口区纪律检查委员会</w:t>
            </w:r>
          </w:p>
        </w:tc>
        <w:tc>
          <w:tcPr>
            <w:tcW w:w="5098" w:type="dxa"/>
            <w:tcBorders>
              <w:top w:val="single" w:color="000000" w:sz="4" w:space="0"/>
              <w:left w:val="single" w:color="000000" w:sz="4" w:space="0"/>
              <w:bottom w:val="single" w:color="000000" w:sz="4" w:space="0"/>
              <w:right w:val="single" w:color="000000" w:sz="4" w:space="0"/>
            </w:tcBorders>
            <w:noWrap w:val="0"/>
            <w:vAlign w:val="center"/>
          </w:tcPr>
          <w:p w14:paraId="6B43F21A">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防城港市港口区纪检监察网</w:t>
            </w:r>
          </w:p>
        </w:tc>
      </w:tr>
      <w:tr w14:paraId="48EB3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53" w:type="dxa"/>
            <w:vMerge w:val="restart"/>
            <w:tcBorders>
              <w:top w:val="single" w:color="000000" w:sz="4" w:space="0"/>
              <w:left w:val="single" w:color="000000" w:sz="4" w:space="0"/>
              <w:bottom w:val="single" w:color="000000" w:sz="4" w:space="0"/>
              <w:right w:val="single" w:color="000000" w:sz="4" w:space="0"/>
            </w:tcBorders>
            <w:noWrap/>
            <w:vAlign w:val="center"/>
          </w:tcPr>
          <w:p w14:paraId="763C75F5">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23</w:t>
            </w:r>
          </w:p>
        </w:tc>
        <w:tc>
          <w:tcPr>
            <w:tcW w:w="3044" w:type="dxa"/>
            <w:vMerge w:val="restart"/>
            <w:tcBorders>
              <w:top w:val="single" w:color="000000" w:sz="4" w:space="0"/>
              <w:left w:val="single" w:color="000000" w:sz="4" w:space="0"/>
              <w:bottom w:val="single" w:color="000000" w:sz="4" w:space="0"/>
              <w:right w:val="single" w:color="000000" w:sz="4" w:space="0"/>
            </w:tcBorders>
            <w:noWrap w:val="0"/>
            <w:vAlign w:val="center"/>
          </w:tcPr>
          <w:p w14:paraId="54F2F5B3">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防城区图书馆</w:t>
            </w:r>
          </w:p>
        </w:tc>
        <w:tc>
          <w:tcPr>
            <w:tcW w:w="5098" w:type="dxa"/>
            <w:tcBorders>
              <w:top w:val="single" w:color="000000" w:sz="4" w:space="0"/>
              <w:left w:val="single" w:color="000000" w:sz="4" w:space="0"/>
              <w:bottom w:val="single" w:color="000000" w:sz="4" w:space="0"/>
              <w:right w:val="single" w:color="000000" w:sz="4" w:space="0"/>
            </w:tcBorders>
            <w:noWrap w:val="0"/>
            <w:vAlign w:val="center"/>
          </w:tcPr>
          <w:p w14:paraId="0E4F53E1">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防城区Interlib图书馆集群管理系统</w:t>
            </w:r>
          </w:p>
        </w:tc>
      </w:tr>
      <w:tr w14:paraId="67E63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53" w:type="dxa"/>
            <w:vMerge w:val="continue"/>
            <w:tcBorders>
              <w:top w:val="single" w:color="000000" w:sz="4" w:space="0"/>
              <w:left w:val="single" w:color="000000" w:sz="4" w:space="0"/>
              <w:bottom w:val="single" w:color="000000" w:sz="4" w:space="0"/>
              <w:right w:val="single" w:color="000000" w:sz="4" w:space="0"/>
            </w:tcBorders>
            <w:noWrap/>
            <w:vAlign w:val="center"/>
          </w:tcPr>
          <w:p w14:paraId="735916EE">
            <w:pPr>
              <w:pageBreakBefore w:val="0"/>
              <w:kinsoku/>
              <w:wordWrap/>
              <w:overflowPunct/>
              <w:topLinePunct w:val="0"/>
              <w:bidi w:val="0"/>
              <w:spacing w:line="360" w:lineRule="exact"/>
              <w:jc w:val="center"/>
              <w:rPr>
                <w:rFonts w:hint="eastAsia" w:ascii="宋体" w:hAnsi="宋体" w:eastAsia="宋体" w:cs="宋体"/>
                <w:i w:val="0"/>
                <w:iCs w:val="0"/>
                <w:color w:val="auto"/>
                <w:sz w:val="20"/>
                <w:szCs w:val="20"/>
                <w:highlight w:val="none"/>
                <w:u w:val="none"/>
              </w:rPr>
            </w:pPr>
          </w:p>
        </w:tc>
        <w:tc>
          <w:tcPr>
            <w:tcW w:w="30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F5F3DC">
            <w:pPr>
              <w:pageBreakBefore w:val="0"/>
              <w:kinsoku/>
              <w:wordWrap/>
              <w:overflowPunct/>
              <w:topLinePunct w:val="0"/>
              <w:bidi w:val="0"/>
              <w:spacing w:line="360" w:lineRule="exact"/>
              <w:jc w:val="center"/>
              <w:rPr>
                <w:rFonts w:hint="eastAsia" w:ascii="宋体" w:hAnsi="宋体" w:eastAsia="宋体" w:cs="宋体"/>
                <w:i w:val="0"/>
                <w:iCs w:val="0"/>
                <w:color w:val="auto"/>
                <w:sz w:val="20"/>
                <w:szCs w:val="20"/>
                <w:highlight w:val="none"/>
                <w:u w:val="none"/>
              </w:rPr>
            </w:pPr>
          </w:p>
        </w:tc>
        <w:tc>
          <w:tcPr>
            <w:tcW w:w="5098" w:type="dxa"/>
            <w:tcBorders>
              <w:top w:val="single" w:color="000000" w:sz="4" w:space="0"/>
              <w:left w:val="single" w:color="000000" w:sz="4" w:space="0"/>
              <w:bottom w:val="single" w:color="000000" w:sz="4" w:space="0"/>
              <w:right w:val="single" w:color="000000" w:sz="4" w:space="0"/>
            </w:tcBorders>
            <w:noWrap w:val="0"/>
            <w:vAlign w:val="center"/>
          </w:tcPr>
          <w:p w14:paraId="00A96EAC">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OPAC图书公共检索平台</w:t>
            </w:r>
          </w:p>
        </w:tc>
      </w:tr>
      <w:tr w14:paraId="540EE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53" w:type="dxa"/>
            <w:vMerge w:val="continue"/>
            <w:tcBorders>
              <w:top w:val="single" w:color="000000" w:sz="4" w:space="0"/>
              <w:left w:val="single" w:color="000000" w:sz="4" w:space="0"/>
              <w:bottom w:val="single" w:color="000000" w:sz="4" w:space="0"/>
              <w:right w:val="single" w:color="000000" w:sz="4" w:space="0"/>
            </w:tcBorders>
            <w:noWrap/>
            <w:vAlign w:val="center"/>
          </w:tcPr>
          <w:p w14:paraId="66F8BF1E">
            <w:pPr>
              <w:pageBreakBefore w:val="0"/>
              <w:kinsoku/>
              <w:wordWrap/>
              <w:overflowPunct/>
              <w:topLinePunct w:val="0"/>
              <w:bidi w:val="0"/>
              <w:spacing w:line="360" w:lineRule="exact"/>
              <w:jc w:val="center"/>
              <w:rPr>
                <w:rFonts w:hint="eastAsia" w:ascii="宋体" w:hAnsi="宋体" w:eastAsia="宋体" w:cs="宋体"/>
                <w:i w:val="0"/>
                <w:iCs w:val="0"/>
                <w:color w:val="auto"/>
                <w:sz w:val="20"/>
                <w:szCs w:val="20"/>
                <w:highlight w:val="none"/>
                <w:u w:val="none"/>
              </w:rPr>
            </w:pPr>
          </w:p>
        </w:tc>
        <w:tc>
          <w:tcPr>
            <w:tcW w:w="30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CE3BB7">
            <w:pPr>
              <w:pageBreakBefore w:val="0"/>
              <w:kinsoku/>
              <w:wordWrap/>
              <w:overflowPunct/>
              <w:topLinePunct w:val="0"/>
              <w:bidi w:val="0"/>
              <w:spacing w:line="360" w:lineRule="exact"/>
              <w:jc w:val="center"/>
              <w:rPr>
                <w:rFonts w:hint="eastAsia" w:ascii="宋体" w:hAnsi="宋体" w:eastAsia="宋体" w:cs="宋体"/>
                <w:i w:val="0"/>
                <w:iCs w:val="0"/>
                <w:color w:val="auto"/>
                <w:sz w:val="20"/>
                <w:szCs w:val="20"/>
                <w:highlight w:val="none"/>
                <w:u w:val="none"/>
              </w:rPr>
            </w:pPr>
          </w:p>
        </w:tc>
        <w:tc>
          <w:tcPr>
            <w:tcW w:w="5098" w:type="dxa"/>
            <w:tcBorders>
              <w:top w:val="single" w:color="000000" w:sz="4" w:space="0"/>
              <w:left w:val="single" w:color="000000" w:sz="4" w:space="0"/>
              <w:bottom w:val="single" w:color="000000" w:sz="4" w:space="0"/>
              <w:right w:val="single" w:color="000000" w:sz="4" w:space="0"/>
            </w:tcBorders>
            <w:noWrap w:val="0"/>
            <w:vAlign w:val="center"/>
          </w:tcPr>
          <w:p w14:paraId="341B6B1D">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图书馆集群通借通还平台</w:t>
            </w:r>
          </w:p>
        </w:tc>
      </w:tr>
      <w:tr w14:paraId="2B641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53" w:type="dxa"/>
            <w:tcBorders>
              <w:top w:val="single" w:color="000000" w:sz="4" w:space="0"/>
              <w:left w:val="single" w:color="000000" w:sz="4" w:space="0"/>
              <w:bottom w:val="single" w:color="000000" w:sz="4" w:space="0"/>
              <w:right w:val="single" w:color="000000" w:sz="4" w:space="0"/>
            </w:tcBorders>
            <w:noWrap/>
            <w:vAlign w:val="center"/>
          </w:tcPr>
          <w:p w14:paraId="67CEFA41">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w:t>
            </w:r>
          </w:p>
        </w:tc>
        <w:tc>
          <w:tcPr>
            <w:tcW w:w="3044" w:type="dxa"/>
            <w:tcBorders>
              <w:top w:val="single" w:color="000000" w:sz="4" w:space="0"/>
              <w:left w:val="single" w:color="000000" w:sz="4" w:space="0"/>
              <w:bottom w:val="single" w:color="000000" w:sz="4" w:space="0"/>
              <w:right w:val="single" w:color="000000" w:sz="4" w:space="0"/>
            </w:tcBorders>
            <w:noWrap w:val="0"/>
            <w:vAlign w:val="center"/>
          </w:tcPr>
          <w:p w14:paraId="3A9B08CE">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防城区纪律检查委员会</w:t>
            </w:r>
          </w:p>
        </w:tc>
        <w:tc>
          <w:tcPr>
            <w:tcW w:w="5098" w:type="dxa"/>
            <w:tcBorders>
              <w:top w:val="single" w:color="000000" w:sz="4" w:space="0"/>
              <w:left w:val="single" w:color="000000" w:sz="4" w:space="0"/>
              <w:bottom w:val="single" w:color="000000" w:sz="4" w:space="0"/>
              <w:right w:val="single" w:color="000000" w:sz="4" w:space="0"/>
            </w:tcBorders>
            <w:noWrap w:val="0"/>
            <w:vAlign w:val="center"/>
          </w:tcPr>
          <w:p w14:paraId="627694A7">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防城区纪检监察网</w:t>
            </w:r>
          </w:p>
        </w:tc>
      </w:tr>
      <w:tr w14:paraId="1C5D6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53" w:type="dxa"/>
            <w:tcBorders>
              <w:top w:val="single" w:color="000000" w:sz="4" w:space="0"/>
              <w:left w:val="single" w:color="000000" w:sz="4" w:space="0"/>
              <w:bottom w:val="single" w:color="000000" w:sz="4" w:space="0"/>
              <w:right w:val="single" w:color="000000" w:sz="4" w:space="0"/>
            </w:tcBorders>
            <w:noWrap/>
            <w:vAlign w:val="center"/>
          </w:tcPr>
          <w:p w14:paraId="24611491">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25</w:t>
            </w:r>
          </w:p>
        </w:tc>
        <w:tc>
          <w:tcPr>
            <w:tcW w:w="3044" w:type="dxa"/>
            <w:tcBorders>
              <w:top w:val="single" w:color="000000" w:sz="4" w:space="0"/>
              <w:left w:val="single" w:color="000000" w:sz="4" w:space="0"/>
              <w:bottom w:val="single" w:color="000000" w:sz="4" w:space="0"/>
              <w:right w:val="single" w:color="000000" w:sz="4" w:space="0"/>
            </w:tcBorders>
            <w:noWrap w:val="0"/>
            <w:vAlign w:val="center"/>
          </w:tcPr>
          <w:p w14:paraId="7311D530">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防城区委员会宣传部</w:t>
            </w:r>
          </w:p>
        </w:tc>
        <w:tc>
          <w:tcPr>
            <w:tcW w:w="5098" w:type="dxa"/>
            <w:tcBorders>
              <w:top w:val="single" w:color="000000" w:sz="4" w:space="0"/>
              <w:left w:val="single" w:color="000000" w:sz="4" w:space="0"/>
              <w:bottom w:val="single" w:color="000000" w:sz="4" w:space="0"/>
              <w:right w:val="single" w:color="000000" w:sz="4" w:space="0"/>
            </w:tcBorders>
            <w:noWrap w:val="0"/>
            <w:vAlign w:val="center"/>
          </w:tcPr>
          <w:p w14:paraId="5F939C70">
            <w:pPr>
              <w:keepNext w:val="0"/>
              <w:keepLines w:val="0"/>
              <w:pageBreakBefore w:val="0"/>
              <w:widowControl/>
              <w:suppressLineNumbers w:val="0"/>
              <w:kinsoku/>
              <w:wordWrap/>
              <w:overflowPunct/>
              <w:topLinePunct w:val="0"/>
              <w:bidi w:val="0"/>
              <w:spacing w:line="36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防城之窗</w:t>
            </w:r>
          </w:p>
        </w:tc>
      </w:tr>
    </w:tbl>
    <w:p w14:paraId="0DE63EA3">
      <w:pPr>
        <w:pStyle w:val="32"/>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color w:val="auto"/>
          <w:sz w:val="28"/>
          <w:highlight w:val="none"/>
          <w:lang w:val="en-US"/>
        </w:rPr>
      </w:pPr>
      <w:bookmarkStart w:id="41" w:name="_Toc771033153_WPSOffice_Level1"/>
      <w:r>
        <w:rPr>
          <w:rFonts w:hint="default" w:ascii="宋体" w:hAnsi="宋体" w:eastAsia="宋体" w:cs="宋体"/>
          <w:b/>
          <w:bCs/>
          <w:color w:val="auto"/>
          <w:sz w:val="28"/>
          <w:highlight w:val="none"/>
          <w:lang w:val="en-US" w:eastAsia="zh-CN"/>
        </w:rPr>
        <w:t>（六）其他</w:t>
      </w:r>
    </w:p>
    <w:p w14:paraId="08B21898">
      <w:pPr>
        <w:keepNext w:val="0"/>
        <w:keepLines w:val="0"/>
        <w:pageBreakBefore w:val="0"/>
        <w:widowControl w:val="0"/>
        <w:kinsoku/>
        <w:wordWrap/>
        <w:overflowPunct/>
        <w:topLinePunct w:val="0"/>
        <w:bidi w:val="0"/>
        <w:snapToGrid/>
        <w:spacing w:line="360" w:lineRule="exact"/>
        <w:ind w:firstLine="420" w:firstLineChars="200"/>
        <w:jc w:val="both"/>
        <w:textAlignment w:val="auto"/>
        <w:rPr>
          <w:color w:val="auto"/>
          <w:highlight w:val="none"/>
        </w:rPr>
      </w:pPr>
      <w:r>
        <w:rPr>
          <w:rFonts w:hint="default" w:ascii="宋体" w:hAnsi="宋体" w:eastAsia="宋体" w:cs="宋体"/>
          <w:b w:val="0"/>
          <w:bCs w:val="0"/>
          <w:i w:val="0"/>
          <w:iCs w:val="0"/>
          <w:color w:val="auto"/>
          <w:kern w:val="2"/>
          <w:sz w:val="21"/>
          <w:szCs w:val="21"/>
          <w:highlight w:val="none"/>
          <w:vertAlign w:val="baseline"/>
          <w:lang w:val="en-US" w:eastAsia="zh-CN" w:bidi="ar-SA"/>
        </w:rPr>
        <w:t>1.接受政务云管理部门的政务云服务考核。按要求考核内容应包含但不限于云服务考核标准、故障处理考核标准、合同执行考核标准等。</w:t>
      </w:r>
    </w:p>
    <w:p w14:paraId="3DA29AD2">
      <w:pPr>
        <w:keepNext w:val="0"/>
        <w:keepLines w:val="0"/>
        <w:pageBreakBefore w:val="0"/>
        <w:widowControl w:val="0"/>
        <w:kinsoku/>
        <w:wordWrap/>
        <w:overflowPunct/>
        <w:topLinePunct w:val="0"/>
        <w:bidi w:val="0"/>
        <w:snapToGrid/>
        <w:spacing w:line="360" w:lineRule="exact"/>
        <w:ind w:firstLine="420" w:firstLineChars="200"/>
        <w:jc w:val="both"/>
        <w:textAlignment w:val="auto"/>
        <w:rPr>
          <w:color w:val="auto"/>
          <w:highlight w:val="none"/>
        </w:rPr>
      </w:pPr>
      <w:r>
        <w:rPr>
          <w:rFonts w:hint="default" w:ascii="宋体" w:hAnsi="宋体" w:eastAsia="宋体" w:cs="宋体"/>
          <w:b w:val="0"/>
          <w:bCs w:val="0"/>
          <w:i w:val="0"/>
          <w:iCs w:val="0"/>
          <w:color w:val="auto"/>
          <w:kern w:val="2"/>
          <w:sz w:val="21"/>
          <w:szCs w:val="21"/>
          <w:highlight w:val="none"/>
          <w:vertAlign w:val="baseline"/>
          <w:lang w:val="en-US" w:eastAsia="zh-CN" w:bidi="ar-SA"/>
        </w:rPr>
        <w:t>2.总体可靠性。提供的政务云软硬件设备需保障发生故障时不影响租户业务连续性，政务云平台整体可用性应不低于99.9%，数据可靠性应不低于99.9999%，保证政务云平台整体的业务连续性不低于99.9%。</w:t>
      </w:r>
    </w:p>
    <w:p w14:paraId="2B922D40">
      <w:pPr>
        <w:keepNext w:val="0"/>
        <w:keepLines w:val="0"/>
        <w:pageBreakBefore w:val="0"/>
        <w:widowControl w:val="0"/>
        <w:kinsoku/>
        <w:wordWrap/>
        <w:overflowPunct/>
        <w:topLinePunct w:val="0"/>
        <w:bidi w:val="0"/>
        <w:snapToGrid/>
        <w:spacing w:line="360" w:lineRule="exact"/>
        <w:ind w:firstLine="420" w:firstLineChars="200"/>
        <w:jc w:val="both"/>
        <w:textAlignment w:val="auto"/>
        <w:rPr>
          <w:color w:val="auto"/>
          <w:highlight w:val="none"/>
        </w:rPr>
      </w:pPr>
      <w:r>
        <w:rPr>
          <w:rFonts w:hint="default" w:ascii="宋体" w:hAnsi="宋体" w:eastAsia="宋体" w:cs="宋体"/>
          <w:b w:val="0"/>
          <w:bCs w:val="0"/>
          <w:i w:val="0"/>
          <w:iCs w:val="0"/>
          <w:color w:val="auto"/>
          <w:kern w:val="2"/>
          <w:sz w:val="21"/>
          <w:szCs w:val="21"/>
          <w:highlight w:val="none"/>
          <w:vertAlign w:val="baseline"/>
          <w:lang w:val="en-US" w:eastAsia="zh-CN" w:bidi="ar-SA"/>
        </w:rPr>
        <w:t>3.与多云共治平台对接。建设的政务云平台应按相应规范接入多云共治体系。云平台按要求开放监管所需的所有API接口，实现对云资源进行管理，各类资源的接口，实现与云平台资源池的对接，并实现对云服务平台资源池的管理。</w:t>
      </w:r>
    </w:p>
    <w:p w14:paraId="04DF58FF">
      <w:pPr>
        <w:keepNext w:val="0"/>
        <w:keepLines w:val="0"/>
        <w:pageBreakBefore w:val="0"/>
        <w:widowControl w:val="0"/>
        <w:kinsoku/>
        <w:wordWrap/>
        <w:overflowPunct/>
        <w:topLinePunct w:val="0"/>
        <w:bidi w:val="0"/>
        <w:snapToGrid/>
        <w:spacing w:line="360" w:lineRule="exact"/>
        <w:ind w:firstLine="420" w:firstLineChars="200"/>
        <w:jc w:val="both"/>
        <w:textAlignment w:val="auto"/>
        <w:rPr>
          <w:color w:val="auto"/>
          <w:highlight w:val="none"/>
        </w:rPr>
      </w:pPr>
      <w:r>
        <w:rPr>
          <w:rFonts w:hint="default" w:ascii="宋体" w:hAnsi="宋体" w:eastAsia="宋体" w:cs="宋体"/>
          <w:b w:val="0"/>
          <w:bCs w:val="0"/>
          <w:i w:val="0"/>
          <w:iCs w:val="0"/>
          <w:color w:val="auto"/>
          <w:kern w:val="2"/>
          <w:sz w:val="21"/>
          <w:szCs w:val="21"/>
          <w:highlight w:val="none"/>
          <w:vertAlign w:val="baseline"/>
          <w:lang w:val="en-US" w:eastAsia="zh-CN" w:bidi="ar-SA"/>
        </w:rPr>
        <w:t>4.提供应用部署服务。提供应用部署服务，包括但不限于部署设计服务、部署验证服务、部署实施服务。</w:t>
      </w:r>
    </w:p>
    <w:p w14:paraId="0D9CEE99">
      <w:pPr>
        <w:pStyle w:val="3"/>
        <w:keepNext w:val="0"/>
        <w:keepLines w:val="0"/>
        <w:pageBreakBefore w:val="0"/>
        <w:widowControl w:val="0"/>
        <w:tabs>
          <w:tab w:val="left" w:pos="0"/>
        </w:tabs>
        <w:kinsoku/>
        <w:wordWrap/>
        <w:overflowPunct/>
        <w:topLinePunct w:val="0"/>
        <w:autoSpaceDE w:val="0"/>
        <w:autoSpaceDN w:val="0"/>
        <w:bidi w:val="0"/>
        <w:adjustRightInd w:val="0"/>
        <w:snapToGrid/>
        <w:spacing w:before="0" w:beforeLines="0" w:after="0" w:afterLines="0" w:line="360" w:lineRule="exact"/>
        <w:ind w:firstLine="420" w:firstLineChars="200"/>
        <w:jc w:val="left"/>
        <w:textAlignment w:val="auto"/>
        <w:rPr>
          <w:rFonts w:hint="default"/>
          <w:lang w:val="en-US" w:eastAsia="zh-CN"/>
        </w:rPr>
      </w:pPr>
      <w:r>
        <w:rPr>
          <w:rFonts w:hint="default" w:ascii="宋体" w:hAnsi="宋体" w:eastAsia="宋体" w:cs="宋体"/>
          <w:b w:val="0"/>
          <w:bCs w:val="0"/>
          <w:i w:val="0"/>
          <w:iCs w:val="0"/>
          <w:color w:val="auto"/>
          <w:kern w:val="2"/>
          <w:sz w:val="21"/>
          <w:szCs w:val="21"/>
          <w:highlight w:val="none"/>
          <w:vertAlign w:val="baseline"/>
          <w:lang w:val="en-US" w:eastAsia="zh-CN" w:bidi="ar-SA"/>
        </w:rPr>
        <w:t>5.应提供政务云平台建设方案和与本项目相关的详尽的技术、实施、运维、应急等方案。建设方案内容包括但不限于支撑政务云平台运行的相关硬件、软件等关键设备和拓扑等</w:t>
      </w:r>
      <w:r>
        <w:rPr>
          <w:rFonts w:hint="eastAsia" w:ascii="宋体" w:hAnsi="宋体" w:eastAsia="宋体" w:cs="宋体"/>
          <w:b w:val="0"/>
          <w:bCs w:val="0"/>
          <w:i w:val="0"/>
          <w:iCs w:val="0"/>
          <w:color w:val="auto"/>
          <w:kern w:val="2"/>
          <w:sz w:val="21"/>
          <w:szCs w:val="21"/>
          <w:highlight w:val="none"/>
          <w:vertAlign w:val="baseline"/>
          <w:lang w:val="en-US" w:eastAsia="zh-CN" w:bidi="ar-SA"/>
        </w:rPr>
        <w:t>。</w:t>
      </w:r>
    </w:p>
    <w:p w14:paraId="481A17C7">
      <w:pPr>
        <w:pStyle w:val="3"/>
        <w:keepNext w:val="0"/>
        <w:keepLines w:val="0"/>
        <w:pageBreakBefore w:val="0"/>
        <w:widowControl w:val="0"/>
        <w:tabs>
          <w:tab w:val="left" w:pos="0"/>
        </w:tabs>
        <w:kinsoku/>
        <w:wordWrap/>
        <w:overflowPunct/>
        <w:topLinePunct w:val="0"/>
        <w:autoSpaceDE w:val="0"/>
        <w:autoSpaceDN w:val="0"/>
        <w:bidi w:val="0"/>
        <w:adjustRightInd w:val="0"/>
        <w:snapToGrid/>
        <w:spacing w:before="0" w:beforeLines="0" w:after="0" w:afterLines="0" w:line="480" w:lineRule="auto"/>
        <w:ind w:firstLine="643" w:firstLineChars="200"/>
        <w:jc w:val="left"/>
        <w:textAlignment w:val="auto"/>
        <w:rPr>
          <w:rFonts w:hint="default" w:ascii="宋体" w:hAnsi="宋体" w:eastAsia="宋体" w:cs="宋体"/>
          <w:color w:val="auto"/>
          <w:sz w:val="32"/>
          <w:szCs w:val="32"/>
          <w:highlight w:val="none"/>
          <w:lang w:val="en-US" w:eastAsia="zh-CN"/>
        </w:rPr>
      </w:pPr>
      <w:bookmarkStart w:id="42" w:name="_Toc692387611_WPSOffice_Level1"/>
      <w:r>
        <w:rPr>
          <w:rFonts w:hint="eastAsia" w:ascii="宋体" w:hAnsi="宋体" w:eastAsia="宋体" w:cs="宋体"/>
          <w:color w:val="auto"/>
          <w:sz w:val="32"/>
          <w:szCs w:val="32"/>
          <w:highlight w:val="none"/>
          <w:lang w:val="en-US" w:eastAsia="zh-CN"/>
        </w:rPr>
        <w:t>三、商务要求</w:t>
      </w:r>
      <w:bookmarkEnd w:id="41"/>
      <w:bookmarkEnd w:id="42"/>
    </w:p>
    <w:p w14:paraId="0A0CFDD9">
      <w:pPr>
        <w:keepNext w:val="0"/>
        <w:keepLines w:val="0"/>
        <w:pageBreakBefore w:val="0"/>
        <w:widowControl w:val="0"/>
        <w:kinsoku/>
        <w:wordWrap/>
        <w:overflowPunct/>
        <w:topLinePunct w:val="0"/>
        <w:autoSpaceDE/>
        <w:autoSpaceDN/>
        <w:bidi w:val="0"/>
        <w:adjustRightInd/>
        <w:spacing w:line="360" w:lineRule="exact"/>
        <w:ind w:firstLine="422" w:firstLineChars="200"/>
        <w:textAlignment w:val="auto"/>
        <w:outlineLvl w:val="2"/>
        <w:rPr>
          <w:rFonts w:hint="eastAsia" w:ascii="宋体" w:hAnsi="宋体" w:eastAsia="宋体" w:cs="宋体"/>
          <w:b/>
          <w:color w:val="auto"/>
          <w:sz w:val="21"/>
          <w:highlight w:val="none"/>
          <w:lang w:val="zh-CN"/>
        </w:rPr>
      </w:pPr>
      <w:bookmarkStart w:id="43" w:name="_Toc1787096614_WPSOffice_Level2"/>
      <w:bookmarkStart w:id="44" w:name="_Toc713933450_WPSOffice_Level2"/>
      <w:r>
        <w:rPr>
          <w:rFonts w:hint="eastAsia" w:ascii="宋体" w:hAnsi="宋体" w:eastAsia="宋体" w:cs="宋体"/>
          <w:b/>
          <w:color w:val="auto"/>
          <w:sz w:val="21"/>
          <w:highlight w:val="none"/>
          <w:lang w:val="zh-CN"/>
        </w:rPr>
        <w:t>（</w:t>
      </w:r>
      <w:r>
        <w:rPr>
          <w:rFonts w:hint="eastAsia" w:ascii="宋体" w:hAnsi="宋体" w:eastAsia="宋体" w:cs="宋体"/>
          <w:b/>
          <w:color w:val="auto"/>
          <w:sz w:val="21"/>
          <w:highlight w:val="none"/>
          <w:lang w:val="en-US" w:eastAsia="zh-CN"/>
        </w:rPr>
        <w:t>一</w:t>
      </w:r>
      <w:r>
        <w:rPr>
          <w:rFonts w:hint="eastAsia" w:ascii="宋体" w:hAnsi="宋体" w:eastAsia="宋体" w:cs="宋体"/>
          <w:b/>
          <w:color w:val="auto"/>
          <w:sz w:val="21"/>
          <w:highlight w:val="none"/>
          <w:lang w:val="zh-CN"/>
        </w:rPr>
        <w:t>）合同签订期限</w:t>
      </w:r>
      <w:bookmarkEnd w:id="43"/>
      <w:bookmarkEnd w:id="44"/>
    </w:p>
    <w:p w14:paraId="52971462">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highlight w:val="none"/>
          <w:lang w:val="zh-CN"/>
        </w:rPr>
      </w:pPr>
      <w:r>
        <w:rPr>
          <w:rFonts w:hint="eastAsia" w:ascii="宋体" w:hAnsi="宋体" w:eastAsia="宋体" w:cs="宋体"/>
          <w:color w:val="auto"/>
          <w:sz w:val="21"/>
          <w:highlight w:val="none"/>
          <w:lang w:val="zh-CN"/>
        </w:rPr>
        <w:t>自中标通知书发出之日起，</w:t>
      </w:r>
      <w:r>
        <w:rPr>
          <w:rFonts w:hint="eastAsia" w:ascii="宋体" w:hAnsi="宋体" w:eastAsia="宋体" w:cs="宋体"/>
          <w:color w:val="auto"/>
          <w:sz w:val="21"/>
          <w:highlight w:val="none"/>
          <w:lang w:val="en-US" w:eastAsia="zh-CN"/>
        </w:rPr>
        <w:t>25</w:t>
      </w:r>
      <w:r>
        <w:rPr>
          <w:rFonts w:hint="eastAsia" w:ascii="宋体" w:hAnsi="宋体" w:eastAsia="宋体" w:cs="宋体"/>
          <w:color w:val="auto"/>
          <w:sz w:val="21"/>
          <w:highlight w:val="none"/>
          <w:lang w:val="zh-CN"/>
        </w:rPr>
        <w:t>个自然</w:t>
      </w:r>
      <w:r>
        <w:rPr>
          <w:rFonts w:hint="eastAsia" w:ascii="宋体" w:hAnsi="宋体" w:eastAsia="宋体" w:cs="宋体"/>
          <w:color w:val="auto"/>
          <w:sz w:val="21"/>
          <w:highlight w:val="none"/>
          <w:lang w:val="en" w:eastAsia="zh-CN"/>
        </w:rPr>
        <w:t>天</w:t>
      </w:r>
      <w:r>
        <w:rPr>
          <w:rFonts w:hint="eastAsia" w:ascii="宋体" w:hAnsi="宋体" w:eastAsia="宋体" w:cs="宋体"/>
          <w:color w:val="auto"/>
          <w:sz w:val="21"/>
          <w:highlight w:val="none"/>
          <w:lang w:val="zh-CN"/>
        </w:rPr>
        <w:t>内签订。</w:t>
      </w:r>
    </w:p>
    <w:p w14:paraId="7372A9EF">
      <w:pPr>
        <w:pStyle w:val="32"/>
        <w:keepNext w:val="0"/>
        <w:keepLines w:val="0"/>
        <w:pageBreakBefore w:val="0"/>
        <w:widowControl w:val="0"/>
        <w:kinsoku/>
        <w:wordWrap/>
        <w:overflowPunct/>
        <w:topLinePunct w:val="0"/>
        <w:autoSpaceDE/>
        <w:autoSpaceDN/>
        <w:bidi w:val="0"/>
        <w:adjustRightInd/>
        <w:spacing w:line="360" w:lineRule="exact"/>
        <w:ind w:firstLine="422" w:firstLineChars="200"/>
        <w:textAlignment w:val="auto"/>
        <w:outlineLvl w:val="2"/>
        <w:rPr>
          <w:rFonts w:hint="eastAsia" w:eastAsia="宋体" w:cs="宋体"/>
          <w:b/>
          <w:color w:val="auto"/>
          <w:sz w:val="21"/>
          <w:szCs w:val="24"/>
          <w:highlight w:val="none"/>
        </w:rPr>
      </w:pPr>
      <w:bookmarkStart w:id="45" w:name="_Toc724712736_WPSOffice_Level2"/>
      <w:bookmarkStart w:id="46" w:name="_Toc1990984586_WPSOffice_Level2"/>
      <w:r>
        <w:rPr>
          <w:rFonts w:hint="eastAsia" w:ascii="宋体" w:hAnsi="宋体" w:eastAsia="宋体" w:cs="宋体"/>
          <w:b/>
          <w:color w:val="auto"/>
          <w:sz w:val="21"/>
          <w:highlight w:val="none"/>
          <w:lang w:val="zh-CN"/>
        </w:rPr>
        <w:t>（</w:t>
      </w:r>
      <w:r>
        <w:rPr>
          <w:rFonts w:hint="eastAsia" w:eastAsia="宋体" w:cs="宋体"/>
          <w:b/>
          <w:color w:val="auto"/>
          <w:sz w:val="21"/>
          <w:highlight w:val="none"/>
          <w:lang w:val="en-US" w:eastAsia="zh-CN"/>
        </w:rPr>
        <w:t>二</w:t>
      </w:r>
      <w:r>
        <w:rPr>
          <w:rFonts w:hint="eastAsia" w:ascii="宋体" w:hAnsi="宋体" w:eastAsia="宋体" w:cs="宋体"/>
          <w:b/>
          <w:color w:val="auto"/>
          <w:sz w:val="21"/>
          <w:highlight w:val="none"/>
          <w:lang w:val="zh-CN"/>
        </w:rPr>
        <w:t>）</w:t>
      </w:r>
      <w:r>
        <w:rPr>
          <w:rFonts w:hint="eastAsia" w:eastAsia="宋体" w:cs="宋体"/>
          <w:b/>
          <w:color w:val="auto"/>
          <w:sz w:val="21"/>
          <w:szCs w:val="24"/>
          <w:highlight w:val="none"/>
        </w:rPr>
        <w:t>合同履行期限</w:t>
      </w:r>
      <w:bookmarkEnd w:id="45"/>
      <w:bookmarkEnd w:id="46"/>
    </w:p>
    <w:p w14:paraId="5EA62CF8">
      <w:pPr>
        <w:pStyle w:val="32"/>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eastAsia="宋体" w:cs="宋体"/>
          <w:color w:val="auto"/>
          <w:sz w:val="21"/>
          <w:szCs w:val="24"/>
          <w:highlight w:val="none"/>
          <w:lang w:eastAsia="zh-CN"/>
        </w:rPr>
      </w:pPr>
      <w:r>
        <w:rPr>
          <w:rFonts w:hint="eastAsia" w:eastAsia="宋体" w:cs="宋体"/>
          <w:b w:val="0"/>
          <w:bCs/>
          <w:color w:val="auto"/>
          <w:sz w:val="21"/>
          <w:szCs w:val="24"/>
          <w:highlight w:val="none"/>
        </w:rPr>
        <w:t>合同履行期限自合同签订生效之日起计算</w:t>
      </w:r>
      <w:r>
        <w:rPr>
          <w:rFonts w:hint="eastAsia" w:eastAsia="宋体" w:cs="宋体"/>
          <w:b w:val="0"/>
          <w:bCs/>
          <w:color w:val="auto"/>
          <w:sz w:val="21"/>
          <w:szCs w:val="24"/>
          <w:highlight w:val="none"/>
          <w:lang w:eastAsia="zh-CN"/>
        </w:rPr>
        <w:t>。</w:t>
      </w:r>
    </w:p>
    <w:p w14:paraId="10A709DE">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outlineLvl w:val="2"/>
        <w:rPr>
          <w:rFonts w:hint="eastAsia" w:ascii="宋体" w:hAnsi="宋体" w:eastAsia="宋体" w:cs="宋体"/>
          <w:color w:val="auto"/>
          <w:sz w:val="21"/>
          <w:highlight w:val="none"/>
          <w:lang w:val="zh-CN"/>
        </w:rPr>
      </w:pPr>
      <w:bookmarkStart w:id="47" w:name="_Toc782973210_WPSOffice_Level2"/>
      <w:bookmarkStart w:id="48" w:name="_Toc1840565699_WPSOffice_Level2"/>
      <w:r>
        <w:rPr>
          <w:rFonts w:hint="eastAsia" w:ascii="宋体" w:hAnsi="宋体" w:eastAsia="宋体" w:cs="宋体"/>
          <w:b/>
          <w:color w:val="auto"/>
          <w:sz w:val="21"/>
          <w:highlight w:val="none"/>
          <w:lang w:val="zh-CN"/>
        </w:rPr>
        <w:t>（</w:t>
      </w:r>
      <w:r>
        <w:rPr>
          <w:rFonts w:hint="eastAsia" w:ascii="宋体" w:hAnsi="宋体" w:eastAsia="宋体" w:cs="宋体"/>
          <w:b/>
          <w:color w:val="auto"/>
          <w:sz w:val="21"/>
          <w:highlight w:val="none"/>
          <w:lang w:val="en-US" w:eastAsia="zh-CN"/>
        </w:rPr>
        <w:t>三</w:t>
      </w:r>
      <w:r>
        <w:rPr>
          <w:rFonts w:hint="eastAsia" w:ascii="宋体" w:hAnsi="宋体" w:eastAsia="宋体" w:cs="宋体"/>
          <w:b/>
          <w:color w:val="auto"/>
          <w:sz w:val="21"/>
          <w:highlight w:val="none"/>
          <w:lang w:val="zh-CN"/>
        </w:rPr>
        <w:t>）</w:t>
      </w:r>
      <w:r>
        <w:rPr>
          <w:rFonts w:hint="eastAsia" w:ascii="宋体" w:hAnsi="宋体" w:eastAsia="宋体" w:cs="宋体"/>
          <w:b/>
          <w:color w:val="auto"/>
          <w:sz w:val="21"/>
          <w:highlight w:val="none"/>
        </w:rPr>
        <w:t>付款方式及进度</w:t>
      </w:r>
      <w:bookmarkEnd w:id="47"/>
      <w:bookmarkEnd w:id="48"/>
    </w:p>
    <w:p w14:paraId="6CB99DD8">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本项目服务期2年，签订2年期服务采购合同，具体服务采购合同按政府采购相关管理文件要求签订,该项目由市本级统一采购。签订合同后支付30%预付款；完成相应迁移工作且通过初验后支付50%；于项目服务期届满前完成服务考评，且在服务期结束后项目通过终验的，支付剩余20%款项。以上款项由市本级和各县（市、区）使用单位根据云资源实际使用情况及考核自行支付费用，不由市本级统一支付费用。</w:t>
      </w:r>
    </w:p>
    <w:p w14:paraId="79E227EE">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lang w:val="zh-CN"/>
        </w:rPr>
        <w:t>以上所有付款采购人在收到投标人出具的有效发票后</w:t>
      </w:r>
      <w:r>
        <w:rPr>
          <w:rFonts w:hint="eastAsia" w:ascii="宋体" w:hAnsi="宋体" w:eastAsia="宋体" w:cs="宋体"/>
          <w:color w:val="auto"/>
          <w:sz w:val="21"/>
          <w:highlight w:val="none"/>
          <w:lang w:val="en-US" w:eastAsia="zh-CN"/>
        </w:rPr>
        <w:t>15</w:t>
      </w:r>
      <w:r>
        <w:rPr>
          <w:rFonts w:hint="eastAsia" w:ascii="宋体" w:hAnsi="宋体" w:eastAsia="宋体" w:cs="宋体"/>
          <w:color w:val="auto"/>
          <w:sz w:val="21"/>
          <w:highlight w:val="none"/>
          <w:lang w:val="zh-CN"/>
        </w:rPr>
        <w:t>个工作日内付款。</w:t>
      </w:r>
    </w:p>
    <w:p w14:paraId="0DBDD6D8">
      <w:pPr>
        <w:pStyle w:val="32"/>
        <w:keepNext w:val="0"/>
        <w:keepLines w:val="0"/>
        <w:pageBreakBefore w:val="0"/>
        <w:widowControl w:val="0"/>
        <w:kinsoku/>
        <w:wordWrap/>
        <w:overflowPunct/>
        <w:topLinePunct w:val="0"/>
        <w:autoSpaceDE/>
        <w:autoSpaceDN/>
        <w:bidi w:val="0"/>
        <w:adjustRightInd/>
        <w:spacing w:line="360" w:lineRule="exact"/>
        <w:ind w:firstLine="422" w:firstLineChars="200"/>
        <w:textAlignment w:val="auto"/>
        <w:outlineLvl w:val="2"/>
        <w:rPr>
          <w:rFonts w:hint="eastAsia" w:eastAsia="宋体" w:cs="宋体"/>
          <w:b/>
          <w:color w:val="auto"/>
          <w:sz w:val="21"/>
          <w:szCs w:val="24"/>
          <w:highlight w:val="none"/>
        </w:rPr>
      </w:pPr>
      <w:bookmarkStart w:id="49" w:name="_Toc1529514755_WPSOffice_Level2"/>
      <w:bookmarkStart w:id="50" w:name="_Toc981426337_WPSOffice_Level2"/>
      <w:r>
        <w:rPr>
          <w:rFonts w:hint="eastAsia" w:ascii="宋体" w:hAnsi="宋体" w:eastAsia="宋体" w:cs="宋体"/>
          <w:b/>
          <w:color w:val="auto"/>
          <w:sz w:val="21"/>
          <w:highlight w:val="none"/>
          <w:lang w:val="zh-CN"/>
        </w:rPr>
        <w:t>（</w:t>
      </w:r>
      <w:r>
        <w:rPr>
          <w:rFonts w:hint="eastAsia" w:eastAsia="宋体" w:cs="宋体"/>
          <w:b/>
          <w:color w:val="auto"/>
          <w:sz w:val="21"/>
          <w:highlight w:val="none"/>
          <w:lang w:val="en-US" w:eastAsia="zh-CN"/>
        </w:rPr>
        <w:t>四</w:t>
      </w:r>
      <w:r>
        <w:rPr>
          <w:rFonts w:hint="eastAsia" w:ascii="宋体" w:hAnsi="宋体" w:eastAsia="宋体" w:cs="宋体"/>
          <w:b/>
          <w:color w:val="auto"/>
          <w:sz w:val="21"/>
          <w:highlight w:val="none"/>
          <w:lang w:val="zh-CN"/>
        </w:rPr>
        <w:t>）</w:t>
      </w:r>
      <w:r>
        <w:rPr>
          <w:rFonts w:hint="eastAsia" w:eastAsia="宋体" w:cs="宋体"/>
          <w:b/>
          <w:color w:val="auto"/>
          <w:sz w:val="21"/>
          <w:szCs w:val="24"/>
          <w:highlight w:val="none"/>
        </w:rPr>
        <w:t>服务地点</w:t>
      </w:r>
      <w:bookmarkEnd w:id="49"/>
      <w:bookmarkEnd w:id="50"/>
    </w:p>
    <w:p w14:paraId="044861E7">
      <w:pPr>
        <w:pStyle w:val="32"/>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eastAsia="宋体" w:cs="宋体"/>
          <w:color w:val="auto"/>
          <w:sz w:val="21"/>
          <w:szCs w:val="24"/>
          <w:highlight w:val="none"/>
          <w:lang w:eastAsia="zh-CN"/>
        </w:rPr>
      </w:pPr>
      <w:r>
        <w:rPr>
          <w:rFonts w:hint="eastAsia" w:eastAsia="宋体" w:cs="宋体"/>
          <w:color w:val="auto"/>
          <w:sz w:val="21"/>
          <w:szCs w:val="24"/>
          <w:highlight w:val="none"/>
          <w:lang w:val="en-US"/>
        </w:rPr>
        <w:t>防城港市</w:t>
      </w:r>
      <w:r>
        <w:rPr>
          <w:rFonts w:hint="eastAsia" w:eastAsia="宋体" w:cs="宋体"/>
          <w:color w:val="auto"/>
          <w:sz w:val="21"/>
          <w:szCs w:val="24"/>
          <w:highlight w:val="none"/>
          <w:lang w:val="en-US" w:eastAsia="zh-CN"/>
        </w:rPr>
        <w:t>。</w:t>
      </w:r>
    </w:p>
    <w:p w14:paraId="3BC4325F">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outlineLvl w:val="2"/>
        <w:rPr>
          <w:rFonts w:hint="eastAsia" w:ascii="宋体" w:hAnsi="宋体" w:eastAsia="宋体" w:cs="宋体"/>
          <w:b/>
          <w:color w:val="auto"/>
          <w:sz w:val="21"/>
          <w:highlight w:val="none"/>
        </w:rPr>
      </w:pPr>
      <w:bookmarkStart w:id="51" w:name="_Toc762848806_WPSOffice_Level2"/>
      <w:bookmarkStart w:id="52" w:name="_Toc1578674336_WPSOffice_Level2"/>
      <w:r>
        <w:rPr>
          <w:rFonts w:hint="eastAsia" w:ascii="宋体" w:hAnsi="宋体" w:eastAsia="宋体" w:cs="宋体"/>
          <w:b/>
          <w:color w:val="auto"/>
          <w:sz w:val="21"/>
          <w:highlight w:val="none"/>
          <w:lang w:val="zh-CN"/>
        </w:rPr>
        <w:t>（</w:t>
      </w:r>
      <w:r>
        <w:rPr>
          <w:rFonts w:hint="eastAsia" w:ascii="宋体" w:hAnsi="宋体" w:eastAsia="宋体" w:cs="宋体"/>
          <w:b/>
          <w:color w:val="auto"/>
          <w:sz w:val="21"/>
          <w:highlight w:val="none"/>
          <w:lang w:val="en-US" w:eastAsia="zh-CN"/>
        </w:rPr>
        <w:t>五</w:t>
      </w:r>
      <w:r>
        <w:rPr>
          <w:rFonts w:hint="eastAsia" w:ascii="宋体" w:hAnsi="宋体" w:eastAsia="宋体" w:cs="宋体"/>
          <w:b/>
          <w:color w:val="auto"/>
          <w:sz w:val="21"/>
          <w:highlight w:val="none"/>
          <w:lang w:val="zh-CN"/>
        </w:rPr>
        <w:t>）</w:t>
      </w:r>
      <w:r>
        <w:rPr>
          <w:rFonts w:hint="eastAsia" w:ascii="宋体" w:hAnsi="宋体" w:eastAsia="宋体" w:cs="宋体"/>
          <w:b/>
          <w:color w:val="auto"/>
          <w:sz w:val="21"/>
          <w:highlight w:val="none"/>
        </w:rPr>
        <w:t>履约要求</w:t>
      </w:r>
      <w:bookmarkEnd w:id="51"/>
      <w:bookmarkEnd w:id="52"/>
    </w:p>
    <w:p w14:paraId="14B53DFC">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ascii="方正仿宋_GB2312" w:hAnsi="方正仿宋_GB2312" w:eastAsia="宋体" w:cs="方正仿宋_GB2312"/>
          <w:bCs/>
          <w:color w:val="auto"/>
          <w:sz w:val="21"/>
          <w:szCs w:val="28"/>
          <w:highlight w:val="none"/>
        </w:rPr>
      </w:pPr>
      <w:r>
        <w:rPr>
          <w:rFonts w:hint="eastAsia" w:ascii="宋体" w:hAnsi="宋体" w:eastAsia="宋体" w:cs="宋体"/>
          <w:color w:val="auto"/>
          <w:sz w:val="21"/>
          <w:highlight w:val="none"/>
          <w:lang w:val="zh-CN"/>
        </w:rPr>
        <w:t>本项目履约保证金按合同金额比例计取，一般企业缴纳比例为5%，中小企业缴纳比例为2%。履约保证金待合同履行完毕、项目验收合格后5个工作日内，按规定办理无息退还手续。</w:t>
      </w:r>
      <w:r>
        <w:rPr>
          <w:rFonts w:hint="eastAsia" w:ascii="宋体" w:hAnsi="宋体" w:eastAsia="宋体" w:cs="宋体"/>
          <w:color w:val="auto"/>
          <w:sz w:val="21"/>
          <w:highlight w:val="none"/>
          <w:lang w:val="en-US" w:eastAsia="zh-CN"/>
        </w:rPr>
        <w:t>中标人</w:t>
      </w:r>
      <w:r>
        <w:rPr>
          <w:rFonts w:hint="eastAsia" w:ascii="宋体" w:hAnsi="宋体" w:eastAsia="宋体" w:cs="宋体"/>
          <w:color w:val="auto"/>
          <w:sz w:val="21"/>
          <w:highlight w:val="none"/>
          <w:lang w:val="zh-CN"/>
        </w:rPr>
        <w:t>未按照投标承诺及本合同约定履行义务的，除扣除50%履约保证金外，</w:t>
      </w:r>
      <w:r>
        <w:rPr>
          <w:rFonts w:hint="eastAsia" w:ascii="宋体" w:hAnsi="宋体" w:eastAsia="宋体" w:cs="宋体"/>
          <w:color w:val="auto"/>
          <w:sz w:val="21"/>
          <w:highlight w:val="none"/>
          <w:lang w:val="en-US" w:eastAsia="zh-CN"/>
        </w:rPr>
        <w:t>采购人</w:t>
      </w:r>
      <w:r>
        <w:rPr>
          <w:rFonts w:hint="eastAsia" w:ascii="宋体" w:hAnsi="宋体" w:eastAsia="宋体" w:cs="宋体"/>
          <w:color w:val="auto"/>
          <w:sz w:val="21"/>
          <w:highlight w:val="none"/>
          <w:lang w:val="zh-CN"/>
        </w:rPr>
        <w:t>有权依据合同约定及相关法律法规，另行追究</w:t>
      </w:r>
      <w:r>
        <w:rPr>
          <w:rFonts w:hint="eastAsia" w:ascii="宋体" w:hAnsi="宋体" w:eastAsia="宋体" w:cs="宋体"/>
          <w:color w:val="auto"/>
          <w:sz w:val="21"/>
          <w:highlight w:val="none"/>
          <w:lang w:val="en-US" w:eastAsia="zh-CN"/>
        </w:rPr>
        <w:t>中标人</w:t>
      </w:r>
      <w:r>
        <w:rPr>
          <w:rFonts w:hint="eastAsia" w:ascii="宋体" w:hAnsi="宋体" w:eastAsia="宋体" w:cs="宋体"/>
          <w:color w:val="auto"/>
          <w:sz w:val="21"/>
          <w:highlight w:val="none"/>
          <w:lang w:val="zh-CN"/>
        </w:rPr>
        <w:t>违约责任，由此造成的全部损失由</w:t>
      </w:r>
      <w:r>
        <w:rPr>
          <w:rFonts w:hint="eastAsia" w:ascii="宋体" w:hAnsi="宋体" w:eastAsia="宋体" w:cs="宋体"/>
          <w:color w:val="auto"/>
          <w:sz w:val="21"/>
          <w:highlight w:val="none"/>
          <w:lang w:val="en-US" w:eastAsia="zh-CN"/>
        </w:rPr>
        <w:t>中标人</w:t>
      </w:r>
      <w:r>
        <w:rPr>
          <w:rFonts w:hint="eastAsia" w:ascii="宋体" w:hAnsi="宋体" w:eastAsia="宋体" w:cs="宋体"/>
          <w:color w:val="auto"/>
          <w:sz w:val="21"/>
          <w:highlight w:val="none"/>
          <w:lang w:val="zh-CN"/>
        </w:rPr>
        <w:t>自行承担。</w:t>
      </w:r>
    </w:p>
    <w:p w14:paraId="350C4BB7">
      <w:pPr>
        <w:keepNext w:val="0"/>
        <w:keepLines w:val="0"/>
        <w:pageBreakBefore w:val="0"/>
        <w:widowControl w:val="0"/>
        <w:kinsoku/>
        <w:wordWrap/>
        <w:overflowPunct/>
        <w:topLinePunct w:val="0"/>
        <w:autoSpaceDE/>
        <w:autoSpaceDN/>
        <w:bidi w:val="0"/>
        <w:adjustRightInd/>
        <w:spacing w:line="360" w:lineRule="exact"/>
        <w:ind w:firstLine="422" w:firstLineChars="200"/>
        <w:textAlignment w:val="auto"/>
        <w:outlineLvl w:val="2"/>
        <w:rPr>
          <w:rFonts w:hint="eastAsia" w:ascii="宋体" w:hAnsi="宋体" w:eastAsia="宋体" w:cs="宋体"/>
          <w:b w:val="0"/>
          <w:bCs/>
          <w:color w:val="auto"/>
          <w:sz w:val="21"/>
          <w:highlight w:val="none"/>
          <w:lang w:val="zh-CN"/>
        </w:rPr>
      </w:pPr>
      <w:bookmarkStart w:id="53" w:name="_Toc1480828490_WPSOffice_Level2"/>
      <w:bookmarkStart w:id="54" w:name="_Toc106742104_WPSOffice_Level2"/>
      <w:r>
        <w:rPr>
          <w:rFonts w:hint="eastAsia" w:ascii="宋体" w:hAnsi="宋体" w:eastAsia="宋体" w:cs="宋体"/>
          <w:b/>
          <w:color w:val="auto"/>
          <w:sz w:val="21"/>
          <w:highlight w:val="none"/>
          <w:lang w:val="zh-CN"/>
        </w:rPr>
        <w:t>（</w:t>
      </w:r>
      <w:r>
        <w:rPr>
          <w:rFonts w:hint="eastAsia" w:eastAsia="宋体" w:cs="宋体"/>
          <w:b/>
          <w:color w:val="auto"/>
          <w:sz w:val="21"/>
          <w:highlight w:val="none"/>
          <w:lang w:val="en-US" w:eastAsia="zh-CN"/>
        </w:rPr>
        <w:t>六</w:t>
      </w:r>
      <w:r>
        <w:rPr>
          <w:rFonts w:hint="eastAsia" w:ascii="宋体" w:hAnsi="宋体" w:eastAsia="宋体" w:cs="宋体"/>
          <w:b/>
          <w:color w:val="auto"/>
          <w:sz w:val="21"/>
          <w:highlight w:val="none"/>
          <w:lang w:val="zh-CN"/>
        </w:rPr>
        <w:t>）</w:t>
      </w:r>
      <w:r>
        <w:rPr>
          <w:rFonts w:hint="eastAsia" w:ascii="宋体" w:hAnsi="宋体" w:eastAsia="宋体" w:cs="宋体"/>
          <w:b/>
          <w:color w:val="auto"/>
          <w:sz w:val="21"/>
          <w:highlight w:val="none"/>
          <w:lang w:val="en-US" w:eastAsia="zh-CN"/>
        </w:rPr>
        <w:t>售后</w:t>
      </w:r>
      <w:r>
        <w:rPr>
          <w:rFonts w:hint="eastAsia" w:ascii="宋体" w:hAnsi="宋体" w:eastAsia="宋体" w:cs="宋体"/>
          <w:b/>
          <w:color w:val="auto"/>
          <w:sz w:val="21"/>
          <w:highlight w:val="none"/>
          <w:lang w:val="zh-CN"/>
        </w:rPr>
        <w:t>服务</w:t>
      </w:r>
      <w:bookmarkEnd w:id="53"/>
      <w:bookmarkEnd w:id="54"/>
    </w:p>
    <w:p w14:paraId="74F8AF35">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1.中标人在服务期内</w:t>
      </w:r>
      <w:r>
        <w:rPr>
          <w:rFonts w:hint="eastAsia" w:ascii="宋体" w:hAnsi="宋体" w:eastAsia="宋体" w:cs="宋体"/>
          <w:color w:val="auto"/>
          <w:sz w:val="21"/>
          <w:highlight w:val="none"/>
          <w:lang w:eastAsia="zh-CN"/>
        </w:rPr>
        <w:t>须提供</w:t>
      </w:r>
      <w:r>
        <w:rPr>
          <w:rFonts w:hint="eastAsia" w:ascii="宋体" w:hAnsi="宋体" w:eastAsia="宋体" w:cs="宋体"/>
          <w:color w:val="auto"/>
          <w:sz w:val="21"/>
          <w:highlight w:val="none"/>
          <w:lang w:val="en-US" w:eastAsia="zh-CN"/>
        </w:rPr>
        <w:t>7</w:t>
      </w:r>
      <w:r>
        <w:rPr>
          <w:rFonts w:hint="eastAsia" w:ascii="汉仪细圆B5" w:hAnsi="汉仪细圆B5" w:eastAsia="汉仪细圆B5" w:cs="汉仪细圆B5"/>
          <w:color w:val="auto"/>
          <w:sz w:val="21"/>
          <w:highlight w:val="none"/>
          <w:lang w:val="en-US" w:eastAsia="zh-CN"/>
        </w:rPr>
        <w:t>×</w:t>
      </w:r>
      <w:r>
        <w:rPr>
          <w:rFonts w:hint="eastAsia" w:ascii="宋体" w:hAnsi="宋体" w:eastAsia="宋体" w:cs="宋体"/>
          <w:color w:val="auto"/>
          <w:sz w:val="21"/>
          <w:highlight w:val="none"/>
          <w:lang w:val="en-US" w:eastAsia="zh-CN"/>
        </w:rPr>
        <w:t>24</w:t>
      </w:r>
      <w:r>
        <w:rPr>
          <w:rFonts w:hint="eastAsia" w:ascii="宋体" w:hAnsi="宋体" w:eastAsia="宋体" w:cs="宋体"/>
          <w:color w:val="auto"/>
          <w:sz w:val="21"/>
          <w:highlight w:val="none"/>
        </w:rPr>
        <w:t>故障即时</w:t>
      </w:r>
      <w:r>
        <w:rPr>
          <w:rFonts w:hint="eastAsia" w:ascii="宋体" w:hAnsi="宋体" w:eastAsia="宋体" w:cs="宋体"/>
          <w:color w:val="auto"/>
          <w:sz w:val="21"/>
          <w:highlight w:val="none"/>
          <w:lang w:eastAsia="zh-CN"/>
        </w:rPr>
        <w:t>响应服务</w:t>
      </w:r>
      <w:r>
        <w:rPr>
          <w:rFonts w:hint="eastAsia" w:ascii="宋体" w:hAnsi="宋体" w:eastAsia="宋体" w:cs="宋体"/>
          <w:color w:val="auto"/>
          <w:sz w:val="21"/>
          <w:highlight w:val="none"/>
        </w:rPr>
        <w:t>，要求故障定位响应时间≤</w:t>
      </w:r>
      <w:r>
        <w:rPr>
          <w:rFonts w:hint="eastAsia" w:ascii="宋体" w:hAnsi="宋体" w:eastAsia="宋体" w:cs="宋体"/>
          <w:color w:val="auto"/>
          <w:sz w:val="21"/>
          <w:highlight w:val="none"/>
          <w:lang w:val="en-US" w:eastAsia="zh-CN"/>
        </w:rPr>
        <w:t>2</w:t>
      </w:r>
      <w:r>
        <w:rPr>
          <w:rFonts w:hint="eastAsia" w:ascii="宋体" w:hAnsi="宋体" w:eastAsia="宋体" w:cs="宋体"/>
          <w:color w:val="auto"/>
          <w:sz w:val="21"/>
          <w:highlight w:val="none"/>
        </w:rPr>
        <w:t>小时，并及时</w:t>
      </w:r>
      <w:r>
        <w:rPr>
          <w:rFonts w:hint="eastAsia" w:ascii="宋体" w:hAnsi="宋体" w:eastAsia="宋体" w:cs="宋体"/>
          <w:color w:val="auto"/>
          <w:sz w:val="21"/>
          <w:highlight w:val="none"/>
          <w:lang w:eastAsia="zh-CN"/>
        </w:rPr>
        <w:t>出具有效处理</w:t>
      </w:r>
      <w:r>
        <w:rPr>
          <w:rFonts w:hint="eastAsia" w:ascii="宋体" w:hAnsi="宋体" w:eastAsia="宋体" w:cs="宋体"/>
          <w:color w:val="auto"/>
          <w:sz w:val="21"/>
          <w:highlight w:val="none"/>
        </w:rPr>
        <w:t>方案</w:t>
      </w:r>
      <w:r>
        <w:rPr>
          <w:rFonts w:hint="eastAsia" w:ascii="宋体" w:hAnsi="宋体" w:eastAsia="宋体" w:cs="宋体"/>
          <w:color w:val="auto"/>
          <w:sz w:val="21"/>
          <w:highlight w:val="none"/>
          <w:lang w:eastAsia="zh-CN"/>
        </w:rPr>
        <w:t>，</w:t>
      </w:r>
      <w:r>
        <w:rPr>
          <w:rFonts w:hint="eastAsia"/>
          <w:color w:val="auto"/>
          <w:highlight w:val="none"/>
          <w:lang w:val="en-US" w:eastAsia="zh-CN"/>
        </w:rPr>
        <w:t>非关键业务、不影响整体运行等普通故障在</w:t>
      </w:r>
      <w:r>
        <w:rPr>
          <w:rFonts w:hint="eastAsia" w:ascii="宋体" w:hAnsi="宋体" w:cs="宋体"/>
          <w:color w:val="auto"/>
          <w:highlight w:val="none"/>
          <w:lang w:val="en-US" w:eastAsia="zh-CN"/>
        </w:rPr>
        <w:t>2</w:t>
      </w:r>
      <w:r>
        <w:rPr>
          <w:rFonts w:hint="eastAsia"/>
          <w:color w:val="auto"/>
          <w:highlight w:val="none"/>
          <w:lang w:val="en-US" w:eastAsia="zh-CN"/>
        </w:rPr>
        <w:t>小时内解决，</w:t>
      </w:r>
      <w:r>
        <w:rPr>
          <w:rFonts w:hint="eastAsia" w:ascii="宋体" w:hAnsi="宋体" w:eastAsia="宋体" w:cs="宋体"/>
          <w:color w:val="auto"/>
          <w:sz w:val="21"/>
          <w:highlight w:val="none"/>
          <w:lang w:val="en-US" w:eastAsia="zh-CN"/>
        </w:rPr>
        <w:t>核心业务中断、系统宕机、数据丢失等重大故障在4小时内解决故障问题</w:t>
      </w:r>
      <w:r>
        <w:rPr>
          <w:rFonts w:hint="eastAsia"/>
          <w:color w:val="auto"/>
          <w:highlight w:val="none"/>
          <w:lang w:val="en-US" w:eastAsia="zh-CN"/>
        </w:rPr>
        <w:t>。</w:t>
      </w:r>
    </w:p>
    <w:p w14:paraId="3B8E7AD5">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2.</w:t>
      </w:r>
      <w:r>
        <w:rPr>
          <w:rFonts w:hint="eastAsia"/>
          <w:color w:val="auto"/>
          <w:highlight w:val="none"/>
        </w:rPr>
        <w:t>中标人在服务期内须积极响应采购人的</w:t>
      </w:r>
      <w:r>
        <w:rPr>
          <w:rFonts w:hint="eastAsia"/>
          <w:color w:val="auto"/>
          <w:highlight w:val="none"/>
          <w:lang w:val="en-US" w:eastAsia="zh-CN"/>
        </w:rPr>
        <w:t>合理</w:t>
      </w:r>
      <w:r>
        <w:rPr>
          <w:rFonts w:hint="eastAsia"/>
          <w:color w:val="auto"/>
          <w:highlight w:val="none"/>
        </w:rPr>
        <w:t>服务要求，对采购人提出的服务要求，中标人必须及时进行电话、邮件及远程网络支持，</w:t>
      </w:r>
      <w:r>
        <w:rPr>
          <w:rFonts w:hint="eastAsia"/>
          <w:color w:val="auto"/>
          <w:highlight w:val="none"/>
          <w:lang w:val="en-US" w:eastAsia="zh-CN"/>
        </w:rPr>
        <w:t>必要时到现场</w:t>
      </w:r>
      <w:r>
        <w:rPr>
          <w:rFonts w:hint="eastAsia"/>
          <w:color w:val="auto"/>
          <w:highlight w:val="none"/>
        </w:rPr>
        <w:t>服务。</w:t>
      </w:r>
    </w:p>
    <w:p w14:paraId="4D68EC58">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3.中标人</w:t>
      </w:r>
      <w:r>
        <w:rPr>
          <w:rFonts w:hint="eastAsia" w:ascii="宋体" w:hAnsi="宋体" w:eastAsia="宋体" w:cs="宋体"/>
          <w:color w:val="auto"/>
          <w:sz w:val="21"/>
          <w:highlight w:val="none"/>
          <w:lang w:val="en-US" w:eastAsia="zh-CN"/>
        </w:rPr>
        <w:t>须</w:t>
      </w:r>
      <w:r>
        <w:rPr>
          <w:rFonts w:hint="eastAsia" w:ascii="宋体" w:hAnsi="宋体" w:eastAsia="宋体" w:cs="宋体"/>
          <w:color w:val="auto"/>
          <w:sz w:val="21"/>
          <w:highlight w:val="none"/>
        </w:rPr>
        <w:t>按月并输出服务报告，对采购人提出的合理优化建议应及时响应。</w:t>
      </w:r>
      <w:r>
        <w:rPr>
          <w:rFonts w:hint="eastAsia" w:ascii="宋体" w:hAnsi="宋体" w:eastAsia="宋体" w:cs="宋体"/>
          <w:color w:val="auto"/>
          <w:sz w:val="21"/>
          <w:highlight w:val="none"/>
          <w:lang w:val="en-US" w:eastAsia="zh-CN"/>
        </w:rPr>
        <w:t>中标人</w:t>
      </w:r>
      <w:r>
        <w:rPr>
          <w:rFonts w:hint="eastAsia" w:ascii="宋体" w:hAnsi="宋体" w:eastAsia="宋体" w:cs="宋体"/>
          <w:color w:val="auto"/>
          <w:sz w:val="21"/>
          <w:highlight w:val="none"/>
        </w:rPr>
        <w:t>需每个季度末向</w:t>
      </w:r>
      <w:r>
        <w:rPr>
          <w:rFonts w:hint="eastAsia" w:ascii="宋体" w:hAnsi="宋体" w:eastAsia="宋体" w:cs="宋体"/>
          <w:color w:val="auto"/>
          <w:sz w:val="21"/>
          <w:highlight w:val="none"/>
          <w:lang w:val="en-US" w:eastAsia="zh-CN"/>
        </w:rPr>
        <w:t>采购人</w:t>
      </w:r>
      <w:r>
        <w:rPr>
          <w:rFonts w:hint="eastAsia" w:ascii="宋体" w:hAnsi="宋体" w:eastAsia="宋体" w:cs="宋体"/>
          <w:color w:val="auto"/>
          <w:sz w:val="21"/>
          <w:highlight w:val="none"/>
        </w:rPr>
        <w:t>说明资源现状及对应利用率现状，包括但不限于应用系统的云主机vCPU平均使用率和峰值使用率、内存平均使用率、存储容量可使用月数；数据库系统的云主机vCPU平均使用率和峰值使用率、内存平均使用率、存储容量可使用月数。</w:t>
      </w:r>
    </w:p>
    <w:p w14:paraId="046EA9C1">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4.中标人</w:t>
      </w:r>
      <w:r>
        <w:rPr>
          <w:rFonts w:hint="eastAsia" w:ascii="宋体" w:hAnsi="宋体" w:cs="宋体"/>
          <w:color w:val="auto"/>
          <w:sz w:val="21"/>
          <w:highlight w:val="none"/>
          <w:lang w:val="en-US" w:eastAsia="zh-CN"/>
        </w:rPr>
        <w:t>须</w:t>
      </w:r>
      <w:r>
        <w:rPr>
          <w:rFonts w:hint="eastAsia" w:ascii="宋体" w:hAnsi="宋体" w:eastAsia="宋体" w:cs="宋体"/>
          <w:color w:val="auto"/>
          <w:sz w:val="21"/>
          <w:highlight w:val="none"/>
        </w:rPr>
        <w:t>每年</w:t>
      </w:r>
      <w:r>
        <w:rPr>
          <w:rFonts w:hint="eastAsia" w:ascii="宋体" w:hAnsi="宋体" w:eastAsia="宋体" w:cs="宋体"/>
          <w:color w:val="auto"/>
          <w:sz w:val="21"/>
          <w:highlight w:val="none"/>
          <w:lang w:val="en-US" w:eastAsia="zh-CN"/>
        </w:rPr>
        <w:t>按</w:t>
      </w:r>
      <w:r>
        <w:rPr>
          <w:rFonts w:hint="eastAsia" w:ascii="宋体" w:hAnsi="宋体" w:eastAsia="宋体" w:cs="宋体"/>
          <w:color w:val="auto"/>
          <w:sz w:val="21"/>
          <w:highlight w:val="none"/>
        </w:rPr>
        <w:t>采购人</w:t>
      </w:r>
      <w:r>
        <w:rPr>
          <w:rFonts w:hint="eastAsia" w:ascii="宋体" w:hAnsi="宋体" w:eastAsia="宋体" w:cs="宋体"/>
          <w:color w:val="auto"/>
          <w:sz w:val="21"/>
          <w:highlight w:val="none"/>
          <w:lang w:val="en-US" w:eastAsia="zh-CN"/>
        </w:rPr>
        <w:t>要求</w:t>
      </w:r>
      <w:r>
        <w:rPr>
          <w:rFonts w:hint="eastAsia" w:ascii="宋体" w:hAnsi="宋体" w:eastAsia="宋体" w:cs="宋体"/>
          <w:color w:val="auto"/>
          <w:sz w:val="21"/>
          <w:highlight w:val="none"/>
        </w:rPr>
        <w:t>组织</w:t>
      </w:r>
      <w:r>
        <w:rPr>
          <w:rFonts w:hint="eastAsia" w:ascii="宋体" w:hAnsi="宋体" w:eastAsia="宋体" w:cs="宋体"/>
          <w:color w:val="auto"/>
          <w:sz w:val="21"/>
          <w:highlight w:val="none"/>
          <w:lang w:val="en-US" w:eastAsia="zh-CN"/>
        </w:rPr>
        <w:t>至少</w:t>
      </w:r>
      <w:r>
        <w:rPr>
          <w:rFonts w:hint="eastAsia" w:ascii="宋体" w:hAnsi="宋体" w:eastAsia="宋体" w:cs="宋体"/>
          <w:color w:val="auto"/>
          <w:sz w:val="21"/>
          <w:highlight w:val="none"/>
        </w:rPr>
        <w:t>一次应急演练测试，</w:t>
      </w:r>
      <w:r>
        <w:rPr>
          <w:rFonts w:hint="eastAsia" w:ascii="宋体" w:hAnsi="宋体" w:eastAsia="宋体" w:cs="宋体"/>
          <w:color w:val="auto"/>
          <w:sz w:val="21"/>
          <w:highlight w:val="none"/>
          <w:lang w:val="en-US" w:eastAsia="zh-CN"/>
        </w:rPr>
        <w:t>至少两次上云业务培训，</w:t>
      </w:r>
      <w:r>
        <w:rPr>
          <w:rFonts w:hint="eastAsia" w:ascii="宋体" w:hAnsi="宋体" w:eastAsia="宋体" w:cs="宋体"/>
          <w:color w:val="auto"/>
          <w:sz w:val="21"/>
          <w:highlight w:val="none"/>
        </w:rPr>
        <w:t>提升防城港市政务信息系统应对可能发生灾难事故的应急能力。</w:t>
      </w:r>
    </w:p>
    <w:p w14:paraId="7A2188B5">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5.中标人</w:t>
      </w:r>
      <w:r>
        <w:rPr>
          <w:rFonts w:hint="eastAsia" w:ascii="宋体" w:hAnsi="宋体" w:eastAsia="宋体" w:cs="宋体"/>
          <w:color w:val="auto"/>
          <w:sz w:val="21"/>
          <w:highlight w:val="none"/>
          <w:lang w:val="en-US" w:eastAsia="zh-CN"/>
        </w:rPr>
        <w:t>须</w:t>
      </w:r>
      <w:r>
        <w:rPr>
          <w:rFonts w:hint="eastAsia" w:ascii="宋体" w:hAnsi="宋体" w:eastAsia="宋体" w:cs="宋体"/>
          <w:color w:val="auto"/>
          <w:sz w:val="21"/>
          <w:highlight w:val="none"/>
        </w:rPr>
        <w:t>向采购人提供针对本项目的云平台数据监测端口</w:t>
      </w:r>
      <w:r>
        <w:rPr>
          <w:rFonts w:hint="eastAsia" w:ascii="宋体" w:hAnsi="宋体" w:eastAsia="宋体" w:cs="宋体"/>
          <w:color w:val="auto"/>
          <w:sz w:val="21"/>
          <w:highlight w:val="none"/>
          <w:lang w:eastAsia="zh-CN"/>
        </w:rPr>
        <w:t>，</w:t>
      </w:r>
      <w:r>
        <w:rPr>
          <w:rFonts w:hint="eastAsia" w:ascii="宋体" w:hAnsi="宋体" w:eastAsia="宋体" w:cs="宋体"/>
          <w:color w:val="auto"/>
          <w:sz w:val="21"/>
          <w:szCs w:val="24"/>
          <w:highlight w:val="none"/>
        </w:rPr>
        <w:t>保障采购人能够实时、完整</w:t>
      </w:r>
      <w:r>
        <w:rPr>
          <w:rFonts w:hint="eastAsia" w:ascii="宋体" w:hAnsi="宋体" w:eastAsia="宋体" w:cs="宋体"/>
          <w:color w:val="auto"/>
          <w:sz w:val="21"/>
          <w:szCs w:val="24"/>
          <w:highlight w:val="none"/>
          <w:lang w:val="en-US" w:eastAsia="zh-CN"/>
        </w:rPr>
        <w:t>获取</w:t>
      </w:r>
      <w:r>
        <w:rPr>
          <w:rFonts w:hint="eastAsia" w:ascii="宋体" w:hAnsi="宋体" w:eastAsia="宋体" w:cs="宋体"/>
          <w:color w:val="auto"/>
          <w:sz w:val="21"/>
          <w:szCs w:val="24"/>
          <w:highlight w:val="none"/>
        </w:rPr>
        <w:t>项目云平台运行监测数据，全面满足采购人日常监管、运维核查、审计督查等使用需求。</w:t>
      </w:r>
    </w:p>
    <w:p w14:paraId="35159C50">
      <w:pPr>
        <w:keepNext w:val="0"/>
        <w:keepLines w:val="0"/>
        <w:pageBreakBefore w:val="0"/>
        <w:widowControl w:val="0"/>
        <w:numPr>
          <w:ilvl w:val="2"/>
          <w:numId w:val="0"/>
        </w:numPr>
        <w:kinsoku/>
        <w:wordWrap/>
        <w:overflowPunct/>
        <w:topLinePunct w:val="0"/>
        <w:autoSpaceDE/>
        <w:autoSpaceDN/>
        <w:bidi w:val="0"/>
        <w:adjustRightInd/>
        <w:spacing w:line="360" w:lineRule="exact"/>
        <w:ind w:firstLine="422" w:firstLineChars="200"/>
        <w:textAlignment w:val="auto"/>
        <w:outlineLvl w:val="2"/>
        <w:rPr>
          <w:rFonts w:hint="eastAsia" w:ascii="宋体" w:hAnsi="宋体" w:eastAsia="宋体" w:cs="宋体"/>
          <w:b/>
          <w:color w:val="auto"/>
          <w:sz w:val="21"/>
          <w:highlight w:val="none"/>
        </w:rPr>
      </w:pPr>
      <w:bookmarkStart w:id="55" w:name="_Toc1361353204_WPSOffice_Level2"/>
      <w:bookmarkStart w:id="56" w:name="_Toc618297311_WPSOffice_Level2"/>
      <w:r>
        <w:rPr>
          <w:rFonts w:hint="eastAsia" w:ascii="宋体" w:hAnsi="宋体" w:eastAsia="宋体" w:cs="宋体"/>
          <w:b/>
          <w:color w:val="auto"/>
          <w:sz w:val="21"/>
          <w:highlight w:val="none"/>
          <w:lang w:val="zh-CN"/>
        </w:rPr>
        <w:t>（</w:t>
      </w:r>
      <w:r>
        <w:rPr>
          <w:rFonts w:hint="eastAsia" w:eastAsia="宋体" w:cs="宋体"/>
          <w:b/>
          <w:color w:val="auto"/>
          <w:sz w:val="21"/>
          <w:highlight w:val="none"/>
          <w:lang w:val="en-US" w:eastAsia="zh-CN"/>
        </w:rPr>
        <w:t>七</w:t>
      </w:r>
      <w:r>
        <w:rPr>
          <w:rFonts w:hint="eastAsia" w:ascii="宋体" w:hAnsi="宋体" w:eastAsia="宋体" w:cs="宋体"/>
          <w:b/>
          <w:color w:val="auto"/>
          <w:sz w:val="21"/>
          <w:highlight w:val="none"/>
          <w:lang w:val="zh-CN"/>
        </w:rPr>
        <w:t>）</w:t>
      </w:r>
      <w:r>
        <w:rPr>
          <w:rFonts w:hint="eastAsia" w:ascii="宋体" w:hAnsi="宋体" w:eastAsia="宋体" w:cs="宋体"/>
          <w:b/>
          <w:color w:val="auto"/>
          <w:sz w:val="21"/>
          <w:highlight w:val="none"/>
        </w:rPr>
        <w:t>验收标准</w:t>
      </w:r>
      <w:bookmarkEnd w:id="55"/>
      <w:bookmarkEnd w:id="56"/>
    </w:p>
    <w:p w14:paraId="537F1F3D">
      <w:pPr>
        <w:keepNext w:val="0"/>
        <w:keepLines w:val="0"/>
        <w:pageBreakBefore w:val="0"/>
        <w:widowControl w:val="0"/>
        <w:numPr>
          <w:ilvl w:val="2"/>
          <w:numId w:val="0"/>
        </w:numPr>
        <w:kinsoku/>
        <w:wordWrap/>
        <w:overflowPunct/>
        <w:topLinePunct w:val="0"/>
        <w:autoSpaceDE/>
        <w:autoSpaceDN/>
        <w:bidi w:val="0"/>
        <w:adjustRightInd/>
        <w:snapToGrid/>
        <w:spacing w:line="360" w:lineRule="exact"/>
        <w:ind w:firstLine="420" w:firstLineChars="200"/>
        <w:textAlignment w:val="auto"/>
        <w:outlineLvl w:val="2"/>
        <w:rPr>
          <w:rFonts w:hint="eastAsia" w:ascii="宋体" w:hAnsi="宋体" w:eastAsia="宋体" w:cs="宋体"/>
          <w:color w:val="auto"/>
          <w:sz w:val="21"/>
          <w:highlight w:val="none"/>
        </w:rPr>
      </w:pPr>
      <w:bookmarkStart w:id="57" w:name="_Toc191532791_WPSOffice_Level2"/>
      <w:bookmarkStart w:id="58" w:name="_Toc1194997394_WPSOffice_Level2"/>
      <w:r>
        <w:rPr>
          <w:rFonts w:hint="eastAsia" w:ascii="宋体" w:hAnsi="宋体" w:eastAsia="宋体" w:cs="宋体"/>
          <w:color w:val="auto"/>
          <w:sz w:val="21"/>
          <w:highlight w:val="none"/>
        </w:rPr>
        <w:t>合同服务到期后，</w:t>
      </w:r>
      <w:r>
        <w:rPr>
          <w:rFonts w:hint="eastAsia" w:ascii="宋体" w:hAnsi="宋体" w:eastAsia="宋体" w:cs="宋体"/>
          <w:strike w:val="0"/>
          <w:color w:val="auto"/>
          <w:sz w:val="21"/>
          <w:highlight w:val="none"/>
        </w:rPr>
        <w:t>中标人</w:t>
      </w:r>
      <w:r>
        <w:rPr>
          <w:rFonts w:hint="eastAsia" w:ascii="宋体" w:hAnsi="宋体" w:eastAsia="宋体" w:cs="宋体"/>
          <w:strike w:val="0"/>
          <w:color w:val="auto"/>
          <w:sz w:val="21"/>
          <w:highlight w:val="none"/>
          <w:lang w:eastAsia="zh-CN"/>
        </w:rPr>
        <w:t>应</w:t>
      </w:r>
      <w:r>
        <w:rPr>
          <w:rFonts w:hint="eastAsia" w:ascii="宋体" w:hAnsi="宋体" w:eastAsia="宋体" w:cs="宋体"/>
          <w:color w:val="auto"/>
          <w:sz w:val="21"/>
          <w:highlight w:val="none"/>
        </w:rPr>
        <w:t>配合采购人启动项目整体验收。验收由采购人组织，可委托有资质的第三方或上级云监督管理部门实施。</w:t>
      </w:r>
    </w:p>
    <w:p w14:paraId="3FBDB75F">
      <w:pPr>
        <w:keepNext w:val="0"/>
        <w:keepLines w:val="0"/>
        <w:pageBreakBefore w:val="0"/>
        <w:widowControl w:val="0"/>
        <w:numPr>
          <w:ilvl w:val="2"/>
          <w:numId w:val="0"/>
        </w:numPr>
        <w:kinsoku/>
        <w:wordWrap/>
        <w:overflowPunct/>
        <w:topLinePunct w:val="0"/>
        <w:autoSpaceDE/>
        <w:autoSpaceDN/>
        <w:bidi w:val="0"/>
        <w:adjustRightInd/>
        <w:snapToGrid/>
        <w:spacing w:line="360" w:lineRule="exact"/>
        <w:ind w:firstLine="420" w:firstLineChars="200"/>
        <w:textAlignment w:val="auto"/>
        <w:outlineLvl w:val="2"/>
        <w:rPr>
          <w:rFonts w:hint="eastAsia" w:ascii="宋体" w:hAnsi="宋体" w:eastAsia="宋体" w:cs="宋体"/>
          <w:color w:val="auto"/>
          <w:sz w:val="21"/>
          <w:highlight w:val="none"/>
        </w:rPr>
      </w:pPr>
      <w:r>
        <w:rPr>
          <w:rFonts w:hint="eastAsia" w:ascii="宋体" w:hAnsi="宋体" w:eastAsia="宋体" w:cs="宋体"/>
          <w:color w:val="auto"/>
          <w:sz w:val="21"/>
          <w:highlight w:val="none"/>
        </w:rPr>
        <w:t>（一）验收标准与材料： 中标人根据合同约定及采购需求编写验收材料，交组织方审定。审定标准以本项目招标文件、中标人投标文件及双方签订的合同文本为准，非上述文件载明的额外要求，不得作为验收不合格的依据。</w:t>
      </w:r>
    </w:p>
    <w:p w14:paraId="4D9EFEC8">
      <w:pPr>
        <w:keepNext w:val="0"/>
        <w:keepLines w:val="0"/>
        <w:pageBreakBefore w:val="0"/>
        <w:widowControl w:val="0"/>
        <w:numPr>
          <w:ilvl w:val="2"/>
          <w:numId w:val="0"/>
        </w:numPr>
        <w:kinsoku/>
        <w:wordWrap/>
        <w:overflowPunct/>
        <w:topLinePunct w:val="0"/>
        <w:autoSpaceDE/>
        <w:autoSpaceDN/>
        <w:bidi w:val="0"/>
        <w:adjustRightInd/>
        <w:snapToGrid/>
        <w:spacing w:line="360" w:lineRule="exact"/>
        <w:ind w:firstLine="420" w:firstLineChars="200"/>
        <w:textAlignment w:val="auto"/>
        <w:outlineLvl w:val="2"/>
        <w:rPr>
          <w:rFonts w:hint="eastAsia" w:ascii="宋体" w:hAnsi="宋体" w:eastAsia="宋体" w:cs="宋体"/>
          <w:color w:val="auto"/>
          <w:sz w:val="21"/>
          <w:highlight w:val="none"/>
        </w:rPr>
      </w:pPr>
      <w:r>
        <w:rPr>
          <w:rFonts w:hint="eastAsia" w:ascii="宋体" w:hAnsi="宋体" w:eastAsia="宋体" w:cs="宋体"/>
          <w:color w:val="auto"/>
          <w:sz w:val="21"/>
          <w:highlight w:val="none"/>
        </w:rPr>
        <w:t>（二）验收期限： 采购人应在中标人提交完整验收材料后20个工作日内组织验收并出具验收意见。</w:t>
      </w:r>
      <w:r>
        <w:rPr>
          <w:rFonts w:hint="eastAsia" w:ascii="宋体" w:hAnsi="宋体" w:eastAsia="宋体" w:cs="宋体"/>
          <w:strike w:val="0"/>
          <w:color w:val="auto"/>
          <w:sz w:val="21"/>
          <w:highlight w:val="none"/>
        </w:rPr>
        <w:t>若组织方在上述期限内未出具意见，且未书面提出正当理由的，视为验收合格。</w:t>
      </w:r>
    </w:p>
    <w:p w14:paraId="3AD5EDFE">
      <w:pPr>
        <w:keepNext w:val="0"/>
        <w:keepLines w:val="0"/>
        <w:pageBreakBefore w:val="0"/>
        <w:widowControl w:val="0"/>
        <w:numPr>
          <w:ilvl w:val="2"/>
          <w:numId w:val="0"/>
        </w:numPr>
        <w:kinsoku/>
        <w:wordWrap/>
        <w:overflowPunct/>
        <w:topLinePunct w:val="0"/>
        <w:autoSpaceDE/>
        <w:autoSpaceDN/>
        <w:bidi w:val="0"/>
        <w:adjustRightInd/>
        <w:snapToGrid/>
        <w:spacing w:line="360" w:lineRule="exact"/>
        <w:ind w:firstLine="420" w:firstLineChars="200"/>
        <w:textAlignment w:val="auto"/>
        <w:outlineLvl w:val="2"/>
        <w:rPr>
          <w:rFonts w:hint="eastAsia" w:ascii="宋体" w:hAnsi="宋体" w:eastAsia="宋体" w:cs="宋体"/>
          <w:strike/>
          <w:color w:val="auto"/>
          <w:sz w:val="21"/>
          <w:highlight w:val="yellow"/>
        </w:rPr>
      </w:pPr>
      <w:r>
        <w:rPr>
          <w:rFonts w:hint="eastAsia" w:ascii="宋体" w:hAnsi="宋体" w:eastAsia="宋体" w:cs="宋体"/>
          <w:color w:val="auto"/>
          <w:sz w:val="21"/>
          <w:highlight w:val="none"/>
        </w:rPr>
        <w:t>（三）验收意见出具： 验收合格后，必须由采购人（甲方）加盖公章出具正式《验收书》或《验收合格证明》。该文件为确认履约完毕及付款流程的依据。</w:t>
      </w:r>
    </w:p>
    <w:p w14:paraId="17FF5EA8">
      <w:pPr>
        <w:keepNext w:val="0"/>
        <w:keepLines w:val="0"/>
        <w:pageBreakBefore w:val="0"/>
        <w:widowControl w:val="0"/>
        <w:numPr>
          <w:ilvl w:val="0"/>
          <w:numId w:val="4"/>
        </w:numPr>
        <w:kinsoku/>
        <w:wordWrap/>
        <w:overflowPunct/>
        <w:topLinePunct w:val="0"/>
        <w:autoSpaceDE/>
        <w:autoSpaceDN/>
        <w:bidi w:val="0"/>
        <w:adjustRightInd/>
        <w:snapToGrid/>
        <w:spacing w:line="360" w:lineRule="exact"/>
        <w:ind w:firstLine="420" w:firstLineChars="200"/>
        <w:textAlignment w:val="auto"/>
        <w:outlineLvl w:val="2"/>
        <w:rPr>
          <w:rFonts w:hint="eastAsia" w:ascii="宋体" w:hAnsi="宋体" w:eastAsia="宋体" w:cs="宋体"/>
          <w:color w:val="auto"/>
          <w:sz w:val="21"/>
          <w:highlight w:val="none"/>
        </w:rPr>
      </w:pPr>
      <w:r>
        <w:rPr>
          <w:rFonts w:hint="eastAsia" w:ascii="宋体" w:hAnsi="宋体" w:eastAsia="宋体" w:cs="宋体"/>
          <w:color w:val="auto"/>
          <w:sz w:val="21"/>
          <w:highlight w:val="none"/>
        </w:rPr>
        <w:t>验收费用承担： 本合同项下因项目验收产生的所有费用（包括但不限于聘请第三方检测机构、专家评审费等），由采购人承担。 若因中标人交付成果不符合合同约定导致复验的，复验费用由中标人承担。</w:t>
      </w:r>
    </w:p>
    <w:p w14:paraId="5A93F8B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2" w:firstLineChars="200"/>
        <w:textAlignment w:val="auto"/>
        <w:outlineLvl w:val="2"/>
        <w:rPr>
          <w:rFonts w:hint="eastAsia" w:ascii="宋体" w:hAnsi="宋体" w:eastAsia="宋体" w:cs="宋体"/>
          <w:b/>
          <w:color w:val="auto"/>
          <w:highlight w:val="none"/>
          <w:lang w:val="zh-CN"/>
        </w:rPr>
      </w:pPr>
      <w:r>
        <w:rPr>
          <w:rFonts w:hint="eastAsia" w:ascii="宋体" w:hAnsi="宋体" w:eastAsia="宋体" w:cs="宋体"/>
          <w:b/>
          <w:color w:val="auto"/>
          <w:highlight w:val="none"/>
          <w:lang w:val="zh-CN" w:eastAsia="zh-CN"/>
        </w:rPr>
        <w:t>（八）</w:t>
      </w:r>
      <w:r>
        <w:rPr>
          <w:rFonts w:hint="eastAsia" w:ascii="宋体" w:hAnsi="宋体" w:eastAsia="宋体" w:cs="宋体"/>
          <w:b/>
          <w:color w:val="auto"/>
          <w:highlight w:val="none"/>
          <w:lang w:val="zh-CN"/>
        </w:rPr>
        <w:t>云资源服务考核</w:t>
      </w:r>
      <w:bookmarkEnd w:id="57"/>
      <w:bookmarkEnd w:id="58"/>
    </w:p>
    <w:p w14:paraId="417B9623">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为了保证投标人提供的服务具备可靠性、稳定性，降低云平台对电子政务业务系统的影响和风险，必须符合运维服务考核标准与事故处理办法。云服务商每年向采购人出具一份云平台情况报告，每月向采购人提交《运维服务报告》。项目服务期结束前，采购人依据《云资源服务考核细则》对整个服务期内的履约情况进行考核评定，该考核结果将作为剩余20%款的支付依据。具体支付标准为：考核分数在80分以上的，全额支付尾款（即合同总价的20%）；考核分数在60分（含）至79分的，按考核实际得分比例支付尾款（例如得75分，则支付尾款的75%，即合同总价的15%）；考核分数在60分以下的，仅支付尾款的50%（即合同总价的10%）。</w:t>
      </w:r>
    </w:p>
    <w:p w14:paraId="3E88AB35">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color w:val="auto"/>
          <w:highlight w:val="none"/>
        </w:rPr>
      </w:pPr>
      <w:r>
        <w:rPr>
          <w:rFonts w:hint="eastAsia" w:ascii="宋体" w:hAnsi="宋体" w:eastAsia="宋体" w:cs="宋体"/>
          <w:color w:val="auto"/>
          <w:highlight w:val="none"/>
        </w:rPr>
        <w:t>为提高防城港市政务云资源服务质量，提升</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运营管理水平，结合政务云运行资源服务中存在的问题，制定政务云资源服务评分标准。本措施以提供政务云资源服务质量为主要内容，对运行服务的服务内容和服务方法进行规定，对政务云平台的资源服务监控、服务优化、服务配置和安全保障等方面进行运行管理，确保为用户提供安全可靠的主动运行保障服务。</w:t>
      </w:r>
    </w:p>
    <w:tbl>
      <w:tblPr>
        <w:tblStyle w:val="20"/>
        <w:tblW w:w="9480" w:type="dxa"/>
        <w:jc w:val="center"/>
        <w:tblLayout w:type="autofit"/>
        <w:tblCellMar>
          <w:top w:w="0" w:type="dxa"/>
          <w:left w:w="108" w:type="dxa"/>
          <w:bottom w:w="0" w:type="dxa"/>
          <w:right w:w="108" w:type="dxa"/>
        </w:tblCellMar>
      </w:tblPr>
      <w:tblGrid>
        <w:gridCol w:w="960"/>
        <w:gridCol w:w="1000"/>
        <w:gridCol w:w="1300"/>
        <w:gridCol w:w="3400"/>
        <w:gridCol w:w="2240"/>
        <w:gridCol w:w="580"/>
      </w:tblGrid>
      <w:tr w14:paraId="08F8BB62">
        <w:tblPrEx>
          <w:tblCellMar>
            <w:top w:w="0" w:type="dxa"/>
            <w:left w:w="108" w:type="dxa"/>
            <w:bottom w:w="0" w:type="dxa"/>
            <w:right w:w="108" w:type="dxa"/>
          </w:tblCellMar>
        </w:tblPrEx>
        <w:trPr>
          <w:trHeight w:val="0" w:hRule="atLeast"/>
          <w:jc w:val="center"/>
        </w:trPr>
        <w:tc>
          <w:tcPr>
            <w:tcW w:w="9480" w:type="dxa"/>
            <w:gridSpan w:val="6"/>
            <w:tcBorders>
              <w:top w:val="single" w:color="auto" w:sz="4" w:space="0"/>
              <w:left w:val="single" w:color="auto" w:sz="4" w:space="0"/>
              <w:bottom w:val="single" w:color="auto" w:sz="4" w:space="0"/>
              <w:right w:val="single" w:color="auto" w:sz="4" w:space="0"/>
            </w:tcBorders>
            <w:noWrap w:val="0"/>
            <w:tcMar>
              <w:top w:w="28" w:type="dxa"/>
              <w:left w:w="28" w:type="dxa"/>
              <w:bottom w:w="28" w:type="dxa"/>
              <w:right w:w="28" w:type="dxa"/>
            </w:tcMar>
            <w:vAlign w:val="center"/>
          </w:tcPr>
          <w:p w14:paraId="2948C196">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cs="宋体"/>
                <w:b/>
                <w:bCs/>
                <w:color w:val="auto"/>
                <w:kern w:val="0"/>
                <w:sz w:val="22"/>
                <w:highlight w:val="none"/>
              </w:rPr>
            </w:pPr>
            <w:r>
              <w:rPr>
                <w:rFonts w:hint="eastAsia" w:ascii="宋体" w:hAnsi="宋体" w:cs="宋体"/>
                <w:b/>
                <w:bCs/>
                <w:color w:val="auto"/>
                <w:sz w:val="36"/>
                <w:szCs w:val="36"/>
                <w:highlight w:val="none"/>
              </w:rPr>
              <w:t>云资源服务考核细则</w:t>
            </w:r>
          </w:p>
        </w:tc>
      </w:tr>
      <w:tr w14:paraId="1E587C3B">
        <w:tblPrEx>
          <w:tblCellMar>
            <w:top w:w="0" w:type="dxa"/>
            <w:left w:w="108" w:type="dxa"/>
            <w:bottom w:w="0" w:type="dxa"/>
            <w:right w:w="108" w:type="dxa"/>
          </w:tblCellMar>
        </w:tblPrEx>
        <w:trPr>
          <w:trHeight w:val="0" w:hRule="atLeast"/>
          <w:jc w:val="center"/>
        </w:trPr>
        <w:tc>
          <w:tcPr>
            <w:tcW w:w="960" w:type="dxa"/>
            <w:tcBorders>
              <w:top w:val="single" w:color="auto" w:sz="4" w:space="0"/>
              <w:left w:val="single" w:color="auto" w:sz="4" w:space="0"/>
              <w:bottom w:val="single" w:color="auto" w:sz="4" w:space="0"/>
              <w:right w:val="single" w:color="auto" w:sz="4" w:space="0"/>
            </w:tcBorders>
            <w:noWrap w:val="0"/>
            <w:tcMar>
              <w:top w:w="28" w:type="dxa"/>
              <w:left w:w="28" w:type="dxa"/>
              <w:bottom w:w="28" w:type="dxa"/>
              <w:right w:w="28" w:type="dxa"/>
            </w:tcMar>
            <w:vAlign w:val="center"/>
          </w:tcPr>
          <w:p w14:paraId="650879C4">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cs="宋体"/>
                <w:b/>
                <w:bCs/>
                <w:color w:val="auto"/>
                <w:kern w:val="0"/>
                <w:sz w:val="22"/>
                <w:highlight w:val="none"/>
              </w:rPr>
            </w:pPr>
            <w:r>
              <w:rPr>
                <w:rFonts w:hint="eastAsia" w:ascii="宋体" w:hAnsi="宋体" w:cs="宋体"/>
                <w:b/>
                <w:bCs/>
                <w:color w:val="auto"/>
                <w:kern w:val="0"/>
                <w:sz w:val="22"/>
                <w:highlight w:val="none"/>
              </w:rPr>
              <w:t>服务项目</w:t>
            </w:r>
          </w:p>
        </w:tc>
        <w:tc>
          <w:tcPr>
            <w:tcW w:w="1000" w:type="dxa"/>
            <w:tcBorders>
              <w:top w:val="single" w:color="auto" w:sz="4" w:space="0"/>
              <w:left w:val="nil"/>
              <w:bottom w:val="single" w:color="auto" w:sz="4" w:space="0"/>
              <w:right w:val="single" w:color="auto" w:sz="4" w:space="0"/>
            </w:tcBorders>
            <w:noWrap w:val="0"/>
            <w:tcMar>
              <w:top w:w="28" w:type="dxa"/>
              <w:left w:w="28" w:type="dxa"/>
              <w:bottom w:w="28" w:type="dxa"/>
              <w:right w:w="28" w:type="dxa"/>
            </w:tcMar>
            <w:vAlign w:val="center"/>
          </w:tcPr>
          <w:p w14:paraId="66A2DA07">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cs="宋体"/>
                <w:b/>
                <w:bCs/>
                <w:color w:val="auto"/>
                <w:kern w:val="0"/>
                <w:sz w:val="22"/>
                <w:highlight w:val="none"/>
              </w:rPr>
            </w:pPr>
            <w:r>
              <w:rPr>
                <w:rFonts w:hint="eastAsia" w:ascii="宋体" w:hAnsi="宋体" w:cs="宋体"/>
                <w:b/>
                <w:bCs/>
                <w:color w:val="auto"/>
                <w:kern w:val="0"/>
                <w:sz w:val="22"/>
                <w:highlight w:val="none"/>
              </w:rPr>
              <w:t xml:space="preserve">一级指标 </w:t>
            </w:r>
          </w:p>
        </w:tc>
        <w:tc>
          <w:tcPr>
            <w:tcW w:w="1300" w:type="dxa"/>
            <w:tcBorders>
              <w:top w:val="single" w:color="auto" w:sz="4" w:space="0"/>
              <w:left w:val="nil"/>
              <w:bottom w:val="single" w:color="auto" w:sz="4" w:space="0"/>
              <w:right w:val="single" w:color="auto" w:sz="4" w:space="0"/>
            </w:tcBorders>
            <w:noWrap w:val="0"/>
            <w:tcMar>
              <w:top w:w="28" w:type="dxa"/>
              <w:left w:w="28" w:type="dxa"/>
              <w:bottom w:w="28" w:type="dxa"/>
              <w:right w:w="28" w:type="dxa"/>
            </w:tcMar>
            <w:vAlign w:val="center"/>
          </w:tcPr>
          <w:p w14:paraId="7148F7A7">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cs="宋体"/>
                <w:b/>
                <w:bCs/>
                <w:color w:val="auto"/>
                <w:kern w:val="0"/>
                <w:sz w:val="22"/>
                <w:highlight w:val="none"/>
              </w:rPr>
            </w:pPr>
            <w:r>
              <w:rPr>
                <w:rFonts w:hint="eastAsia" w:ascii="宋体" w:hAnsi="宋体" w:cs="宋体"/>
                <w:b/>
                <w:bCs/>
                <w:color w:val="auto"/>
                <w:kern w:val="0"/>
                <w:sz w:val="22"/>
                <w:highlight w:val="none"/>
              </w:rPr>
              <w:t xml:space="preserve">二级指标 </w:t>
            </w:r>
          </w:p>
        </w:tc>
        <w:tc>
          <w:tcPr>
            <w:tcW w:w="3400" w:type="dxa"/>
            <w:tcBorders>
              <w:top w:val="single" w:color="auto" w:sz="4" w:space="0"/>
              <w:left w:val="nil"/>
              <w:bottom w:val="single" w:color="auto" w:sz="4" w:space="0"/>
              <w:right w:val="single" w:color="auto" w:sz="4" w:space="0"/>
            </w:tcBorders>
            <w:noWrap w:val="0"/>
            <w:tcMar>
              <w:top w:w="28" w:type="dxa"/>
              <w:left w:w="28" w:type="dxa"/>
              <w:bottom w:w="28" w:type="dxa"/>
              <w:right w:w="28" w:type="dxa"/>
            </w:tcMar>
            <w:vAlign w:val="center"/>
          </w:tcPr>
          <w:p w14:paraId="4ECC9DA6">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cs="宋体"/>
                <w:b/>
                <w:bCs/>
                <w:color w:val="auto"/>
                <w:kern w:val="0"/>
                <w:sz w:val="22"/>
                <w:highlight w:val="none"/>
              </w:rPr>
            </w:pPr>
            <w:r>
              <w:rPr>
                <w:rFonts w:hint="eastAsia" w:ascii="宋体" w:hAnsi="宋体" w:cs="宋体"/>
                <w:b/>
                <w:bCs/>
                <w:color w:val="auto"/>
                <w:kern w:val="0"/>
                <w:sz w:val="22"/>
                <w:highlight w:val="none"/>
              </w:rPr>
              <w:t>考核内容</w:t>
            </w:r>
          </w:p>
        </w:tc>
        <w:tc>
          <w:tcPr>
            <w:tcW w:w="2240" w:type="dxa"/>
            <w:tcBorders>
              <w:top w:val="single" w:color="auto" w:sz="4" w:space="0"/>
              <w:left w:val="nil"/>
              <w:bottom w:val="single" w:color="auto" w:sz="4" w:space="0"/>
              <w:right w:val="single" w:color="auto" w:sz="4" w:space="0"/>
            </w:tcBorders>
            <w:noWrap w:val="0"/>
            <w:tcMar>
              <w:top w:w="28" w:type="dxa"/>
              <w:left w:w="28" w:type="dxa"/>
              <w:bottom w:w="28" w:type="dxa"/>
              <w:right w:w="28" w:type="dxa"/>
            </w:tcMar>
            <w:vAlign w:val="center"/>
          </w:tcPr>
          <w:p w14:paraId="739C278C">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cs="宋体"/>
                <w:b/>
                <w:bCs/>
                <w:color w:val="auto"/>
                <w:kern w:val="0"/>
                <w:sz w:val="22"/>
                <w:highlight w:val="none"/>
              </w:rPr>
            </w:pPr>
            <w:r>
              <w:rPr>
                <w:rFonts w:hint="eastAsia" w:ascii="宋体" w:hAnsi="宋体" w:cs="宋体"/>
                <w:b/>
                <w:bCs/>
                <w:color w:val="auto"/>
                <w:kern w:val="0"/>
                <w:sz w:val="22"/>
                <w:highlight w:val="none"/>
              </w:rPr>
              <w:t>考核要求</w:t>
            </w:r>
          </w:p>
        </w:tc>
        <w:tc>
          <w:tcPr>
            <w:tcW w:w="580" w:type="dxa"/>
            <w:tcBorders>
              <w:top w:val="single" w:color="auto" w:sz="4" w:space="0"/>
              <w:left w:val="nil"/>
              <w:bottom w:val="single" w:color="auto" w:sz="4" w:space="0"/>
              <w:right w:val="single" w:color="auto" w:sz="4" w:space="0"/>
            </w:tcBorders>
            <w:noWrap w:val="0"/>
            <w:tcMar>
              <w:top w:w="28" w:type="dxa"/>
              <w:left w:w="28" w:type="dxa"/>
              <w:bottom w:w="28" w:type="dxa"/>
              <w:right w:w="28" w:type="dxa"/>
            </w:tcMar>
            <w:vAlign w:val="center"/>
          </w:tcPr>
          <w:p w14:paraId="228F92B4">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cs="宋体"/>
                <w:b/>
                <w:bCs/>
                <w:color w:val="auto"/>
                <w:kern w:val="0"/>
                <w:sz w:val="22"/>
                <w:highlight w:val="none"/>
              </w:rPr>
            </w:pPr>
            <w:r>
              <w:rPr>
                <w:rFonts w:hint="eastAsia" w:ascii="宋体" w:hAnsi="宋体" w:cs="宋体"/>
                <w:b/>
                <w:bCs/>
                <w:color w:val="auto"/>
                <w:kern w:val="0"/>
                <w:sz w:val="22"/>
                <w:highlight w:val="none"/>
              </w:rPr>
              <w:t>得分</w:t>
            </w:r>
          </w:p>
        </w:tc>
      </w:tr>
      <w:tr w14:paraId="426C680B">
        <w:tblPrEx>
          <w:tblCellMar>
            <w:top w:w="0" w:type="dxa"/>
            <w:left w:w="108" w:type="dxa"/>
            <w:bottom w:w="0" w:type="dxa"/>
            <w:right w:w="108" w:type="dxa"/>
          </w:tblCellMar>
        </w:tblPrEx>
        <w:trPr>
          <w:trHeight w:val="0" w:hRule="atLeast"/>
          <w:jc w:val="center"/>
        </w:trPr>
        <w:tc>
          <w:tcPr>
            <w:tcW w:w="960" w:type="dxa"/>
            <w:vMerge w:val="restart"/>
            <w:tcBorders>
              <w:top w:val="nil"/>
              <w:left w:val="single" w:color="auto" w:sz="4" w:space="0"/>
              <w:bottom w:val="single" w:color="000000" w:sz="4" w:space="0"/>
              <w:right w:val="single" w:color="auto" w:sz="4" w:space="0"/>
            </w:tcBorders>
            <w:noWrap w:val="0"/>
            <w:tcMar>
              <w:top w:w="28" w:type="dxa"/>
              <w:left w:w="28" w:type="dxa"/>
              <w:bottom w:w="28" w:type="dxa"/>
              <w:right w:w="28" w:type="dxa"/>
            </w:tcMar>
            <w:vAlign w:val="center"/>
          </w:tcPr>
          <w:p w14:paraId="46EA1477">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政务云资源服务</w:t>
            </w:r>
            <w:r>
              <w:rPr>
                <w:rFonts w:hint="eastAsia" w:ascii="宋体" w:hAnsi="宋体" w:cs="宋体"/>
                <w:color w:val="auto"/>
                <w:kern w:val="0"/>
                <w:sz w:val="20"/>
                <w:szCs w:val="20"/>
                <w:highlight w:val="none"/>
              </w:rPr>
              <w:br w:type="textWrapping"/>
            </w:r>
          </w:p>
        </w:tc>
        <w:tc>
          <w:tcPr>
            <w:tcW w:w="1000" w:type="dxa"/>
            <w:vMerge w:val="restart"/>
            <w:tcBorders>
              <w:top w:val="nil"/>
              <w:left w:val="single" w:color="auto" w:sz="4" w:space="0"/>
              <w:bottom w:val="single" w:color="auto" w:sz="4" w:space="0"/>
              <w:right w:val="single" w:color="auto" w:sz="4" w:space="0"/>
            </w:tcBorders>
            <w:noWrap w:val="0"/>
            <w:tcMar>
              <w:top w:w="28" w:type="dxa"/>
              <w:left w:w="28" w:type="dxa"/>
              <w:bottom w:w="28" w:type="dxa"/>
              <w:right w:w="28" w:type="dxa"/>
            </w:tcMar>
            <w:vAlign w:val="center"/>
          </w:tcPr>
          <w:p w14:paraId="22569BF3">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日常管理（15分）</w:t>
            </w:r>
          </w:p>
        </w:tc>
        <w:tc>
          <w:tcPr>
            <w:tcW w:w="130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20E61D11">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现场环境</w:t>
            </w:r>
            <w:r>
              <w:rPr>
                <w:rFonts w:hint="eastAsia" w:ascii="宋体" w:hAnsi="宋体" w:cs="宋体"/>
                <w:color w:val="auto"/>
                <w:kern w:val="0"/>
                <w:sz w:val="20"/>
                <w:szCs w:val="20"/>
                <w:highlight w:val="none"/>
              </w:rPr>
              <w:br w:type="textWrapping"/>
            </w:r>
            <w:r>
              <w:rPr>
                <w:rFonts w:hint="eastAsia" w:ascii="宋体" w:hAnsi="宋体" w:cs="宋体"/>
                <w:color w:val="auto"/>
                <w:kern w:val="0"/>
                <w:sz w:val="20"/>
                <w:szCs w:val="20"/>
                <w:highlight w:val="none"/>
              </w:rPr>
              <w:t>（2分）</w:t>
            </w:r>
          </w:p>
        </w:tc>
        <w:tc>
          <w:tcPr>
            <w:tcW w:w="340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2954610F">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针对机房现场的垃圾，线缆以及机柜按照标准化处理</w:t>
            </w:r>
          </w:p>
        </w:tc>
        <w:tc>
          <w:tcPr>
            <w:tcW w:w="224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3C4B8522">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未做到标准化处理，一次扣0.25分</w:t>
            </w:r>
          </w:p>
        </w:tc>
        <w:tc>
          <w:tcPr>
            <w:tcW w:w="58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57F2325F">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r>
      <w:tr w14:paraId="1B0F6F06">
        <w:tblPrEx>
          <w:tblCellMar>
            <w:top w:w="0" w:type="dxa"/>
            <w:left w:w="108" w:type="dxa"/>
            <w:bottom w:w="0" w:type="dxa"/>
            <w:right w:w="108" w:type="dxa"/>
          </w:tblCellMar>
        </w:tblPrEx>
        <w:trPr>
          <w:trHeight w:val="0" w:hRule="atLeast"/>
          <w:jc w:val="center"/>
        </w:trPr>
        <w:tc>
          <w:tcPr>
            <w:tcW w:w="960" w:type="dxa"/>
            <w:vMerge w:val="continue"/>
            <w:tcBorders>
              <w:top w:val="nil"/>
              <w:left w:val="single" w:color="auto" w:sz="4" w:space="0"/>
              <w:bottom w:val="single" w:color="000000" w:sz="4" w:space="0"/>
              <w:right w:val="single" w:color="auto" w:sz="4" w:space="0"/>
            </w:tcBorders>
            <w:noWrap w:val="0"/>
            <w:tcMar>
              <w:top w:w="28" w:type="dxa"/>
              <w:left w:w="28" w:type="dxa"/>
              <w:bottom w:w="28" w:type="dxa"/>
              <w:right w:w="28" w:type="dxa"/>
            </w:tcMar>
            <w:vAlign w:val="center"/>
          </w:tcPr>
          <w:p w14:paraId="4FD838F6">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p>
        </w:tc>
        <w:tc>
          <w:tcPr>
            <w:tcW w:w="1000" w:type="dxa"/>
            <w:vMerge w:val="continue"/>
            <w:tcBorders>
              <w:top w:val="nil"/>
              <w:left w:val="single" w:color="auto" w:sz="4" w:space="0"/>
              <w:bottom w:val="single" w:color="auto" w:sz="4" w:space="0"/>
              <w:right w:val="single" w:color="auto" w:sz="4" w:space="0"/>
            </w:tcBorders>
            <w:noWrap w:val="0"/>
            <w:tcMar>
              <w:top w:w="28" w:type="dxa"/>
              <w:left w:w="28" w:type="dxa"/>
              <w:bottom w:w="28" w:type="dxa"/>
              <w:right w:w="28" w:type="dxa"/>
            </w:tcMar>
            <w:vAlign w:val="center"/>
          </w:tcPr>
          <w:p w14:paraId="3684E649">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p>
        </w:tc>
        <w:tc>
          <w:tcPr>
            <w:tcW w:w="130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20F203B5">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巡检 (3分)</w:t>
            </w:r>
          </w:p>
        </w:tc>
        <w:tc>
          <w:tcPr>
            <w:tcW w:w="340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2CADFE8A">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每周及重大节会前夕，对机房内IT硬件设备和运行环境设施进行一次全面巡检，对机房维护范围内公共支撑软件和业务系统进行全面巡检和备份，并做好巡检记录。</w:t>
            </w:r>
          </w:p>
        </w:tc>
        <w:tc>
          <w:tcPr>
            <w:tcW w:w="224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36F58E12">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未按要求进行巡检、备份等工作，一次扣0.25分。</w:t>
            </w:r>
          </w:p>
        </w:tc>
        <w:tc>
          <w:tcPr>
            <w:tcW w:w="58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4CFA5236">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r>
      <w:tr w14:paraId="13F64CEB">
        <w:tblPrEx>
          <w:tblCellMar>
            <w:top w:w="0" w:type="dxa"/>
            <w:left w:w="108" w:type="dxa"/>
            <w:bottom w:w="0" w:type="dxa"/>
            <w:right w:w="108" w:type="dxa"/>
          </w:tblCellMar>
        </w:tblPrEx>
        <w:trPr>
          <w:trHeight w:val="0" w:hRule="atLeast"/>
          <w:jc w:val="center"/>
        </w:trPr>
        <w:tc>
          <w:tcPr>
            <w:tcW w:w="960" w:type="dxa"/>
            <w:vMerge w:val="continue"/>
            <w:tcBorders>
              <w:top w:val="nil"/>
              <w:left w:val="single" w:color="auto" w:sz="4" w:space="0"/>
              <w:bottom w:val="single" w:color="000000" w:sz="4" w:space="0"/>
              <w:right w:val="single" w:color="auto" w:sz="4" w:space="0"/>
            </w:tcBorders>
            <w:noWrap w:val="0"/>
            <w:tcMar>
              <w:top w:w="28" w:type="dxa"/>
              <w:left w:w="28" w:type="dxa"/>
              <w:bottom w:w="28" w:type="dxa"/>
              <w:right w:w="28" w:type="dxa"/>
            </w:tcMar>
            <w:vAlign w:val="center"/>
          </w:tcPr>
          <w:p w14:paraId="359BC408">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p>
        </w:tc>
        <w:tc>
          <w:tcPr>
            <w:tcW w:w="1000" w:type="dxa"/>
            <w:vMerge w:val="continue"/>
            <w:tcBorders>
              <w:top w:val="nil"/>
              <w:left w:val="single" w:color="auto" w:sz="4" w:space="0"/>
              <w:bottom w:val="single" w:color="auto" w:sz="4" w:space="0"/>
              <w:right w:val="single" w:color="auto" w:sz="4" w:space="0"/>
            </w:tcBorders>
            <w:noWrap w:val="0"/>
            <w:tcMar>
              <w:top w:w="28" w:type="dxa"/>
              <w:left w:w="28" w:type="dxa"/>
              <w:bottom w:w="28" w:type="dxa"/>
              <w:right w:w="28" w:type="dxa"/>
            </w:tcMar>
            <w:vAlign w:val="center"/>
          </w:tcPr>
          <w:p w14:paraId="50EEB95D">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p>
        </w:tc>
        <w:tc>
          <w:tcPr>
            <w:tcW w:w="130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4230BD7B">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接待</w:t>
            </w:r>
            <w:r>
              <w:rPr>
                <w:rFonts w:hint="eastAsia" w:ascii="宋体" w:hAnsi="宋体" w:cs="宋体"/>
                <w:color w:val="auto"/>
                <w:kern w:val="0"/>
                <w:sz w:val="20"/>
                <w:szCs w:val="20"/>
                <w:highlight w:val="none"/>
              </w:rPr>
              <w:br w:type="textWrapping"/>
            </w:r>
            <w:r>
              <w:rPr>
                <w:rFonts w:hint="eastAsia" w:ascii="宋体" w:hAnsi="宋体" w:cs="宋体"/>
                <w:color w:val="auto"/>
                <w:kern w:val="0"/>
                <w:sz w:val="20"/>
                <w:szCs w:val="20"/>
                <w:highlight w:val="none"/>
              </w:rPr>
              <w:t xml:space="preserve"> (3分）</w:t>
            </w:r>
          </w:p>
        </w:tc>
        <w:tc>
          <w:tcPr>
            <w:tcW w:w="340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42F414E7">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接待相关领导以及客户现场巡查以及到相关现场展示平台信息</w:t>
            </w:r>
          </w:p>
        </w:tc>
        <w:tc>
          <w:tcPr>
            <w:tcW w:w="224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2717C195">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未做到有人员接待的，一次扣0.25分</w:t>
            </w:r>
          </w:p>
        </w:tc>
        <w:tc>
          <w:tcPr>
            <w:tcW w:w="58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57312755">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r>
      <w:tr w14:paraId="5AC0CFBF">
        <w:tblPrEx>
          <w:tblCellMar>
            <w:top w:w="0" w:type="dxa"/>
            <w:left w:w="108" w:type="dxa"/>
            <w:bottom w:w="0" w:type="dxa"/>
            <w:right w:w="108" w:type="dxa"/>
          </w:tblCellMar>
        </w:tblPrEx>
        <w:trPr>
          <w:trHeight w:val="0" w:hRule="atLeast"/>
          <w:jc w:val="center"/>
        </w:trPr>
        <w:tc>
          <w:tcPr>
            <w:tcW w:w="960" w:type="dxa"/>
            <w:vMerge w:val="continue"/>
            <w:tcBorders>
              <w:top w:val="nil"/>
              <w:left w:val="single" w:color="auto" w:sz="4" w:space="0"/>
              <w:bottom w:val="single" w:color="000000" w:sz="4" w:space="0"/>
              <w:right w:val="single" w:color="auto" w:sz="4" w:space="0"/>
            </w:tcBorders>
            <w:noWrap w:val="0"/>
            <w:tcMar>
              <w:top w:w="28" w:type="dxa"/>
              <w:left w:w="28" w:type="dxa"/>
              <w:bottom w:w="28" w:type="dxa"/>
              <w:right w:w="28" w:type="dxa"/>
            </w:tcMar>
            <w:vAlign w:val="center"/>
          </w:tcPr>
          <w:p w14:paraId="3405A3AC">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p>
        </w:tc>
        <w:tc>
          <w:tcPr>
            <w:tcW w:w="1000" w:type="dxa"/>
            <w:vMerge w:val="continue"/>
            <w:tcBorders>
              <w:top w:val="nil"/>
              <w:left w:val="single" w:color="auto" w:sz="4" w:space="0"/>
              <w:bottom w:val="single" w:color="auto" w:sz="4" w:space="0"/>
              <w:right w:val="single" w:color="auto" w:sz="4" w:space="0"/>
            </w:tcBorders>
            <w:noWrap w:val="0"/>
            <w:tcMar>
              <w:top w:w="28" w:type="dxa"/>
              <w:left w:w="28" w:type="dxa"/>
              <w:bottom w:w="28" w:type="dxa"/>
              <w:right w:w="28" w:type="dxa"/>
            </w:tcMar>
            <w:vAlign w:val="center"/>
          </w:tcPr>
          <w:p w14:paraId="2ECB4A40">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p>
        </w:tc>
        <w:tc>
          <w:tcPr>
            <w:tcW w:w="130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3F231615">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备件（2分）</w:t>
            </w:r>
          </w:p>
        </w:tc>
        <w:tc>
          <w:tcPr>
            <w:tcW w:w="340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1CDAD7E7">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对维护范围内关键设备建立备品、备件。</w:t>
            </w:r>
          </w:p>
        </w:tc>
        <w:tc>
          <w:tcPr>
            <w:tcW w:w="224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5CBBD8E7">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设备损坏后未能按要求及时提供备品、备件的，一次扣0.25分。</w:t>
            </w:r>
          </w:p>
        </w:tc>
        <w:tc>
          <w:tcPr>
            <w:tcW w:w="58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4BD88E3B">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r>
      <w:tr w14:paraId="7666E780">
        <w:tblPrEx>
          <w:tblCellMar>
            <w:top w:w="0" w:type="dxa"/>
            <w:left w:w="108" w:type="dxa"/>
            <w:bottom w:w="0" w:type="dxa"/>
            <w:right w:w="108" w:type="dxa"/>
          </w:tblCellMar>
        </w:tblPrEx>
        <w:trPr>
          <w:trHeight w:val="0" w:hRule="atLeast"/>
          <w:jc w:val="center"/>
        </w:trPr>
        <w:tc>
          <w:tcPr>
            <w:tcW w:w="960" w:type="dxa"/>
            <w:vMerge w:val="continue"/>
            <w:tcBorders>
              <w:top w:val="nil"/>
              <w:left w:val="single" w:color="auto" w:sz="4" w:space="0"/>
              <w:bottom w:val="single" w:color="000000" w:sz="4" w:space="0"/>
              <w:right w:val="single" w:color="auto" w:sz="4" w:space="0"/>
            </w:tcBorders>
            <w:noWrap w:val="0"/>
            <w:tcMar>
              <w:top w:w="28" w:type="dxa"/>
              <w:left w:w="28" w:type="dxa"/>
              <w:bottom w:w="28" w:type="dxa"/>
              <w:right w:w="28" w:type="dxa"/>
            </w:tcMar>
            <w:vAlign w:val="center"/>
          </w:tcPr>
          <w:p w14:paraId="2D84F36C">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p>
        </w:tc>
        <w:tc>
          <w:tcPr>
            <w:tcW w:w="1000" w:type="dxa"/>
            <w:vMerge w:val="continue"/>
            <w:tcBorders>
              <w:top w:val="nil"/>
              <w:left w:val="single" w:color="auto" w:sz="4" w:space="0"/>
              <w:bottom w:val="single" w:color="auto" w:sz="4" w:space="0"/>
              <w:right w:val="single" w:color="auto" w:sz="4" w:space="0"/>
            </w:tcBorders>
            <w:noWrap w:val="0"/>
            <w:tcMar>
              <w:top w:w="28" w:type="dxa"/>
              <w:left w:w="28" w:type="dxa"/>
              <w:bottom w:w="28" w:type="dxa"/>
              <w:right w:w="28" w:type="dxa"/>
            </w:tcMar>
            <w:vAlign w:val="center"/>
          </w:tcPr>
          <w:p w14:paraId="7ABB97C8">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p>
        </w:tc>
        <w:tc>
          <w:tcPr>
            <w:tcW w:w="130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61399EF6">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常驻人员</w:t>
            </w:r>
            <w:r>
              <w:rPr>
                <w:rFonts w:hint="eastAsia" w:ascii="宋体" w:hAnsi="宋体" w:cs="宋体"/>
                <w:color w:val="auto"/>
                <w:kern w:val="0"/>
                <w:sz w:val="20"/>
                <w:szCs w:val="20"/>
                <w:highlight w:val="none"/>
              </w:rPr>
              <w:br w:type="textWrapping"/>
            </w:r>
            <w:r>
              <w:rPr>
                <w:rFonts w:hint="eastAsia" w:ascii="宋体" w:hAnsi="宋体" w:cs="宋体"/>
                <w:color w:val="auto"/>
                <w:kern w:val="0"/>
                <w:sz w:val="20"/>
                <w:szCs w:val="20"/>
                <w:highlight w:val="none"/>
              </w:rPr>
              <w:t>（3分）</w:t>
            </w:r>
          </w:p>
        </w:tc>
        <w:tc>
          <w:tcPr>
            <w:tcW w:w="340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1DEC4225">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常驻人员应遵守甲方相关规定，不得工作时间擅离岗位，不得做与服务无关的事情</w:t>
            </w:r>
          </w:p>
        </w:tc>
        <w:tc>
          <w:tcPr>
            <w:tcW w:w="224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7697FA18">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达到考核目标值得满分，出现一次人员不在岗，扣0.5分</w:t>
            </w:r>
          </w:p>
        </w:tc>
        <w:tc>
          <w:tcPr>
            <w:tcW w:w="58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17C3D80D">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r>
      <w:tr w14:paraId="6BF78AC2">
        <w:tblPrEx>
          <w:tblCellMar>
            <w:top w:w="0" w:type="dxa"/>
            <w:left w:w="108" w:type="dxa"/>
            <w:bottom w:w="0" w:type="dxa"/>
            <w:right w:w="108" w:type="dxa"/>
          </w:tblCellMar>
        </w:tblPrEx>
        <w:trPr>
          <w:trHeight w:val="0" w:hRule="atLeast"/>
          <w:jc w:val="center"/>
        </w:trPr>
        <w:tc>
          <w:tcPr>
            <w:tcW w:w="960" w:type="dxa"/>
            <w:vMerge w:val="continue"/>
            <w:tcBorders>
              <w:top w:val="nil"/>
              <w:left w:val="single" w:color="auto" w:sz="4" w:space="0"/>
              <w:bottom w:val="single" w:color="000000" w:sz="4" w:space="0"/>
              <w:right w:val="single" w:color="auto" w:sz="4" w:space="0"/>
            </w:tcBorders>
            <w:noWrap w:val="0"/>
            <w:tcMar>
              <w:top w:w="28" w:type="dxa"/>
              <w:left w:w="28" w:type="dxa"/>
              <w:bottom w:w="28" w:type="dxa"/>
              <w:right w:w="28" w:type="dxa"/>
            </w:tcMar>
            <w:vAlign w:val="center"/>
          </w:tcPr>
          <w:p w14:paraId="31C6445E">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p>
        </w:tc>
        <w:tc>
          <w:tcPr>
            <w:tcW w:w="1000" w:type="dxa"/>
            <w:vMerge w:val="continue"/>
            <w:tcBorders>
              <w:top w:val="nil"/>
              <w:left w:val="single" w:color="auto" w:sz="4" w:space="0"/>
              <w:bottom w:val="single" w:color="auto" w:sz="4" w:space="0"/>
              <w:right w:val="single" w:color="auto" w:sz="4" w:space="0"/>
            </w:tcBorders>
            <w:noWrap w:val="0"/>
            <w:tcMar>
              <w:top w:w="28" w:type="dxa"/>
              <w:left w:w="28" w:type="dxa"/>
              <w:bottom w:w="28" w:type="dxa"/>
              <w:right w:w="28" w:type="dxa"/>
            </w:tcMar>
            <w:vAlign w:val="center"/>
          </w:tcPr>
          <w:p w14:paraId="580548DF">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p>
        </w:tc>
        <w:tc>
          <w:tcPr>
            <w:tcW w:w="130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021E63F7">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运维报告</w:t>
            </w:r>
            <w:r>
              <w:rPr>
                <w:rFonts w:hint="eastAsia" w:ascii="宋体" w:hAnsi="宋体" w:cs="宋体"/>
                <w:color w:val="auto"/>
                <w:kern w:val="0"/>
                <w:sz w:val="20"/>
                <w:szCs w:val="20"/>
                <w:highlight w:val="none"/>
              </w:rPr>
              <w:br w:type="textWrapping"/>
            </w:r>
            <w:r>
              <w:rPr>
                <w:rFonts w:hint="eastAsia" w:ascii="宋体" w:hAnsi="宋体" w:cs="宋体"/>
                <w:color w:val="auto"/>
                <w:kern w:val="0"/>
                <w:sz w:val="20"/>
                <w:szCs w:val="20"/>
                <w:highlight w:val="none"/>
              </w:rPr>
              <w:t>（2分）</w:t>
            </w:r>
          </w:p>
        </w:tc>
        <w:tc>
          <w:tcPr>
            <w:tcW w:w="340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331B3F17">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根据甲方要求按期提交相关报告</w:t>
            </w:r>
          </w:p>
        </w:tc>
        <w:tc>
          <w:tcPr>
            <w:tcW w:w="224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385CB934">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未按期提交相关报告的每五次扣0.25分。</w:t>
            </w:r>
          </w:p>
        </w:tc>
        <w:tc>
          <w:tcPr>
            <w:tcW w:w="58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6F5AB057">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r>
      <w:tr w14:paraId="7A0F5108">
        <w:tblPrEx>
          <w:tblCellMar>
            <w:top w:w="0" w:type="dxa"/>
            <w:left w:w="108" w:type="dxa"/>
            <w:bottom w:w="0" w:type="dxa"/>
            <w:right w:w="108" w:type="dxa"/>
          </w:tblCellMar>
        </w:tblPrEx>
        <w:trPr>
          <w:trHeight w:val="0" w:hRule="atLeast"/>
          <w:jc w:val="center"/>
        </w:trPr>
        <w:tc>
          <w:tcPr>
            <w:tcW w:w="960" w:type="dxa"/>
            <w:vMerge w:val="continue"/>
            <w:tcBorders>
              <w:top w:val="nil"/>
              <w:left w:val="single" w:color="auto" w:sz="4" w:space="0"/>
              <w:bottom w:val="single" w:color="000000" w:sz="4" w:space="0"/>
              <w:right w:val="single" w:color="auto" w:sz="4" w:space="0"/>
            </w:tcBorders>
            <w:noWrap w:val="0"/>
            <w:tcMar>
              <w:top w:w="28" w:type="dxa"/>
              <w:left w:w="28" w:type="dxa"/>
              <w:bottom w:w="28" w:type="dxa"/>
              <w:right w:w="28" w:type="dxa"/>
            </w:tcMar>
            <w:vAlign w:val="center"/>
          </w:tcPr>
          <w:p w14:paraId="30317610">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p>
        </w:tc>
        <w:tc>
          <w:tcPr>
            <w:tcW w:w="1000" w:type="dxa"/>
            <w:vMerge w:val="restart"/>
            <w:tcBorders>
              <w:top w:val="nil"/>
              <w:left w:val="single" w:color="auto" w:sz="4" w:space="0"/>
              <w:bottom w:val="single" w:color="auto" w:sz="4" w:space="0"/>
              <w:right w:val="single" w:color="auto" w:sz="4" w:space="0"/>
            </w:tcBorders>
            <w:noWrap w:val="0"/>
            <w:tcMar>
              <w:top w:w="28" w:type="dxa"/>
              <w:left w:w="28" w:type="dxa"/>
              <w:bottom w:w="28" w:type="dxa"/>
              <w:right w:w="28" w:type="dxa"/>
            </w:tcMar>
            <w:vAlign w:val="center"/>
          </w:tcPr>
          <w:p w14:paraId="68597E7A">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需求响应（25分）</w:t>
            </w:r>
          </w:p>
        </w:tc>
        <w:tc>
          <w:tcPr>
            <w:tcW w:w="130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1E8196FA">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渠道畅通率</w:t>
            </w:r>
            <w:r>
              <w:rPr>
                <w:rFonts w:hint="eastAsia" w:ascii="宋体" w:hAnsi="宋体" w:cs="宋体"/>
                <w:color w:val="auto"/>
                <w:kern w:val="0"/>
                <w:sz w:val="20"/>
                <w:szCs w:val="20"/>
                <w:highlight w:val="none"/>
              </w:rPr>
              <w:br w:type="textWrapping"/>
            </w:r>
            <w:r>
              <w:rPr>
                <w:rFonts w:hint="eastAsia" w:ascii="宋体" w:hAnsi="宋体" w:cs="宋体"/>
                <w:color w:val="auto"/>
                <w:kern w:val="0"/>
                <w:sz w:val="20"/>
                <w:szCs w:val="20"/>
                <w:highlight w:val="none"/>
              </w:rPr>
              <w:t>（5分）</w:t>
            </w:r>
          </w:p>
        </w:tc>
        <w:tc>
          <w:tcPr>
            <w:tcW w:w="340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17016EC4">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应建立多种服务渠道，保证能够及时响应、接收、反馈用户需求，与各用户单位建立良好的沟通机制，保障7×24小时服务渠道畅通，服务渠道方式包括电话、微信、邮箱等，为保障渠道的畅通，主管单位将不定期随机抽检渠道畅通率。</w:t>
            </w:r>
            <w:r>
              <w:rPr>
                <w:rFonts w:hint="eastAsia" w:ascii="宋体" w:hAnsi="宋体" w:cs="宋体"/>
                <w:color w:val="auto"/>
                <w:kern w:val="0"/>
                <w:sz w:val="20"/>
                <w:szCs w:val="20"/>
                <w:highlight w:val="none"/>
              </w:rPr>
              <w:br w:type="textWrapping"/>
            </w:r>
            <w:r>
              <w:rPr>
                <w:rFonts w:hint="eastAsia" w:ascii="宋体" w:hAnsi="宋体" w:cs="宋体"/>
                <w:color w:val="auto"/>
                <w:kern w:val="0"/>
                <w:sz w:val="20"/>
                <w:szCs w:val="20"/>
                <w:highlight w:val="none"/>
              </w:rPr>
              <w:t>渠道畅通是指运维团队与主管单位或用户单位的沟通渠道能实现及时响应（电话及时接听、微信及时回复、邮件及时回复）情况。</w:t>
            </w:r>
          </w:p>
        </w:tc>
        <w:tc>
          <w:tcPr>
            <w:tcW w:w="224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1F04A40E">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达到考核目标值得满分，每发现一次沟通渠道不畅通的，扣0.5分</w:t>
            </w:r>
          </w:p>
        </w:tc>
        <w:tc>
          <w:tcPr>
            <w:tcW w:w="58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0084970E">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r>
      <w:tr w14:paraId="151C1EBB">
        <w:tblPrEx>
          <w:tblCellMar>
            <w:top w:w="0" w:type="dxa"/>
            <w:left w:w="108" w:type="dxa"/>
            <w:bottom w:w="0" w:type="dxa"/>
            <w:right w:w="108" w:type="dxa"/>
          </w:tblCellMar>
        </w:tblPrEx>
        <w:trPr>
          <w:trHeight w:val="0" w:hRule="atLeast"/>
          <w:jc w:val="center"/>
        </w:trPr>
        <w:tc>
          <w:tcPr>
            <w:tcW w:w="960" w:type="dxa"/>
            <w:vMerge w:val="continue"/>
            <w:tcBorders>
              <w:top w:val="nil"/>
              <w:left w:val="single" w:color="auto" w:sz="4" w:space="0"/>
              <w:bottom w:val="single" w:color="000000" w:sz="4" w:space="0"/>
              <w:right w:val="single" w:color="auto" w:sz="4" w:space="0"/>
            </w:tcBorders>
            <w:noWrap w:val="0"/>
            <w:tcMar>
              <w:top w:w="28" w:type="dxa"/>
              <w:left w:w="28" w:type="dxa"/>
              <w:bottom w:w="28" w:type="dxa"/>
              <w:right w:w="28" w:type="dxa"/>
            </w:tcMar>
            <w:vAlign w:val="center"/>
          </w:tcPr>
          <w:p w14:paraId="6822C640">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p>
        </w:tc>
        <w:tc>
          <w:tcPr>
            <w:tcW w:w="1000" w:type="dxa"/>
            <w:vMerge w:val="continue"/>
            <w:tcBorders>
              <w:top w:val="nil"/>
              <w:left w:val="single" w:color="auto" w:sz="4" w:space="0"/>
              <w:bottom w:val="single" w:color="auto" w:sz="4" w:space="0"/>
              <w:right w:val="single" w:color="auto" w:sz="4" w:space="0"/>
            </w:tcBorders>
            <w:noWrap w:val="0"/>
            <w:tcMar>
              <w:top w:w="28" w:type="dxa"/>
              <w:left w:w="28" w:type="dxa"/>
              <w:bottom w:w="28" w:type="dxa"/>
              <w:right w:w="28" w:type="dxa"/>
            </w:tcMar>
            <w:vAlign w:val="center"/>
          </w:tcPr>
          <w:p w14:paraId="37945FC6">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p>
        </w:tc>
        <w:tc>
          <w:tcPr>
            <w:tcW w:w="130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4F38B41D">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资源交付</w:t>
            </w:r>
            <w:r>
              <w:rPr>
                <w:rFonts w:hint="eastAsia" w:ascii="宋体" w:hAnsi="宋体" w:cs="宋体"/>
                <w:color w:val="auto"/>
                <w:kern w:val="0"/>
                <w:sz w:val="20"/>
                <w:szCs w:val="20"/>
                <w:highlight w:val="none"/>
              </w:rPr>
              <w:br w:type="textWrapping"/>
            </w:r>
            <w:r>
              <w:rPr>
                <w:rFonts w:hint="eastAsia" w:ascii="宋体" w:hAnsi="宋体" w:cs="宋体"/>
                <w:color w:val="auto"/>
                <w:kern w:val="0"/>
                <w:sz w:val="20"/>
                <w:szCs w:val="20"/>
                <w:highlight w:val="none"/>
              </w:rPr>
              <w:t>（10分）</w:t>
            </w:r>
          </w:p>
        </w:tc>
        <w:tc>
          <w:tcPr>
            <w:tcW w:w="340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32EDB9C8">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根据甲方要求按期完成资源交付，并提供相应交付回执单。</w:t>
            </w:r>
          </w:p>
        </w:tc>
        <w:tc>
          <w:tcPr>
            <w:tcW w:w="224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36F99629">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未按期完成资源交付的，一次扣0.5分</w:t>
            </w:r>
          </w:p>
        </w:tc>
        <w:tc>
          <w:tcPr>
            <w:tcW w:w="58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36210E28">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r>
      <w:tr w14:paraId="6B22B0C6">
        <w:tblPrEx>
          <w:tblCellMar>
            <w:top w:w="0" w:type="dxa"/>
            <w:left w:w="108" w:type="dxa"/>
            <w:bottom w:w="0" w:type="dxa"/>
            <w:right w:w="108" w:type="dxa"/>
          </w:tblCellMar>
        </w:tblPrEx>
        <w:trPr>
          <w:trHeight w:val="0" w:hRule="atLeast"/>
          <w:jc w:val="center"/>
        </w:trPr>
        <w:tc>
          <w:tcPr>
            <w:tcW w:w="960" w:type="dxa"/>
            <w:vMerge w:val="continue"/>
            <w:tcBorders>
              <w:top w:val="nil"/>
              <w:left w:val="single" w:color="auto" w:sz="4" w:space="0"/>
              <w:bottom w:val="single" w:color="000000" w:sz="4" w:space="0"/>
              <w:right w:val="single" w:color="auto" w:sz="4" w:space="0"/>
            </w:tcBorders>
            <w:noWrap w:val="0"/>
            <w:tcMar>
              <w:top w:w="28" w:type="dxa"/>
              <w:left w:w="28" w:type="dxa"/>
              <w:bottom w:w="28" w:type="dxa"/>
              <w:right w:w="28" w:type="dxa"/>
            </w:tcMar>
            <w:vAlign w:val="center"/>
          </w:tcPr>
          <w:p w14:paraId="41B612B8">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p>
        </w:tc>
        <w:tc>
          <w:tcPr>
            <w:tcW w:w="1000" w:type="dxa"/>
            <w:vMerge w:val="continue"/>
            <w:tcBorders>
              <w:top w:val="nil"/>
              <w:left w:val="single" w:color="auto" w:sz="4" w:space="0"/>
              <w:bottom w:val="single" w:color="auto" w:sz="4" w:space="0"/>
              <w:right w:val="single" w:color="auto" w:sz="4" w:space="0"/>
            </w:tcBorders>
            <w:noWrap w:val="0"/>
            <w:tcMar>
              <w:top w:w="28" w:type="dxa"/>
              <w:left w:w="28" w:type="dxa"/>
              <w:bottom w:w="28" w:type="dxa"/>
              <w:right w:w="28" w:type="dxa"/>
            </w:tcMar>
            <w:vAlign w:val="center"/>
          </w:tcPr>
          <w:p w14:paraId="6AE3EF54">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p>
        </w:tc>
        <w:tc>
          <w:tcPr>
            <w:tcW w:w="130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6F81FE8A">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变更（5分）</w:t>
            </w:r>
          </w:p>
        </w:tc>
        <w:tc>
          <w:tcPr>
            <w:tcW w:w="340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49A5715E">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变更需求由用户单位提出变更申请，并提交信息中心进行审批，审批通过后，运维团队应在变更前制定工作方案和计划，信息中心对变更计划和方案进行审核确认。在变更执行过程中，运维人员应按变更方案要求执行变更操作，如相关操作与预期目的差距较大，应立即中断操作并上报信息中心评估。</w:t>
            </w:r>
          </w:p>
        </w:tc>
        <w:tc>
          <w:tcPr>
            <w:tcW w:w="224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6C6B6B97">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未制定变更方案和计划的、未按要求执行变更操作的，一次扣0.25分</w:t>
            </w:r>
          </w:p>
        </w:tc>
        <w:tc>
          <w:tcPr>
            <w:tcW w:w="58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5E240821">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r>
      <w:tr w14:paraId="2E23FB69">
        <w:tblPrEx>
          <w:tblCellMar>
            <w:top w:w="0" w:type="dxa"/>
            <w:left w:w="108" w:type="dxa"/>
            <w:bottom w:w="0" w:type="dxa"/>
            <w:right w:w="108" w:type="dxa"/>
          </w:tblCellMar>
        </w:tblPrEx>
        <w:trPr>
          <w:trHeight w:val="0" w:hRule="atLeast"/>
          <w:jc w:val="center"/>
        </w:trPr>
        <w:tc>
          <w:tcPr>
            <w:tcW w:w="960" w:type="dxa"/>
            <w:vMerge w:val="continue"/>
            <w:tcBorders>
              <w:top w:val="nil"/>
              <w:left w:val="single" w:color="auto" w:sz="4" w:space="0"/>
              <w:bottom w:val="single" w:color="000000" w:sz="4" w:space="0"/>
              <w:right w:val="single" w:color="auto" w:sz="4" w:space="0"/>
            </w:tcBorders>
            <w:shd w:val="clear" w:color="auto" w:fill="auto"/>
            <w:noWrap w:val="0"/>
            <w:tcMar>
              <w:top w:w="28" w:type="dxa"/>
              <w:left w:w="28" w:type="dxa"/>
              <w:bottom w:w="28" w:type="dxa"/>
              <w:right w:w="28" w:type="dxa"/>
            </w:tcMar>
            <w:vAlign w:val="center"/>
          </w:tcPr>
          <w:p w14:paraId="02F46EC3">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noWrap w:val="0"/>
            <w:tcMar>
              <w:top w:w="28" w:type="dxa"/>
              <w:left w:w="28" w:type="dxa"/>
              <w:bottom w:w="28" w:type="dxa"/>
              <w:right w:w="28" w:type="dxa"/>
            </w:tcMar>
            <w:vAlign w:val="center"/>
          </w:tcPr>
          <w:p w14:paraId="6F90A478">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p>
        </w:tc>
        <w:tc>
          <w:tcPr>
            <w:tcW w:w="1300" w:type="dxa"/>
            <w:tcBorders>
              <w:top w:val="nil"/>
              <w:left w:val="nil"/>
              <w:bottom w:val="single" w:color="auto" w:sz="4" w:space="0"/>
              <w:right w:val="single" w:color="auto" w:sz="4" w:space="0"/>
            </w:tcBorders>
            <w:shd w:val="clear" w:color="auto" w:fill="auto"/>
            <w:noWrap w:val="0"/>
            <w:tcMar>
              <w:top w:w="28" w:type="dxa"/>
              <w:left w:w="28" w:type="dxa"/>
              <w:bottom w:w="28" w:type="dxa"/>
              <w:right w:w="28" w:type="dxa"/>
            </w:tcMar>
            <w:vAlign w:val="center"/>
          </w:tcPr>
          <w:p w14:paraId="4A71E727">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配合</w:t>
            </w:r>
            <w:r>
              <w:rPr>
                <w:rFonts w:hint="eastAsia" w:ascii="宋体" w:hAnsi="宋体" w:cs="宋体"/>
                <w:color w:val="auto"/>
                <w:kern w:val="0"/>
                <w:sz w:val="20"/>
                <w:szCs w:val="20"/>
                <w:highlight w:val="none"/>
              </w:rPr>
              <w:br w:type="textWrapping"/>
            </w:r>
            <w:r>
              <w:rPr>
                <w:rFonts w:hint="eastAsia" w:ascii="宋体" w:hAnsi="宋体" w:cs="宋体"/>
                <w:color w:val="auto"/>
                <w:kern w:val="0"/>
                <w:sz w:val="20"/>
                <w:szCs w:val="20"/>
                <w:highlight w:val="none"/>
              </w:rPr>
              <w:t>（5分）</w:t>
            </w:r>
          </w:p>
        </w:tc>
        <w:tc>
          <w:tcPr>
            <w:tcW w:w="3400" w:type="dxa"/>
            <w:tcBorders>
              <w:top w:val="nil"/>
              <w:left w:val="nil"/>
              <w:bottom w:val="single" w:color="auto" w:sz="4" w:space="0"/>
              <w:right w:val="single" w:color="auto" w:sz="4" w:space="0"/>
            </w:tcBorders>
            <w:shd w:val="clear" w:color="auto" w:fill="auto"/>
            <w:noWrap w:val="0"/>
            <w:tcMar>
              <w:top w:w="28" w:type="dxa"/>
              <w:left w:w="28" w:type="dxa"/>
              <w:bottom w:w="28" w:type="dxa"/>
              <w:right w:w="28" w:type="dxa"/>
            </w:tcMar>
            <w:vAlign w:val="center"/>
          </w:tcPr>
          <w:p w14:paraId="62AA07D4">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对于政务云主管单位通知或整改要求等，运维团队应及时响应，根据主管单位的通知或整改要求，对现有工作内容进行优化调整。</w:t>
            </w:r>
          </w:p>
        </w:tc>
        <w:tc>
          <w:tcPr>
            <w:tcW w:w="2240" w:type="dxa"/>
            <w:tcBorders>
              <w:top w:val="nil"/>
              <w:left w:val="nil"/>
              <w:bottom w:val="single" w:color="auto" w:sz="4" w:space="0"/>
              <w:right w:val="single" w:color="auto" w:sz="4" w:space="0"/>
            </w:tcBorders>
            <w:shd w:val="clear" w:color="auto" w:fill="auto"/>
            <w:noWrap w:val="0"/>
            <w:tcMar>
              <w:top w:w="28" w:type="dxa"/>
              <w:left w:w="28" w:type="dxa"/>
              <w:bottom w:w="28" w:type="dxa"/>
              <w:right w:w="28" w:type="dxa"/>
            </w:tcMar>
            <w:vAlign w:val="center"/>
          </w:tcPr>
          <w:p w14:paraId="3AE81610">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提出的问题及时响应并按时完成，满分，未响应，扣0.5分，未按时完成，每发生一次，扣0.25分</w:t>
            </w:r>
          </w:p>
        </w:tc>
        <w:tc>
          <w:tcPr>
            <w:tcW w:w="580" w:type="dxa"/>
            <w:tcBorders>
              <w:top w:val="nil"/>
              <w:left w:val="nil"/>
              <w:bottom w:val="single" w:color="auto" w:sz="4" w:space="0"/>
              <w:right w:val="single" w:color="auto" w:sz="4" w:space="0"/>
            </w:tcBorders>
            <w:shd w:val="clear" w:color="000000" w:fill="FFFFFF"/>
            <w:noWrap w:val="0"/>
            <w:tcMar>
              <w:top w:w="28" w:type="dxa"/>
              <w:left w:w="28" w:type="dxa"/>
              <w:bottom w:w="28" w:type="dxa"/>
              <w:right w:w="28" w:type="dxa"/>
            </w:tcMar>
            <w:vAlign w:val="center"/>
          </w:tcPr>
          <w:p w14:paraId="0BE0ABC5">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r>
      <w:tr w14:paraId="22892B1C">
        <w:tblPrEx>
          <w:tblCellMar>
            <w:top w:w="0" w:type="dxa"/>
            <w:left w:w="108" w:type="dxa"/>
            <w:bottom w:w="0" w:type="dxa"/>
            <w:right w:w="108" w:type="dxa"/>
          </w:tblCellMar>
        </w:tblPrEx>
        <w:trPr>
          <w:trHeight w:val="0" w:hRule="atLeast"/>
          <w:jc w:val="center"/>
        </w:trPr>
        <w:tc>
          <w:tcPr>
            <w:tcW w:w="960" w:type="dxa"/>
            <w:vMerge w:val="continue"/>
            <w:tcBorders>
              <w:top w:val="nil"/>
              <w:left w:val="single" w:color="auto" w:sz="4" w:space="0"/>
              <w:bottom w:val="single" w:color="000000" w:sz="4" w:space="0"/>
              <w:right w:val="single" w:color="auto" w:sz="4" w:space="0"/>
            </w:tcBorders>
            <w:noWrap w:val="0"/>
            <w:tcMar>
              <w:top w:w="28" w:type="dxa"/>
              <w:left w:w="28" w:type="dxa"/>
              <w:bottom w:w="28" w:type="dxa"/>
              <w:right w:w="28" w:type="dxa"/>
            </w:tcMar>
            <w:vAlign w:val="center"/>
          </w:tcPr>
          <w:p w14:paraId="086B1C1A">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p>
        </w:tc>
        <w:tc>
          <w:tcPr>
            <w:tcW w:w="1000" w:type="dxa"/>
            <w:vMerge w:val="restart"/>
            <w:tcBorders>
              <w:top w:val="nil"/>
              <w:left w:val="single" w:color="auto" w:sz="4" w:space="0"/>
              <w:bottom w:val="single" w:color="auto" w:sz="4" w:space="0"/>
              <w:right w:val="single" w:color="auto" w:sz="4" w:space="0"/>
            </w:tcBorders>
            <w:noWrap w:val="0"/>
            <w:tcMar>
              <w:top w:w="28" w:type="dxa"/>
              <w:left w:w="28" w:type="dxa"/>
              <w:bottom w:w="28" w:type="dxa"/>
              <w:right w:w="28" w:type="dxa"/>
            </w:tcMar>
            <w:vAlign w:val="center"/>
          </w:tcPr>
          <w:p w14:paraId="4B5B7DCD">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故障处理（30分）</w:t>
            </w:r>
          </w:p>
        </w:tc>
        <w:tc>
          <w:tcPr>
            <w:tcW w:w="130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655C4580">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四级故障：局部网络性能降低（网络或业务应用系统速度明显降低）（5分）</w:t>
            </w:r>
          </w:p>
        </w:tc>
        <w:tc>
          <w:tcPr>
            <w:tcW w:w="340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6F177206">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xml:space="preserve">局部网络速度慢，或10%以上业务应用系统速度慢，一般告警1天内没有解决（特殊情况申请后可以延期，最长不超过5个工作日）及其他相当于此级别的故障。 </w:t>
            </w:r>
          </w:p>
        </w:tc>
        <w:tc>
          <w:tcPr>
            <w:tcW w:w="224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1E9551CE">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在</w:t>
            </w:r>
            <w:r>
              <w:rPr>
                <w:rFonts w:hint="eastAsia" w:ascii="宋体" w:hAnsi="宋体" w:cs="宋体"/>
                <w:color w:val="auto"/>
                <w:kern w:val="0"/>
                <w:sz w:val="20"/>
                <w:szCs w:val="20"/>
                <w:highlight w:val="none"/>
                <w:lang w:val="en-US" w:eastAsia="zh-CN"/>
              </w:rPr>
              <w:t>2</w:t>
            </w:r>
            <w:r>
              <w:rPr>
                <w:rFonts w:hint="eastAsia" w:ascii="宋体" w:hAnsi="宋体" w:cs="宋体"/>
                <w:color w:val="auto"/>
                <w:kern w:val="0"/>
                <w:sz w:val="20"/>
                <w:szCs w:val="20"/>
                <w:highlight w:val="none"/>
              </w:rPr>
              <w:t>小</w:t>
            </w:r>
            <w:r>
              <w:rPr>
                <w:rFonts w:hint="eastAsia" w:ascii="宋体" w:hAnsi="宋体" w:cs="宋体"/>
                <w:color w:val="auto"/>
                <w:kern w:val="0"/>
                <w:sz w:val="20"/>
                <w:szCs w:val="20"/>
                <w:highlight w:val="none"/>
                <w:lang w:eastAsia="zh-CN"/>
              </w:rPr>
              <w:t>时</w:t>
            </w:r>
            <w:r>
              <w:rPr>
                <w:rFonts w:hint="eastAsia" w:ascii="宋体" w:hAnsi="宋体" w:cs="宋体"/>
                <w:color w:val="auto"/>
                <w:kern w:val="0"/>
                <w:sz w:val="20"/>
                <w:szCs w:val="20"/>
                <w:highlight w:val="none"/>
              </w:rPr>
              <w:t>内解决，超过</w:t>
            </w:r>
            <w:r>
              <w:rPr>
                <w:rFonts w:hint="eastAsia" w:ascii="宋体" w:hAnsi="宋体" w:cs="宋体"/>
                <w:color w:val="auto"/>
                <w:kern w:val="0"/>
                <w:sz w:val="20"/>
                <w:szCs w:val="20"/>
                <w:highlight w:val="none"/>
                <w:lang w:val="en-US" w:eastAsia="zh-CN"/>
              </w:rPr>
              <w:t>6</w:t>
            </w:r>
            <w:r>
              <w:rPr>
                <w:rFonts w:hint="eastAsia" w:ascii="宋体" w:hAnsi="宋体" w:cs="宋体"/>
                <w:color w:val="auto"/>
                <w:kern w:val="0"/>
                <w:sz w:val="20"/>
                <w:szCs w:val="20"/>
                <w:highlight w:val="none"/>
              </w:rPr>
              <w:t>小时，故障每持续1小时扣0.5分，不足1小时按照1小时计算。</w:t>
            </w:r>
          </w:p>
        </w:tc>
        <w:tc>
          <w:tcPr>
            <w:tcW w:w="58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7ECFD53F">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r>
      <w:tr w14:paraId="2F154670">
        <w:tblPrEx>
          <w:tblCellMar>
            <w:top w:w="0" w:type="dxa"/>
            <w:left w:w="108" w:type="dxa"/>
            <w:bottom w:w="0" w:type="dxa"/>
            <w:right w:w="108" w:type="dxa"/>
          </w:tblCellMar>
        </w:tblPrEx>
        <w:trPr>
          <w:trHeight w:val="0" w:hRule="atLeast"/>
          <w:jc w:val="center"/>
        </w:trPr>
        <w:tc>
          <w:tcPr>
            <w:tcW w:w="960" w:type="dxa"/>
            <w:vMerge w:val="continue"/>
            <w:tcBorders>
              <w:top w:val="nil"/>
              <w:left w:val="single" w:color="auto" w:sz="4" w:space="0"/>
              <w:bottom w:val="single" w:color="000000" w:sz="4" w:space="0"/>
              <w:right w:val="single" w:color="auto" w:sz="4" w:space="0"/>
            </w:tcBorders>
            <w:noWrap w:val="0"/>
            <w:tcMar>
              <w:top w:w="28" w:type="dxa"/>
              <w:left w:w="28" w:type="dxa"/>
              <w:bottom w:w="28" w:type="dxa"/>
              <w:right w:w="28" w:type="dxa"/>
            </w:tcMar>
            <w:vAlign w:val="center"/>
          </w:tcPr>
          <w:p w14:paraId="4E78986A">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p>
        </w:tc>
        <w:tc>
          <w:tcPr>
            <w:tcW w:w="1000" w:type="dxa"/>
            <w:vMerge w:val="continue"/>
            <w:tcBorders>
              <w:top w:val="nil"/>
              <w:left w:val="single" w:color="auto" w:sz="4" w:space="0"/>
              <w:bottom w:val="single" w:color="auto" w:sz="4" w:space="0"/>
              <w:right w:val="single" w:color="auto" w:sz="4" w:space="0"/>
            </w:tcBorders>
            <w:noWrap w:val="0"/>
            <w:tcMar>
              <w:top w:w="28" w:type="dxa"/>
              <w:left w:w="28" w:type="dxa"/>
              <w:bottom w:w="28" w:type="dxa"/>
              <w:right w:w="28" w:type="dxa"/>
            </w:tcMar>
            <w:vAlign w:val="center"/>
          </w:tcPr>
          <w:p w14:paraId="0541B8AA">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p>
        </w:tc>
        <w:tc>
          <w:tcPr>
            <w:tcW w:w="130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78547FC3">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三级故障：全网性能降低（网络或业务应用系统速度明显降低）</w:t>
            </w:r>
            <w:r>
              <w:rPr>
                <w:rFonts w:hint="eastAsia" w:ascii="宋体" w:hAnsi="宋体" w:cs="宋体"/>
                <w:color w:val="auto"/>
                <w:kern w:val="0"/>
                <w:sz w:val="20"/>
                <w:szCs w:val="20"/>
                <w:highlight w:val="none"/>
              </w:rPr>
              <w:br w:type="textWrapping"/>
            </w:r>
            <w:r>
              <w:rPr>
                <w:rFonts w:hint="eastAsia" w:ascii="宋体" w:hAnsi="宋体" w:cs="宋体"/>
                <w:color w:val="auto"/>
                <w:kern w:val="0"/>
                <w:sz w:val="20"/>
                <w:szCs w:val="20"/>
                <w:highlight w:val="none"/>
              </w:rPr>
              <w:t>（6分）</w:t>
            </w:r>
          </w:p>
        </w:tc>
        <w:tc>
          <w:tcPr>
            <w:tcW w:w="340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115C2558">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大面积网络性能下降，速度慢，多个业务应用系统运行速度慢（50%以上），及其他相当于此级别的故障。</w:t>
            </w:r>
          </w:p>
        </w:tc>
        <w:tc>
          <w:tcPr>
            <w:tcW w:w="224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16F289A6">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在</w:t>
            </w:r>
            <w:r>
              <w:rPr>
                <w:rFonts w:hint="eastAsia" w:ascii="宋体" w:hAnsi="宋体" w:cs="宋体"/>
                <w:color w:val="auto"/>
                <w:kern w:val="0"/>
                <w:sz w:val="20"/>
                <w:szCs w:val="20"/>
                <w:highlight w:val="none"/>
                <w:lang w:val="en-US" w:eastAsia="zh-CN"/>
              </w:rPr>
              <w:t>4</w:t>
            </w:r>
            <w:r>
              <w:rPr>
                <w:rFonts w:hint="eastAsia" w:ascii="宋体" w:hAnsi="宋体" w:cs="宋体"/>
                <w:color w:val="auto"/>
                <w:kern w:val="0"/>
                <w:sz w:val="20"/>
                <w:szCs w:val="20"/>
                <w:highlight w:val="none"/>
              </w:rPr>
              <w:t>小</w:t>
            </w:r>
            <w:r>
              <w:rPr>
                <w:rFonts w:hint="eastAsia" w:ascii="宋体" w:hAnsi="宋体" w:cs="宋体"/>
                <w:color w:val="auto"/>
                <w:kern w:val="0"/>
                <w:sz w:val="20"/>
                <w:szCs w:val="20"/>
                <w:highlight w:val="none"/>
                <w:lang w:eastAsia="zh-CN"/>
              </w:rPr>
              <w:t>时</w:t>
            </w:r>
            <w:r>
              <w:rPr>
                <w:rFonts w:hint="eastAsia" w:ascii="宋体" w:hAnsi="宋体" w:cs="宋体"/>
                <w:color w:val="auto"/>
                <w:kern w:val="0"/>
                <w:sz w:val="20"/>
                <w:szCs w:val="20"/>
                <w:highlight w:val="none"/>
              </w:rPr>
              <w:t>内解决，超过4小时，故障每持续1小时扣1分，不足1小时按照1小时计算。</w:t>
            </w:r>
          </w:p>
        </w:tc>
        <w:tc>
          <w:tcPr>
            <w:tcW w:w="58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3E534EAA">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r>
      <w:tr w14:paraId="092E2F96">
        <w:tblPrEx>
          <w:tblCellMar>
            <w:top w:w="0" w:type="dxa"/>
            <w:left w:w="108" w:type="dxa"/>
            <w:bottom w:w="0" w:type="dxa"/>
            <w:right w:w="108" w:type="dxa"/>
          </w:tblCellMar>
        </w:tblPrEx>
        <w:trPr>
          <w:trHeight w:val="0" w:hRule="atLeast"/>
          <w:jc w:val="center"/>
        </w:trPr>
        <w:tc>
          <w:tcPr>
            <w:tcW w:w="960" w:type="dxa"/>
            <w:vMerge w:val="continue"/>
            <w:tcBorders>
              <w:top w:val="nil"/>
              <w:left w:val="single" w:color="auto" w:sz="4" w:space="0"/>
              <w:bottom w:val="single" w:color="000000" w:sz="4" w:space="0"/>
              <w:right w:val="single" w:color="auto" w:sz="4" w:space="0"/>
            </w:tcBorders>
            <w:noWrap w:val="0"/>
            <w:tcMar>
              <w:top w:w="28" w:type="dxa"/>
              <w:left w:w="28" w:type="dxa"/>
              <w:bottom w:w="28" w:type="dxa"/>
              <w:right w:w="28" w:type="dxa"/>
            </w:tcMar>
            <w:vAlign w:val="center"/>
          </w:tcPr>
          <w:p w14:paraId="2C641FEB">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p>
        </w:tc>
        <w:tc>
          <w:tcPr>
            <w:tcW w:w="1000" w:type="dxa"/>
            <w:vMerge w:val="continue"/>
            <w:tcBorders>
              <w:top w:val="nil"/>
              <w:left w:val="single" w:color="auto" w:sz="4" w:space="0"/>
              <w:bottom w:val="single" w:color="auto" w:sz="4" w:space="0"/>
              <w:right w:val="single" w:color="auto" w:sz="4" w:space="0"/>
            </w:tcBorders>
            <w:noWrap w:val="0"/>
            <w:tcMar>
              <w:top w:w="28" w:type="dxa"/>
              <w:left w:w="28" w:type="dxa"/>
              <w:bottom w:w="28" w:type="dxa"/>
              <w:right w:w="28" w:type="dxa"/>
            </w:tcMar>
            <w:vAlign w:val="center"/>
          </w:tcPr>
          <w:p w14:paraId="39891739">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p>
        </w:tc>
        <w:tc>
          <w:tcPr>
            <w:tcW w:w="130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27CEF7F0">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二级故障：局部网络瘫痪（网络或业务应用系统）（8分）</w:t>
            </w:r>
          </w:p>
        </w:tc>
        <w:tc>
          <w:tcPr>
            <w:tcW w:w="340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382D49B9">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局部网络不通造成部分人员不能正常上网；或30%以上业务应用系统无法访问，及其他相当于此级别的故障。</w:t>
            </w:r>
          </w:p>
        </w:tc>
        <w:tc>
          <w:tcPr>
            <w:tcW w:w="224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35353C18">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在</w:t>
            </w:r>
            <w:r>
              <w:rPr>
                <w:rFonts w:hint="eastAsia" w:ascii="宋体" w:hAnsi="宋体" w:cs="宋体"/>
                <w:color w:val="auto"/>
                <w:kern w:val="0"/>
                <w:sz w:val="20"/>
                <w:szCs w:val="20"/>
                <w:highlight w:val="none"/>
                <w:lang w:val="en-US" w:eastAsia="zh-CN"/>
              </w:rPr>
              <w:t>4</w:t>
            </w:r>
            <w:r>
              <w:rPr>
                <w:rFonts w:hint="eastAsia" w:ascii="宋体" w:hAnsi="宋体" w:cs="宋体"/>
                <w:color w:val="auto"/>
                <w:kern w:val="0"/>
                <w:sz w:val="20"/>
                <w:szCs w:val="20"/>
                <w:highlight w:val="none"/>
              </w:rPr>
              <w:t>小</w:t>
            </w:r>
            <w:r>
              <w:rPr>
                <w:rFonts w:hint="eastAsia" w:ascii="宋体" w:hAnsi="宋体" w:cs="宋体"/>
                <w:color w:val="auto"/>
                <w:kern w:val="0"/>
                <w:sz w:val="20"/>
                <w:szCs w:val="20"/>
                <w:highlight w:val="none"/>
                <w:lang w:eastAsia="zh-CN"/>
              </w:rPr>
              <w:t>时</w:t>
            </w:r>
            <w:r>
              <w:rPr>
                <w:rFonts w:hint="eastAsia" w:ascii="宋体" w:hAnsi="宋体" w:cs="宋体"/>
                <w:color w:val="auto"/>
                <w:kern w:val="0"/>
                <w:sz w:val="20"/>
                <w:szCs w:val="20"/>
                <w:highlight w:val="none"/>
              </w:rPr>
              <w:t>内解决，超</w:t>
            </w:r>
            <w:r>
              <w:rPr>
                <w:rFonts w:hint="eastAsia" w:ascii="宋体" w:hAnsi="宋体" w:cs="宋体"/>
                <w:color w:val="auto"/>
                <w:kern w:val="0"/>
                <w:sz w:val="20"/>
                <w:szCs w:val="20"/>
                <w:highlight w:val="none"/>
                <w:lang w:val="en-US" w:eastAsia="zh-CN"/>
              </w:rPr>
              <w:t>4</w:t>
            </w:r>
            <w:r>
              <w:rPr>
                <w:rFonts w:hint="eastAsia" w:ascii="宋体" w:hAnsi="宋体" w:cs="宋体"/>
                <w:color w:val="auto"/>
                <w:kern w:val="0"/>
                <w:sz w:val="20"/>
                <w:szCs w:val="20"/>
                <w:highlight w:val="none"/>
              </w:rPr>
              <w:t>小时，故障每持续1小时扣除1.5分,不足1小时按照1小时计算。</w:t>
            </w:r>
          </w:p>
        </w:tc>
        <w:tc>
          <w:tcPr>
            <w:tcW w:w="58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664D9311">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r>
      <w:tr w14:paraId="3EC86A57">
        <w:tblPrEx>
          <w:tblCellMar>
            <w:top w:w="0" w:type="dxa"/>
            <w:left w:w="108" w:type="dxa"/>
            <w:bottom w:w="0" w:type="dxa"/>
            <w:right w:w="108" w:type="dxa"/>
          </w:tblCellMar>
        </w:tblPrEx>
        <w:trPr>
          <w:trHeight w:val="0" w:hRule="atLeast"/>
          <w:jc w:val="center"/>
        </w:trPr>
        <w:tc>
          <w:tcPr>
            <w:tcW w:w="960" w:type="dxa"/>
            <w:vMerge w:val="continue"/>
            <w:tcBorders>
              <w:top w:val="nil"/>
              <w:left w:val="single" w:color="auto" w:sz="4" w:space="0"/>
              <w:bottom w:val="single" w:color="000000" w:sz="4" w:space="0"/>
              <w:right w:val="single" w:color="auto" w:sz="4" w:space="0"/>
            </w:tcBorders>
            <w:noWrap w:val="0"/>
            <w:tcMar>
              <w:top w:w="28" w:type="dxa"/>
              <w:left w:w="28" w:type="dxa"/>
              <w:bottom w:w="28" w:type="dxa"/>
              <w:right w:w="28" w:type="dxa"/>
            </w:tcMar>
            <w:vAlign w:val="center"/>
          </w:tcPr>
          <w:p w14:paraId="5006546D">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p>
        </w:tc>
        <w:tc>
          <w:tcPr>
            <w:tcW w:w="1000" w:type="dxa"/>
            <w:vMerge w:val="continue"/>
            <w:tcBorders>
              <w:top w:val="nil"/>
              <w:left w:val="single" w:color="auto" w:sz="4" w:space="0"/>
              <w:bottom w:val="single" w:color="auto" w:sz="4" w:space="0"/>
              <w:right w:val="single" w:color="auto" w:sz="4" w:space="0"/>
            </w:tcBorders>
            <w:noWrap w:val="0"/>
            <w:tcMar>
              <w:top w:w="28" w:type="dxa"/>
              <w:left w:w="28" w:type="dxa"/>
              <w:bottom w:w="28" w:type="dxa"/>
              <w:right w:w="28" w:type="dxa"/>
            </w:tcMar>
            <w:vAlign w:val="center"/>
          </w:tcPr>
          <w:p w14:paraId="2FDCF949">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p>
        </w:tc>
        <w:tc>
          <w:tcPr>
            <w:tcW w:w="130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27796183">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一级故障：全网瘫痪（网络或业务应用系统）           （11分）</w:t>
            </w:r>
          </w:p>
        </w:tc>
        <w:tc>
          <w:tcPr>
            <w:tcW w:w="340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3A26C320">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汇聚层以上故障造成的大面积网络不通，或多个业务应用系统无法访问（50%以上），及其他相当于此级别的故障。</w:t>
            </w:r>
          </w:p>
        </w:tc>
        <w:tc>
          <w:tcPr>
            <w:tcW w:w="224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00BE8AEF">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实时响应并在</w:t>
            </w:r>
            <w:r>
              <w:rPr>
                <w:rFonts w:hint="eastAsia" w:ascii="宋体" w:hAnsi="宋体" w:cs="宋体"/>
                <w:color w:val="auto"/>
                <w:kern w:val="0"/>
                <w:sz w:val="20"/>
                <w:szCs w:val="20"/>
                <w:highlight w:val="none"/>
                <w:lang w:val="en-US" w:eastAsia="zh-CN"/>
              </w:rPr>
              <w:t>4</w:t>
            </w:r>
            <w:r>
              <w:rPr>
                <w:rFonts w:hint="eastAsia" w:ascii="宋体" w:hAnsi="宋体" w:cs="宋体"/>
                <w:color w:val="auto"/>
                <w:kern w:val="0"/>
                <w:sz w:val="20"/>
                <w:szCs w:val="20"/>
                <w:highlight w:val="none"/>
              </w:rPr>
              <w:t>小时内解决，超过4小时，故障每持续1小时扣除2分,不足1小时按照1小时计算。（不可抗力除外）。</w:t>
            </w:r>
          </w:p>
        </w:tc>
        <w:tc>
          <w:tcPr>
            <w:tcW w:w="58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4E8979DB">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r>
      <w:tr w14:paraId="7F7D8E3D">
        <w:tblPrEx>
          <w:tblCellMar>
            <w:top w:w="0" w:type="dxa"/>
            <w:left w:w="108" w:type="dxa"/>
            <w:bottom w:w="0" w:type="dxa"/>
            <w:right w:w="108" w:type="dxa"/>
          </w:tblCellMar>
        </w:tblPrEx>
        <w:trPr>
          <w:trHeight w:val="0" w:hRule="atLeast"/>
          <w:jc w:val="center"/>
        </w:trPr>
        <w:tc>
          <w:tcPr>
            <w:tcW w:w="960" w:type="dxa"/>
            <w:vMerge w:val="continue"/>
            <w:tcBorders>
              <w:top w:val="nil"/>
              <w:left w:val="single" w:color="auto" w:sz="4" w:space="0"/>
              <w:bottom w:val="single" w:color="000000" w:sz="4" w:space="0"/>
              <w:right w:val="single" w:color="auto" w:sz="4" w:space="0"/>
            </w:tcBorders>
            <w:noWrap w:val="0"/>
            <w:tcMar>
              <w:top w:w="28" w:type="dxa"/>
              <w:left w:w="28" w:type="dxa"/>
              <w:bottom w:w="28" w:type="dxa"/>
              <w:right w:w="28" w:type="dxa"/>
            </w:tcMar>
            <w:vAlign w:val="center"/>
          </w:tcPr>
          <w:p w14:paraId="0D4C7902">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p>
        </w:tc>
        <w:tc>
          <w:tcPr>
            <w:tcW w:w="1000" w:type="dxa"/>
            <w:vMerge w:val="restart"/>
            <w:tcBorders>
              <w:top w:val="nil"/>
              <w:left w:val="single" w:color="auto" w:sz="4" w:space="0"/>
              <w:bottom w:val="single" w:color="auto" w:sz="4" w:space="0"/>
              <w:right w:val="single" w:color="auto" w:sz="4" w:space="0"/>
            </w:tcBorders>
            <w:noWrap w:val="0"/>
            <w:tcMar>
              <w:top w:w="28" w:type="dxa"/>
              <w:left w:w="28" w:type="dxa"/>
              <w:bottom w:w="28" w:type="dxa"/>
              <w:right w:w="28" w:type="dxa"/>
            </w:tcMar>
            <w:vAlign w:val="center"/>
          </w:tcPr>
          <w:p w14:paraId="27E03BED">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安全管理（25分）</w:t>
            </w:r>
          </w:p>
        </w:tc>
        <w:tc>
          <w:tcPr>
            <w:tcW w:w="130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2C084D29">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平台可用性</w:t>
            </w:r>
            <w:r>
              <w:rPr>
                <w:rFonts w:hint="eastAsia" w:ascii="宋体" w:hAnsi="宋体" w:cs="宋体"/>
                <w:color w:val="auto"/>
                <w:kern w:val="0"/>
                <w:sz w:val="20"/>
                <w:szCs w:val="20"/>
                <w:highlight w:val="none"/>
              </w:rPr>
              <w:br w:type="textWrapping"/>
            </w:r>
            <w:r>
              <w:rPr>
                <w:rFonts w:hint="eastAsia" w:ascii="宋体" w:hAnsi="宋体" w:cs="宋体"/>
                <w:color w:val="auto"/>
                <w:kern w:val="0"/>
                <w:sz w:val="20"/>
                <w:szCs w:val="20"/>
                <w:highlight w:val="none"/>
              </w:rPr>
              <w:t>（5分）</w:t>
            </w:r>
          </w:p>
        </w:tc>
        <w:tc>
          <w:tcPr>
            <w:tcW w:w="340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55B15A08">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根据资源节约，有效利用的要求，对防城港市整体云资源、市级单位、各县（市、区）单位资源利用情况、各虚拟机资源利用情况进行监控，当资源利用率达到预警值时，通知相关人员准备扩容，达到告警值时应完成平台扩容工作，达到饱和值时应停止上线新业务。（预警值：CPU平均利用率65%、内存平均利用率65%、存储平均利用率65%；告警值：CPU平均利用率80%、内存平均利用率80%、存储平均利用率80%；</w:t>
            </w:r>
            <w:r>
              <w:rPr>
                <w:rFonts w:hint="eastAsia" w:ascii="宋体" w:hAnsi="宋体" w:cs="宋体"/>
                <w:color w:val="auto"/>
                <w:kern w:val="0"/>
                <w:sz w:val="20"/>
                <w:szCs w:val="20"/>
                <w:highlight w:val="none"/>
              </w:rPr>
              <w:br w:type="textWrapping"/>
            </w:r>
            <w:r>
              <w:rPr>
                <w:rFonts w:hint="eastAsia" w:ascii="宋体" w:hAnsi="宋体" w:cs="宋体"/>
                <w:color w:val="auto"/>
                <w:kern w:val="0"/>
                <w:sz w:val="20"/>
                <w:szCs w:val="20"/>
                <w:highlight w:val="none"/>
              </w:rPr>
              <w:t>饱和值：CPU平均利用率90%、内存平均利用率85%、存储平均利用率85%）。</w:t>
            </w:r>
          </w:p>
        </w:tc>
        <w:tc>
          <w:tcPr>
            <w:tcW w:w="224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1703240D">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达到考核要求得满分，达到预警值时未通知相关人准备扩容工作的扣0.5分，达到告警值时未完成平台扩容工作的扣1分，达到饱和值时未停止上线新业务的扣1.5分</w:t>
            </w:r>
          </w:p>
        </w:tc>
        <w:tc>
          <w:tcPr>
            <w:tcW w:w="58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674C76DD">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r>
      <w:tr w14:paraId="468F1444">
        <w:tblPrEx>
          <w:tblCellMar>
            <w:top w:w="0" w:type="dxa"/>
            <w:left w:w="108" w:type="dxa"/>
            <w:bottom w:w="0" w:type="dxa"/>
            <w:right w:w="108" w:type="dxa"/>
          </w:tblCellMar>
        </w:tblPrEx>
        <w:trPr>
          <w:trHeight w:val="0" w:hRule="atLeast"/>
          <w:jc w:val="center"/>
        </w:trPr>
        <w:tc>
          <w:tcPr>
            <w:tcW w:w="960" w:type="dxa"/>
            <w:vMerge w:val="continue"/>
            <w:tcBorders>
              <w:top w:val="nil"/>
              <w:left w:val="single" w:color="auto" w:sz="4" w:space="0"/>
              <w:bottom w:val="single" w:color="000000" w:sz="4" w:space="0"/>
              <w:right w:val="single" w:color="auto" w:sz="4" w:space="0"/>
            </w:tcBorders>
            <w:noWrap w:val="0"/>
            <w:tcMar>
              <w:top w:w="28" w:type="dxa"/>
              <w:left w:w="28" w:type="dxa"/>
              <w:bottom w:w="28" w:type="dxa"/>
              <w:right w:w="28" w:type="dxa"/>
            </w:tcMar>
            <w:vAlign w:val="center"/>
          </w:tcPr>
          <w:p w14:paraId="7003B838">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p>
        </w:tc>
        <w:tc>
          <w:tcPr>
            <w:tcW w:w="1000" w:type="dxa"/>
            <w:vMerge w:val="continue"/>
            <w:tcBorders>
              <w:top w:val="nil"/>
              <w:left w:val="single" w:color="auto" w:sz="4" w:space="0"/>
              <w:bottom w:val="single" w:color="auto" w:sz="4" w:space="0"/>
              <w:right w:val="single" w:color="auto" w:sz="4" w:space="0"/>
            </w:tcBorders>
            <w:noWrap w:val="0"/>
            <w:tcMar>
              <w:top w:w="28" w:type="dxa"/>
              <w:left w:w="28" w:type="dxa"/>
              <w:bottom w:w="28" w:type="dxa"/>
              <w:right w:w="28" w:type="dxa"/>
            </w:tcMar>
            <w:vAlign w:val="center"/>
          </w:tcPr>
          <w:p w14:paraId="26C04392">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p>
        </w:tc>
        <w:tc>
          <w:tcPr>
            <w:tcW w:w="130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2D3201D1">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漏洞（3分）</w:t>
            </w:r>
          </w:p>
        </w:tc>
        <w:tc>
          <w:tcPr>
            <w:tcW w:w="340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31D48763">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每月对自管服务器及应用进行漏洞扫描，发现漏洞及时进行整改，标识和报告可能影响云平台或应用的新漏洞，并做好记录。每季度对全网服务器、网站WEB进行一次漏洞扫描，每季度完成重要服务器、运维系统的安全配置核查扫描，并做加固，每天查看新发布的漏洞情况，并核实各漏洞对全网的影响。</w:t>
            </w:r>
          </w:p>
        </w:tc>
        <w:tc>
          <w:tcPr>
            <w:tcW w:w="224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6BC41224">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达到考核要求得满分，未进行漏洞扫描每发现一次扣0.25分，发现漏洞未整改的</w:t>
            </w:r>
            <w:r>
              <w:rPr>
                <w:rFonts w:hint="eastAsia" w:ascii="宋体" w:hAnsi="宋体" w:cs="宋体"/>
                <w:color w:val="auto"/>
                <w:kern w:val="0"/>
                <w:sz w:val="20"/>
                <w:szCs w:val="20"/>
                <w:highlight w:val="none"/>
                <w:lang w:eastAsia="zh-CN"/>
              </w:rPr>
              <w:t>扣</w:t>
            </w:r>
            <w:r>
              <w:rPr>
                <w:rFonts w:hint="eastAsia" w:ascii="宋体" w:hAnsi="宋体" w:cs="宋体"/>
                <w:color w:val="auto"/>
                <w:kern w:val="0"/>
                <w:sz w:val="20"/>
                <w:szCs w:val="20"/>
                <w:highlight w:val="none"/>
              </w:rPr>
              <w:t>0.5分</w:t>
            </w:r>
          </w:p>
        </w:tc>
        <w:tc>
          <w:tcPr>
            <w:tcW w:w="58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0F32DB1B">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r>
      <w:tr w14:paraId="3F7B6E9E">
        <w:tblPrEx>
          <w:tblCellMar>
            <w:top w:w="0" w:type="dxa"/>
            <w:left w:w="108" w:type="dxa"/>
            <w:bottom w:w="0" w:type="dxa"/>
            <w:right w:w="108" w:type="dxa"/>
          </w:tblCellMar>
        </w:tblPrEx>
        <w:trPr>
          <w:trHeight w:val="0" w:hRule="atLeast"/>
          <w:jc w:val="center"/>
        </w:trPr>
        <w:tc>
          <w:tcPr>
            <w:tcW w:w="960" w:type="dxa"/>
            <w:vMerge w:val="continue"/>
            <w:tcBorders>
              <w:top w:val="nil"/>
              <w:left w:val="single" w:color="auto" w:sz="4" w:space="0"/>
              <w:bottom w:val="single" w:color="000000" w:sz="4" w:space="0"/>
              <w:right w:val="single" w:color="auto" w:sz="4" w:space="0"/>
            </w:tcBorders>
            <w:shd w:val="clear" w:color="auto" w:fill="auto"/>
            <w:noWrap w:val="0"/>
            <w:tcMar>
              <w:top w:w="28" w:type="dxa"/>
              <w:left w:w="28" w:type="dxa"/>
              <w:bottom w:w="28" w:type="dxa"/>
              <w:right w:w="28" w:type="dxa"/>
            </w:tcMar>
            <w:vAlign w:val="center"/>
          </w:tcPr>
          <w:p w14:paraId="132B8081">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noWrap w:val="0"/>
            <w:tcMar>
              <w:top w:w="28" w:type="dxa"/>
              <w:left w:w="28" w:type="dxa"/>
              <w:bottom w:w="28" w:type="dxa"/>
              <w:right w:w="28" w:type="dxa"/>
            </w:tcMar>
            <w:vAlign w:val="center"/>
          </w:tcPr>
          <w:p w14:paraId="7164300A">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p>
        </w:tc>
        <w:tc>
          <w:tcPr>
            <w:tcW w:w="1300" w:type="dxa"/>
            <w:tcBorders>
              <w:top w:val="nil"/>
              <w:left w:val="nil"/>
              <w:bottom w:val="single" w:color="auto" w:sz="4" w:space="0"/>
              <w:right w:val="single" w:color="auto" w:sz="4" w:space="0"/>
            </w:tcBorders>
            <w:shd w:val="clear" w:color="000000" w:fill="FFFFFF"/>
            <w:noWrap w:val="0"/>
            <w:tcMar>
              <w:top w:w="28" w:type="dxa"/>
              <w:left w:w="28" w:type="dxa"/>
              <w:bottom w:w="28" w:type="dxa"/>
              <w:right w:w="28" w:type="dxa"/>
            </w:tcMar>
            <w:vAlign w:val="center"/>
          </w:tcPr>
          <w:p w14:paraId="08B5F3F0">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升级</w:t>
            </w:r>
            <w:r>
              <w:rPr>
                <w:rFonts w:hint="eastAsia" w:ascii="宋体" w:hAnsi="宋体" w:cs="宋体"/>
                <w:color w:val="auto"/>
                <w:kern w:val="0"/>
                <w:sz w:val="20"/>
                <w:szCs w:val="20"/>
                <w:highlight w:val="none"/>
              </w:rPr>
              <w:br w:type="textWrapping"/>
            </w:r>
            <w:r>
              <w:rPr>
                <w:rFonts w:hint="eastAsia" w:ascii="宋体" w:hAnsi="宋体" w:cs="宋体"/>
                <w:color w:val="auto"/>
                <w:kern w:val="0"/>
                <w:sz w:val="20"/>
                <w:szCs w:val="20"/>
                <w:highlight w:val="none"/>
              </w:rPr>
              <w:t>（2分）</w:t>
            </w:r>
          </w:p>
        </w:tc>
        <w:tc>
          <w:tcPr>
            <w:tcW w:w="3400" w:type="dxa"/>
            <w:tcBorders>
              <w:top w:val="nil"/>
              <w:left w:val="nil"/>
              <w:bottom w:val="single" w:color="auto" w:sz="4" w:space="0"/>
              <w:right w:val="single" w:color="auto" w:sz="4" w:space="0"/>
            </w:tcBorders>
            <w:shd w:val="clear" w:color="000000" w:fill="FFFFFF"/>
            <w:noWrap w:val="0"/>
            <w:tcMar>
              <w:top w:w="28" w:type="dxa"/>
              <w:left w:w="28" w:type="dxa"/>
              <w:bottom w:w="28" w:type="dxa"/>
              <w:right w:w="28" w:type="dxa"/>
            </w:tcMar>
            <w:vAlign w:val="center"/>
          </w:tcPr>
          <w:p w14:paraId="60C033CE">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针对平台相关交换机，防火墙，网闸，VPN，防病毒等等相关设备以及相关系统软件定期的升级更新。</w:t>
            </w:r>
          </w:p>
        </w:tc>
        <w:tc>
          <w:tcPr>
            <w:tcW w:w="224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7B9DB988">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达到考核目标值得满分，未完成，每一次扣0.25分</w:t>
            </w:r>
          </w:p>
        </w:tc>
        <w:tc>
          <w:tcPr>
            <w:tcW w:w="58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772F22AF">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r>
      <w:tr w14:paraId="33638DCF">
        <w:tblPrEx>
          <w:tblCellMar>
            <w:top w:w="0" w:type="dxa"/>
            <w:left w:w="108" w:type="dxa"/>
            <w:bottom w:w="0" w:type="dxa"/>
            <w:right w:w="108" w:type="dxa"/>
          </w:tblCellMar>
        </w:tblPrEx>
        <w:trPr>
          <w:trHeight w:val="0" w:hRule="atLeast"/>
          <w:jc w:val="center"/>
        </w:trPr>
        <w:tc>
          <w:tcPr>
            <w:tcW w:w="960" w:type="dxa"/>
            <w:vMerge w:val="continue"/>
            <w:tcBorders>
              <w:top w:val="nil"/>
              <w:left w:val="single" w:color="auto" w:sz="4" w:space="0"/>
              <w:bottom w:val="single" w:color="000000" w:sz="4" w:space="0"/>
              <w:right w:val="single" w:color="auto" w:sz="4" w:space="0"/>
            </w:tcBorders>
            <w:noWrap w:val="0"/>
            <w:tcMar>
              <w:top w:w="28" w:type="dxa"/>
              <w:left w:w="28" w:type="dxa"/>
              <w:bottom w:w="28" w:type="dxa"/>
              <w:right w:w="28" w:type="dxa"/>
            </w:tcMar>
            <w:vAlign w:val="center"/>
          </w:tcPr>
          <w:p w14:paraId="2DDA3776">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p>
        </w:tc>
        <w:tc>
          <w:tcPr>
            <w:tcW w:w="1000" w:type="dxa"/>
            <w:vMerge w:val="continue"/>
            <w:tcBorders>
              <w:top w:val="nil"/>
              <w:left w:val="single" w:color="auto" w:sz="4" w:space="0"/>
              <w:bottom w:val="single" w:color="auto" w:sz="4" w:space="0"/>
              <w:right w:val="single" w:color="auto" w:sz="4" w:space="0"/>
            </w:tcBorders>
            <w:noWrap w:val="0"/>
            <w:tcMar>
              <w:top w:w="28" w:type="dxa"/>
              <w:left w:w="28" w:type="dxa"/>
              <w:bottom w:w="28" w:type="dxa"/>
              <w:right w:w="28" w:type="dxa"/>
            </w:tcMar>
            <w:vAlign w:val="center"/>
          </w:tcPr>
          <w:p w14:paraId="4F32A005">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p>
        </w:tc>
        <w:tc>
          <w:tcPr>
            <w:tcW w:w="130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428CE791">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保密性</w:t>
            </w:r>
            <w:r>
              <w:rPr>
                <w:rFonts w:hint="eastAsia" w:ascii="宋体" w:hAnsi="宋体" w:cs="宋体"/>
                <w:color w:val="auto"/>
                <w:kern w:val="0"/>
                <w:sz w:val="20"/>
                <w:szCs w:val="20"/>
                <w:highlight w:val="none"/>
              </w:rPr>
              <w:br w:type="textWrapping"/>
            </w:r>
            <w:r>
              <w:rPr>
                <w:rFonts w:hint="eastAsia" w:ascii="宋体" w:hAnsi="宋体" w:cs="宋体"/>
                <w:color w:val="auto"/>
                <w:kern w:val="0"/>
                <w:sz w:val="20"/>
                <w:szCs w:val="20"/>
                <w:highlight w:val="none"/>
              </w:rPr>
              <w:t>（5分）</w:t>
            </w:r>
          </w:p>
        </w:tc>
        <w:tc>
          <w:tcPr>
            <w:tcW w:w="340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5BA75D9B">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对用户的数据，用户以及平台的管理账号</w:t>
            </w:r>
            <w:r>
              <w:rPr>
                <w:rFonts w:hint="eastAsia" w:ascii="宋体" w:hAnsi="宋体" w:cs="宋体"/>
                <w:color w:val="auto"/>
                <w:kern w:val="0"/>
                <w:sz w:val="20"/>
                <w:szCs w:val="20"/>
                <w:highlight w:val="none"/>
                <w:lang w:eastAsia="zh-CN"/>
              </w:rPr>
              <w:t>进</w:t>
            </w:r>
            <w:r>
              <w:rPr>
                <w:rFonts w:hint="eastAsia" w:ascii="宋体" w:hAnsi="宋体" w:cs="宋体"/>
                <w:color w:val="auto"/>
                <w:kern w:val="0"/>
                <w:sz w:val="20"/>
                <w:szCs w:val="20"/>
                <w:highlight w:val="none"/>
              </w:rPr>
              <w:t>行安全保护。</w:t>
            </w:r>
          </w:p>
        </w:tc>
        <w:tc>
          <w:tcPr>
            <w:tcW w:w="224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19A4B937">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导致用户数据或者相关账号泄露，发生一次扣2.5分</w:t>
            </w:r>
          </w:p>
        </w:tc>
        <w:tc>
          <w:tcPr>
            <w:tcW w:w="58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05B69C6D">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r>
      <w:tr w14:paraId="2B13493A">
        <w:tblPrEx>
          <w:tblCellMar>
            <w:top w:w="0" w:type="dxa"/>
            <w:left w:w="108" w:type="dxa"/>
            <w:bottom w:w="0" w:type="dxa"/>
            <w:right w:w="108" w:type="dxa"/>
          </w:tblCellMar>
        </w:tblPrEx>
        <w:trPr>
          <w:trHeight w:val="0" w:hRule="atLeast"/>
          <w:jc w:val="center"/>
        </w:trPr>
        <w:tc>
          <w:tcPr>
            <w:tcW w:w="960" w:type="dxa"/>
            <w:vMerge w:val="continue"/>
            <w:tcBorders>
              <w:top w:val="nil"/>
              <w:left w:val="single" w:color="auto" w:sz="4" w:space="0"/>
              <w:bottom w:val="single" w:color="000000" w:sz="4" w:space="0"/>
              <w:right w:val="single" w:color="auto" w:sz="4" w:space="0"/>
            </w:tcBorders>
            <w:noWrap w:val="0"/>
            <w:tcMar>
              <w:top w:w="28" w:type="dxa"/>
              <w:left w:w="28" w:type="dxa"/>
              <w:bottom w:w="28" w:type="dxa"/>
              <w:right w:w="28" w:type="dxa"/>
            </w:tcMar>
            <w:vAlign w:val="center"/>
          </w:tcPr>
          <w:p w14:paraId="60E9F6A4">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p>
        </w:tc>
        <w:tc>
          <w:tcPr>
            <w:tcW w:w="1000" w:type="dxa"/>
            <w:vMerge w:val="continue"/>
            <w:tcBorders>
              <w:top w:val="nil"/>
              <w:left w:val="single" w:color="auto" w:sz="4" w:space="0"/>
              <w:bottom w:val="single" w:color="auto" w:sz="4" w:space="0"/>
              <w:right w:val="single" w:color="auto" w:sz="4" w:space="0"/>
            </w:tcBorders>
            <w:noWrap w:val="0"/>
            <w:tcMar>
              <w:top w:w="28" w:type="dxa"/>
              <w:left w:w="28" w:type="dxa"/>
              <w:bottom w:w="28" w:type="dxa"/>
              <w:right w:w="28" w:type="dxa"/>
            </w:tcMar>
            <w:vAlign w:val="center"/>
          </w:tcPr>
          <w:p w14:paraId="6FC005FD">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p>
        </w:tc>
        <w:tc>
          <w:tcPr>
            <w:tcW w:w="130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74BABBC9">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数据备份（5分）</w:t>
            </w:r>
          </w:p>
        </w:tc>
        <w:tc>
          <w:tcPr>
            <w:tcW w:w="340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4C9B9827">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应具备系统级备份能力，定期对数据进行增量备份和系统备份，备份周期应符合系统业务特点，对使用频率高、时效要求高的系统关键数据应每日增量备份，每周系统备份，以保证数据的安全性，每天检查备份系统以及备份的完整性。</w:t>
            </w:r>
          </w:p>
        </w:tc>
        <w:tc>
          <w:tcPr>
            <w:tcW w:w="224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69C35594">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未做到每天检查备份系统以及备份的完整性，每次扣0.5分</w:t>
            </w:r>
          </w:p>
        </w:tc>
        <w:tc>
          <w:tcPr>
            <w:tcW w:w="58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44E98F82">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r>
      <w:tr w14:paraId="7511526F">
        <w:tblPrEx>
          <w:tblCellMar>
            <w:top w:w="0" w:type="dxa"/>
            <w:left w:w="108" w:type="dxa"/>
            <w:bottom w:w="0" w:type="dxa"/>
            <w:right w:w="108" w:type="dxa"/>
          </w:tblCellMar>
        </w:tblPrEx>
        <w:trPr>
          <w:trHeight w:val="0" w:hRule="atLeast"/>
          <w:jc w:val="center"/>
        </w:trPr>
        <w:tc>
          <w:tcPr>
            <w:tcW w:w="960" w:type="dxa"/>
            <w:vMerge w:val="continue"/>
            <w:tcBorders>
              <w:top w:val="nil"/>
              <w:left w:val="single" w:color="auto" w:sz="4" w:space="0"/>
              <w:bottom w:val="single" w:color="000000" w:sz="4" w:space="0"/>
              <w:right w:val="single" w:color="auto" w:sz="4" w:space="0"/>
            </w:tcBorders>
            <w:noWrap w:val="0"/>
            <w:tcMar>
              <w:top w:w="28" w:type="dxa"/>
              <w:left w:w="28" w:type="dxa"/>
              <w:bottom w:w="28" w:type="dxa"/>
              <w:right w:w="28" w:type="dxa"/>
            </w:tcMar>
            <w:vAlign w:val="center"/>
          </w:tcPr>
          <w:p w14:paraId="3519805A">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p>
        </w:tc>
        <w:tc>
          <w:tcPr>
            <w:tcW w:w="1000" w:type="dxa"/>
            <w:vMerge w:val="continue"/>
            <w:tcBorders>
              <w:top w:val="nil"/>
              <w:left w:val="single" w:color="auto" w:sz="4" w:space="0"/>
              <w:bottom w:val="single" w:color="auto" w:sz="4" w:space="0"/>
              <w:right w:val="single" w:color="auto" w:sz="4" w:space="0"/>
            </w:tcBorders>
            <w:noWrap w:val="0"/>
            <w:tcMar>
              <w:top w:w="28" w:type="dxa"/>
              <w:left w:w="28" w:type="dxa"/>
              <w:bottom w:w="28" w:type="dxa"/>
              <w:right w:w="28" w:type="dxa"/>
            </w:tcMar>
            <w:vAlign w:val="center"/>
          </w:tcPr>
          <w:p w14:paraId="6C014E4F">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p>
        </w:tc>
        <w:tc>
          <w:tcPr>
            <w:tcW w:w="130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10316C79">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应急响应及时性</w:t>
            </w:r>
            <w:r>
              <w:rPr>
                <w:rFonts w:hint="eastAsia" w:ascii="宋体" w:hAnsi="宋体" w:cs="宋体"/>
                <w:color w:val="auto"/>
                <w:kern w:val="0"/>
                <w:sz w:val="20"/>
                <w:szCs w:val="20"/>
                <w:highlight w:val="none"/>
              </w:rPr>
              <w:br w:type="textWrapping"/>
            </w:r>
            <w:r>
              <w:rPr>
                <w:rFonts w:hint="eastAsia" w:ascii="宋体" w:hAnsi="宋体" w:cs="宋体"/>
                <w:color w:val="auto"/>
                <w:kern w:val="0"/>
                <w:sz w:val="20"/>
                <w:szCs w:val="20"/>
                <w:highlight w:val="none"/>
              </w:rPr>
              <w:t>（5分）</w:t>
            </w:r>
          </w:p>
        </w:tc>
        <w:tc>
          <w:tcPr>
            <w:tcW w:w="340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2E794CF9">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当发生应急事件时，运维团队应在发生应急事件五分钟内通过电话等形式向主管单位汇报，启动相应的应急预案后，运维团队应快速针对应急事件进行部署，抓紧时间收集相关信息，掌握现场处置工作状态，分析事件发展趋势，研究提出处置方案，调集和配置应急处置所需要的人、财、物等资源，在规定的时间内完成应急事件处理，并在事后制定重大事件报告。</w:t>
            </w:r>
          </w:p>
        </w:tc>
        <w:tc>
          <w:tcPr>
            <w:tcW w:w="224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42D71746">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达到考核目标值得满分，每延误3分钟，扣1分</w:t>
            </w:r>
          </w:p>
        </w:tc>
        <w:tc>
          <w:tcPr>
            <w:tcW w:w="58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01668399">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r>
      <w:tr w14:paraId="50063340">
        <w:tblPrEx>
          <w:tblCellMar>
            <w:top w:w="0" w:type="dxa"/>
            <w:left w:w="108" w:type="dxa"/>
            <w:bottom w:w="0" w:type="dxa"/>
            <w:right w:w="108" w:type="dxa"/>
          </w:tblCellMar>
        </w:tblPrEx>
        <w:trPr>
          <w:trHeight w:val="0" w:hRule="atLeast"/>
          <w:jc w:val="center"/>
        </w:trPr>
        <w:tc>
          <w:tcPr>
            <w:tcW w:w="960" w:type="dxa"/>
            <w:vMerge w:val="continue"/>
            <w:tcBorders>
              <w:top w:val="nil"/>
              <w:left w:val="single" w:color="auto" w:sz="4" w:space="0"/>
              <w:bottom w:val="single" w:color="000000" w:sz="4" w:space="0"/>
              <w:right w:val="single" w:color="auto" w:sz="4" w:space="0"/>
            </w:tcBorders>
            <w:noWrap w:val="0"/>
            <w:tcMar>
              <w:top w:w="28" w:type="dxa"/>
              <w:left w:w="28" w:type="dxa"/>
              <w:bottom w:w="28" w:type="dxa"/>
              <w:right w:w="28" w:type="dxa"/>
            </w:tcMar>
            <w:vAlign w:val="center"/>
          </w:tcPr>
          <w:p w14:paraId="349DE412">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p>
        </w:tc>
        <w:tc>
          <w:tcPr>
            <w:tcW w:w="1000" w:type="dxa"/>
            <w:vMerge w:val="restart"/>
            <w:tcBorders>
              <w:top w:val="nil"/>
              <w:left w:val="single" w:color="auto" w:sz="4" w:space="0"/>
              <w:bottom w:val="single" w:color="auto" w:sz="4" w:space="0"/>
              <w:right w:val="single" w:color="auto" w:sz="4" w:space="0"/>
            </w:tcBorders>
            <w:noWrap w:val="0"/>
            <w:tcMar>
              <w:top w:w="28" w:type="dxa"/>
              <w:left w:w="28" w:type="dxa"/>
              <w:bottom w:w="28" w:type="dxa"/>
              <w:right w:w="28" w:type="dxa"/>
            </w:tcMar>
            <w:vAlign w:val="center"/>
          </w:tcPr>
          <w:p w14:paraId="1E984B6E">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服务管理（5分）</w:t>
            </w:r>
          </w:p>
        </w:tc>
        <w:tc>
          <w:tcPr>
            <w:tcW w:w="130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28B831B0">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服务效率</w:t>
            </w:r>
            <w:r>
              <w:rPr>
                <w:rFonts w:hint="eastAsia" w:ascii="宋体" w:hAnsi="宋体" w:cs="宋体"/>
                <w:color w:val="auto"/>
                <w:kern w:val="0"/>
                <w:sz w:val="20"/>
                <w:szCs w:val="20"/>
                <w:highlight w:val="none"/>
              </w:rPr>
              <w:br w:type="textWrapping"/>
            </w:r>
            <w:r>
              <w:rPr>
                <w:rFonts w:hint="eastAsia" w:ascii="宋体" w:hAnsi="宋体" w:cs="宋体"/>
                <w:color w:val="auto"/>
                <w:kern w:val="0"/>
                <w:sz w:val="20"/>
                <w:szCs w:val="20"/>
                <w:highlight w:val="none"/>
              </w:rPr>
              <w:t>（2.5分）</w:t>
            </w:r>
          </w:p>
        </w:tc>
        <w:tc>
          <w:tcPr>
            <w:tcW w:w="340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48B9D518">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有效需求响应及时率和服务完成及时率：用户提出需求后，及时接收需求并做好记录并在在规定时限内完成</w:t>
            </w:r>
          </w:p>
        </w:tc>
        <w:tc>
          <w:tcPr>
            <w:tcW w:w="224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3E51F18B">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达到考核目标值得满分，未完成，每一次扣0.25分</w:t>
            </w:r>
          </w:p>
        </w:tc>
        <w:tc>
          <w:tcPr>
            <w:tcW w:w="58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67E6C8D3">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r>
      <w:tr w14:paraId="04BC4088">
        <w:tblPrEx>
          <w:tblCellMar>
            <w:top w:w="0" w:type="dxa"/>
            <w:left w:w="108" w:type="dxa"/>
            <w:bottom w:w="0" w:type="dxa"/>
            <w:right w:w="108" w:type="dxa"/>
          </w:tblCellMar>
        </w:tblPrEx>
        <w:trPr>
          <w:trHeight w:val="0" w:hRule="atLeast"/>
          <w:jc w:val="center"/>
        </w:trPr>
        <w:tc>
          <w:tcPr>
            <w:tcW w:w="960" w:type="dxa"/>
            <w:vMerge w:val="continue"/>
            <w:tcBorders>
              <w:top w:val="nil"/>
              <w:left w:val="single" w:color="auto" w:sz="4" w:space="0"/>
              <w:bottom w:val="single" w:color="000000" w:sz="4" w:space="0"/>
              <w:right w:val="single" w:color="auto" w:sz="4" w:space="0"/>
            </w:tcBorders>
            <w:noWrap w:val="0"/>
            <w:tcMar>
              <w:top w:w="28" w:type="dxa"/>
              <w:left w:w="28" w:type="dxa"/>
              <w:bottom w:w="28" w:type="dxa"/>
              <w:right w:w="28" w:type="dxa"/>
            </w:tcMar>
            <w:vAlign w:val="center"/>
          </w:tcPr>
          <w:p w14:paraId="7F87D7A6">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p>
        </w:tc>
        <w:tc>
          <w:tcPr>
            <w:tcW w:w="1000" w:type="dxa"/>
            <w:vMerge w:val="continue"/>
            <w:tcBorders>
              <w:top w:val="nil"/>
              <w:left w:val="single" w:color="auto" w:sz="4" w:space="0"/>
              <w:bottom w:val="single" w:color="auto" w:sz="4" w:space="0"/>
              <w:right w:val="single" w:color="auto" w:sz="4" w:space="0"/>
            </w:tcBorders>
            <w:noWrap w:val="0"/>
            <w:tcMar>
              <w:top w:w="28" w:type="dxa"/>
              <w:left w:w="28" w:type="dxa"/>
              <w:bottom w:w="28" w:type="dxa"/>
              <w:right w:w="28" w:type="dxa"/>
            </w:tcMar>
            <w:vAlign w:val="center"/>
          </w:tcPr>
          <w:p w14:paraId="27D48709">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p>
        </w:tc>
        <w:tc>
          <w:tcPr>
            <w:tcW w:w="130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064D8BB9">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用户投诉</w:t>
            </w:r>
            <w:r>
              <w:rPr>
                <w:rFonts w:hint="eastAsia" w:ascii="宋体" w:hAnsi="宋体" w:cs="宋体"/>
                <w:color w:val="auto"/>
                <w:kern w:val="0"/>
                <w:sz w:val="20"/>
                <w:szCs w:val="20"/>
                <w:highlight w:val="none"/>
              </w:rPr>
              <w:br w:type="textWrapping"/>
            </w:r>
            <w:r>
              <w:rPr>
                <w:rFonts w:hint="eastAsia" w:ascii="宋体" w:hAnsi="宋体" w:cs="宋体"/>
                <w:color w:val="auto"/>
                <w:kern w:val="0"/>
                <w:sz w:val="20"/>
                <w:szCs w:val="20"/>
                <w:highlight w:val="none"/>
              </w:rPr>
              <w:t>（2.5分）</w:t>
            </w:r>
          </w:p>
        </w:tc>
        <w:tc>
          <w:tcPr>
            <w:tcW w:w="340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4A773C97">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统计相同内容/问题被重复投诉的情况，对每次投诉的问题类型和内容进行记录；应对每次投诉的解决情况进行记录，统计投诉内容的解决情况；</w:t>
            </w:r>
          </w:p>
        </w:tc>
        <w:tc>
          <w:tcPr>
            <w:tcW w:w="224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329097CD">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达到考核目标值得满分，投诉大于3次，每再增加一次扣0.25分</w:t>
            </w:r>
          </w:p>
        </w:tc>
        <w:tc>
          <w:tcPr>
            <w:tcW w:w="580" w:type="dxa"/>
            <w:tcBorders>
              <w:top w:val="nil"/>
              <w:left w:val="nil"/>
              <w:bottom w:val="single" w:color="auto" w:sz="4" w:space="0"/>
              <w:right w:val="single" w:color="auto" w:sz="4" w:space="0"/>
            </w:tcBorders>
            <w:noWrap w:val="0"/>
            <w:tcMar>
              <w:top w:w="28" w:type="dxa"/>
              <w:left w:w="28" w:type="dxa"/>
              <w:bottom w:w="28" w:type="dxa"/>
              <w:right w:w="28" w:type="dxa"/>
            </w:tcMar>
            <w:vAlign w:val="center"/>
          </w:tcPr>
          <w:p w14:paraId="748C6691">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r>
    </w:tbl>
    <w:p w14:paraId="574F1CFB">
      <w:pPr>
        <w:pStyle w:val="35"/>
        <w:pageBreakBefore w:val="0"/>
        <w:kinsoku/>
        <w:wordWrap/>
        <w:overflowPunct/>
        <w:topLinePunct w:val="0"/>
        <w:bidi w:val="0"/>
        <w:spacing w:before="0" w:after="0" w:line="360" w:lineRule="exact"/>
        <w:rPr>
          <w:rFonts w:hint="default"/>
          <w:color w:val="auto"/>
          <w:highlight w:val="none"/>
        </w:rPr>
      </w:pPr>
    </w:p>
    <w:p w14:paraId="1F8574B2">
      <w:pPr>
        <w:keepNext w:val="0"/>
        <w:keepLines w:val="0"/>
        <w:pageBreakBefore w:val="0"/>
        <w:widowControl w:val="0"/>
        <w:numPr>
          <w:ilvl w:val="2"/>
          <w:numId w:val="0"/>
        </w:numPr>
        <w:kinsoku/>
        <w:wordWrap/>
        <w:overflowPunct/>
        <w:topLinePunct w:val="0"/>
        <w:autoSpaceDE/>
        <w:autoSpaceDN/>
        <w:bidi w:val="0"/>
        <w:adjustRightInd/>
        <w:snapToGrid/>
        <w:spacing w:line="360" w:lineRule="exact"/>
        <w:ind w:firstLine="422" w:firstLineChars="200"/>
        <w:textAlignment w:val="auto"/>
        <w:outlineLvl w:val="2"/>
        <w:rPr>
          <w:rFonts w:hint="eastAsia" w:ascii="宋体" w:hAnsi="宋体" w:eastAsia="宋体" w:cs="宋体"/>
          <w:b/>
          <w:color w:val="auto"/>
          <w:highlight w:val="none"/>
          <w:lang w:val="zh-CN" w:eastAsia="zh-CN"/>
        </w:rPr>
      </w:pPr>
      <w:bookmarkStart w:id="59" w:name="_Toc1127917560_WPSOffice_Level2"/>
      <w:bookmarkStart w:id="60" w:name="_Toc1440947088_WPSOffice_Level2"/>
      <w:r>
        <w:rPr>
          <w:rFonts w:hint="eastAsia" w:ascii="宋体" w:hAnsi="宋体" w:cs="宋体"/>
          <w:b/>
          <w:color w:val="auto"/>
          <w:highlight w:val="none"/>
          <w:lang w:val="zh-CN" w:eastAsia="zh-CN"/>
        </w:rPr>
        <w:t>（九）</w:t>
      </w:r>
      <w:r>
        <w:rPr>
          <w:rFonts w:hint="eastAsia" w:ascii="宋体" w:hAnsi="宋体" w:eastAsia="宋体" w:cs="宋体"/>
          <w:b/>
          <w:color w:val="auto"/>
          <w:highlight w:val="none"/>
          <w:lang w:val="zh-CN" w:eastAsia="zh-CN"/>
        </w:rPr>
        <w:t>其他要求</w:t>
      </w:r>
      <w:bookmarkEnd w:id="59"/>
      <w:bookmarkEnd w:id="60"/>
    </w:p>
    <w:p w14:paraId="018632D4">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default" w:ascii="宋体" w:hAnsi="宋体" w:eastAsia="宋体" w:cs="宋体"/>
          <w:color w:val="auto"/>
          <w:sz w:val="21"/>
          <w:highlight w:val="none"/>
          <w:lang w:val="en-US" w:eastAsia="zh-CN"/>
        </w:rPr>
      </w:pPr>
      <w:r>
        <w:rPr>
          <w:rFonts w:hint="eastAsia" w:ascii="宋体" w:hAnsi="宋体" w:cs="宋体"/>
          <w:color w:val="auto"/>
          <w:sz w:val="21"/>
          <w:highlight w:val="none"/>
          <w:lang w:val="en-US" w:eastAsia="zh-CN"/>
        </w:rPr>
        <w:t>1.</w:t>
      </w:r>
      <w:r>
        <w:rPr>
          <w:rFonts w:hint="eastAsia" w:ascii="宋体" w:hAnsi="宋体" w:eastAsia="宋体" w:cs="宋体"/>
          <w:color w:val="auto"/>
          <w:sz w:val="21"/>
          <w:highlight w:val="none"/>
          <w:lang w:val="en-US" w:eastAsia="zh-CN"/>
        </w:rPr>
        <w:t>服务</w:t>
      </w:r>
      <w:r>
        <w:rPr>
          <w:rFonts w:hint="eastAsia" w:ascii="宋体" w:hAnsi="宋体" w:cs="宋体"/>
          <w:color w:val="auto"/>
          <w:sz w:val="21"/>
          <w:highlight w:val="none"/>
          <w:lang w:val="en-US" w:eastAsia="zh-CN"/>
        </w:rPr>
        <w:t>要</w:t>
      </w:r>
      <w:r>
        <w:rPr>
          <w:rFonts w:hint="default" w:ascii="宋体" w:hAnsi="宋体" w:eastAsia="宋体" w:cs="宋体"/>
          <w:color w:val="auto"/>
          <w:sz w:val="21"/>
          <w:highlight w:val="none"/>
          <w:lang w:val="en-US" w:eastAsia="zh-CN"/>
        </w:rPr>
        <w:t>求</w:t>
      </w:r>
    </w:p>
    <w:p w14:paraId="11276D67">
      <w:pPr>
        <w:spacing w:line="380" w:lineRule="exact"/>
        <w:ind w:firstLine="420" w:firstLineChars="200"/>
        <w:jc w:val="left"/>
        <w:rPr>
          <w:rFonts w:hint="eastAsia"/>
          <w:color w:val="auto"/>
          <w:highlight w:val="none"/>
        </w:rPr>
      </w:pPr>
      <w:r>
        <w:rPr>
          <w:rFonts w:hint="default" w:ascii="宋体" w:hAnsi="宋体" w:eastAsia="宋体" w:cs="宋体"/>
          <w:b w:val="0"/>
          <w:bCs w:val="0"/>
          <w:i w:val="0"/>
          <w:iCs w:val="0"/>
          <w:color w:val="auto"/>
          <w:kern w:val="2"/>
          <w:sz w:val="21"/>
          <w:szCs w:val="21"/>
          <w:highlight w:val="none"/>
          <w:vertAlign w:val="baseline"/>
          <w:lang w:eastAsia="zh-CN" w:bidi="ar-SA"/>
        </w:rPr>
        <w:t>供应商根据采购需求提供按政务外网标准建设、通过网络安全等级保护三级测评、通过商用密码应用安全性评估三级测评等要求的政务云资源服务，根据各政务部门申请业务应用上云的资源情况，调配选择和使用对应云资源服务</w:t>
      </w:r>
      <w:r>
        <w:rPr>
          <w:rFonts w:hint="eastAsia" w:ascii="宋体" w:hAnsi="宋体" w:cs="宋体"/>
          <w:b w:val="0"/>
          <w:bCs w:val="0"/>
          <w:i w:val="0"/>
          <w:iCs w:val="0"/>
          <w:color w:val="auto"/>
          <w:kern w:val="2"/>
          <w:sz w:val="21"/>
          <w:szCs w:val="21"/>
          <w:highlight w:val="none"/>
          <w:vertAlign w:val="baseline"/>
          <w:lang w:eastAsia="zh-CN" w:bidi="ar-SA"/>
        </w:rPr>
        <w:t>。</w:t>
      </w:r>
      <w:r>
        <w:rPr>
          <w:rFonts w:hint="eastAsia" w:ascii="宋体" w:hAnsi="宋体" w:cs="宋体"/>
          <w:b w:val="0"/>
          <w:bCs w:val="0"/>
          <w:i w:val="0"/>
          <w:iCs w:val="0"/>
          <w:color w:val="auto"/>
          <w:kern w:val="2"/>
          <w:sz w:val="21"/>
          <w:szCs w:val="21"/>
          <w:highlight w:val="none"/>
          <w:vertAlign w:val="baseline"/>
          <w:lang w:val="en-US" w:eastAsia="zh-CN" w:bidi="ar-SA"/>
        </w:rPr>
        <w:t>投标人须根据</w:t>
      </w:r>
      <w:r>
        <w:rPr>
          <w:rFonts w:hint="eastAsia" w:ascii="宋体" w:hAnsi="宋体" w:cs="宋体"/>
          <w:b w:val="0"/>
          <w:bCs w:val="0"/>
          <w:i w:val="0"/>
          <w:iCs w:val="0"/>
          <w:color w:val="auto"/>
          <w:kern w:val="2"/>
          <w:sz w:val="21"/>
          <w:szCs w:val="21"/>
          <w:highlight w:val="none"/>
          <w:vertAlign w:val="baseline"/>
          <w:lang w:eastAsia="zh-CN" w:bidi="ar-SA"/>
        </w:rPr>
        <w:t>（《广西壮族自治区本级政务信息化建设和运维项目预算支出标准》（桂财建〔</w:t>
      </w:r>
      <w:r>
        <w:rPr>
          <w:rFonts w:hint="eastAsia" w:ascii="宋体" w:hAnsi="宋体" w:cs="宋体"/>
          <w:b w:val="0"/>
          <w:bCs w:val="0"/>
          <w:i w:val="0"/>
          <w:iCs w:val="0"/>
          <w:color w:val="auto"/>
          <w:kern w:val="2"/>
          <w:sz w:val="21"/>
          <w:szCs w:val="21"/>
          <w:highlight w:val="none"/>
          <w:vertAlign w:val="baseline"/>
          <w:lang w:val="en-US" w:eastAsia="zh-CN" w:bidi="ar-SA"/>
        </w:rPr>
        <w:t>2023</w:t>
      </w:r>
      <w:r>
        <w:rPr>
          <w:rFonts w:hint="eastAsia" w:ascii="宋体" w:hAnsi="宋体" w:cs="宋体"/>
          <w:b w:val="0"/>
          <w:bCs w:val="0"/>
          <w:i w:val="0"/>
          <w:iCs w:val="0"/>
          <w:color w:val="auto"/>
          <w:kern w:val="2"/>
          <w:sz w:val="21"/>
          <w:szCs w:val="21"/>
          <w:highlight w:val="none"/>
          <w:vertAlign w:val="baseline"/>
          <w:lang w:eastAsia="zh-CN" w:bidi="ar-SA"/>
        </w:rPr>
        <w:t>〕</w:t>
      </w:r>
      <w:r>
        <w:rPr>
          <w:rFonts w:hint="eastAsia" w:ascii="宋体" w:hAnsi="宋体" w:cs="宋体"/>
          <w:b w:val="0"/>
          <w:bCs w:val="0"/>
          <w:i w:val="0"/>
          <w:iCs w:val="0"/>
          <w:color w:val="auto"/>
          <w:kern w:val="2"/>
          <w:sz w:val="21"/>
          <w:szCs w:val="21"/>
          <w:highlight w:val="none"/>
          <w:vertAlign w:val="baseline"/>
          <w:lang w:val="en-US" w:eastAsia="zh-CN" w:bidi="ar-SA"/>
        </w:rPr>
        <w:t>102号</w:t>
      </w:r>
      <w:r>
        <w:rPr>
          <w:rFonts w:hint="eastAsia" w:ascii="宋体" w:hAnsi="宋体" w:cs="宋体"/>
          <w:b w:val="0"/>
          <w:bCs w:val="0"/>
          <w:i w:val="0"/>
          <w:iCs w:val="0"/>
          <w:color w:val="auto"/>
          <w:kern w:val="2"/>
          <w:sz w:val="21"/>
          <w:szCs w:val="21"/>
          <w:highlight w:val="none"/>
          <w:vertAlign w:val="baseline"/>
          <w:lang w:eastAsia="zh-CN" w:bidi="ar-SA"/>
        </w:rPr>
        <w:t>））</w:t>
      </w:r>
      <w:r>
        <w:rPr>
          <w:rFonts w:hint="default" w:ascii="宋体" w:hAnsi="宋体" w:eastAsia="宋体" w:cs="宋体"/>
          <w:b w:val="0"/>
          <w:bCs w:val="0"/>
          <w:i w:val="0"/>
          <w:iCs w:val="0"/>
          <w:color w:val="auto"/>
          <w:kern w:val="2"/>
          <w:sz w:val="21"/>
          <w:szCs w:val="21"/>
          <w:highlight w:val="none"/>
          <w:vertAlign w:val="baseline"/>
          <w:lang w:eastAsia="zh-CN" w:bidi="ar-SA"/>
        </w:rPr>
        <w:t>内的</w:t>
      </w:r>
      <w:r>
        <w:rPr>
          <w:rFonts w:hint="eastAsia" w:ascii="宋体" w:hAnsi="宋体" w:cs="宋体"/>
          <w:b w:val="0"/>
          <w:bCs w:val="0"/>
          <w:i w:val="0"/>
          <w:iCs w:val="0"/>
          <w:color w:val="auto"/>
          <w:kern w:val="2"/>
          <w:sz w:val="21"/>
          <w:szCs w:val="21"/>
          <w:highlight w:val="none"/>
          <w:vertAlign w:val="baseline"/>
          <w:lang w:val="en-US" w:eastAsia="zh-CN" w:bidi="ar-SA"/>
        </w:rPr>
        <w:t>要求</w:t>
      </w:r>
      <w:r>
        <w:rPr>
          <w:rFonts w:hint="default" w:ascii="宋体" w:hAnsi="宋体" w:eastAsia="宋体" w:cs="宋体"/>
          <w:b w:val="0"/>
          <w:bCs w:val="0"/>
          <w:i w:val="0"/>
          <w:iCs w:val="0"/>
          <w:color w:val="auto"/>
          <w:kern w:val="2"/>
          <w:sz w:val="21"/>
          <w:szCs w:val="21"/>
          <w:highlight w:val="none"/>
          <w:vertAlign w:val="baseline"/>
          <w:lang w:eastAsia="zh-CN" w:bidi="ar-SA"/>
        </w:rPr>
        <w:t>，提供</w:t>
      </w:r>
      <w:r>
        <w:rPr>
          <w:rFonts w:hint="eastAsia" w:ascii="宋体" w:hAnsi="宋体" w:cs="宋体"/>
          <w:b w:val="0"/>
          <w:bCs w:val="0"/>
          <w:i w:val="0"/>
          <w:iCs w:val="0"/>
          <w:color w:val="auto"/>
          <w:kern w:val="2"/>
          <w:sz w:val="21"/>
          <w:szCs w:val="21"/>
          <w:highlight w:val="none"/>
          <w:vertAlign w:val="baseline"/>
          <w:lang w:val="en-US" w:eastAsia="zh-CN" w:bidi="ar-SA"/>
        </w:rPr>
        <w:t>政务云</w:t>
      </w:r>
      <w:r>
        <w:rPr>
          <w:rFonts w:hint="default" w:ascii="宋体" w:hAnsi="宋体" w:eastAsia="宋体" w:cs="宋体"/>
          <w:b w:val="0"/>
          <w:bCs w:val="0"/>
          <w:i w:val="0"/>
          <w:iCs w:val="0"/>
          <w:color w:val="auto"/>
          <w:kern w:val="2"/>
          <w:sz w:val="21"/>
          <w:szCs w:val="21"/>
          <w:highlight w:val="none"/>
          <w:vertAlign w:val="baseline"/>
          <w:lang w:eastAsia="zh-CN" w:bidi="ar-SA"/>
        </w:rPr>
        <w:t>服务。</w:t>
      </w:r>
    </w:p>
    <w:p w14:paraId="41E92305">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highlight w:val="none"/>
        </w:rPr>
      </w:pPr>
      <w:r>
        <w:rPr>
          <w:rFonts w:hint="eastAsia" w:ascii="宋体" w:hAnsi="宋体" w:cs="宋体"/>
          <w:color w:val="auto"/>
          <w:sz w:val="21"/>
          <w:highlight w:val="none"/>
          <w:lang w:val="en-US" w:eastAsia="zh-CN"/>
        </w:rPr>
        <w:t>2</w:t>
      </w:r>
      <w:r>
        <w:rPr>
          <w:rFonts w:hint="eastAsia" w:ascii="宋体" w:hAnsi="宋体" w:eastAsia="宋体" w:cs="宋体"/>
          <w:color w:val="auto"/>
          <w:sz w:val="21"/>
          <w:highlight w:val="none"/>
        </w:rPr>
        <w:t>.保密要求</w:t>
      </w:r>
    </w:p>
    <w:p w14:paraId="726BCAA2">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中标人须与采购人签订项目保密协议，参与项目的服务人员应该履行保密义务并签订保密承诺书，防城港市政务云服务项目所产生的全部任何形式的数据均归用户单位所有。未经用户单位许可，中标人、参与项目的服务人员不得删改、篡改、剽窃，更不得向第三方泄露项目任何形式的数据或文档资料、知识产权、内部信息等，不得以任何形式将数据出租、出售或用于其他用途，一经发现立即终止合同，并追究其相应的法律责任，若涉嫌犯罪的交由司法机关进行处理，由中标人所派遣服务人员造成上述问题的，中标人应承担相应责任。</w:t>
      </w:r>
    </w:p>
    <w:p w14:paraId="4F4FFC47">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ascii="宋体" w:hAnsi="宋体" w:eastAsia="宋体" w:cs="宋体"/>
          <w:color w:val="auto"/>
          <w:highlight w:val="none"/>
          <w:lang w:val="en-US" w:eastAsia="zh-CN"/>
        </w:rPr>
      </w:pPr>
      <w:r>
        <w:rPr>
          <w:rFonts w:hint="eastAsia" w:ascii="宋体" w:hAnsi="宋体" w:cs="宋体"/>
          <w:color w:val="auto"/>
          <w:sz w:val="21"/>
          <w:highlight w:val="none"/>
          <w:lang w:val="en-US" w:eastAsia="zh-CN"/>
        </w:rPr>
        <w:t>3</w:t>
      </w:r>
      <w:r>
        <w:rPr>
          <w:rFonts w:hint="eastAsia" w:ascii="宋体" w:hAnsi="宋体" w:eastAsia="宋体" w:cs="宋体"/>
          <w:color w:val="auto"/>
          <w:sz w:val="21"/>
          <w:highlight w:val="none"/>
          <w:lang w:val="en-US" w:eastAsia="zh-CN"/>
        </w:rPr>
        <w:t>.数据安全要求</w:t>
      </w:r>
    </w:p>
    <w:p w14:paraId="1D631B17">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default" w:ascii="宋体" w:hAnsi="宋体" w:eastAsia="宋体" w:cs="宋体"/>
          <w:color w:val="auto"/>
          <w:sz w:val="21"/>
          <w:highlight w:val="none"/>
          <w:lang w:val="en-US" w:eastAsia="zh-CN"/>
        </w:rPr>
      </w:pPr>
      <w:r>
        <w:rPr>
          <w:rFonts w:hint="eastAsia" w:ascii="宋体" w:hAnsi="宋体" w:eastAsia="宋体" w:cs="宋体"/>
          <w:color w:val="auto"/>
          <w:sz w:val="21"/>
          <w:highlight w:val="none"/>
          <w:lang w:eastAsia="zh-CN"/>
        </w:rPr>
        <w:t>中标人须</w:t>
      </w:r>
      <w:r>
        <w:rPr>
          <w:rFonts w:hint="eastAsia" w:ascii="宋体" w:hAnsi="宋体" w:eastAsia="宋体" w:cs="宋体"/>
          <w:color w:val="auto"/>
          <w:sz w:val="21"/>
          <w:highlight w:val="none"/>
        </w:rPr>
        <w:t>建立并持续运行覆盖数据全生命周期的安全保护机制，包括但不限于：数据分级分类、访问控制、加密存储与传输、日志审计、安全监测、应急响应及容灾备份。</w:t>
      </w:r>
      <w:r>
        <w:rPr>
          <w:rFonts w:hint="eastAsia" w:ascii="宋体" w:hAnsi="宋体" w:eastAsia="宋体" w:cs="宋体"/>
          <w:color w:val="auto"/>
          <w:sz w:val="21"/>
          <w:highlight w:val="none"/>
          <w:lang w:eastAsia="zh-CN"/>
        </w:rPr>
        <w:t>如</w:t>
      </w:r>
      <w:r>
        <w:rPr>
          <w:rFonts w:hint="eastAsia" w:ascii="宋体" w:hAnsi="宋体" w:eastAsia="宋体" w:cs="宋体"/>
          <w:color w:val="auto"/>
          <w:sz w:val="21"/>
          <w:highlight w:val="none"/>
          <w:lang w:val="en-US" w:eastAsia="zh-CN"/>
        </w:rPr>
        <w:t>因服务商或其关联方违反安全约定、操作失误、系统漏洞或内控缺失等过错导致数据泄露，并给采购人、政务用户或第三方造成损失的，服务商应承担全部直接损失及采购人为应对泄露事件支出的合理费用（包括但不限于调查费、修复费、通知费、律师费、诉讼费及行政罚款）。若泄露事件涉及国家秘密或重大公共利益的，服务商还应依法承担相应法律责任，且采购人有权</w:t>
      </w:r>
      <w:r>
        <w:rPr>
          <w:rFonts w:hint="eastAsia" w:ascii="宋体" w:hAnsi="宋体" w:cs="宋体"/>
          <w:color w:val="auto"/>
          <w:sz w:val="21"/>
          <w:highlight w:val="none"/>
          <w:lang w:val="en-US" w:eastAsia="zh-CN"/>
        </w:rPr>
        <w:t>依法</w:t>
      </w:r>
      <w:r>
        <w:rPr>
          <w:rFonts w:hint="eastAsia" w:ascii="宋体" w:hAnsi="宋体" w:eastAsia="宋体" w:cs="宋体"/>
          <w:color w:val="auto"/>
          <w:sz w:val="21"/>
          <w:highlight w:val="none"/>
          <w:lang w:val="en-US" w:eastAsia="zh-CN"/>
        </w:rPr>
        <w:t>单方解除合同。</w:t>
      </w:r>
    </w:p>
    <w:p w14:paraId="210770B6">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highlight w:val="none"/>
        </w:rPr>
      </w:pPr>
      <w:r>
        <w:rPr>
          <w:rFonts w:hint="eastAsia" w:ascii="宋体" w:hAnsi="宋体" w:cs="宋体"/>
          <w:color w:val="auto"/>
          <w:sz w:val="21"/>
          <w:highlight w:val="none"/>
          <w:lang w:val="en-US" w:eastAsia="zh-CN"/>
        </w:rPr>
        <w:t>4</w:t>
      </w:r>
      <w:r>
        <w:rPr>
          <w:rFonts w:hint="eastAsia" w:ascii="宋体" w:hAnsi="宋体" w:eastAsia="宋体" w:cs="宋体"/>
          <w:color w:val="auto"/>
          <w:sz w:val="21"/>
          <w:highlight w:val="none"/>
        </w:rPr>
        <w:t>.纪律要求</w:t>
      </w:r>
    </w:p>
    <w:p w14:paraId="2428EC93">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要求中标人须具有完善的人员廉政监督和职业道德宣贯、处罚措施，确保服务人员在项目中保持廉洁自律，不以任何形式（不限于礼品、礼金等）接收他人的好处，不会对数据进行任何的</w:t>
      </w:r>
      <w:r>
        <w:rPr>
          <w:rFonts w:hint="eastAsia" w:ascii="宋体" w:hAnsi="宋体" w:eastAsia="宋体" w:cs="宋体"/>
          <w:color w:val="auto"/>
          <w:sz w:val="21"/>
          <w:szCs w:val="24"/>
          <w:highlight w:val="none"/>
          <w:lang w:eastAsia="zh-CN"/>
        </w:rPr>
        <w:t>篡</w:t>
      </w:r>
      <w:r>
        <w:rPr>
          <w:rFonts w:hint="eastAsia" w:ascii="宋体" w:hAnsi="宋体" w:eastAsia="宋体" w:cs="宋体"/>
          <w:color w:val="auto"/>
          <w:sz w:val="21"/>
          <w:szCs w:val="24"/>
          <w:highlight w:val="none"/>
        </w:rPr>
        <w:t>改、删除、过滤，也不会收受他人好处对数据进行</w:t>
      </w:r>
      <w:r>
        <w:rPr>
          <w:rFonts w:hint="eastAsia" w:ascii="宋体" w:hAnsi="宋体" w:eastAsia="宋体" w:cs="宋体"/>
          <w:strike w:val="0"/>
          <w:color w:val="auto"/>
          <w:sz w:val="21"/>
          <w:szCs w:val="24"/>
          <w:highlight w:val="none"/>
          <w:lang w:eastAsia="zh-CN"/>
        </w:rPr>
        <w:t>篡</w:t>
      </w:r>
      <w:r>
        <w:rPr>
          <w:rFonts w:hint="eastAsia" w:ascii="宋体" w:hAnsi="宋体" w:eastAsia="宋体" w:cs="宋体"/>
          <w:color w:val="auto"/>
          <w:sz w:val="21"/>
          <w:szCs w:val="24"/>
          <w:highlight w:val="none"/>
        </w:rPr>
        <w:t>改、删除、过滤。如果发生上述行为，需承担合同违约责任，赔付经济损失、扣除履约保证金。行为触犯《民法典》《</w:t>
      </w:r>
      <w:r>
        <w:rPr>
          <w:rFonts w:hint="eastAsia" w:ascii="宋体" w:hAnsi="宋体" w:eastAsia="宋体" w:cs="宋体"/>
          <w:color w:val="auto"/>
          <w:sz w:val="21"/>
          <w:szCs w:val="24"/>
          <w:highlight w:val="none"/>
          <w:lang w:val="en-US" w:eastAsia="zh-CN"/>
        </w:rPr>
        <w:t>中华人民共和国</w:t>
      </w:r>
      <w:r>
        <w:rPr>
          <w:rFonts w:hint="eastAsia" w:ascii="宋体" w:hAnsi="宋体" w:eastAsia="宋体" w:cs="宋体"/>
          <w:color w:val="auto"/>
          <w:sz w:val="21"/>
          <w:szCs w:val="24"/>
          <w:highlight w:val="none"/>
        </w:rPr>
        <w:t>数据安全法》《</w:t>
      </w:r>
      <w:r>
        <w:rPr>
          <w:rFonts w:hint="eastAsia" w:ascii="宋体" w:hAnsi="宋体" w:eastAsia="宋体" w:cs="宋体"/>
          <w:color w:val="auto"/>
          <w:sz w:val="21"/>
          <w:szCs w:val="24"/>
          <w:highlight w:val="none"/>
          <w:lang w:val="en-US" w:eastAsia="zh-CN"/>
        </w:rPr>
        <w:t>中华人民共和国</w:t>
      </w:r>
      <w:r>
        <w:rPr>
          <w:rFonts w:hint="eastAsia" w:ascii="宋体" w:hAnsi="宋体" w:eastAsia="宋体" w:cs="宋体"/>
          <w:color w:val="auto"/>
          <w:sz w:val="21"/>
          <w:szCs w:val="24"/>
          <w:highlight w:val="none"/>
        </w:rPr>
        <w:t>网络安全法》等法律法规的，采购人有权依法提起民事诉讼追偿损失；涉嫌商业贿赂、危害计算机信息系统安全等刑事犯罪的，移交司法机关依法追究刑事责任。</w:t>
      </w:r>
    </w:p>
    <w:p w14:paraId="05651FCC">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4"/>
          <w:highlight w:val="none"/>
          <w:lang w:val="en-US" w:eastAsia="zh-CN"/>
        </w:rPr>
      </w:pPr>
      <w:r>
        <w:rPr>
          <w:rFonts w:hint="eastAsia" w:ascii="宋体" w:hAnsi="宋体" w:cs="宋体"/>
          <w:color w:val="auto"/>
          <w:sz w:val="21"/>
          <w:szCs w:val="24"/>
          <w:highlight w:val="none"/>
          <w:lang w:val="en-US" w:eastAsia="zh-CN"/>
        </w:rPr>
        <w:t>5</w:t>
      </w:r>
      <w:r>
        <w:rPr>
          <w:rFonts w:hint="eastAsia" w:ascii="宋体" w:hAnsi="宋体" w:eastAsia="宋体" w:cs="宋体"/>
          <w:color w:val="auto"/>
          <w:sz w:val="21"/>
          <w:szCs w:val="24"/>
          <w:highlight w:val="none"/>
          <w:lang w:val="en-US" w:eastAsia="zh-CN"/>
        </w:rPr>
        <w:t>.人员要求</w:t>
      </w:r>
    </w:p>
    <w:p w14:paraId="0AE44AC8">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中标人</w:t>
      </w:r>
      <w:r>
        <w:rPr>
          <w:rFonts w:hint="eastAsia" w:ascii="宋体" w:hAnsi="宋体" w:eastAsia="宋体" w:cs="宋体"/>
          <w:color w:val="auto"/>
          <w:sz w:val="21"/>
          <w:highlight w:val="none"/>
          <w:lang w:eastAsia="zh-CN"/>
        </w:rPr>
        <w:t>须</w:t>
      </w:r>
      <w:r>
        <w:rPr>
          <w:rFonts w:hint="eastAsia" w:ascii="宋体" w:hAnsi="宋体" w:eastAsia="宋体" w:cs="宋体"/>
          <w:color w:val="auto"/>
          <w:sz w:val="21"/>
          <w:highlight w:val="none"/>
          <w:lang w:val="en-US" w:eastAsia="zh-CN"/>
        </w:rPr>
        <w:t>组建</w:t>
      </w:r>
      <w:r>
        <w:rPr>
          <w:rFonts w:hint="eastAsia" w:ascii="宋体" w:hAnsi="宋体" w:eastAsia="宋体" w:cs="宋体"/>
          <w:color w:val="auto"/>
          <w:sz w:val="21"/>
          <w:highlight w:val="none"/>
        </w:rPr>
        <w:t>不少于10</w:t>
      </w:r>
      <w:r>
        <w:rPr>
          <w:rFonts w:hint="eastAsia" w:ascii="宋体" w:hAnsi="宋体" w:eastAsia="宋体" w:cs="宋体"/>
          <w:color w:val="auto"/>
          <w:sz w:val="21"/>
          <w:highlight w:val="none"/>
          <w:lang w:val="en-US" w:eastAsia="zh-CN"/>
        </w:rPr>
        <w:t>人的</w:t>
      </w:r>
      <w:r>
        <w:rPr>
          <w:rFonts w:hint="eastAsia" w:ascii="宋体" w:hAnsi="宋体" w:cs="宋体"/>
          <w:color w:val="auto"/>
          <w:sz w:val="21"/>
          <w:highlight w:val="none"/>
          <w:lang w:val="en-US" w:eastAsia="zh-CN"/>
        </w:rPr>
        <w:t>计算机相关专业的</w:t>
      </w:r>
      <w:r>
        <w:rPr>
          <w:rFonts w:hint="eastAsia" w:ascii="宋体" w:hAnsi="宋体" w:eastAsia="宋体" w:cs="宋体"/>
          <w:color w:val="auto"/>
          <w:sz w:val="21"/>
          <w:highlight w:val="none"/>
          <w:lang w:val="en-US" w:eastAsia="zh-CN"/>
        </w:rPr>
        <w:t>技术团队，提供</w:t>
      </w:r>
      <w:r>
        <w:rPr>
          <w:rFonts w:hint="eastAsia" w:ascii="宋体" w:hAnsi="宋体" w:eastAsia="宋体" w:cs="宋体"/>
          <w:color w:val="auto"/>
          <w:sz w:val="21"/>
          <w:highlight w:val="none"/>
        </w:rPr>
        <w:t>7×24小时</w:t>
      </w:r>
      <w:r>
        <w:rPr>
          <w:rFonts w:hint="eastAsia" w:ascii="宋体" w:hAnsi="宋体" w:eastAsia="宋体" w:cs="宋体"/>
          <w:color w:val="auto"/>
          <w:sz w:val="21"/>
          <w:highlight w:val="none"/>
          <w:lang w:val="en-US" w:eastAsia="zh-CN"/>
        </w:rPr>
        <w:t>不间断</w:t>
      </w:r>
      <w:r>
        <w:rPr>
          <w:rFonts w:hint="eastAsia" w:ascii="宋体" w:hAnsi="宋体" w:eastAsia="宋体" w:cs="宋体"/>
          <w:color w:val="auto"/>
          <w:sz w:val="21"/>
          <w:highlight w:val="none"/>
        </w:rPr>
        <w:t>运行维护和故障响应工作，</w:t>
      </w:r>
      <w:r>
        <w:rPr>
          <w:rFonts w:hint="eastAsia" w:ascii="宋体" w:hAnsi="宋体" w:eastAsia="宋体" w:cs="宋体"/>
          <w:color w:val="auto"/>
          <w:sz w:val="21"/>
          <w:highlight w:val="none"/>
          <w:lang w:val="en-US" w:eastAsia="zh-CN"/>
        </w:rPr>
        <w:t>须</w:t>
      </w:r>
      <w:r>
        <w:rPr>
          <w:rFonts w:hint="eastAsia" w:ascii="宋体" w:hAnsi="宋体" w:eastAsia="宋体" w:cs="宋体"/>
          <w:color w:val="auto"/>
          <w:sz w:val="21"/>
          <w:highlight w:val="none"/>
        </w:rPr>
        <w:t>指派专职接口人，负责政务云服务的故障受理、处理、跟踪、结果汇报工作。未经采购人允许，中标人不得擅自更改指派人员。</w:t>
      </w:r>
    </w:p>
    <w:p w14:paraId="7DE90A7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（1）拟派人员</w:t>
      </w:r>
      <w:r>
        <w:rPr>
          <w:rFonts w:hint="eastAsia" w:ascii="宋体" w:hAnsi="宋体" w:eastAsia="宋体" w:cs="宋体"/>
          <w:color w:val="auto"/>
          <w:sz w:val="21"/>
          <w:highlight w:val="none"/>
        </w:rPr>
        <w:t>须为中华人民共和国公民，拥护中国共产党的领导，政治立场坚定，具有良好的职业道德和敬业精神</w:t>
      </w:r>
      <w:r>
        <w:rPr>
          <w:rFonts w:hint="eastAsia" w:ascii="宋体" w:hAnsi="宋体" w:eastAsia="宋体" w:cs="宋体"/>
          <w:color w:val="auto"/>
          <w:sz w:val="21"/>
          <w:highlight w:val="none"/>
          <w:lang w:eastAsia="zh-CN"/>
        </w:rPr>
        <w:t>，</w:t>
      </w:r>
      <w:r>
        <w:rPr>
          <w:rFonts w:hint="eastAsia" w:ascii="宋体" w:hAnsi="宋体" w:eastAsia="宋体" w:cs="宋体"/>
          <w:color w:val="auto"/>
          <w:sz w:val="21"/>
          <w:highlight w:val="none"/>
        </w:rPr>
        <w:t>无违法犯罪记录，个人征信良好</w:t>
      </w:r>
      <w:r>
        <w:rPr>
          <w:rFonts w:hint="eastAsia" w:ascii="宋体" w:hAnsi="宋体" w:eastAsia="宋体" w:cs="宋体"/>
          <w:color w:val="auto"/>
          <w:sz w:val="21"/>
          <w:highlight w:val="none"/>
          <w:lang w:eastAsia="zh-CN"/>
        </w:rPr>
        <w:t>。</w:t>
      </w:r>
      <w:r>
        <w:rPr>
          <w:rFonts w:hint="eastAsia" w:ascii="宋体" w:hAnsi="宋体" w:eastAsia="宋体" w:cs="宋体"/>
          <w:color w:val="auto"/>
          <w:sz w:val="21"/>
          <w:highlight w:val="none"/>
          <w:lang w:val="en-US" w:eastAsia="zh-CN"/>
        </w:rPr>
        <w:t>中标人负责对所有人员的政审工作，担保身份信息真实无误，并承担相应连带责任。</w:t>
      </w:r>
    </w:p>
    <w:p w14:paraId="1B54129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default" w:ascii="宋体" w:hAnsi="宋体" w:eastAsia="宋体" w:cs="宋体"/>
          <w:color w:val="auto"/>
          <w:sz w:val="21"/>
          <w:highlight w:val="none"/>
          <w:lang w:val="en-US" w:eastAsia="zh-CN"/>
        </w:rPr>
      </w:pPr>
      <w:r>
        <w:rPr>
          <w:rFonts w:hint="eastAsia" w:ascii="宋体" w:hAnsi="宋体" w:eastAsia="宋体" w:cs="宋体"/>
          <w:color w:val="auto"/>
          <w:sz w:val="21"/>
          <w:highlight w:val="none"/>
          <w:lang w:eastAsia="zh-CN"/>
        </w:rPr>
        <w:t>（</w:t>
      </w:r>
      <w:r>
        <w:rPr>
          <w:rFonts w:hint="eastAsia" w:ascii="宋体" w:hAnsi="宋体" w:eastAsia="宋体" w:cs="宋体"/>
          <w:color w:val="auto"/>
          <w:sz w:val="21"/>
          <w:highlight w:val="none"/>
          <w:lang w:val="en-US" w:eastAsia="zh-CN"/>
        </w:rPr>
        <w:t>2</w:t>
      </w:r>
      <w:r>
        <w:rPr>
          <w:rFonts w:hint="eastAsia" w:ascii="宋体" w:hAnsi="宋体" w:eastAsia="宋体" w:cs="宋体"/>
          <w:color w:val="auto"/>
          <w:sz w:val="21"/>
          <w:highlight w:val="none"/>
          <w:lang w:eastAsia="zh-CN"/>
        </w:rPr>
        <w:t>）</w:t>
      </w:r>
      <w:r>
        <w:rPr>
          <w:rFonts w:hint="eastAsia" w:ascii="宋体" w:hAnsi="宋体" w:eastAsia="宋体" w:cs="宋体"/>
          <w:color w:val="auto"/>
          <w:sz w:val="21"/>
          <w:highlight w:val="none"/>
          <w:lang w:val="en-US" w:eastAsia="zh-CN"/>
        </w:rPr>
        <w:t>须</w:t>
      </w:r>
      <w:r>
        <w:rPr>
          <w:rFonts w:hint="eastAsia" w:ascii="宋体" w:hAnsi="宋体" w:eastAsia="宋体" w:cs="宋体"/>
          <w:color w:val="auto"/>
          <w:sz w:val="21"/>
          <w:highlight w:val="none"/>
        </w:rPr>
        <w:t>设置项目负责人</w:t>
      </w:r>
      <w:r>
        <w:rPr>
          <w:rFonts w:hint="eastAsia" w:ascii="宋体" w:hAnsi="宋体" w:eastAsia="宋体" w:cs="宋体"/>
          <w:color w:val="auto"/>
          <w:sz w:val="21"/>
          <w:highlight w:val="none"/>
          <w:lang w:val="en-US" w:eastAsia="zh-CN"/>
        </w:rPr>
        <w:t>1</w:t>
      </w:r>
      <w:r>
        <w:rPr>
          <w:rFonts w:hint="eastAsia" w:ascii="宋体" w:hAnsi="宋体" w:eastAsia="宋体" w:cs="宋体"/>
          <w:color w:val="auto"/>
          <w:sz w:val="21"/>
          <w:highlight w:val="none"/>
        </w:rPr>
        <w:t>名、技术负责人（技术经理）</w:t>
      </w:r>
      <w:r>
        <w:rPr>
          <w:rFonts w:hint="eastAsia" w:ascii="宋体" w:hAnsi="宋体" w:eastAsia="宋体" w:cs="宋体"/>
          <w:color w:val="auto"/>
          <w:sz w:val="21"/>
          <w:highlight w:val="none"/>
          <w:lang w:val="en-US" w:eastAsia="zh-CN"/>
        </w:rPr>
        <w:t>1</w:t>
      </w:r>
      <w:r>
        <w:rPr>
          <w:rFonts w:hint="eastAsia" w:ascii="宋体" w:hAnsi="宋体" w:eastAsia="宋体" w:cs="宋体"/>
          <w:color w:val="auto"/>
          <w:sz w:val="21"/>
          <w:highlight w:val="none"/>
        </w:rPr>
        <w:t>名</w:t>
      </w:r>
      <w:r>
        <w:rPr>
          <w:rFonts w:hint="eastAsia" w:ascii="宋体" w:hAnsi="宋体" w:eastAsia="宋体" w:cs="宋体"/>
          <w:color w:val="auto"/>
          <w:sz w:val="21"/>
          <w:highlight w:val="none"/>
          <w:lang w:eastAsia="zh-CN"/>
        </w:rPr>
        <w:t>，</w:t>
      </w:r>
      <w:r>
        <w:rPr>
          <w:rFonts w:hint="eastAsia" w:ascii="宋体" w:hAnsi="宋体" w:eastAsia="宋体" w:cs="宋体"/>
          <w:color w:val="auto"/>
          <w:sz w:val="21"/>
          <w:highlight w:val="none"/>
          <w:lang w:val="en-US" w:eastAsia="zh-CN"/>
        </w:rPr>
        <w:t>均须具备2年以上计算机相关工作经验；专业技术团队中须具备解决线路、动力环境等故障处理能力的专业人员。</w:t>
      </w:r>
    </w:p>
    <w:p w14:paraId="7BEAFF31">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val="en-US" w:eastAsia="zh-CN"/>
        </w:rPr>
        <w:t>3</w:t>
      </w:r>
      <w:r>
        <w:rPr>
          <w:rFonts w:hint="eastAsia" w:ascii="宋体" w:hAnsi="宋体" w:eastAsia="宋体" w:cs="宋体"/>
          <w:color w:val="auto"/>
          <w:sz w:val="21"/>
          <w:highlight w:val="none"/>
        </w:rPr>
        <w:t>）因不可抗力因素</w:t>
      </w:r>
      <w:r>
        <w:rPr>
          <w:rFonts w:hint="eastAsia" w:ascii="宋体" w:hAnsi="宋体" w:eastAsia="宋体" w:cs="宋体"/>
          <w:color w:val="auto"/>
          <w:sz w:val="21"/>
          <w:highlight w:val="none"/>
          <w:lang w:val="en-US" w:eastAsia="zh-CN"/>
        </w:rPr>
        <w:t>导致</w:t>
      </w:r>
      <w:r>
        <w:rPr>
          <w:rFonts w:hint="eastAsia" w:ascii="宋体" w:hAnsi="宋体" w:eastAsia="宋体" w:cs="宋体"/>
          <w:color w:val="auto"/>
          <w:sz w:val="21"/>
          <w:highlight w:val="none"/>
        </w:rPr>
        <w:t>服务人员发生变更的，中标人须提前10个工作日书面报采购人批准后方可更换，</w:t>
      </w:r>
      <w:r>
        <w:rPr>
          <w:rFonts w:hint="eastAsia" w:ascii="宋体" w:hAnsi="宋体" w:eastAsia="宋体" w:cs="宋体"/>
          <w:color w:val="auto"/>
          <w:sz w:val="21"/>
          <w:highlight w:val="none"/>
          <w:lang w:val="en-US" w:eastAsia="zh-CN"/>
        </w:rPr>
        <w:t>且</w:t>
      </w:r>
      <w:r>
        <w:rPr>
          <w:rFonts w:hint="eastAsia" w:ascii="宋体" w:hAnsi="宋体" w:eastAsia="宋体" w:cs="宋体"/>
          <w:color w:val="auto"/>
          <w:sz w:val="21"/>
          <w:highlight w:val="none"/>
        </w:rPr>
        <w:t>替代人员资质和能力</w:t>
      </w:r>
      <w:r>
        <w:rPr>
          <w:rFonts w:hint="eastAsia" w:ascii="宋体" w:hAnsi="宋体" w:eastAsia="宋体" w:cs="宋体"/>
          <w:color w:val="auto"/>
          <w:sz w:val="21"/>
          <w:highlight w:val="none"/>
          <w:lang w:val="en-US" w:eastAsia="zh-CN"/>
        </w:rPr>
        <w:t>不得低于原人员</w:t>
      </w:r>
      <w:r>
        <w:rPr>
          <w:rFonts w:hint="eastAsia" w:ascii="宋体" w:hAnsi="宋体" w:eastAsia="宋体" w:cs="宋体"/>
          <w:color w:val="auto"/>
          <w:sz w:val="21"/>
          <w:highlight w:val="none"/>
        </w:rPr>
        <w:t>。原则上不允许中途更换项目</w:t>
      </w:r>
      <w:r>
        <w:rPr>
          <w:rFonts w:hint="eastAsia" w:ascii="宋体" w:hAnsi="宋体" w:eastAsia="宋体" w:cs="宋体"/>
          <w:color w:val="auto"/>
          <w:sz w:val="21"/>
          <w:highlight w:val="none"/>
          <w:lang w:val="en-US" w:eastAsia="zh-CN"/>
        </w:rPr>
        <w:t>负责人</w:t>
      </w:r>
      <w:r>
        <w:rPr>
          <w:rFonts w:hint="eastAsia" w:ascii="宋体" w:hAnsi="宋体" w:eastAsia="宋体" w:cs="宋体"/>
          <w:color w:val="auto"/>
          <w:sz w:val="21"/>
          <w:highlight w:val="none"/>
        </w:rPr>
        <w:t>。</w:t>
      </w:r>
    </w:p>
    <w:p w14:paraId="2D31BA2B">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val="en-US" w:eastAsia="zh-CN"/>
        </w:rPr>
        <w:t>4</w:t>
      </w:r>
      <w:r>
        <w:rPr>
          <w:rFonts w:hint="eastAsia" w:ascii="宋体" w:hAnsi="宋体" w:eastAsia="宋体" w:cs="宋体"/>
          <w:color w:val="auto"/>
          <w:sz w:val="21"/>
          <w:highlight w:val="none"/>
        </w:rPr>
        <w:t>）采购人有权书面要求中标人撤换任何不称职的服务人员，更换人员的资质和能力</w:t>
      </w:r>
      <w:r>
        <w:rPr>
          <w:rFonts w:hint="eastAsia" w:ascii="宋体" w:hAnsi="宋体" w:eastAsia="宋体" w:cs="宋体"/>
          <w:color w:val="auto"/>
          <w:sz w:val="21"/>
          <w:highlight w:val="none"/>
          <w:lang w:val="en-US" w:eastAsia="zh-CN"/>
        </w:rPr>
        <w:t>亦不得低于原人员</w:t>
      </w:r>
      <w:r>
        <w:rPr>
          <w:rFonts w:hint="eastAsia" w:ascii="宋体" w:hAnsi="宋体" w:eastAsia="宋体" w:cs="宋体"/>
          <w:color w:val="auto"/>
          <w:sz w:val="21"/>
          <w:highlight w:val="none"/>
        </w:rPr>
        <w:t>。</w:t>
      </w:r>
    </w:p>
    <w:p w14:paraId="081F17D7">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eastAsia="zh-CN"/>
        </w:rPr>
        <w:t>5</w:t>
      </w:r>
      <w:r>
        <w:rPr>
          <w:rFonts w:hint="eastAsia" w:ascii="宋体" w:hAnsi="宋体" w:eastAsia="宋体" w:cs="宋体"/>
          <w:color w:val="auto"/>
          <w:sz w:val="21"/>
          <w:highlight w:val="none"/>
        </w:rPr>
        <w:t>）中标人</w:t>
      </w:r>
      <w:r>
        <w:rPr>
          <w:rFonts w:hint="eastAsia" w:ascii="宋体" w:hAnsi="宋体" w:eastAsia="宋体" w:cs="宋体"/>
          <w:color w:val="auto"/>
          <w:sz w:val="21"/>
          <w:highlight w:val="none"/>
          <w:lang w:val="en-US" w:eastAsia="zh-CN"/>
        </w:rPr>
        <w:t>须</w:t>
      </w:r>
      <w:r>
        <w:rPr>
          <w:rFonts w:hint="eastAsia" w:ascii="宋体" w:hAnsi="宋体" w:eastAsia="宋体" w:cs="宋体"/>
          <w:color w:val="auto"/>
          <w:sz w:val="21"/>
          <w:highlight w:val="none"/>
        </w:rPr>
        <w:t>自行提供必要的办公设备（如电脑及办公软件、录音笔等）。</w:t>
      </w:r>
    </w:p>
    <w:p w14:paraId="4EDD6FCD">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eastAsia="zh-CN"/>
        </w:rPr>
        <w:t>6</w:t>
      </w:r>
      <w:r>
        <w:rPr>
          <w:rFonts w:hint="eastAsia" w:ascii="宋体" w:hAnsi="宋体" w:eastAsia="宋体" w:cs="宋体"/>
          <w:color w:val="auto"/>
          <w:sz w:val="21"/>
          <w:highlight w:val="none"/>
        </w:rPr>
        <w:t>）中标人在服务过程中产生的项目差旅费用、文档打印费以及其它不可预见的费用</w:t>
      </w:r>
      <w:r>
        <w:rPr>
          <w:rFonts w:hint="eastAsia" w:ascii="宋体" w:hAnsi="宋体" w:eastAsia="宋体" w:cs="宋体"/>
          <w:color w:val="auto"/>
          <w:sz w:val="21"/>
          <w:highlight w:val="none"/>
          <w:lang w:eastAsia="zh-CN"/>
        </w:rPr>
        <w:t>，</w:t>
      </w:r>
      <w:r>
        <w:rPr>
          <w:rFonts w:hint="eastAsia" w:ascii="宋体" w:hAnsi="宋体" w:eastAsia="宋体" w:cs="宋体"/>
          <w:color w:val="auto"/>
          <w:sz w:val="21"/>
          <w:highlight w:val="none"/>
        </w:rPr>
        <w:t>均</w:t>
      </w:r>
      <w:r>
        <w:rPr>
          <w:rFonts w:hint="eastAsia" w:ascii="宋体" w:hAnsi="宋体" w:eastAsia="宋体" w:cs="宋体"/>
          <w:color w:val="auto"/>
          <w:sz w:val="21"/>
          <w:highlight w:val="none"/>
          <w:lang w:val="en-US" w:eastAsia="zh-CN"/>
        </w:rPr>
        <w:t>须</w:t>
      </w:r>
      <w:r>
        <w:rPr>
          <w:rFonts w:hint="eastAsia" w:ascii="宋体" w:hAnsi="宋体" w:eastAsia="宋体" w:cs="宋体"/>
          <w:color w:val="auto"/>
          <w:sz w:val="21"/>
          <w:highlight w:val="none"/>
        </w:rPr>
        <w:t>包含在投标价格</w:t>
      </w:r>
      <w:r>
        <w:rPr>
          <w:rFonts w:hint="eastAsia" w:ascii="宋体" w:hAnsi="宋体" w:eastAsia="宋体" w:cs="宋体"/>
          <w:color w:val="auto"/>
          <w:sz w:val="21"/>
          <w:highlight w:val="none"/>
          <w:lang w:val="en-US" w:eastAsia="zh-CN"/>
        </w:rPr>
        <w:t>之</w:t>
      </w:r>
      <w:r>
        <w:rPr>
          <w:rFonts w:hint="eastAsia" w:ascii="宋体" w:hAnsi="宋体" w:eastAsia="宋体" w:cs="宋体"/>
          <w:color w:val="auto"/>
          <w:sz w:val="21"/>
          <w:highlight w:val="none"/>
        </w:rPr>
        <w:t>内</w:t>
      </w:r>
      <w:r>
        <w:rPr>
          <w:rFonts w:hint="eastAsia" w:ascii="宋体" w:hAnsi="宋体" w:eastAsia="宋体" w:cs="宋体"/>
          <w:color w:val="auto"/>
          <w:sz w:val="21"/>
          <w:highlight w:val="none"/>
          <w:lang w:eastAsia="zh-CN"/>
        </w:rPr>
        <w:t>，</w:t>
      </w:r>
      <w:r>
        <w:rPr>
          <w:rFonts w:hint="eastAsia" w:ascii="宋体" w:hAnsi="宋体" w:eastAsia="宋体" w:cs="宋体"/>
          <w:color w:val="auto"/>
          <w:sz w:val="21"/>
          <w:highlight w:val="none"/>
          <w:lang w:val="en-US" w:eastAsia="zh-CN"/>
        </w:rPr>
        <w:t>采购人不再另行支付</w:t>
      </w:r>
      <w:r>
        <w:rPr>
          <w:rFonts w:hint="eastAsia" w:ascii="宋体" w:hAnsi="宋体" w:eastAsia="宋体" w:cs="宋体"/>
          <w:color w:val="auto"/>
          <w:sz w:val="21"/>
          <w:highlight w:val="none"/>
        </w:rPr>
        <w:t>。</w:t>
      </w:r>
    </w:p>
    <w:p w14:paraId="56A35D8E">
      <w:pPr>
        <w:rPr>
          <w:rFonts w:hint="eastAsia"/>
          <w:color w:val="auto"/>
        </w:rPr>
      </w:pPr>
      <w:r>
        <w:rPr>
          <w:rFonts w:hint="eastAsia"/>
          <w:color w:val="auto"/>
        </w:rPr>
        <w:br w:type="page"/>
      </w:r>
    </w:p>
    <w:p w14:paraId="373384BA">
      <w:pPr>
        <w:pStyle w:val="2"/>
        <w:pageBreakBefore w:val="0"/>
        <w:numPr>
          <w:ilvl w:val="0"/>
          <w:numId w:val="0"/>
        </w:numPr>
        <w:tabs>
          <w:tab w:val="left" w:pos="0"/>
          <w:tab w:val="left" w:pos="3165"/>
          <w:tab w:val="center" w:pos="4153"/>
        </w:tabs>
        <w:kinsoku/>
        <w:overflowPunct/>
        <w:topLinePunct w:val="0"/>
        <w:autoSpaceDE w:val="0"/>
        <w:autoSpaceDN w:val="0"/>
        <w:bidi w:val="0"/>
        <w:adjustRightInd w:val="0"/>
        <w:spacing w:before="0" w:after="0" w:line="240" w:lineRule="auto"/>
        <w:jc w:val="center"/>
        <w:rPr>
          <w:rFonts w:hint="eastAsia" w:ascii="宋体" w:hAnsi="宋体" w:eastAsia="宋体" w:cs="宋体"/>
          <w:color w:val="auto"/>
          <w:sz w:val="44"/>
          <w:szCs w:val="44"/>
          <w:highlight w:val="none"/>
        </w:rPr>
      </w:pPr>
      <w:bookmarkStart w:id="61" w:name="_Toc32381"/>
      <w:bookmarkStart w:id="62" w:name="_Toc11765"/>
      <w:r>
        <w:rPr>
          <w:rFonts w:hint="eastAsia" w:ascii="宋体" w:hAnsi="宋体" w:eastAsia="宋体" w:cs="宋体"/>
          <w:b/>
          <w:bCs/>
          <w:color w:val="auto"/>
          <w:kern w:val="44"/>
          <w:sz w:val="44"/>
          <w:szCs w:val="44"/>
          <w:lang w:val="en-US" w:eastAsia="zh-CN" w:bidi="ar-SA"/>
        </w:rPr>
        <w:t>第三章</w:t>
      </w:r>
      <w:r>
        <w:rPr>
          <w:rFonts w:hint="eastAsia" w:ascii="宋体" w:hAnsi="宋体" w:eastAsia="宋体" w:cs="宋体"/>
          <w:color w:val="auto"/>
          <w:sz w:val="44"/>
          <w:szCs w:val="44"/>
          <w:highlight w:val="none"/>
          <w:lang w:val="en-US" w:eastAsia="zh-CN"/>
        </w:rPr>
        <w:t xml:space="preserve"> </w:t>
      </w:r>
      <w:bookmarkStart w:id="63" w:name="_Toc29035"/>
      <w:r>
        <w:rPr>
          <w:rFonts w:hint="eastAsia" w:ascii="宋体" w:hAnsi="宋体" w:eastAsia="宋体" w:cs="宋体"/>
          <w:color w:val="auto"/>
          <w:sz w:val="44"/>
          <w:szCs w:val="44"/>
          <w:highlight w:val="none"/>
        </w:rPr>
        <w:t>投标人须知</w:t>
      </w:r>
      <w:bookmarkEnd w:id="61"/>
      <w:bookmarkEnd w:id="62"/>
      <w:bookmarkEnd w:id="63"/>
    </w:p>
    <w:p w14:paraId="54E2390C">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bookmarkStart w:id="64" w:name="_Toc254970526"/>
      <w:bookmarkStart w:id="65" w:name="_Toc254970667"/>
      <w:r>
        <w:rPr>
          <w:rFonts w:hint="eastAsia" w:ascii="宋体" w:hAnsi="宋体" w:eastAsia="宋体" w:cs="宋体"/>
          <w:b/>
          <w:bCs/>
          <w:color w:val="auto"/>
          <w:sz w:val="24"/>
          <w:szCs w:val="24"/>
          <w:highlight w:val="none"/>
        </w:rPr>
        <w:t>投标人须知前附表</w:t>
      </w:r>
      <w:bookmarkEnd w:id="64"/>
      <w:bookmarkEnd w:id="65"/>
    </w:p>
    <w:tbl>
      <w:tblPr>
        <w:tblStyle w:val="20"/>
        <w:tblW w:w="0" w:type="auto"/>
        <w:tblInd w:w="-17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61"/>
        <w:gridCol w:w="9377"/>
      </w:tblGrid>
      <w:tr w14:paraId="1A8144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34BFF1BA">
            <w:pPr>
              <w:keepNext w:val="0"/>
              <w:keepLines w:val="0"/>
              <w:pageBreakBefore w:val="0"/>
              <w:widowControl w:val="0"/>
              <w:kinsoku/>
              <w:wordWrap/>
              <w:overflowPunct/>
              <w:topLinePunct w:val="0"/>
              <w:bidi w:val="0"/>
              <w:adjustRightInd/>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条款号</w:t>
            </w:r>
          </w:p>
        </w:tc>
        <w:tc>
          <w:tcPr>
            <w:tcW w:w="0" w:type="auto"/>
            <w:tcBorders>
              <w:top w:val="single" w:color="auto" w:sz="4" w:space="0"/>
              <w:left w:val="single" w:color="auto" w:sz="4" w:space="0"/>
              <w:bottom w:val="single" w:color="auto" w:sz="4" w:space="0"/>
              <w:right w:val="single" w:color="auto" w:sz="4" w:space="0"/>
            </w:tcBorders>
            <w:vAlign w:val="center"/>
          </w:tcPr>
          <w:p w14:paraId="346A86BD">
            <w:pPr>
              <w:keepNext w:val="0"/>
              <w:keepLines w:val="0"/>
              <w:pageBreakBefore w:val="0"/>
              <w:widowControl w:val="0"/>
              <w:kinsoku/>
              <w:wordWrap/>
              <w:overflowPunct/>
              <w:topLinePunct w:val="0"/>
              <w:bidi w:val="0"/>
              <w:adjustRightInd/>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编列内容</w:t>
            </w:r>
          </w:p>
        </w:tc>
      </w:tr>
      <w:tr w14:paraId="1D9A66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54C598DA">
            <w:pPr>
              <w:keepNext w:val="0"/>
              <w:keepLines w:val="0"/>
              <w:pageBreakBefore w:val="0"/>
              <w:widowControl w:val="0"/>
              <w:kinsoku/>
              <w:wordWrap/>
              <w:overflowPunct/>
              <w:topLinePunct w:val="0"/>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0" w:type="auto"/>
            <w:tcBorders>
              <w:top w:val="single" w:color="auto" w:sz="4" w:space="0"/>
              <w:left w:val="single" w:color="auto" w:sz="4" w:space="0"/>
              <w:bottom w:val="single" w:color="auto" w:sz="4" w:space="0"/>
              <w:right w:val="single" w:color="auto" w:sz="4" w:space="0"/>
            </w:tcBorders>
            <w:vAlign w:val="center"/>
          </w:tcPr>
          <w:p w14:paraId="27A6F169">
            <w:pPr>
              <w:keepNext w:val="0"/>
              <w:keepLines w:val="0"/>
              <w:pageBreakBefore w:val="0"/>
              <w:widowControl w:val="0"/>
              <w:kinsoku/>
              <w:wordWrap/>
              <w:overflowPunct/>
              <w:topLinePunct w:val="0"/>
              <w:bidi w:val="0"/>
              <w:adjustRightInd/>
              <w:snapToGrid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1.投标人的资格要求详见</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公告。</w:t>
            </w:r>
          </w:p>
          <w:p w14:paraId="5B77B20D">
            <w:pPr>
              <w:keepNext w:val="0"/>
              <w:keepLines w:val="0"/>
              <w:pageBreakBefore w:val="0"/>
              <w:widowControl w:val="0"/>
              <w:kinsoku/>
              <w:wordWrap/>
              <w:overflowPunct/>
              <w:topLinePunct w:val="0"/>
              <w:bidi w:val="0"/>
              <w:adjustRightInd/>
              <w:snapToGrid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2.投标人出现下列情形之一的，不得参加政府采购活动：</w:t>
            </w:r>
          </w:p>
          <w:p w14:paraId="5D69FC01">
            <w:pPr>
              <w:keepNext w:val="0"/>
              <w:keepLines w:val="0"/>
              <w:pageBreakBefore w:val="0"/>
              <w:widowControl w:val="0"/>
              <w:kinsoku/>
              <w:wordWrap/>
              <w:overflowPunct/>
              <w:topLinePunct w:val="0"/>
              <w:bidi w:val="0"/>
              <w:adjustRightInd/>
              <w:snapToGrid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403FE37">
            <w:pPr>
              <w:keepNext w:val="0"/>
              <w:keepLines w:val="0"/>
              <w:pageBreakBefore w:val="0"/>
              <w:widowControl w:val="0"/>
              <w:kinsoku/>
              <w:wordWrap/>
              <w:overflowPunct/>
              <w:topLinePunct w:val="0"/>
              <w:bidi w:val="0"/>
              <w:adjustRightInd/>
              <w:snapToGrid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对在“信用中国”网站（www.creditchina.gov.cn）、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tc>
      </w:tr>
      <w:tr w14:paraId="649006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4926D19B">
            <w:pPr>
              <w:keepNext w:val="0"/>
              <w:keepLines w:val="0"/>
              <w:pageBreakBefore w:val="0"/>
              <w:widowControl w:val="0"/>
              <w:kinsoku/>
              <w:wordWrap/>
              <w:overflowPunct/>
              <w:topLinePunct w:val="0"/>
              <w:bidi w:val="0"/>
              <w:adjustRightInd/>
              <w:spacing w:line="360" w:lineRule="exact"/>
              <w:jc w:val="center"/>
              <w:rPr>
                <w:rFonts w:hint="eastAsia" w:ascii="宋体" w:hAnsi="宋体" w:eastAsia="宋体" w:cs="宋体"/>
                <w:color w:val="auto"/>
                <w:sz w:val="21"/>
                <w:szCs w:val="21"/>
                <w:highlight w:val="none"/>
              </w:rPr>
            </w:pPr>
            <w:bookmarkStart w:id="66" w:name="_8.1"/>
            <w:bookmarkEnd w:id="66"/>
            <w:bookmarkStart w:id="67" w:name="_5"/>
            <w:bookmarkEnd w:id="67"/>
            <w:bookmarkStart w:id="68" w:name="_9.2"/>
            <w:bookmarkEnd w:id="68"/>
            <w:r>
              <w:rPr>
                <w:rFonts w:hint="eastAsia" w:ascii="宋体" w:hAnsi="宋体" w:eastAsia="宋体" w:cs="宋体"/>
                <w:color w:val="auto"/>
                <w:sz w:val="21"/>
                <w:szCs w:val="21"/>
                <w:highlight w:val="none"/>
              </w:rPr>
              <w:t>6.1</w:t>
            </w:r>
          </w:p>
        </w:tc>
        <w:tc>
          <w:tcPr>
            <w:tcW w:w="0" w:type="auto"/>
            <w:tcBorders>
              <w:top w:val="single" w:color="auto" w:sz="4" w:space="0"/>
              <w:left w:val="single" w:color="auto" w:sz="4" w:space="0"/>
              <w:bottom w:val="single" w:color="auto" w:sz="4" w:space="0"/>
              <w:right w:val="single" w:color="auto" w:sz="4" w:space="0"/>
            </w:tcBorders>
            <w:vAlign w:val="center"/>
          </w:tcPr>
          <w:p w14:paraId="17C62AB3">
            <w:pPr>
              <w:pStyle w:val="9"/>
              <w:keepNext w:val="0"/>
              <w:keepLines w:val="0"/>
              <w:pageBreakBefore w:val="0"/>
              <w:widowControl w:val="0"/>
              <w:kinsoku/>
              <w:wordWrap/>
              <w:overflowPunct/>
              <w:topLinePunct w:val="0"/>
              <w:bidi w:val="0"/>
              <w:adjustRightInd/>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本项目是否接受联合体投标：详见</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公告。</w:t>
            </w:r>
          </w:p>
        </w:tc>
      </w:tr>
      <w:tr w14:paraId="2F858F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5DD0B648">
            <w:pPr>
              <w:keepNext w:val="0"/>
              <w:keepLines w:val="0"/>
              <w:pageBreakBefore w:val="0"/>
              <w:widowControl w:val="0"/>
              <w:kinsoku/>
              <w:wordWrap/>
              <w:overflowPunct/>
              <w:topLinePunct w:val="0"/>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w:t>
            </w:r>
          </w:p>
        </w:tc>
        <w:tc>
          <w:tcPr>
            <w:tcW w:w="0" w:type="auto"/>
            <w:tcBorders>
              <w:top w:val="single" w:color="auto" w:sz="4" w:space="0"/>
              <w:left w:val="single" w:color="auto" w:sz="4" w:space="0"/>
              <w:bottom w:val="single" w:color="auto" w:sz="4" w:space="0"/>
              <w:right w:val="single" w:color="auto" w:sz="4" w:space="0"/>
            </w:tcBorders>
            <w:vAlign w:val="center"/>
          </w:tcPr>
          <w:p w14:paraId="4B26D0D7">
            <w:pPr>
              <w:pStyle w:val="9"/>
              <w:keepNext w:val="0"/>
              <w:keepLines w:val="0"/>
              <w:pageBreakBefore w:val="0"/>
              <w:widowControl w:val="0"/>
              <w:kinsoku/>
              <w:wordWrap/>
              <w:overflowPunct/>
              <w:topLinePunct w:val="0"/>
              <w:bidi w:val="0"/>
              <w:adjustRightInd/>
              <w:spacing w:line="360" w:lineRule="exact"/>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rPr>
              <w:t>允许分包</w:t>
            </w:r>
            <w:r>
              <w:rPr>
                <w:rFonts w:hint="eastAsia" w:ascii="宋体" w:hAnsi="宋体" w:eastAsia="宋体" w:cs="宋体"/>
                <w:color w:val="auto"/>
                <w:sz w:val="21"/>
                <w:szCs w:val="21"/>
                <w:highlight w:val="none"/>
                <w:lang w:eastAsia="zh-CN"/>
              </w:rPr>
              <w:t>。</w:t>
            </w:r>
          </w:p>
        </w:tc>
      </w:tr>
      <w:tr w14:paraId="50AE84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4DDAA786">
            <w:pPr>
              <w:keepNext w:val="0"/>
              <w:keepLines w:val="0"/>
              <w:pageBreakBefore w:val="0"/>
              <w:widowControl w:val="0"/>
              <w:kinsoku/>
              <w:wordWrap/>
              <w:overflowPunct/>
              <w:topLinePunct w:val="0"/>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w:t>
            </w:r>
          </w:p>
        </w:tc>
        <w:tc>
          <w:tcPr>
            <w:tcW w:w="0" w:type="auto"/>
            <w:tcBorders>
              <w:top w:val="single" w:color="auto" w:sz="4" w:space="0"/>
              <w:left w:val="single" w:color="auto" w:sz="4" w:space="0"/>
              <w:bottom w:val="single" w:color="auto" w:sz="4" w:space="0"/>
              <w:right w:val="single" w:color="auto" w:sz="4" w:space="0"/>
            </w:tcBorders>
            <w:vAlign w:val="center"/>
          </w:tcPr>
          <w:p w14:paraId="27688642">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采用综合评分法的采购项目，提供相同品牌产品（非单一产品采购项目的，指核心产品）的不同投标人评审得分相同时，按照下列方式确定一个投标人获得中标人推荐资格：</w:t>
            </w:r>
          </w:p>
          <w:p w14:paraId="0905DE31">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依次按投标报价低的优先、政策分得分高的优先、技术评分高的优先、商务评分高的优先、保修期长优先、交货期短优先、故障响应时间短优先的顺序推荐。</w:t>
            </w:r>
          </w:p>
        </w:tc>
      </w:tr>
      <w:tr w14:paraId="12BAAB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0" w:type="auto"/>
            <w:vMerge w:val="restart"/>
            <w:tcBorders>
              <w:top w:val="single" w:color="auto" w:sz="4" w:space="0"/>
              <w:left w:val="single" w:color="auto" w:sz="4" w:space="0"/>
              <w:right w:val="single" w:color="auto" w:sz="4" w:space="0"/>
            </w:tcBorders>
            <w:vAlign w:val="center"/>
          </w:tcPr>
          <w:p w14:paraId="5B3A8EC4">
            <w:pPr>
              <w:keepNext w:val="0"/>
              <w:keepLines w:val="0"/>
              <w:pageBreakBefore w:val="0"/>
              <w:widowControl w:val="0"/>
              <w:kinsoku/>
              <w:wordWrap/>
              <w:overflowPunct/>
              <w:topLinePunct w:val="0"/>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w:t>
            </w:r>
          </w:p>
        </w:tc>
        <w:tc>
          <w:tcPr>
            <w:tcW w:w="0" w:type="auto"/>
            <w:tcBorders>
              <w:top w:val="single" w:color="auto" w:sz="4" w:space="0"/>
              <w:left w:val="single" w:color="auto" w:sz="4" w:space="0"/>
              <w:bottom w:val="single" w:color="auto" w:sz="4" w:space="0"/>
              <w:right w:val="single" w:color="auto" w:sz="4" w:space="0"/>
            </w:tcBorders>
            <w:vAlign w:val="center"/>
          </w:tcPr>
          <w:p w14:paraId="0B8AC0D4">
            <w:pPr>
              <w:keepNext w:val="0"/>
              <w:keepLines w:val="0"/>
              <w:pageBreakBefore w:val="0"/>
              <w:widowControl w:val="0"/>
              <w:kinsoku/>
              <w:wordWrap/>
              <w:overflowPunct/>
              <w:topLinePunct w:val="0"/>
              <w:bidi w:val="0"/>
              <w:adjustRightInd/>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不组织现场考察。</w:t>
            </w:r>
          </w:p>
        </w:tc>
      </w:tr>
      <w:tr w14:paraId="06AD1B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0" w:type="auto"/>
            <w:vMerge w:val="continue"/>
            <w:tcBorders>
              <w:left w:val="single" w:color="auto" w:sz="4" w:space="0"/>
              <w:bottom w:val="single" w:color="auto" w:sz="4" w:space="0"/>
              <w:right w:val="single" w:color="auto" w:sz="4" w:space="0"/>
            </w:tcBorders>
            <w:vAlign w:val="center"/>
          </w:tcPr>
          <w:p w14:paraId="375D2E79">
            <w:pPr>
              <w:keepNext w:val="0"/>
              <w:keepLines w:val="0"/>
              <w:pageBreakBefore w:val="0"/>
              <w:widowControl w:val="0"/>
              <w:kinsoku/>
              <w:wordWrap/>
              <w:overflowPunct/>
              <w:topLinePunct w:val="0"/>
              <w:bidi w:val="0"/>
              <w:adjustRightInd/>
              <w:spacing w:line="360" w:lineRule="exact"/>
              <w:jc w:val="center"/>
              <w:rPr>
                <w:rFonts w:hint="eastAsia" w:ascii="宋体" w:hAnsi="宋体" w:eastAsia="宋体" w:cs="宋体"/>
                <w:color w:val="auto"/>
                <w:sz w:val="21"/>
                <w:szCs w:val="21"/>
                <w:highlight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2ECC1C8D">
            <w:pPr>
              <w:keepNext w:val="0"/>
              <w:keepLines w:val="0"/>
              <w:pageBreakBefore w:val="0"/>
              <w:widowControl w:val="0"/>
              <w:kinsoku/>
              <w:wordWrap/>
              <w:overflowPunct/>
              <w:topLinePunct w:val="0"/>
              <w:bidi w:val="0"/>
              <w:adjustRightInd/>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不组织召开开标前答疑会。</w:t>
            </w:r>
          </w:p>
        </w:tc>
      </w:tr>
      <w:tr w14:paraId="4AC8C6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vMerge w:val="restart"/>
            <w:tcBorders>
              <w:top w:val="single" w:color="auto" w:sz="4" w:space="0"/>
              <w:left w:val="single" w:color="auto" w:sz="4" w:space="0"/>
              <w:right w:val="single" w:color="auto" w:sz="4" w:space="0"/>
            </w:tcBorders>
            <w:vAlign w:val="center"/>
          </w:tcPr>
          <w:p w14:paraId="43BFE2D9">
            <w:pPr>
              <w:keepNext w:val="0"/>
              <w:keepLines w:val="0"/>
              <w:pageBreakBefore w:val="0"/>
              <w:widowControl w:val="0"/>
              <w:kinsoku/>
              <w:wordWrap/>
              <w:overflowPunct/>
              <w:topLinePunct w:val="0"/>
              <w:bidi w:val="0"/>
              <w:adjustRightInd/>
              <w:spacing w:line="360" w:lineRule="exact"/>
              <w:jc w:val="center"/>
              <w:rPr>
                <w:rFonts w:hint="eastAsia" w:ascii="宋体" w:hAnsi="宋体" w:eastAsia="宋体" w:cs="宋体"/>
                <w:color w:val="auto"/>
                <w:sz w:val="21"/>
                <w:szCs w:val="21"/>
                <w:highlight w:val="none"/>
              </w:rPr>
            </w:pPr>
            <w:bookmarkStart w:id="69" w:name="_13.1"/>
            <w:bookmarkEnd w:id="69"/>
            <w:r>
              <w:rPr>
                <w:rFonts w:hint="eastAsia" w:ascii="宋体" w:hAnsi="宋体" w:eastAsia="宋体" w:cs="宋体"/>
                <w:color w:val="auto"/>
                <w:sz w:val="21"/>
                <w:szCs w:val="21"/>
                <w:highlight w:val="none"/>
              </w:rPr>
              <w:t>13</w:t>
            </w:r>
          </w:p>
        </w:tc>
        <w:tc>
          <w:tcPr>
            <w:tcW w:w="0" w:type="auto"/>
            <w:tcBorders>
              <w:top w:val="single" w:color="auto" w:sz="4" w:space="0"/>
              <w:left w:val="single" w:color="auto" w:sz="4" w:space="0"/>
              <w:bottom w:val="single" w:color="auto" w:sz="4" w:space="0"/>
              <w:right w:val="single" w:color="auto" w:sz="4" w:space="0"/>
            </w:tcBorders>
            <w:vAlign w:val="center"/>
          </w:tcPr>
          <w:p w14:paraId="4FD0C21C">
            <w:pPr>
              <w:keepNext w:val="0"/>
              <w:keepLines w:val="0"/>
              <w:pageBreakBefore w:val="0"/>
              <w:widowControl w:val="0"/>
              <w:kinsoku/>
              <w:wordWrap/>
              <w:overflowPunct/>
              <w:topLinePunct w:val="0"/>
              <w:bidi w:val="0"/>
              <w:adjustRightInd/>
              <w:snapToGrid w:val="0"/>
              <w:spacing w:line="36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报价文件：</w:t>
            </w:r>
          </w:p>
          <w:p w14:paraId="1896C41A">
            <w:pPr>
              <w:keepNext w:val="0"/>
              <w:keepLines w:val="0"/>
              <w:pageBreakBefore w:val="0"/>
              <w:widowControl w:val="0"/>
              <w:tabs>
                <w:tab w:val="left" w:pos="459"/>
              </w:tabs>
              <w:kinsoku/>
              <w:wordWrap/>
              <w:overflowPunct/>
              <w:topLinePunct w:val="0"/>
              <w:bidi w:val="0"/>
              <w:adjustRightInd/>
              <w:snapToGrid w:val="0"/>
              <w:spacing w:line="360" w:lineRule="exact"/>
              <w:ind w:left="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1.投标函（格式后附）；</w:t>
            </w:r>
            <w:r>
              <w:rPr>
                <w:rFonts w:hint="eastAsia" w:ascii="宋体" w:hAnsi="宋体" w:eastAsia="宋体" w:cs="宋体"/>
                <w:b/>
                <w:color w:val="auto"/>
                <w:sz w:val="21"/>
                <w:szCs w:val="21"/>
                <w:highlight w:val="none"/>
              </w:rPr>
              <w:t>（必须提供，否则按无效投标处理）</w:t>
            </w:r>
          </w:p>
          <w:p w14:paraId="5E85EBAE">
            <w:pPr>
              <w:keepNext w:val="0"/>
              <w:keepLines w:val="0"/>
              <w:pageBreakBefore w:val="0"/>
              <w:widowControl w:val="0"/>
              <w:tabs>
                <w:tab w:val="left" w:pos="459"/>
              </w:tabs>
              <w:kinsoku/>
              <w:wordWrap/>
              <w:overflowPunct/>
              <w:topLinePunct w:val="0"/>
              <w:bidi w:val="0"/>
              <w:adjustRightInd/>
              <w:snapToGrid w:val="0"/>
              <w:spacing w:line="360" w:lineRule="exact"/>
              <w:ind w:left="420"/>
              <w:jc w:val="left"/>
              <w:rPr>
                <w:rFonts w:hint="eastAsia" w:ascii="宋体" w:hAnsi="宋体" w:eastAsia="宋体" w:cs="宋体"/>
                <w:b/>
                <w:color w:val="auto"/>
                <w:sz w:val="21"/>
                <w:szCs w:val="21"/>
                <w:highlight w:val="none"/>
              </w:rPr>
            </w:pPr>
            <w:bookmarkStart w:id="70" w:name="_Hlk71299233"/>
            <w:r>
              <w:rPr>
                <w:rFonts w:hint="eastAsia" w:ascii="宋体" w:hAnsi="宋体" w:eastAsia="宋体" w:cs="宋体"/>
                <w:color w:val="auto"/>
                <w:sz w:val="21"/>
                <w:szCs w:val="21"/>
                <w:highlight w:val="none"/>
              </w:rPr>
              <w:t>2.</w:t>
            </w:r>
            <w:bookmarkEnd w:id="70"/>
            <w:r>
              <w:rPr>
                <w:rFonts w:hint="eastAsia" w:ascii="宋体" w:hAnsi="宋体" w:eastAsia="宋体" w:cs="宋体"/>
                <w:color w:val="auto"/>
                <w:sz w:val="21"/>
                <w:szCs w:val="21"/>
                <w:highlight w:val="none"/>
                <w:lang w:eastAsia="zh-CN"/>
              </w:rPr>
              <w:t>开标一览表</w:t>
            </w:r>
            <w:r>
              <w:rPr>
                <w:rFonts w:hint="eastAsia" w:ascii="宋体" w:hAnsi="宋体" w:eastAsia="宋体" w:cs="宋体"/>
                <w:color w:val="auto"/>
                <w:sz w:val="21"/>
                <w:szCs w:val="21"/>
                <w:highlight w:val="none"/>
              </w:rPr>
              <w:t>（格式后附）；</w:t>
            </w:r>
            <w:r>
              <w:rPr>
                <w:rFonts w:hint="eastAsia" w:ascii="宋体" w:hAnsi="宋体" w:eastAsia="宋体" w:cs="宋体"/>
                <w:b/>
                <w:color w:val="auto"/>
                <w:sz w:val="21"/>
                <w:szCs w:val="21"/>
                <w:highlight w:val="none"/>
              </w:rPr>
              <w:t>（必须提供，否则按无效投标处理）</w:t>
            </w:r>
          </w:p>
          <w:p w14:paraId="47ABF9C2">
            <w:pPr>
              <w:keepNext w:val="0"/>
              <w:keepLines w:val="0"/>
              <w:pageBreakBefore w:val="0"/>
              <w:widowControl w:val="0"/>
              <w:tabs>
                <w:tab w:val="left" w:pos="459"/>
              </w:tabs>
              <w:kinsoku/>
              <w:wordWrap/>
              <w:overflowPunct/>
              <w:topLinePunct w:val="0"/>
              <w:autoSpaceDE/>
              <w:autoSpaceDN/>
              <w:bidi w:val="0"/>
              <w:adjustRightInd/>
              <w:snapToGrid w:val="0"/>
              <w:spacing w:line="360" w:lineRule="exact"/>
              <w:ind w:left="0" w:firstLine="420" w:firstLineChars="200"/>
              <w:jc w:val="left"/>
              <w:textAlignment w:val="auto"/>
              <w:rPr>
                <w:rFonts w:hint="eastAsia" w:ascii="宋体" w:hAnsi="宋体" w:eastAsia="宋体" w:cs="宋体"/>
                <w:b/>
                <w:color w:val="auto"/>
                <w:sz w:val="21"/>
                <w:szCs w:val="21"/>
                <w:highlight w:val="none"/>
              </w:rPr>
            </w:pPr>
            <w:r>
              <w:rPr>
                <w:rFonts w:hint="eastAsia" w:ascii="宋体" w:hAnsi="宋体" w:eastAsia="宋体" w:cs="宋体"/>
                <w:b w:val="0"/>
                <w:bCs/>
                <w:color w:val="auto"/>
                <w:sz w:val="21"/>
                <w:szCs w:val="21"/>
                <w:highlight w:val="none"/>
              </w:rPr>
              <w:t>3.中小企业声明函或残疾人福利性单位声明函或竞标人属于监狱企业的证明材料；</w:t>
            </w:r>
            <w:r>
              <w:rPr>
                <w:rFonts w:hint="eastAsia" w:ascii="宋体" w:hAnsi="宋体" w:eastAsia="宋体" w:cs="宋体"/>
                <w:b/>
                <w:color w:val="auto"/>
                <w:sz w:val="21"/>
                <w:szCs w:val="21"/>
                <w:highlight w:val="none"/>
              </w:rPr>
              <w:t>（如有请提供</w:t>
            </w: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rPr>
              <w:t>如未提供则不对供应商的报价进行政策性扣减）</w:t>
            </w:r>
          </w:p>
          <w:p w14:paraId="3CBE5E26">
            <w:pPr>
              <w:keepNext w:val="0"/>
              <w:keepLines w:val="0"/>
              <w:pageBreakBefore w:val="0"/>
              <w:widowControl w:val="0"/>
              <w:tabs>
                <w:tab w:val="left" w:pos="459"/>
              </w:tabs>
              <w:kinsoku/>
              <w:wordWrap/>
              <w:overflowPunct/>
              <w:topLinePunct w:val="0"/>
              <w:bidi w:val="0"/>
              <w:adjustRightInd/>
              <w:snapToGrid w:val="0"/>
              <w:spacing w:line="360" w:lineRule="exact"/>
              <w:ind w:left="42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.投标人针对报价需要说明的其他文件和说明（格式自拟）。</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如有请提供</w:t>
            </w:r>
            <w:r>
              <w:rPr>
                <w:rFonts w:hint="eastAsia" w:ascii="宋体" w:hAnsi="宋体" w:eastAsia="宋体" w:cs="宋体"/>
                <w:b/>
                <w:bCs/>
                <w:color w:val="auto"/>
                <w:sz w:val="21"/>
                <w:szCs w:val="21"/>
                <w:highlight w:val="none"/>
                <w:lang w:eastAsia="zh-CN"/>
              </w:rPr>
              <w:t>）</w:t>
            </w:r>
          </w:p>
          <w:p w14:paraId="3C658879">
            <w:pPr>
              <w:keepNext w:val="0"/>
              <w:keepLines w:val="0"/>
              <w:pageBreakBefore w:val="0"/>
              <w:widowControl w:val="0"/>
              <w:tabs>
                <w:tab w:val="left" w:pos="459"/>
              </w:tabs>
              <w:kinsoku/>
              <w:wordWrap/>
              <w:overflowPunct/>
              <w:topLinePunct w:val="0"/>
              <w:bidi w:val="0"/>
              <w:adjustRightInd/>
              <w:snapToGrid w:val="0"/>
              <w:spacing w:line="360" w:lineRule="exact"/>
              <w:jc w:val="left"/>
              <w:rPr>
                <w:rFonts w:hint="eastAsia"/>
                <w:color w:val="auto"/>
              </w:rPr>
            </w:pPr>
            <w:r>
              <w:rPr>
                <w:rFonts w:hint="eastAsia" w:ascii="宋体" w:hAnsi="宋体" w:eastAsia="宋体" w:cs="宋体"/>
                <w:b/>
                <w:bCs/>
                <w:color w:val="auto"/>
                <w:sz w:val="21"/>
                <w:szCs w:val="21"/>
                <w:highlight w:val="none"/>
              </w:rPr>
              <w:t>注：以上标明“必须提供”的材料属于复印件的，必须加盖投标人公章，否则按无效投标处理。</w:t>
            </w:r>
          </w:p>
        </w:tc>
      </w:tr>
      <w:tr w14:paraId="7F6110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vMerge w:val="continue"/>
            <w:tcBorders>
              <w:left w:val="single" w:color="auto" w:sz="4" w:space="0"/>
              <w:right w:val="single" w:color="auto" w:sz="4" w:space="0"/>
            </w:tcBorders>
            <w:vAlign w:val="center"/>
          </w:tcPr>
          <w:p w14:paraId="4A8889A5">
            <w:pPr>
              <w:keepNext w:val="0"/>
              <w:keepLines w:val="0"/>
              <w:pageBreakBefore w:val="0"/>
              <w:widowControl w:val="0"/>
              <w:kinsoku/>
              <w:wordWrap/>
              <w:overflowPunct/>
              <w:topLinePunct w:val="0"/>
              <w:bidi w:val="0"/>
              <w:adjustRightInd/>
              <w:spacing w:line="360" w:lineRule="exact"/>
              <w:rPr>
                <w:rFonts w:hint="eastAsia" w:ascii="宋体" w:hAnsi="宋体" w:eastAsia="宋体" w:cs="宋体"/>
                <w:color w:val="auto"/>
                <w:sz w:val="21"/>
                <w:szCs w:val="21"/>
                <w:highlight w:val="none"/>
              </w:rPr>
            </w:pPr>
            <w:bookmarkStart w:id="71" w:name="_13.2"/>
            <w:bookmarkEnd w:id="71"/>
          </w:p>
        </w:tc>
        <w:tc>
          <w:tcPr>
            <w:tcW w:w="0" w:type="auto"/>
            <w:tcBorders>
              <w:top w:val="single" w:color="auto" w:sz="4" w:space="0"/>
              <w:left w:val="single" w:color="auto" w:sz="4" w:space="0"/>
              <w:bottom w:val="single" w:color="auto" w:sz="4" w:space="0"/>
              <w:right w:val="single" w:color="auto" w:sz="4" w:space="0"/>
            </w:tcBorders>
            <w:vAlign w:val="center"/>
          </w:tcPr>
          <w:p w14:paraId="21AC8D5D">
            <w:pPr>
              <w:keepNext w:val="0"/>
              <w:keepLines w:val="0"/>
              <w:pageBreakBefore w:val="0"/>
              <w:widowControl w:val="0"/>
              <w:kinsoku/>
              <w:wordWrap/>
              <w:overflowPunct/>
              <w:topLinePunct w:val="0"/>
              <w:bidi w:val="0"/>
              <w:adjustRightInd/>
              <w:snapToGrid w:val="0"/>
              <w:spacing w:line="360" w:lineRule="exact"/>
              <w:jc w:val="left"/>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rPr>
              <w:t>资格证明文件</w:t>
            </w:r>
            <w:r>
              <w:rPr>
                <w:rFonts w:hint="eastAsia" w:ascii="宋体" w:hAnsi="宋体" w:eastAsia="宋体" w:cs="宋体"/>
                <w:b/>
                <w:color w:val="auto"/>
                <w:sz w:val="21"/>
                <w:szCs w:val="21"/>
                <w:highlight w:val="none"/>
                <w:lang w:eastAsia="zh-CN"/>
              </w:rPr>
              <w:t>：</w:t>
            </w:r>
          </w:p>
          <w:p w14:paraId="29BCF25C">
            <w:pPr>
              <w:keepNext w:val="0"/>
              <w:keepLines w:val="0"/>
              <w:pageBreakBefore w:val="0"/>
              <w:widowControl w:val="0"/>
              <w:kinsoku/>
              <w:wordWrap/>
              <w:overflowPunct/>
              <w:topLinePunct w:val="0"/>
              <w:bidi w:val="0"/>
              <w:adjustRightInd/>
              <w:snapToGrid w:val="0"/>
              <w:spacing w:line="36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提供相关注册或登记等证明材料，其中：投标人是企业（包括合伙企业）的，应提供其在工商部门注册的有效“企业法人营业执照”或“营业执照”的复印件；投标人是事业单位的，应提供其有效的“事业单位法人证书”复印件；投标人是非企业专业服务机构的，应提供其有效的执业许可证复印件；投标人是个体工商户的，应提供其有效的“个体工商户营业执照”复印件</w:t>
            </w:r>
            <w:r>
              <w:rPr>
                <w:rFonts w:hint="eastAsia" w:ascii="宋体" w:hAnsi="宋体" w:eastAsia="宋体" w:cs="宋体"/>
                <w:color w:val="auto"/>
                <w:sz w:val="21"/>
                <w:szCs w:val="21"/>
                <w:highlight w:val="none"/>
                <w:lang w:eastAsia="zh-CN"/>
              </w:rPr>
              <w:t>；</w:t>
            </w:r>
            <w:r>
              <w:rPr>
                <w:rFonts w:hint="eastAsia" w:ascii="宋体" w:hAnsi="宋体" w:eastAsia="宋体" w:cs="宋体"/>
                <w:b/>
                <w:bCs/>
                <w:color w:val="auto"/>
                <w:sz w:val="21"/>
                <w:szCs w:val="21"/>
                <w:highlight w:val="none"/>
              </w:rPr>
              <w:t>（必须提供，否则按无效投标处理）</w:t>
            </w:r>
          </w:p>
          <w:p w14:paraId="6087F317">
            <w:pPr>
              <w:keepNext w:val="0"/>
              <w:keepLines w:val="0"/>
              <w:pageBreakBefore w:val="0"/>
              <w:widowControl w:val="0"/>
              <w:kinsoku/>
              <w:wordWrap/>
              <w:overflowPunct/>
              <w:topLinePunct w:val="0"/>
              <w:bidi w:val="0"/>
              <w:adjustRightInd/>
              <w:snapToGrid w:val="0"/>
              <w:spacing w:line="360" w:lineRule="exact"/>
              <w:ind w:firstLine="420" w:firstLineChars="200"/>
              <w:jc w:val="left"/>
              <w:rPr>
                <w:rFonts w:hint="eastAsia" w:ascii="宋体" w:hAnsi="宋体" w:eastAsia="宋体" w:cs="宋体"/>
                <w:b/>
                <w:bCs/>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.防城港市政府采购供应商信用承诺函（格式后附）；</w:t>
            </w:r>
            <w:r>
              <w:rPr>
                <w:rFonts w:hint="eastAsia" w:ascii="宋体" w:hAnsi="宋体" w:eastAsia="宋体" w:cs="宋体"/>
                <w:b/>
                <w:bCs/>
                <w:color w:val="auto"/>
                <w:sz w:val="21"/>
                <w:szCs w:val="21"/>
                <w:highlight w:val="none"/>
              </w:rPr>
              <w:t>（必须提供，否则按无效投标处理）</w:t>
            </w:r>
          </w:p>
          <w:p w14:paraId="4A674D38">
            <w:pPr>
              <w:keepNext w:val="0"/>
              <w:keepLines w:val="0"/>
              <w:pageBreakBefore w:val="0"/>
              <w:widowControl w:val="0"/>
              <w:kinsoku/>
              <w:wordWrap/>
              <w:overflowPunct/>
              <w:topLinePunct w:val="0"/>
              <w:bidi w:val="0"/>
              <w:adjustRightInd/>
              <w:snapToGrid w:val="0"/>
              <w:spacing w:line="360" w:lineRule="exact"/>
              <w:ind w:firstLine="420" w:firstLineChars="200"/>
              <w:jc w:val="left"/>
              <w:rPr>
                <w:rFonts w:hint="eastAsia" w:ascii="宋体" w:hAnsi="宋体" w:eastAsia="宋体" w:cs="宋体"/>
                <w:b/>
                <w:bCs/>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.投标人直接控股、管理关系信息表（格式后附）；</w:t>
            </w:r>
            <w:r>
              <w:rPr>
                <w:rFonts w:hint="eastAsia" w:ascii="宋体" w:hAnsi="宋体" w:eastAsia="宋体" w:cs="宋体"/>
                <w:b/>
                <w:bCs/>
                <w:color w:val="auto"/>
                <w:sz w:val="21"/>
                <w:szCs w:val="21"/>
                <w:highlight w:val="none"/>
              </w:rPr>
              <w:t>（必须提供，否则按无效投标处理）</w:t>
            </w:r>
          </w:p>
          <w:p w14:paraId="6B55A7ED">
            <w:pPr>
              <w:keepNext w:val="0"/>
              <w:keepLines w:val="0"/>
              <w:pageBreakBefore w:val="0"/>
              <w:widowControl w:val="0"/>
              <w:kinsoku/>
              <w:wordWrap/>
              <w:overflowPunct/>
              <w:topLinePunct w:val="0"/>
              <w:bidi w:val="0"/>
              <w:adjustRightInd/>
              <w:snapToGrid w:val="0"/>
              <w:spacing w:line="360" w:lineRule="exact"/>
              <w:ind w:firstLine="420" w:firstLineChars="200"/>
              <w:jc w:val="left"/>
              <w:rPr>
                <w:rFonts w:hint="eastAsia" w:ascii="宋体" w:hAnsi="宋体" w:eastAsia="宋体" w:cs="宋体"/>
                <w:b/>
                <w:bCs/>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.投标声明（格式后附）；</w:t>
            </w:r>
            <w:r>
              <w:rPr>
                <w:rFonts w:hint="eastAsia" w:ascii="宋体" w:hAnsi="宋体" w:eastAsia="宋体" w:cs="宋体"/>
                <w:b/>
                <w:bCs/>
                <w:color w:val="auto"/>
                <w:sz w:val="21"/>
                <w:szCs w:val="21"/>
                <w:highlight w:val="none"/>
              </w:rPr>
              <w:t>（必须提供，否则按无效投标处理）</w:t>
            </w:r>
          </w:p>
          <w:p w14:paraId="3AFB3BA7">
            <w:pPr>
              <w:keepNext w:val="0"/>
              <w:keepLines w:val="0"/>
              <w:pageBreakBefore w:val="0"/>
              <w:widowControl w:val="0"/>
              <w:kinsoku/>
              <w:wordWrap/>
              <w:overflowPunct/>
              <w:topLinePunct w:val="0"/>
              <w:bidi w:val="0"/>
              <w:adjustRightInd/>
              <w:snapToGrid w:val="0"/>
              <w:spacing w:line="360" w:lineRule="exact"/>
              <w:ind w:firstLine="420" w:firstLineChars="200"/>
              <w:jc w:val="left"/>
              <w:rPr>
                <w:rFonts w:hint="eastAsia" w:ascii="宋体" w:hAnsi="宋体" w:eastAsia="宋体" w:cs="宋体"/>
                <w:b/>
                <w:bCs/>
                <w:color w:val="auto"/>
                <w:sz w:val="21"/>
                <w:szCs w:val="21"/>
                <w:highlight w:val="none"/>
              </w:rPr>
            </w:pPr>
            <w:r>
              <w:rPr>
                <w:rFonts w:hint="eastAsia" w:ascii="宋体" w:hAnsi="宋体" w:eastAsia="宋体" w:cs="宋体"/>
                <w:b w:val="0"/>
                <w:bCs w:val="0"/>
                <w:color w:val="auto"/>
                <w:sz w:val="21"/>
                <w:szCs w:val="21"/>
                <w:highlight w:val="none"/>
                <w:lang w:val="en-US" w:eastAsia="zh-CN"/>
              </w:rPr>
              <w:t>5.</w:t>
            </w:r>
            <w:r>
              <w:rPr>
                <w:rFonts w:hint="eastAsia" w:ascii="宋体" w:hAnsi="宋体"/>
                <w:b w:val="0"/>
                <w:bCs/>
                <w:color w:val="auto"/>
                <w:highlight w:val="none"/>
              </w:rPr>
              <w:t>具备履行合同所必需的设备</w:t>
            </w:r>
            <w:r>
              <w:rPr>
                <w:rFonts w:hint="eastAsia" w:ascii="宋体" w:hAnsi="宋体"/>
                <w:b w:val="0"/>
                <w:bCs/>
                <w:color w:val="auto"/>
                <w:highlight w:val="none"/>
                <w:lang w:eastAsia="zh-CN"/>
              </w:rPr>
              <w:t>或</w:t>
            </w:r>
            <w:r>
              <w:rPr>
                <w:rFonts w:hint="eastAsia" w:ascii="宋体" w:hAnsi="宋体"/>
                <w:b w:val="0"/>
                <w:bCs/>
                <w:color w:val="auto"/>
                <w:highlight w:val="none"/>
              </w:rPr>
              <w:t>专业技术能力的证明材料</w:t>
            </w:r>
            <w:r>
              <w:rPr>
                <w:rFonts w:hint="eastAsia" w:ascii="宋体" w:hAnsi="宋体"/>
                <w:b w:val="0"/>
                <w:bCs/>
                <w:color w:val="auto"/>
                <w:highlight w:val="none"/>
                <w:lang w:eastAsia="zh-CN"/>
              </w:rPr>
              <w:t>（</w:t>
            </w:r>
            <w:r>
              <w:rPr>
                <w:rFonts w:hint="eastAsia" w:ascii="宋体" w:hAnsi="宋体"/>
                <w:b w:val="0"/>
                <w:bCs/>
                <w:color w:val="auto"/>
                <w:highlight w:val="none"/>
                <w:lang w:val="en-US" w:eastAsia="zh-CN"/>
              </w:rPr>
              <w:t>格式自拟</w:t>
            </w:r>
            <w:r>
              <w:rPr>
                <w:rFonts w:hint="eastAsia" w:ascii="宋体" w:hAnsi="宋体"/>
                <w:b w:val="0"/>
                <w:bCs/>
                <w:color w:val="auto"/>
                <w:highlight w:val="none"/>
                <w:lang w:eastAsia="zh-CN"/>
              </w:rPr>
              <w:t>）</w:t>
            </w:r>
            <w:r>
              <w:rPr>
                <w:rFonts w:hint="eastAsia" w:ascii="宋体" w:hAnsi="宋体"/>
                <w:b w:val="0"/>
                <w:bCs/>
                <w:color w:val="auto"/>
                <w:highlight w:val="none"/>
              </w:rPr>
              <w:t>；</w:t>
            </w:r>
            <w:r>
              <w:rPr>
                <w:rFonts w:hint="eastAsia" w:ascii="宋体" w:hAnsi="宋体"/>
                <w:b/>
                <w:bCs w:val="0"/>
                <w:color w:val="auto"/>
                <w:highlight w:val="none"/>
              </w:rPr>
              <w:t>（必须提供，否则响应文件作无效处理）</w:t>
            </w:r>
          </w:p>
          <w:p w14:paraId="3402FBCA">
            <w:pPr>
              <w:keepNext w:val="0"/>
              <w:keepLines w:val="0"/>
              <w:pageBreakBefore w:val="0"/>
              <w:widowControl w:val="0"/>
              <w:kinsoku/>
              <w:wordWrap/>
              <w:overflowPunct/>
              <w:topLinePunct w:val="0"/>
              <w:bidi w:val="0"/>
              <w:adjustRightInd/>
              <w:snapToGrid w:val="0"/>
              <w:spacing w:line="360" w:lineRule="exact"/>
              <w:ind w:firstLine="420" w:firstLineChars="200"/>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.投标人认为需要提供的其他证明材料（格式自拟）。</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如有请提供</w:t>
            </w:r>
            <w:r>
              <w:rPr>
                <w:rFonts w:hint="eastAsia" w:ascii="宋体" w:hAnsi="宋体" w:eastAsia="宋体" w:cs="宋体"/>
                <w:b/>
                <w:bCs/>
                <w:color w:val="auto"/>
                <w:sz w:val="21"/>
                <w:szCs w:val="21"/>
                <w:highlight w:val="none"/>
                <w:lang w:eastAsia="zh-CN"/>
              </w:rPr>
              <w:t>）</w:t>
            </w:r>
          </w:p>
          <w:p w14:paraId="52D7ACD4">
            <w:pPr>
              <w:keepNext w:val="0"/>
              <w:keepLines w:val="0"/>
              <w:pageBreakBefore w:val="0"/>
              <w:widowControl w:val="0"/>
              <w:kinsoku/>
              <w:wordWrap/>
              <w:overflowPunct/>
              <w:topLinePunct w:val="0"/>
              <w:bidi w:val="0"/>
              <w:adjustRightInd/>
              <w:snapToGrid w:val="0"/>
              <w:spacing w:line="360" w:lineRule="exact"/>
              <w:ind w:left="422" w:hanging="422" w:hangingChars="200"/>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注：1.以上标明“必须提供”的材料属于复印件的，必须加盖投标人公章，否则按无效投标</w:t>
            </w:r>
            <w:r>
              <w:rPr>
                <w:rFonts w:hint="eastAsia" w:ascii="宋体" w:hAnsi="宋体" w:eastAsia="宋体" w:cs="宋体"/>
                <w:b/>
                <w:color w:val="auto"/>
                <w:sz w:val="21"/>
                <w:szCs w:val="21"/>
                <w:highlight w:val="none"/>
              </w:rPr>
              <w:t>处理。</w:t>
            </w:r>
            <w:r>
              <w:rPr>
                <w:rFonts w:hint="eastAsia" w:ascii="宋体" w:hAnsi="宋体" w:eastAsia="宋体" w:cs="宋体"/>
                <w:b/>
                <w:bCs/>
                <w:color w:val="auto"/>
                <w:sz w:val="21"/>
                <w:szCs w:val="21"/>
                <w:highlight w:val="none"/>
              </w:rPr>
              <w:t>2.分公司参加投标的，应当取得总公司授权，否则按无效投标</w:t>
            </w:r>
            <w:r>
              <w:rPr>
                <w:rFonts w:hint="eastAsia" w:ascii="宋体" w:hAnsi="宋体" w:eastAsia="宋体" w:cs="宋体"/>
                <w:b/>
                <w:color w:val="auto"/>
                <w:sz w:val="21"/>
                <w:szCs w:val="21"/>
                <w:highlight w:val="none"/>
              </w:rPr>
              <w:t>处理。</w:t>
            </w:r>
          </w:p>
        </w:tc>
      </w:tr>
      <w:tr w14:paraId="7FB0C6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42" w:hRule="atLeast"/>
        </w:trPr>
        <w:tc>
          <w:tcPr>
            <w:tcW w:w="0" w:type="auto"/>
            <w:vMerge w:val="continue"/>
            <w:tcBorders>
              <w:left w:val="single" w:color="auto" w:sz="4" w:space="0"/>
              <w:right w:val="single" w:color="auto" w:sz="4" w:space="0"/>
            </w:tcBorders>
            <w:vAlign w:val="center"/>
          </w:tcPr>
          <w:p w14:paraId="2E6A0AE2">
            <w:pPr>
              <w:keepNext w:val="0"/>
              <w:keepLines w:val="0"/>
              <w:pageBreakBefore w:val="0"/>
              <w:widowControl w:val="0"/>
              <w:kinsoku/>
              <w:wordWrap/>
              <w:overflowPunct/>
              <w:topLinePunct w:val="0"/>
              <w:bidi w:val="0"/>
              <w:adjustRightInd/>
              <w:spacing w:line="360" w:lineRule="exact"/>
              <w:rPr>
                <w:rFonts w:hint="eastAsia" w:ascii="宋体" w:hAnsi="宋体" w:eastAsia="宋体" w:cs="宋体"/>
                <w:color w:val="auto"/>
                <w:sz w:val="21"/>
                <w:szCs w:val="21"/>
                <w:highlight w:val="none"/>
              </w:rPr>
            </w:pPr>
            <w:bookmarkStart w:id="72" w:name="_13.3"/>
            <w:bookmarkEnd w:id="72"/>
          </w:p>
        </w:tc>
        <w:tc>
          <w:tcPr>
            <w:tcW w:w="0" w:type="auto"/>
            <w:tcBorders>
              <w:top w:val="single" w:color="auto" w:sz="4" w:space="0"/>
              <w:left w:val="single" w:color="auto" w:sz="4" w:space="0"/>
              <w:bottom w:val="single" w:color="auto" w:sz="4" w:space="0"/>
              <w:right w:val="single" w:color="auto" w:sz="4" w:space="0"/>
            </w:tcBorders>
            <w:vAlign w:val="center"/>
          </w:tcPr>
          <w:p w14:paraId="17C754DA">
            <w:pPr>
              <w:keepNext w:val="0"/>
              <w:keepLines w:val="0"/>
              <w:pageBreakBefore w:val="0"/>
              <w:widowControl w:val="0"/>
              <w:kinsoku/>
              <w:wordWrap/>
              <w:overflowPunct/>
              <w:topLinePunct w:val="0"/>
              <w:bidi w:val="0"/>
              <w:adjustRightInd/>
              <w:snapToGrid w:val="0"/>
              <w:spacing w:line="360" w:lineRule="exact"/>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商务文件：</w:t>
            </w:r>
          </w:p>
          <w:p w14:paraId="4431A82A">
            <w:pPr>
              <w:keepNext w:val="0"/>
              <w:keepLines w:val="0"/>
              <w:pageBreakBefore w:val="0"/>
              <w:widowControl w:val="0"/>
              <w:kinsoku/>
              <w:wordWrap/>
              <w:overflowPunct/>
              <w:topLinePunct w:val="0"/>
              <w:bidi w:val="0"/>
              <w:adjustRightInd/>
              <w:snapToGrid w:val="0"/>
              <w:spacing w:line="360" w:lineRule="exact"/>
              <w:ind w:left="413"/>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1.无</w:t>
            </w:r>
            <w:r>
              <w:rPr>
                <w:rFonts w:hint="eastAsia" w:ascii="宋体" w:hAnsi="宋体" w:eastAsia="宋体" w:cs="宋体"/>
                <w:color w:val="auto"/>
                <w:sz w:val="21"/>
                <w:szCs w:val="21"/>
                <w:highlight w:val="none"/>
                <w:lang w:val="en-US" w:eastAsia="zh-CN"/>
              </w:rPr>
              <w:t>围标</w:t>
            </w:r>
            <w:r>
              <w:rPr>
                <w:rFonts w:hint="eastAsia" w:ascii="宋体" w:hAnsi="宋体" w:eastAsia="宋体" w:cs="宋体"/>
                <w:color w:val="auto"/>
                <w:sz w:val="21"/>
                <w:szCs w:val="21"/>
                <w:highlight w:val="none"/>
              </w:rPr>
              <w:t>串</w:t>
            </w:r>
            <w:r>
              <w:rPr>
                <w:rFonts w:hint="eastAsia" w:ascii="宋体" w:hAnsi="宋体" w:eastAsia="宋体" w:cs="宋体"/>
                <w:color w:val="auto"/>
                <w:sz w:val="21"/>
                <w:szCs w:val="21"/>
                <w:highlight w:val="none"/>
                <w:lang w:val="en-US" w:eastAsia="zh-CN"/>
              </w:rPr>
              <w:t>标</w:t>
            </w:r>
            <w:r>
              <w:rPr>
                <w:rFonts w:hint="eastAsia" w:ascii="宋体" w:hAnsi="宋体" w:eastAsia="宋体" w:cs="宋体"/>
                <w:color w:val="auto"/>
                <w:sz w:val="21"/>
                <w:szCs w:val="21"/>
                <w:highlight w:val="none"/>
              </w:rPr>
              <w:t>行为的承诺函（格式后附）；</w:t>
            </w:r>
            <w:r>
              <w:rPr>
                <w:rFonts w:hint="eastAsia" w:ascii="宋体" w:hAnsi="宋体" w:eastAsia="宋体" w:cs="宋体"/>
                <w:b/>
                <w:bCs/>
                <w:color w:val="auto"/>
                <w:sz w:val="21"/>
                <w:szCs w:val="21"/>
                <w:highlight w:val="none"/>
              </w:rPr>
              <w:t>（必须提供，否则按无效投标处理）</w:t>
            </w:r>
          </w:p>
          <w:p w14:paraId="0886E741">
            <w:pPr>
              <w:keepNext w:val="0"/>
              <w:keepLines w:val="0"/>
              <w:pageBreakBefore w:val="0"/>
              <w:widowControl w:val="0"/>
              <w:kinsoku/>
              <w:wordWrap/>
              <w:overflowPunct/>
              <w:topLinePunct w:val="0"/>
              <w:bidi w:val="0"/>
              <w:adjustRightInd/>
              <w:snapToGrid w:val="0"/>
              <w:spacing w:line="360" w:lineRule="exact"/>
              <w:ind w:firstLine="420" w:firstLineChars="200"/>
              <w:jc w:val="left"/>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2.法定代表人身份证明及法定代表人有效身份证正反面复印件（格式后附）；</w:t>
            </w:r>
            <w:r>
              <w:rPr>
                <w:rFonts w:hint="eastAsia" w:ascii="宋体" w:hAnsi="宋体" w:eastAsia="宋体" w:cs="宋体"/>
                <w:b/>
                <w:bCs/>
                <w:color w:val="auto"/>
                <w:sz w:val="21"/>
                <w:szCs w:val="21"/>
                <w:highlight w:val="none"/>
              </w:rPr>
              <w:t>（除自然人投标外必须提供，否则按无效投标处理）</w:t>
            </w:r>
          </w:p>
          <w:p w14:paraId="66573597">
            <w:pPr>
              <w:keepNext w:val="0"/>
              <w:keepLines w:val="0"/>
              <w:pageBreakBefore w:val="0"/>
              <w:widowControl w:val="0"/>
              <w:kinsoku/>
              <w:wordWrap/>
              <w:overflowPunct/>
              <w:topLinePunct w:val="0"/>
              <w:bidi w:val="0"/>
              <w:adjustRightInd/>
              <w:snapToGrid w:val="0"/>
              <w:spacing w:line="360" w:lineRule="exact"/>
              <w:ind w:firstLine="420" w:firstLineChars="200"/>
              <w:jc w:val="left"/>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3.授权委托书及委托代理人有效身份证正反面复印件（格式后附）；</w:t>
            </w:r>
            <w:r>
              <w:rPr>
                <w:rFonts w:hint="eastAsia" w:ascii="宋体" w:hAnsi="宋体" w:eastAsia="宋体" w:cs="宋体"/>
                <w:b/>
                <w:bCs/>
                <w:color w:val="auto"/>
                <w:sz w:val="21"/>
                <w:szCs w:val="21"/>
                <w:highlight w:val="none"/>
              </w:rPr>
              <w:t>（委托时必须提供，否则按无效投标处理）</w:t>
            </w:r>
          </w:p>
          <w:p w14:paraId="097A02EB">
            <w:pPr>
              <w:keepNext w:val="0"/>
              <w:keepLines w:val="0"/>
              <w:pageBreakBefore w:val="0"/>
              <w:widowControl w:val="0"/>
              <w:kinsoku/>
              <w:wordWrap/>
              <w:overflowPunct/>
              <w:topLinePunct w:val="0"/>
              <w:bidi w:val="0"/>
              <w:adjustRightInd/>
              <w:snapToGrid w:val="0"/>
              <w:spacing w:line="360" w:lineRule="exact"/>
              <w:ind w:left="413"/>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4.商务要求偏离表（格式后附）；</w:t>
            </w:r>
            <w:r>
              <w:rPr>
                <w:rFonts w:hint="eastAsia" w:ascii="宋体" w:hAnsi="宋体" w:eastAsia="宋体" w:cs="宋体"/>
                <w:b/>
                <w:bCs/>
                <w:color w:val="auto"/>
                <w:sz w:val="21"/>
                <w:szCs w:val="21"/>
                <w:highlight w:val="none"/>
              </w:rPr>
              <w:t>（必须提供，否则按无效投标处理）</w:t>
            </w:r>
          </w:p>
          <w:p w14:paraId="006900B0">
            <w:pPr>
              <w:keepNext w:val="0"/>
              <w:keepLines w:val="0"/>
              <w:pageBreakBefore w:val="0"/>
              <w:widowControl w:val="0"/>
              <w:kinsoku/>
              <w:wordWrap/>
              <w:overflowPunct/>
              <w:topLinePunct w:val="0"/>
              <w:bidi w:val="0"/>
              <w:adjustRightInd/>
              <w:snapToGrid w:val="0"/>
              <w:spacing w:line="360" w:lineRule="exact"/>
              <w:ind w:left="413"/>
              <w:jc w:val="left"/>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eastAsia="宋体" w:cs="宋体"/>
                <w:bCs/>
                <w:color w:val="auto"/>
                <w:sz w:val="21"/>
                <w:szCs w:val="21"/>
                <w:highlight w:val="none"/>
              </w:rPr>
              <w:t>服务</w:t>
            </w:r>
            <w:r>
              <w:rPr>
                <w:rFonts w:hint="eastAsia" w:ascii="宋体" w:hAnsi="宋体" w:eastAsia="宋体" w:cs="宋体"/>
                <w:color w:val="auto"/>
                <w:sz w:val="21"/>
                <w:szCs w:val="21"/>
                <w:highlight w:val="none"/>
              </w:rPr>
              <w:t>承诺（格式自拟）；</w:t>
            </w:r>
            <w:r>
              <w:rPr>
                <w:rFonts w:hint="eastAsia" w:ascii="宋体" w:hAnsi="宋体" w:eastAsia="宋体" w:cs="宋体"/>
                <w:b/>
                <w:bCs/>
                <w:color w:val="auto"/>
                <w:sz w:val="21"/>
                <w:szCs w:val="21"/>
                <w:highlight w:val="none"/>
              </w:rPr>
              <w:t>（必须提供，否则按无效投标处理）</w:t>
            </w:r>
          </w:p>
          <w:p w14:paraId="7F350558">
            <w:pPr>
              <w:keepNext w:val="0"/>
              <w:keepLines w:val="0"/>
              <w:pageBreakBefore w:val="0"/>
              <w:widowControl w:val="0"/>
              <w:kinsoku/>
              <w:wordWrap/>
              <w:overflowPunct/>
              <w:topLinePunct w:val="0"/>
              <w:bidi w:val="0"/>
              <w:adjustRightInd/>
              <w:snapToGrid w:val="0"/>
              <w:spacing w:line="360" w:lineRule="exact"/>
              <w:ind w:left="413"/>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6.投标人情况介绍（格式自拟）；</w:t>
            </w:r>
            <w:r>
              <w:rPr>
                <w:rFonts w:hint="eastAsia" w:ascii="宋体" w:hAnsi="宋体" w:eastAsia="宋体" w:cs="宋体"/>
                <w:b/>
                <w:bCs/>
                <w:color w:val="auto"/>
                <w:sz w:val="21"/>
                <w:szCs w:val="21"/>
                <w:highlight w:val="none"/>
                <w:lang w:eastAsia="zh-CN"/>
              </w:rPr>
              <w:t>（</w:t>
            </w:r>
            <w:r>
              <w:rPr>
                <w:rFonts w:hint="eastAsia" w:ascii="宋体" w:hAnsi="宋体" w:cs="宋体"/>
                <w:b/>
                <w:bCs/>
                <w:color w:val="auto"/>
                <w:szCs w:val="21"/>
              </w:rPr>
              <w:t>如有请提供</w:t>
            </w:r>
            <w:r>
              <w:rPr>
                <w:rFonts w:hint="eastAsia" w:ascii="宋体" w:hAnsi="宋体" w:eastAsia="宋体" w:cs="宋体"/>
                <w:b/>
                <w:bCs/>
                <w:color w:val="auto"/>
                <w:sz w:val="21"/>
                <w:szCs w:val="21"/>
                <w:highlight w:val="none"/>
                <w:lang w:eastAsia="zh-CN"/>
              </w:rPr>
              <w:t>）</w:t>
            </w:r>
          </w:p>
          <w:p w14:paraId="6D1F7687">
            <w:pPr>
              <w:keepNext w:val="0"/>
              <w:keepLines w:val="0"/>
              <w:pageBreakBefore w:val="0"/>
              <w:widowControl w:val="0"/>
              <w:kinsoku/>
              <w:wordWrap/>
              <w:overflowPunct/>
              <w:topLinePunct w:val="0"/>
              <w:bidi w:val="0"/>
              <w:adjustRightInd/>
              <w:snapToGrid w:val="0"/>
              <w:spacing w:line="36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7.投标人认为需要提供的其他证明材料（格式自拟）（</w:t>
            </w:r>
            <w:r>
              <w:rPr>
                <w:rFonts w:hint="eastAsia" w:ascii="宋体" w:hAnsi="宋体" w:eastAsia="宋体" w:cs="宋体"/>
                <w:color w:val="auto"/>
                <w:sz w:val="21"/>
                <w:szCs w:val="21"/>
                <w:highlight w:val="none"/>
                <w:lang w:val="en-US" w:eastAsia="zh-CN"/>
              </w:rPr>
              <w:t>如有请提供，</w:t>
            </w:r>
            <w:r>
              <w:rPr>
                <w:rFonts w:hint="eastAsia" w:ascii="宋体" w:hAnsi="宋体" w:eastAsia="宋体" w:cs="宋体"/>
                <w:color w:val="auto"/>
                <w:sz w:val="21"/>
                <w:szCs w:val="21"/>
                <w:highlight w:val="none"/>
              </w:rPr>
              <w:t>投标人根据“第二章 采购需求”及“第四章 评标方法及评标标准”提供有关证明材料）。</w:t>
            </w:r>
          </w:p>
          <w:p w14:paraId="012968DA">
            <w:pPr>
              <w:keepNext w:val="0"/>
              <w:keepLines w:val="0"/>
              <w:pageBreakBefore w:val="0"/>
              <w:widowControl w:val="0"/>
              <w:kinsoku/>
              <w:wordWrap/>
              <w:overflowPunct/>
              <w:topLinePunct w:val="0"/>
              <w:bidi w:val="0"/>
              <w:adjustRightInd/>
              <w:snapToGrid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注：以上标明“必须提供”的材料属于复印件的，必须加盖投标人公章，否则按无效投标</w:t>
            </w:r>
            <w:r>
              <w:rPr>
                <w:rFonts w:hint="eastAsia" w:ascii="宋体" w:hAnsi="宋体" w:eastAsia="宋体" w:cs="宋体"/>
                <w:b/>
                <w:color w:val="auto"/>
                <w:sz w:val="21"/>
                <w:szCs w:val="21"/>
                <w:highlight w:val="none"/>
              </w:rPr>
              <w:t>处理</w:t>
            </w:r>
            <w:r>
              <w:rPr>
                <w:rFonts w:hint="eastAsia" w:ascii="宋体" w:hAnsi="宋体" w:eastAsia="宋体" w:cs="宋体"/>
                <w:b/>
                <w:bCs/>
                <w:color w:val="auto"/>
                <w:sz w:val="21"/>
                <w:szCs w:val="21"/>
                <w:highlight w:val="none"/>
              </w:rPr>
              <w:t>。</w:t>
            </w:r>
          </w:p>
        </w:tc>
      </w:tr>
      <w:tr w14:paraId="780D9E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vMerge w:val="continue"/>
            <w:tcBorders>
              <w:left w:val="single" w:color="auto" w:sz="4" w:space="0"/>
              <w:bottom w:val="single" w:color="auto" w:sz="4" w:space="0"/>
              <w:right w:val="single" w:color="auto" w:sz="4" w:space="0"/>
            </w:tcBorders>
            <w:vAlign w:val="center"/>
          </w:tcPr>
          <w:p w14:paraId="3C7068D9">
            <w:pPr>
              <w:keepNext w:val="0"/>
              <w:keepLines w:val="0"/>
              <w:pageBreakBefore w:val="0"/>
              <w:widowControl w:val="0"/>
              <w:kinsoku/>
              <w:wordWrap/>
              <w:overflowPunct/>
              <w:topLinePunct w:val="0"/>
              <w:bidi w:val="0"/>
              <w:adjustRightInd/>
              <w:spacing w:line="360" w:lineRule="exact"/>
              <w:rPr>
                <w:rFonts w:hint="eastAsia" w:ascii="宋体" w:hAnsi="宋体" w:eastAsia="宋体" w:cs="宋体"/>
                <w:color w:val="auto"/>
                <w:sz w:val="21"/>
                <w:szCs w:val="21"/>
                <w:highlight w:val="none"/>
              </w:rPr>
            </w:pPr>
            <w:bookmarkStart w:id="73" w:name="_13.4"/>
            <w:bookmarkEnd w:id="73"/>
          </w:p>
        </w:tc>
        <w:tc>
          <w:tcPr>
            <w:tcW w:w="0" w:type="auto"/>
            <w:tcBorders>
              <w:top w:val="single" w:color="auto" w:sz="4" w:space="0"/>
              <w:left w:val="single" w:color="auto" w:sz="4" w:space="0"/>
              <w:bottom w:val="single" w:color="auto" w:sz="4" w:space="0"/>
              <w:right w:val="single" w:color="auto" w:sz="4" w:space="0"/>
            </w:tcBorders>
            <w:vAlign w:val="center"/>
          </w:tcPr>
          <w:p w14:paraId="184E0710">
            <w:pPr>
              <w:keepNext w:val="0"/>
              <w:keepLines w:val="0"/>
              <w:pageBreakBefore w:val="0"/>
              <w:widowControl w:val="0"/>
              <w:kinsoku/>
              <w:wordWrap/>
              <w:overflowPunct/>
              <w:topLinePunct w:val="0"/>
              <w:bidi w:val="0"/>
              <w:adjustRightInd/>
              <w:snapToGrid w:val="0"/>
              <w:spacing w:line="360" w:lineRule="exact"/>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技术文件：</w:t>
            </w:r>
          </w:p>
          <w:p w14:paraId="710B535B">
            <w:pPr>
              <w:keepNext w:val="0"/>
              <w:keepLines w:val="0"/>
              <w:pageBreakBefore w:val="0"/>
              <w:widowControl w:val="0"/>
              <w:kinsoku/>
              <w:wordWrap/>
              <w:overflowPunct/>
              <w:topLinePunct w:val="0"/>
              <w:bidi w:val="0"/>
              <w:adjustRightInd/>
              <w:snapToGrid w:val="0"/>
              <w:spacing w:line="360" w:lineRule="exact"/>
              <w:ind w:firstLine="420" w:firstLineChars="200"/>
              <w:jc w:val="lef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1.技术要求偏离表（格式后附）；</w:t>
            </w:r>
            <w:r>
              <w:rPr>
                <w:rFonts w:hint="eastAsia" w:ascii="宋体" w:hAnsi="宋体" w:eastAsia="宋体" w:cs="宋体"/>
                <w:b/>
                <w:color w:val="auto"/>
                <w:sz w:val="21"/>
                <w:szCs w:val="21"/>
                <w:highlight w:val="none"/>
              </w:rPr>
              <w:t>（必须提供，否则按无效投标处理）</w:t>
            </w:r>
          </w:p>
          <w:p w14:paraId="6163A779">
            <w:pPr>
              <w:keepNext w:val="0"/>
              <w:keepLines w:val="0"/>
              <w:pageBreakBefore w:val="0"/>
              <w:widowControl w:val="0"/>
              <w:kinsoku/>
              <w:wordWrap/>
              <w:overflowPunct/>
              <w:topLinePunct w:val="0"/>
              <w:bidi w:val="0"/>
              <w:adjustRightInd/>
              <w:snapToGrid w:val="0"/>
              <w:spacing w:line="36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2.服务方案</w:t>
            </w:r>
            <w:r>
              <w:rPr>
                <w:rFonts w:hint="eastAsia" w:ascii="宋体" w:hAnsi="宋体" w:eastAsia="宋体" w:cs="宋体"/>
                <w:b w:val="0"/>
                <w:bCs w:val="0"/>
                <w:color w:val="auto"/>
                <w:sz w:val="21"/>
                <w:szCs w:val="21"/>
                <w:highlight w:val="none"/>
              </w:rPr>
              <w:t>（格式自拟）</w:t>
            </w:r>
            <w:r>
              <w:rPr>
                <w:rFonts w:hint="eastAsia" w:ascii="宋体" w:hAnsi="宋体" w:eastAsia="宋体" w:cs="宋体"/>
                <w:color w:val="auto"/>
                <w:sz w:val="21"/>
                <w:szCs w:val="21"/>
                <w:highlight w:val="none"/>
              </w:rPr>
              <w:t>；</w:t>
            </w:r>
            <w:r>
              <w:rPr>
                <w:rFonts w:hint="eastAsia" w:ascii="宋体" w:hAnsi="宋体" w:eastAsia="宋体" w:cs="宋体"/>
                <w:b/>
                <w:bCs/>
                <w:color w:val="auto"/>
                <w:sz w:val="21"/>
                <w:szCs w:val="21"/>
                <w:highlight w:val="none"/>
              </w:rPr>
              <w:t>（必须提供，否则按无效投标处理）</w:t>
            </w:r>
          </w:p>
          <w:p w14:paraId="55C30E15">
            <w:pPr>
              <w:keepNext w:val="0"/>
              <w:keepLines w:val="0"/>
              <w:pageBreakBefore w:val="0"/>
              <w:widowControl w:val="0"/>
              <w:kinsoku/>
              <w:wordWrap/>
              <w:overflowPunct/>
              <w:topLinePunct w:val="0"/>
              <w:bidi w:val="0"/>
              <w:adjustRightInd/>
              <w:snapToGrid w:val="0"/>
              <w:spacing w:line="360" w:lineRule="exact"/>
              <w:ind w:left="413"/>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3.项目实施人员一览表</w:t>
            </w:r>
            <w:r>
              <w:rPr>
                <w:rFonts w:hint="eastAsia" w:ascii="宋体" w:hAnsi="宋体" w:eastAsia="宋体" w:cs="宋体"/>
                <w:b w:val="0"/>
                <w:bCs w:val="0"/>
                <w:color w:val="auto"/>
                <w:sz w:val="21"/>
                <w:szCs w:val="21"/>
                <w:highlight w:val="none"/>
              </w:rPr>
              <w:t>（格式后附）</w:t>
            </w:r>
            <w:r>
              <w:rPr>
                <w:rFonts w:hint="eastAsia" w:ascii="宋体" w:hAnsi="宋体" w:eastAsia="宋体" w:cs="宋体"/>
                <w:color w:val="auto"/>
                <w:sz w:val="21"/>
                <w:szCs w:val="21"/>
                <w:highlight w:val="none"/>
              </w:rPr>
              <w:t>；</w:t>
            </w:r>
            <w:r>
              <w:rPr>
                <w:rFonts w:hint="eastAsia" w:ascii="宋体" w:hAnsi="宋体" w:eastAsia="宋体" w:cs="宋体"/>
                <w:b/>
                <w:bCs/>
                <w:color w:val="auto"/>
                <w:sz w:val="21"/>
                <w:szCs w:val="21"/>
                <w:highlight w:val="none"/>
              </w:rPr>
              <w:t>（必须提供，否则按无效投标处理）</w:t>
            </w:r>
          </w:p>
          <w:p w14:paraId="34AD6C2A">
            <w:pPr>
              <w:keepNext w:val="0"/>
              <w:keepLines w:val="0"/>
              <w:pageBreakBefore w:val="0"/>
              <w:widowControl w:val="0"/>
              <w:kinsoku/>
              <w:wordWrap/>
              <w:overflowPunct/>
              <w:topLinePunct w:val="0"/>
              <w:bidi w:val="0"/>
              <w:adjustRightInd/>
              <w:snapToGrid w:val="0"/>
              <w:spacing w:line="36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4.除</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文件规定必须提供以外，投标人需要说明的其他文件和说明（格式自拟）。</w:t>
            </w:r>
            <w:r>
              <w:rPr>
                <w:rFonts w:hint="eastAsia" w:ascii="宋体" w:hAnsi="宋体" w:eastAsia="宋体" w:cs="宋体"/>
                <w:b/>
                <w:bCs/>
                <w:color w:val="auto"/>
                <w:sz w:val="21"/>
                <w:szCs w:val="21"/>
                <w:highlight w:val="none"/>
                <w:lang w:eastAsia="zh-CN"/>
              </w:rPr>
              <w:t>（</w:t>
            </w:r>
            <w:r>
              <w:rPr>
                <w:rFonts w:hint="eastAsia" w:ascii="宋体" w:hAnsi="宋体" w:cs="宋体"/>
                <w:b/>
                <w:bCs/>
                <w:color w:val="auto"/>
                <w:szCs w:val="21"/>
              </w:rPr>
              <w:t>如有请提供</w:t>
            </w:r>
            <w:r>
              <w:rPr>
                <w:rFonts w:hint="eastAsia" w:ascii="宋体" w:hAnsi="宋体" w:eastAsia="宋体" w:cs="宋体"/>
                <w:b/>
                <w:bCs/>
                <w:color w:val="auto"/>
                <w:sz w:val="21"/>
                <w:szCs w:val="21"/>
                <w:highlight w:val="none"/>
                <w:lang w:eastAsia="zh-CN"/>
              </w:rPr>
              <w:t>）</w:t>
            </w:r>
          </w:p>
          <w:p w14:paraId="0D0FAD9E">
            <w:pPr>
              <w:keepNext w:val="0"/>
              <w:keepLines w:val="0"/>
              <w:pageBreakBefore w:val="0"/>
              <w:widowControl w:val="0"/>
              <w:kinsoku/>
              <w:wordWrap/>
              <w:overflowPunct/>
              <w:topLinePunct w:val="0"/>
              <w:bidi w:val="0"/>
              <w:adjustRightInd/>
              <w:snapToGrid w:val="0"/>
              <w:spacing w:line="36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注：以上标明“必须提供”的材料属于复印件的，必须加盖投标人公章，否则按无效投标</w:t>
            </w:r>
            <w:r>
              <w:rPr>
                <w:rFonts w:hint="eastAsia" w:ascii="宋体" w:hAnsi="宋体" w:eastAsia="宋体" w:cs="宋体"/>
                <w:b/>
                <w:color w:val="auto"/>
                <w:sz w:val="21"/>
                <w:szCs w:val="21"/>
                <w:highlight w:val="none"/>
              </w:rPr>
              <w:t>处理</w:t>
            </w:r>
            <w:r>
              <w:rPr>
                <w:rFonts w:hint="eastAsia" w:ascii="宋体" w:hAnsi="宋体" w:eastAsia="宋体" w:cs="宋体"/>
                <w:b/>
                <w:bCs/>
                <w:color w:val="auto"/>
                <w:sz w:val="21"/>
                <w:szCs w:val="21"/>
                <w:highlight w:val="none"/>
              </w:rPr>
              <w:t>。</w:t>
            </w:r>
          </w:p>
        </w:tc>
      </w:tr>
      <w:tr w14:paraId="100306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7CDFFA2D">
            <w:pPr>
              <w:keepNext w:val="0"/>
              <w:keepLines w:val="0"/>
              <w:pageBreakBefore w:val="0"/>
              <w:widowControl w:val="0"/>
              <w:kinsoku/>
              <w:wordWrap/>
              <w:overflowPunct/>
              <w:topLinePunct w:val="0"/>
              <w:bidi w:val="0"/>
              <w:adjustRightInd/>
              <w:spacing w:line="360" w:lineRule="exact"/>
              <w:jc w:val="center"/>
              <w:rPr>
                <w:rFonts w:hint="eastAsia" w:ascii="宋体" w:hAnsi="宋体" w:eastAsia="宋体" w:cs="宋体"/>
                <w:color w:val="auto"/>
                <w:sz w:val="21"/>
                <w:szCs w:val="21"/>
                <w:highlight w:val="none"/>
              </w:rPr>
            </w:pPr>
            <w:bookmarkStart w:id="74" w:name="_13.5"/>
            <w:bookmarkEnd w:id="74"/>
            <w:bookmarkStart w:id="75" w:name="_16.2"/>
            <w:bookmarkEnd w:id="75"/>
            <w:r>
              <w:rPr>
                <w:rFonts w:hint="eastAsia" w:ascii="宋体" w:hAnsi="宋体" w:eastAsia="宋体" w:cs="宋体"/>
                <w:color w:val="auto"/>
                <w:sz w:val="21"/>
                <w:szCs w:val="21"/>
                <w:highlight w:val="none"/>
              </w:rPr>
              <w:t>16</w:t>
            </w:r>
            <w:bookmarkStart w:id="76" w:name="_Hlt19194067"/>
            <w:bookmarkStart w:id="77" w:name="_Hlt19194066"/>
            <w:bookmarkStart w:id="78" w:name="_Hlt19693758"/>
            <w:bookmarkStart w:id="79" w:name="_Hlt19693759"/>
            <w:r>
              <w:rPr>
                <w:rFonts w:hint="eastAsia" w:ascii="宋体" w:hAnsi="宋体" w:eastAsia="宋体" w:cs="宋体"/>
                <w:color w:val="auto"/>
                <w:sz w:val="21"/>
                <w:szCs w:val="21"/>
                <w:highlight w:val="none"/>
              </w:rPr>
              <w:t>.</w:t>
            </w:r>
            <w:bookmarkEnd w:id="76"/>
            <w:bookmarkEnd w:id="77"/>
            <w:bookmarkEnd w:id="78"/>
            <w:bookmarkEnd w:id="79"/>
            <w:r>
              <w:rPr>
                <w:rFonts w:hint="eastAsia" w:ascii="宋体" w:hAnsi="宋体" w:eastAsia="宋体" w:cs="宋体"/>
                <w:color w:val="auto"/>
                <w:sz w:val="21"/>
                <w:szCs w:val="21"/>
                <w:highlight w:val="none"/>
              </w:rPr>
              <w:t>2</w:t>
            </w:r>
          </w:p>
        </w:tc>
        <w:tc>
          <w:tcPr>
            <w:tcW w:w="0" w:type="auto"/>
            <w:tcBorders>
              <w:top w:val="single" w:color="auto" w:sz="4" w:space="0"/>
              <w:left w:val="single" w:color="auto" w:sz="4" w:space="0"/>
              <w:bottom w:val="single" w:color="auto" w:sz="4" w:space="0"/>
              <w:right w:val="single" w:color="auto" w:sz="4" w:space="0"/>
            </w:tcBorders>
            <w:vAlign w:val="center"/>
          </w:tcPr>
          <w:p w14:paraId="0AFFB762">
            <w:pPr>
              <w:keepNext w:val="0"/>
              <w:keepLines w:val="0"/>
              <w:pageBreakBefore w:val="0"/>
              <w:widowControl w:val="0"/>
              <w:tabs>
                <w:tab w:val="left" w:pos="2155"/>
              </w:tabs>
              <w:kinsoku/>
              <w:wordWrap/>
              <w:overflowPunct/>
              <w:topLinePunct w:val="0"/>
              <w:bidi w:val="0"/>
              <w:adjustRightInd/>
              <w:spacing w:line="360" w:lineRule="exact"/>
              <w:ind w:firstLine="420" w:firstLineChars="200"/>
              <w:rPr>
                <w:rFonts w:hint="eastAsia" w:ascii="宋体" w:hAnsi="宋体" w:cs="宋体"/>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报价是含税的报价；</w:t>
            </w:r>
            <w:r>
              <w:rPr>
                <w:rFonts w:hint="eastAsia" w:ascii="宋体" w:hAnsi="宋体" w:cs="宋体"/>
                <w:color w:val="000000" w:themeColor="text1"/>
                <w14:textFill>
                  <w14:solidFill>
                    <w14:schemeClr w14:val="tx1"/>
                  </w14:solidFill>
                </w14:textFill>
              </w:rPr>
              <w:t>投标人报价以本项目采购预算为最高限价，本项目报价为一口价。</w:t>
            </w:r>
          </w:p>
          <w:p w14:paraId="2946B087">
            <w:pPr>
              <w:keepNext w:val="0"/>
              <w:keepLines w:val="0"/>
              <w:pageBreakBefore w:val="0"/>
              <w:widowControl w:val="0"/>
              <w:tabs>
                <w:tab w:val="left" w:pos="2155"/>
              </w:tabs>
              <w:kinsoku/>
              <w:wordWrap/>
              <w:overflowPunct/>
              <w:topLinePunct w:val="0"/>
              <w:bidi w:val="0"/>
              <w:adjustRightInd/>
              <w:spacing w:line="36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结合本招标文件在采购需求下的说明，请投标人谨慎注意：</w:t>
            </w:r>
          </w:p>
          <w:p w14:paraId="4B38A989">
            <w:pPr>
              <w:keepNext w:val="0"/>
              <w:keepLines w:val="0"/>
              <w:pageBreakBefore w:val="0"/>
              <w:widowControl w:val="0"/>
              <w:tabs>
                <w:tab w:val="left" w:pos="2155"/>
              </w:tabs>
              <w:kinsoku/>
              <w:wordWrap/>
              <w:overflowPunct/>
              <w:topLinePunct w:val="0"/>
              <w:bidi w:val="0"/>
              <w:adjustRightInd/>
              <w:spacing w:line="36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除招标文件载明的另有由招标人承担、由第三方服务商承担的事项（费用）外，凡在合同范围内已明确为中标人义务的内容以及由中标人实施的行为（事项），其对价和成本均应包含在投标人的报价之内（包括但不限于：投标人为提供服务所需的人力、车辆、器材、器械、设备、劳动器具、装备、服装、消耗品、耗材、管理、办公、工具、税费、或有风险等全部应有、或有的事项成本，投标人应负担其服务人员的工资、加班工资、补贴、补助、待遇、奖金、交通、住宿、伙食、用工保障、劳动保护、体检、社会保险、医疗保险、商业保险等全部应有、或有的用人用工费用以及事项成本；其他的经由本项目政府采购确定后的、合同明确的由中标人履行的行为、义务之对价和成本；招标文件明示或暗示的中标人的所有责任、义务和风险等中标人完成本项目所需一切费用）。</w:t>
            </w:r>
          </w:p>
          <w:p w14:paraId="47679FBF">
            <w:pPr>
              <w:keepNext w:val="0"/>
              <w:keepLines w:val="0"/>
              <w:pageBreakBefore w:val="0"/>
              <w:widowControl w:val="0"/>
              <w:tabs>
                <w:tab w:val="left" w:pos="2155"/>
              </w:tabs>
              <w:kinsoku/>
              <w:wordWrap/>
              <w:overflowPunct/>
              <w:topLinePunct w:val="0"/>
              <w:bidi w:val="0"/>
              <w:adjustRightInd/>
              <w:spacing w:line="36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中标后，以合同主文为依据结算的合同价款将会是完全涵盖中标人依合同实施的全部行为、履行合同中全部的中标人义务、实施合同明确约定应由中标人实施的事项所应获得的所有对价及所应支出的所有成本，不论是否能实际涵盖上述所有对价及所应支出的所有成本，以合同主文为依据结算的合同价款即中标人为实施本项目、为签订和履行合同所应获得的价款总额，若有未能实际涵盖的部分由中标人自行承担</w:t>
            </w:r>
            <w:r>
              <w:rPr>
                <w:rFonts w:hint="eastAsia" w:ascii="宋体" w:hAnsi="宋体"/>
                <w:color w:val="000000" w:themeColor="text1"/>
                <w:szCs w:val="21"/>
                <w:lang w:val="zh-CN"/>
                <w14:textFill>
                  <w14:solidFill>
                    <w14:schemeClr w14:val="tx1"/>
                  </w14:solidFill>
                </w14:textFill>
              </w:rPr>
              <w:t>。</w:t>
            </w:r>
          </w:p>
          <w:p w14:paraId="516E5329">
            <w:pPr>
              <w:keepNext w:val="0"/>
              <w:keepLines w:val="0"/>
              <w:pageBreakBefore w:val="0"/>
              <w:widowControl w:val="0"/>
              <w:kinsoku/>
              <w:wordWrap/>
              <w:overflowPunct/>
              <w:topLinePunct w:val="0"/>
              <w:bidi w:val="0"/>
              <w:adjustRightInd/>
              <w:snapToGrid w:val="0"/>
              <w:spacing w:line="360" w:lineRule="exact"/>
              <w:ind w:firstLine="420" w:firstLineChars="200"/>
              <w:jc w:val="left"/>
              <w:rPr>
                <w:rFonts w:hint="eastAsia" w:ascii="宋体" w:hAnsi="宋体" w:eastAsia="宋体" w:cs="宋体"/>
                <w:color w:val="auto"/>
                <w:sz w:val="21"/>
                <w:szCs w:val="21"/>
                <w:highlight w:val="none"/>
              </w:rPr>
            </w:pPr>
            <w:r>
              <w:rPr>
                <w:rFonts w:hint="eastAsia" w:hAnsi="宋体"/>
                <w:color w:val="000000" w:themeColor="text1"/>
                <w:szCs w:val="21"/>
                <w14:textFill>
                  <w14:solidFill>
                    <w14:schemeClr w14:val="tx1"/>
                  </w14:solidFill>
                </w14:textFill>
              </w:rPr>
              <w:t>因此，</w:t>
            </w:r>
            <w:r>
              <w:rPr>
                <w:rFonts w:hAnsi="宋体"/>
                <w:color w:val="000000" w:themeColor="text1"/>
                <w:szCs w:val="21"/>
                <w14:textFill>
                  <w14:solidFill>
                    <w14:schemeClr w14:val="tx1"/>
                  </w14:solidFill>
                </w14:textFill>
              </w:rPr>
              <w:t>投标人</w:t>
            </w:r>
            <w:r>
              <w:rPr>
                <w:rFonts w:hint="eastAsia" w:hAnsi="宋体"/>
                <w:color w:val="000000" w:themeColor="text1"/>
                <w:szCs w:val="21"/>
                <w14:textFill>
                  <w14:solidFill>
                    <w14:schemeClr w14:val="tx1"/>
                  </w14:solidFill>
                </w14:textFill>
              </w:rPr>
              <w:t>的</w:t>
            </w:r>
            <w:r>
              <w:rPr>
                <w:rFonts w:hAnsi="宋体"/>
                <w:color w:val="000000" w:themeColor="text1"/>
                <w:szCs w:val="21"/>
                <w14:textFill>
                  <w14:solidFill>
                    <w14:schemeClr w14:val="tx1"/>
                  </w14:solidFill>
                </w14:textFill>
              </w:rPr>
              <w:t>报价必须充分考虑，中标后，</w:t>
            </w:r>
            <w:r>
              <w:rPr>
                <w:rFonts w:hint="eastAsia" w:hAnsi="宋体"/>
                <w:color w:val="000000" w:themeColor="text1"/>
                <w:szCs w:val="21"/>
                <w14:textFill>
                  <w14:solidFill>
                    <w14:schemeClr w14:val="tx1"/>
                  </w14:solidFill>
                </w14:textFill>
              </w:rPr>
              <w:t>中标</w:t>
            </w:r>
            <w:r>
              <w:rPr>
                <w:rFonts w:hAnsi="宋体"/>
                <w:color w:val="000000" w:themeColor="text1"/>
                <w:szCs w:val="21"/>
                <w14:textFill>
                  <w14:solidFill>
                    <w14:schemeClr w14:val="tx1"/>
                  </w14:solidFill>
                </w14:textFill>
              </w:rPr>
              <w:t>人不得以</w:t>
            </w:r>
            <w:r>
              <w:rPr>
                <w:rFonts w:hint="eastAsia" w:hAnsi="宋体"/>
                <w:color w:val="000000" w:themeColor="text1"/>
                <w:szCs w:val="21"/>
                <w14:textFill>
                  <w14:solidFill>
                    <w14:schemeClr w14:val="tx1"/>
                  </w14:solidFill>
                </w14:textFill>
              </w:rPr>
              <w:t>其</w:t>
            </w:r>
            <w:r>
              <w:rPr>
                <w:rFonts w:hAnsi="宋体"/>
                <w:color w:val="000000" w:themeColor="text1"/>
                <w:szCs w:val="21"/>
                <w14:textFill>
                  <w14:solidFill>
                    <w14:schemeClr w14:val="tx1"/>
                  </w14:solidFill>
                </w14:textFill>
              </w:rPr>
              <w:t>报价未能涵盖</w:t>
            </w:r>
            <w:r>
              <w:rPr>
                <w:rFonts w:hint="eastAsia" w:hAnsi="宋体"/>
                <w:color w:val="000000" w:themeColor="text1"/>
                <w:szCs w:val="21"/>
                <w14:textFill>
                  <w14:solidFill>
                    <w14:schemeClr w14:val="tx1"/>
                  </w14:solidFill>
                </w14:textFill>
              </w:rPr>
              <w:t>合同范围内</w:t>
            </w:r>
            <w:r>
              <w:rPr>
                <w:rFonts w:hAnsi="宋体"/>
                <w:color w:val="000000" w:themeColor="text1"/>
                <w:szCs w:val="21"/>
                <w14:textFill>
                  <w14:solidFill>
                    <w14:schemeClr w14:val="tx1"/>
                  </w14:solidFill>
                </w14:textFill>
              </w:rPr>
              <w:t>为</w:t>
            </w:r>
            <w:r>
              <w:rPr>
                <w:rFonts w:hint="eastAsia" w:hAnsi="宋体"/>
                <w:color w:val="000000" w:themeColor="text1"/>
                <w:szCs w:val="21"/>
                <w14:textFill>
                  <w14:solidFill>
                    <w14:schemeClr w14:val="tx1"/>
                  </w14:solidFill>
                </w14:textFill>
              </w:rPr>
              <w:t>提供</w:t>
            </w:r>
            <w:r>
              <w:rPr>
                <w:rFonts w:hAnsi="宋体"/>
                <w:color w:val="000000" w:themeColor="text1"/>
                <w:szCs w:val="21"/>
                <w14:textFill>
                  <w14:solidFill>
                    <w14:schemeClr w14:val="tx1"/>
                  </w14:solidFill>
                </w14:textFill>
              </w:rPr>
              <w:t>本项目服务、为签订和履行合同所应获得的所有对价及所应支出的所有成本费用等任何理由，而要求</w:t>
            </w:r>
            <w:r>
              <w:rPr>
                <w:rFonts w:hint="eastAsia" w:hAnsi="宋体"/>
                <w:color w:val="000000" w:themeColor="text1"/>
                <w:szCs w:val="21"/>
                <w14:textFill>
                  <w14:solidFill>
                    <w14:schemeClr w14:val="tx1"/>
                  </w14:solidFill>
                </w14:textFill>
              </w:rPr>
              <w:t>在其</w:t>
            </w:r>
            <w:r>
              <w:rPr>
                <w:rFonts w:hAnsi="宋体"/>
                <w:color w:val="000000" w:themeColor="text1"/>
                <w:szCs w:val="21"/>
                <w14:textFill>
                  <w14:solidFill>
                    <w14:schemeClr w14:val="tx1"/>
                  </w14:solidFill>
                </w14:textFill>
              </w:rPr>
              <w:t>报价以外</w:t>
            </w:r>
            <w:r>
              <w:rPr>
                <w:rFonts w:hint="eastAsia" w:hAnsi="宋体"/>
                <w:color w:val="000000" w:themeColor="text1"/>
                <w:szCs w:val="21"/>
                <w14:textFill>
                  <w14:solidFill>
                    <w14:schemeClr w14:val="tx1"/>
                  </w14:solidFill>
                </w14:textFill>
              </w:rPr>
              <w:t>实施本项目的</w:t>
            </w:r>
            <w:r>
              <w:rPr>
                <w:rFonts w:hAnsi="宋体"/>
                <w:color w:val="000000" w:themeColor="text1"/>
                <w:szCs w:val="21"/>
                <w14:textFill>
                  <w14:solidFill>
                    <w14:schemeClr w14:val="tx1"/>
                  </w14:solidFill>
                </w14:textFill>
              </w:rPr>
              <w:t>其他费用，对这些费用，不再另外支付</w:t>
            </w:r>
            <w:r>
              <w:rPr>
                <w:rFonts w:hint="eastAsia" w:hAnsi="宋体" w:cs="宋体"/>
                <w:color w:val="000000" w:themeColor="text1"/>
                <w14:textFill>
                  <w14:solidFill>
                    <w14:schemeClr w14:val="tx1"/>
                  </w14:solidFill>
                </w14:textFill>
              </w:rPr>
              <w:t>。</w:t>
            </w:r>
          </w:p>
        </w:tc>
      </w:tr>
      <w:tr w14:paraId="3DAE05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089716E2">
            <w:pPr>
              <w:keepNext w:val="0"/>
              <w:keepLines w:val="0"/>
              <w:pageBreakBefore w:val="0"/>
              <w:widowControl w:val="0"/>
              <w:kinsoku/>
              <w:wordWrap/>
              <w:overflowPunct/>
              <w:topLinePunct w:val="0"/>
              <w:bidi w:val="0"/>
              <w:adjustRightInd/>
              <w:spacing w:line="360" w:lineRule="exact"/>
              <w:jc w:val="center"/>
              <w:rPr>
                <w:rFonts w:hint="eastAsia" w:ascii="宋体" w:hAnsi="宋体" w:eastAsia="宋体" w:cs="宋体"/>
                <w:color w:val="auto"/>
                <w:sz w:val="21"/>
                <w:szCs w:val="21"/>
                <w:highlight w:val="none"/>
              </w:rPr>
            </w:pPr>
            <w:bookmarkStart w:id="80" w:name="_17.1"/>
            <w:bookmarkEnd w:id="80"/>
            <w:r>
              <w:rPr>
                <w:rFonts w:hint="eastAsia" w:ascii="宋体" w:hAnsi="宋体" w:eastAsia="宋体" w:cs="宋体"/>
                <w:color w:val="auto"/>
                <w:sz w:val="21"/>
                <w:szCs w:val="21"/>
                <w:highlight w:val="none"/>
              </w:rPr>
              <w:t>17.2</w:t>
            </w:r>
          </w:p>
        </w:tc>
        <w:tc>
          <w:tcPr>
            <w:tcW w:w="0" w:type="auto"/>
            <w:tcBorders>
              <w:top w:val="single" w:color="auto" w:sz="4" w:space="0"/>
              <w:left w:val="single" w:color="auto" w:sz="4" w:space="0"/>
              <w:bottom w:val="single" w:color="auto" w:sz="4" w:space="0"/>
              <w:right w:val="single" w:color="auto" w:sz="4" w:space="0"/>
            </w:tcBorders>
            <w:vAlign w:val="center"/>
          </w:tcPr>
          <w:p w14:paraId="1F37A7F6">
            <w:pPr>
              <w:keepNext w:val="0"/>
              <w:keepLines w:val="0"/>
              <w:pageBreakBefore w:val="0"/>
              <w:widowControl w:val="0"/>
              <w:kinsoku/>
              <w:wordWrap/>
              <w:overflowPunct/>
              <w:topLinePunct w:val="0"/>
              <w:bidi w:val="0"/>
              <w:adjustRightInd/>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投标有效期：自投标截止之日起</w:t>
            </w:r>
            <w:r>
              <w:rPr>
                <w:rFonts w:hint="eastAsia" w:ascii="宋体" w:hAnsi="宋体" w:eastAsia="宋体" w:cs="宋体"/>
                <w:color w:val="auto"/>
                <w:sz w:val="21"/>
                <w:szCs w:val="21"/>
                <w:highlight w:val="none"/>
                <w:u w:val="single"/>
              </w:rPr>
              <w:t>60</w:t>
            </w:r>
            <w:r>
              <w:rPr>
                <w:rFonts w:hint="eastAsia" w:ascii="宋体" w:hAnsi="宋体" w:eastAsia="宋体" w:cs="宋体"/>
                <w:color w:val="auto"/>
                <w:sz w:val="21"/>
                <w:szCs w:val="21"/>
                <w:highlight w:val="none"/>
              </w:rPr>
              <w:t>日。</w:t>
            </w:r>
          </w:p>
        </w:tc>
      </w:tr>
      <w:tr w14:paraId="718D0B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2D0AF376">
            <w:pPr>
              <w:keepNext w:val="0"/>
              <w:keepLines w:val="0"/>
              <w:pageBreakBefore w:val="0"/>
              <w:widowControl w:val="0"/>
              <w:kinsoku/>
              <w:wordWrap/>
              <w:overflowPunct/>
              <w:topLinePunct w:val="0"/>
              <w:bidi w:val="0"/>
              <w:adjustRightInd/>
              <w:spacing w:line="360" w:lineRule="exact"/>
              <w:jc w:val="center"/>
              <w:rPr>
                <w:rFonts w:hint="eastAsia" w:ascii="宋体" w:hAnsi="宋体" w:eastAsia="宋体" w:cs="宋体"/>
                <w:color w:val="auto"/>
                <w:sz w:val="21"/>
                <w:szCs w:val="21"/>
                <w:highlight w:val="none"/>
              </w:rPr>
            </w:pPr>
            <w:bookmarkStart w:id="81" w:name="_18"/>
            <w:bookmarkEnd w:id="81"/>
            <w:r>
              <w:rPr>
                <w:rFonts w:hint="eastAsia" w:ascii="宋体" w:hAnsi="宋体" w:eastAsia="宋体" w:cs="宋体"/>
                <w:color w:val="auto"/>
                <w:sz w:val="21"/>
                <w:szCs w:val="21"/>
                <w:highlight w:val="none"/>
              </w:rPr>
              <w:t>18.1</w:t>
            </w:r>
          </w:p>
        </w:tc>
        <w:tc>
          <w:tcPr>
            <w:tcW w:w="0" w:type="auto"/>
            <w:tcBorders>
              <w:top w:val="single" w:color="auto" w:sz="4" w:space="0"/>
              <w:left w:val="single" w:color="auto" w:sz="4" w:space="0"/>
              <w:bottom w:val="single" w:color="auto" w:sz="4" w:space="0"/>
              <w:right w:val="single" w:color="auto" w:sz="4" w:space="0"/>
            </w:tcBorders>
            <w:vAlign w:val="center"/>
          </w:tcPr>
          <w:p w14:paraId="184A56DD">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本项目不收取投标保证金。</w:t>
            </w:r>
          </w:p>
        </w:tc>
      </w:tr>
      <w:tr w14:paraId="5D0A06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79552FD9">
            <w:pPr>
              <w:keepNext w:val="0"/>
              <w:keepLines w:val="0"/>
              <w:pageBreakBefore w:val="0"/>
              <w:widowControl w:val="0"/>
              <w:kinsoku/>
              <w:wordWrap/>
              <w:overflowPunct/>
              <w:topLinePunct w:val="0"/>
              <w:bidi w:val="0"/>
              <w:adjustRightInd/>
              <w:spacing w:line="360" w:lineRule="exact"/>
              <w:jc w:val="center"/>
              <w:rPr>
                <w:rFonts w:hint="eastAsia" w:ascii="宋体" w:hAnsi="宋体" w:eastAsia="宋体" w:cs="宋体"/>
                <w:color w:val="auto"/>
                <w:sz w:val="21"/>
                <w:szCs w:val="21"/>
                <w:highlight w:val="none"/>
              </w:rPr>
            </w:pPr>
            <w:bookmarkStart w:id="82" w:name="_19.2"/>
            <w:bookmarkEnd w:id="82"/>
            <w:r>
              <w:rPr>
                <w:rFonts w:hint="eastAsia" w:ascii="宋体" w:hAnsi="宋体" w:eastAsia="宋体" w:cs="宋体"/>
                <w:color w:val="auto"/>
                <w:sz w:val="21"/>
                <w:szCs w:val="21"/>
                <w:highlight w:val="none"/>
              </w:rPr>
              <w:t>20</w:t>
            </w:r>
          </w:p>
        </w:tc>
        <w:tc>
          <w:tcPr>
            <w:tcW w:w="0" w:type="auto"/>
            <w:tcBorders>
              <w:top w:val="single" w:color="auto" w:sz="4" w:space="0"/>
              <w:left w:val="single" w:color="auto" w:sz="4" w:space="0"/>
              <w:bottom w:val="single" w:color="auto" w:sz="4" w:space="0"/>
              <w:right w:val="single" w:color="auto" w:sz="4" w:space="0"/>
            </w:tcBorders>
            <w:vAlign w:val="center"/>
          </w:tcPr>
          <w:p w14:paraId="45F09822">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本项目不接受电子备份投标文件。</w:t>
            </w:r>
          </w:p>
        </w:tc>
      </w:tr>
      <w:tr w14:paraId="48F649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vAlign w:val="center"/>
          </w:tcPr>
          <w:p w14:paraId="09C9B298">
            <w:pPr>
              <w:keepNext w:val="0"/>
              <w:keepLines w:val="0"/>
              <w:pageBreakBefore w:val="0"/>
              <w:widowControl w:val="0"/>
              <w:kinsoku/>
              <w:wordWrap/>
              <w:overflowPunct/>
              <w:topLinePunct w:val="0"/>
              <w:bidi w:val="0"/>
              <w:adjustRightInd/>
              <w:spacing w:line="360" w:lineRule="exact"/>
              <w:jc w:val="center"/>
              <w:rPr>
                <w:rFonts w:hint="eastAsia" w:ascii="宋体" w:hAnsi="宋体" w:eastAsia="宋体" w:cs="宋体"/>
                <w:color w:val="auto"/>
                <w:sz w:val="21"/>
                <w:szCs w:val="21"/>
                <w:highlight w:val="none"/>
              </w:rPr>
            </w:pPr>
            <w:bookmarkStart w:id="83" w:name="_21.1"/>
            <w:bookmarkEnd w:id="83"/>
            <w:r>
              <w:rPr>
                <w:rFonts w:hint="eastAsia" w:ascii="宋体" w:hAnsi="宋体" w:eastAsia="宋体" w:cs="宋体"/>
                <w:color w:val="auto"/>
                <w:sz w:val="21"/>
                <w:szCs w:val="21"/>
                <w:highlight w:val="none"/>
              </w:rPr>
              <w:t>21.1</w:t>
            </w:r>
          </w:p>
        </w:tc>
        <w:tc>
          <w:tcPr>
            <w:tcW w:w="0" w:type="auto"/>
            <w:tcBorders>
              <w:top w:val="single" w:color="auto" w:sz="4" w:space="0"/>
              <w:left w:val="single" w:color="auto" w:sz="4" w:space="0"/>
              <w:bottom w:val="single" w:color="auto" w:sz="4" w:space="0"/>
              <w:right w:val="single" w:color="auto" w:sz="4" w:space="0"/>
            </w:tcBorders>
            <w:vAlign w:val="center"/>
          </w:tcPr>
          <w:p w14:paraId="408E51C3">
            <w:pPr>
              <w:keepNext w:val="0"/>
              <w:keepLines w:val="0"/>
              <w:pageBreakBefore w:val="0"/>
              <w:widowControl w:val="0"/>
              <w:kinsoku/>
              <w:wordWrap/>
              <w:overflowPunct/>
              <w:topLinePunct w:val="0"/>
              <w:bidi w:val="0"/>
              <w:adjustRightInd/>
              <w:snapToGrid w:val="0"/>
              <w:spacing w:line="360" w:lineRule="exac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1.投标文件提交截止时间：详见</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公告。</w:t>
            </w:r>
          </w:p>
          <w:p w14:paraId="4E186A33">
            <w:pPr>
              <w:keepNext w:val="0"/>
              <w:keepLines w:val="0"/>
              <w:pageBreakBefore w:val="0"/>
              <w:widowControl w:val="0"/>
              <w:kinsoku/>
              <w:wordWrap/>
              <w:overflowPunct/>
              <w:topLinePunct w:val="0"/>
              <w:bidi w:val="0"/>
              <w:adjustRightInd/>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2.投标地点：详见</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公告。</w:t>
            </w:r>
          </w:p>
        </w:tc>
      </w:tr>
      <w:tr w14:paraId="2BD1DE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vAlign w:val="center"/>
          </w:tcPr>
          <w:p w14:paraId="46ED8F35">
            <w:pPr>
              <w:keepNext w:val="0"/>
              <w:keepLines w:val="0"/>
              <w:pageBreakBefore w:val="0"/>
              <w:widowControl w:val="0"/>
              <w:kinsoku/>
              <w:wordWrap/>
              <w:overflowPunct/>
              <w:topLinePunct w:val="0"/>
              <w:bidi w:val="0"/>
              <w:adjustRightInd/>
              <w:spacing w:line="360" w:lineRule="exact"/>
              <w:jc w:val="center"/>
              <w:rPr>
                <w:rFonts w:hint="eastAsia" w:ascii="宋体" w:hAnsi="宋体" w:eastAsia="宋体" w:cs="宋体"/>
                <w:color w:val="auto"/>
                <w:sz w:val="21"/>
                <w:szCs w:val="21"/>
                <w:highlight w:val="none"/>
              </w:rPr>
            </w:pPr>
            <w:bookmarkStart w:id="84" w:name="_23"/>
            <w:bookmarkEnd w:id="84"/>
            <w:r>
              <w:rPr>
                <w:rFonts w:hint="eastAsia" w:ascii="宋体" w:hAnsi="宋体" w:eastAsia="宋体" w:cs="宋体"/>
                <w:color w:val="auto"/>
                <w:sz w:val="21"/>
                <w:szCs w:val="21"/>
                <w:highlight w:val="none"/>
              </w:rPr>
              <w:t>23</w:t>
            </w:r>
          </w:p>
        </w:tc>
        <w:tc>
          <w:tcPr>
            <w:tcW w:w="0" w:type="auto"/>
            <w:tcBorders>
              <w:top w:val="single" w:color="auto" w:sz="4" w:space="0"/>
              <w:left w:val="single" w:color="auto" w:sz="4" w:space="0"/>
              <w:bottom w:val="single" w:color="auto" w:sz="4" w:space="0"/>
              <w:right w:val="single" w:color="auto" w:sz="4" w:space="0"/>
            </w:tcBorders>
            <w:vAlign w:val="center"/>
          </w:tcPr>
          <w:p w14:paraId="62457C36">
            <w:pPr>
              <w:keepNext w:val="0"/>
              <w:keepLines w:val="0"/>
              <w:pageBreakBefore w:val="0"/>
              <w:widowControl w:val="0"/>
              <w:kinsoku/>
              <w:wordWrap/>
              <w:overflowPunct/>
              <w:topLinePunct w:val="0"/>
              <w:bidi w:val="0"/>
              <w:adjustRightInd/>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1.开标时间：详见</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公告。</w:t>
            </w:r>
          </w:p>
          <w:p w14:paraId="1B9EEEEE">
            <w:pPr>
              <w:keepNext w:val="0"/>
              <w:keepLines w:val="0"/>
              <w:pageBreakBefore w:val="0"/>
              <w:widowControl w:val="0"/>
              <w:kinsoku/>
              <w:wordWrap/>
              <w:overflowPunct/>
              <w:topLinePunct w:val="0"/>
              <w:bidi w:val="0"/>
              <w:adjustRightInd/>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2.开标地点：详见</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公告。</w:t>
            </w:r>
          </w:p>
        </w:tc>
      </w:tr>
      <w:tr w14:paraId="4D61B4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vAlign w:val="center"/>
          </w:tcPr>
          <w:p w14:paraId="4CC30096">
            <w:pPr>
              <w:keepNext w:val="0"/>
              <w:keepLines w:val="0"/>
              <w:pageBreakBefore w:val="0"/>
              <w:widowControl w:val="0"/>
              <w:kinsoku/>
              <w:wordWrap/>
              <w:overflowPunct/>
              <w:topLinePunct w:val="0"/>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24.3（1）</w:t>
            </w:r>
          </w:p>
        </w:tc>
        <w:tc>
          <w:tcPr>
            <w:tcW w:w="0" w:type="auto"/>
            <w:tcBorders>
              <w:top w:val="single" w:color="auto" w:sz="4" w:space="0"/>
              <w:left w:val="single" w:color="auto" w:sz="4" w:space="0"/>
              <w:bottom w:val="single" w:color="auto" w:sz="4" w:space="0"/>
              <w:right w:val="single" w:color="auto" w:sz="4" w:space="0"/>
            </w:tcBorders>
            <w:vAlign w:val="center"/>
          </w:tcPr>
          <w:p w14:paraId="6BB04C82">
            <w:pPr>
              <w:keepNext w:val="0"/>
              <w:keepLines w:val="0"/>
              <w:pageBreakBefore w:val="0"/>
              <w:widowControl w:val="0"/>
              <w:kinsoku/>
              <w:wordWrap/>
              <w:overflowPunct/>
              <w:topLinePunct w:val="0"/>
              <w:bidi w:val="0"/>
              <w:adjustRightInd/>
              <w:snapToGrid w:val="0"/>
              <w:spacing w:line="360" w:lineRule="exac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电子投标文件解密时间：30分钟</w:t>
            </w:r>
          </w:p>
        </w:tc>
      </w:tr>
      <w:tr w14:paraId="7D2401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vAlign w:val="center"/>
          </w:tcPr>
          <w:p w14:paraId="41AA69E6">
            <w:pPr>
              <w:keepNext w:val="0"/>
              <w:keepLines w:val="0"/>
              <w:pageBreakBefore w:val="0"/>
              <w:widowControl w:val="0"/>
              <w:kinsoku/>
              <w:wordWrap/>
              <w:overflowPunct/>
              <w:topLinePunct w:val="0"/>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24.3（2）</w:t>
            </w:r>
          </w:p>
        </w:tc>
        <w:tc>
          <w:tcPr>
            <w:tcW w:w="0" w:type="auto"/>
            <w:tcBorders>
              <w:top w:val="single" w:color="auto" w:sz="4" w:space="0"/>
              <w:left w:val="single" w:color="auto" w:sz="4" w:space="0"/>
              <w:bottom w:val="single" w:color="auto" w:sz="4" w:space="0"/>
              <w:right w:val="single" w:color="auto" w:sz="4" w:space="0"/>
            </w:tcBorders>
            <w:vAlign w:val="center"/>
          </w:tcPr>
          <w:p w14:paraId="065B3589">
            <w:pPr>
              <w:keepNext w:val="0"/>
              <w:keepLines w:val="0"/>
              <w:pageBreakBefore w:val="0"/>
              <w:widowControl w:val="0"/>
              <w:kinsoku/>
              <w:wordWrap/>
              <w:overflowPunct/>
              <w:topLinePunct w:val="0"/>
              <w:bidi w:val="0"/>
              <w:adjustRightInd/>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宣布的内容：投标人名称、投标价格。</w:t>
            </w:r>
          </w:p>
        </w:tc>
      </w:tr>
      <w:tr w14:paraId="1C1027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vAlign w:val="center"/>
          </w:tcPr>
          <w:p w14:paraId="3FD8D43E">
            <w:pPr>
              <w:keepNext w:val="0"/>
              <w:keepLines w:val="0"/>
              <w:pageBreakBefore w:val="0"/>
              <w:widowControl w:val="0"/>
              <w:kinsoku/>
              <w:wordWrap/>
              <w:overflowPunct/>
              <w:topLinePunct w:val="0"/>
              <w:bidi w:val="0"/>
              <w:adjustRightInd/>
              <w:spacing w:line="360" w:lineRule="exact"/>
              <w:jc w:val="center"/>
              <w:rPr>
                <w:rFonts w:hint="eastAsia" w:ascii="宋体" w:hAnsi="宋体" w:eastAsia="宋体" w:cs="宋体"/>
                <w:color w:val="auto"/>
                <w:sz w:val="21"/>
                <w:szCs w:val="21"/>
                <w:highlight w:val="none"/>
              </w:rPr>
            </w:pPr>
            <w:bookmarkStart w:id="85" w:name="_25.3"/>
            <w:bookmarkEnd w:id="85"/>
            <w:r>
              <w:rPr>
                <w:rFonts w:hint="eastAsia" w:ascii="宋体" w:hAnsi="宋体" w:eastAsia="宋体" w:cs="宋体"/>
                <w:color w:val="auto"/>
                <w:sz w:val="21"/>
                <w:szCs w:val="21"/>
                <w:highlight w:val="none"/>
              </w:rPr>
              <w:t>25.3（2）</w:t>
            </w:r>
          </w:p>
        </w:tc>
        <w:tc>
          <w:tcPr>
            <w:tcW w:w="0" w:type="auto"/>
            <w:tcBorders>
              <w:top w:val="single" w:color="auto" w:sz="4" w:space="0"/>
              <w:left w:val="single" w:color="auto" w:sz="4" w:space="0"/>
              <w:bottom w:val="single" w:color="auto" w:sz="4" w:space="0"/>
              <w:right w:val="single" w:color="auto" w:sz="4" w:space="0"/>
            </w:tcBorders>
            <w:vAlign w:val="center"/>
          </w:tcPr>
          <w:p w14:paraId="57F3B549">
            <w:pPr>
              <w:keepNext w:val="0"/>
              <w:keepLines w:val="0"/>
              <w:pageBreakBefore w:val="0"/>
              <w:widowControl w:val="0"/>
              <w:kinsoku/>
              <w:wordWrap/>
              <w:overflowPunct/>
              <w:topLinePunct w:val="0"/>
              <w:bidi w:val="0"/>
              <w:adjustRightInd/>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采购人或者采购代理机构在资格审查结束前，对投标人进行信用查询。</w:t>
            </w:r>
          </w:p>
          <w:p w14:paraId="0FFDFEAE">
            <w:pPr>
              <w:keepNext w:val="0"/>
              <w:keepLines w:val="0"/>
              <w:pageBreakBefore w:val="0"/>
              <w:widowControl w:val="0"/>
              <w:kinsoku/>
              <w:wordWrap/>
              <w:overflowPunct/>
              <w:topLinePunct w:val="0"/>
              <w:bidi w:val="0"/>
              <w:adjustRightInd/>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查询渠道：“信用中国”网站（www.creditchina.gov.cn）、中国政府采购网（www.ccgp.gov.cn）。</w:t>
            </w:r>
          </w:p>
        </w:tc>
      </w:tr>
      <w:tr w14:paraId="1C8456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vAlign w:val="center"/>
          </w:tcPr>
          <w:p w14:paraId="07DD42C5">
            <w:pPr>
              <w:keepNext w:val="0"/>
              <w:keepLines w:val="0"/>
              <w:pageBreakBefore w:val="0"/>
              <w:widowControl w:val="0"/>
              <w:kinsoku/>
              <w:wordWrap/>
              <w:overflowPunct/>
              <w:topLinePunct w:val="0"/>
              <w:bidi w:val="0"/>
              <w:adjustRightInd/>
              <w:spacing w:line="360" w:lineRule="exact"/>
              <w:jc w:val="center"/>
              <w:rPr>
                <w:rFonts w:hint="eastAsia" w:ascii="宋体" w:hAnsi="宋体" w:eastAsia="宋体" w:cs="宋体"/>
                <w:color w:val="auto"/>
                <w:sz w:val="21"/>
                <w:szCs w:val="21"/>
                <w:highlight w:val="none"/>
              </w:rPr>
            </w:pPr>
            <w:bookmarkStart w:id="86" w:name="_26"/>
            <w:bookmarkEnd w:id="86"/>
            <w:r>
              <w:rPr>
                <w:rFonts w:hint="eastAsia" w:ascii="宋体" w:hAnsi="宋体" w:eastAsia="宋体" w:cs="宋体"/>
                <w:color w:val="auto"/>
                <w:sz w:val="21"/>
                <w:szCs w:val="21"/>
                <w:highlight w:val="none"/>
              </w:rPr>
              <w:t>26.1</w:t>
            </w:r>
          </w:p>
        </w:tc>
        <w:tc>
          <w:tcPr>
            <w:tcW w:w="0" w:type="auto"/>
            <w:tcBorders>
              <w:top w:val="single" w:color="auto" w:sz="4" w:space="0"/>
              <w:left w:val="single" w:color="auto" w:sz="4" w:space="0"/>
              <w:bottom w:val="single" w:color="auto" w:sz="4" w:space="0"/>
              <w:right w:val="single" w:color="auto" w:sz="4" w:space="0"/>
            </w:tcBorders>
            <w:vAlign w:val="center"/>
          </w:tcPr>
          <w:p w14:paraId="16F518AC">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评标委员会的人数：</w:t>
            </w:r>
            <w:r>
              <w:rPr>
                <w:rFonts w:hint="eastAsia" w:ascii="宋体" w:hAnsi="宋体" w:eastAsia="宋体" w:cs="宋体"/>
                <w:color w:val="auto"/>
                <w:sz w:val="21"/>
                <w:szCs w:val="21"/>
                <w:highlight w:val="none"/>
                <w:u w:val="single"/>
                <w:lang w:val="en-US" w:eastAsia="zh-CN"/>
              </w:rPr>
              <w:t>7</w:t>
            </w:r>
            <w:r>
              <w:rPr>
                <w:rFonts w:hint="eastAsia" w:ascii="宋体" w:hAnsi="宋体" w:eastAsia="宋体" w:cs="宋体"/>
                <w:color w:val="auto"/>
                <w:sz w:val="21"/>
                <w:szCs w:val="21"/>
                <w:highlight w:val="none"/>
              </w:rPr>
              <w:t>人。</w:t>
            </w:r>
          </w:p>
        </w:tc>
      </w:tr>
      <w:tr w14:paraId="4F0AA6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vAlign w:val="center"/>
          </w:tcPr>
          <w:p w14:paraId="12E2B511">
            <w:pPr>
              <w:keepNext w:val="0"/>
              <w:keepLines w:val="0"/>
              <w:pageBreakBefore w:val="0"/>
              <w:widowControl w:val="0"/>
              <w:kinsoku/>
              <w:wordWrap/>
              <w:overflowPunct/>
              <w:topLinePunct w:val="0"/>
              <w:bidi w:val="0"/>
              <w:adjustRightInd/>
              <w:spacing w:line="360" w:lineRule="exact"/>
              <w:jc w:val="center"/>
              <w:rPr>
                <w:rFonts w:hint="eastAsia" w:ascii="宋体" w:hAnsi="宋体" w:eastAsia="宋体" w:cs="宋体"/>
                <w:color w:val="auto"/>
                <w:sz w:val="21"/>
                <w:szCs w:val="21"/>
                <w:highlight w:val="none"/>
              </w:rPr>
            </w:pPr>
            <w:bookmarkStart w:id="87" w:name="_28.3"/>
            <w:bookmarkEnd w:id="87"/>
            <w:r>
              <w:rPr>
                <w:rFonts w:hint="eastAsia" w:ascii="宋体" w:hAnsi="宋体" w:eastAsia="宋体" w:cs="宋体"/>
                <w:color w:val="auto"/>
                <w:sz w:val="21"/>
                <w:szCs w:val="21"/>
                <w:highlight w:val="none"/>
              </w:rPr>
              <w:t>29.1</w:t>
            </w:r>
          </w:p>
        </w:tc>
        <w:tc>
          <w:tcPr>
            <w:tcW w:w="0" w:type="auto"/>
            <w:tcBorders>
              <w:top w:val="single" w:color="auto" w:sz="4" w:space="0"/>
              <w:left w:val="single" w:color="auto" w:sz="4" w:space="0"/>
              <w:bottom w:val="single" w:color="auto" w:sz="4" w:space="0"/>
              <w:right w:val="single" w:color="auto" w:sz="4" w:space="0"/>
            </w:tcBorders>
            <w:vAlign w:val="center"/>
          </w:tcPr>
          <w:p w14:paraId="1C51B553">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评标方法：综合评分法。</w:t>
            </w:r>
          </w:p>
        </w:tc>
      </w:tr>
      <w:tr w14:paraId="641A98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vAlign w:val="center"/>
          </w:tcPr>
          <w:p w14:paraId="4EA1A692">
            <w:pPr>
              <w:keepNext w:val="0"/>
              <w:keepLines w:val="0"/>
              <w:pageBreakBefore w:val="0"/>
              <w:widowControl w:val="0"/>
              <w:kinsoku/>
              <w:wordWrap/>
              <w:overflowPunct/>
              <w:topLinePunct w:val="0"/>
              <w:bidi w:val="0"/>
              <w:adjustRightInd/>
              <w:spacing w:line="360" w:lineRule="exact"/>
              <w:jc w:val="center"/>
              <w:rPr>
                <w:rFonts w:hint="eastAsia" w:ascii="宋体" w:hAnsi="宋体" w:eastAsia="宋体" w:cs="宋体"/>
                <w:color w:val="auto"/>
                <w:sz w:val="21"/>
                <w:szCs w:val="21"/>
                <w:highlight w:val="none"/>
              </w:rPr>
            </w:pPr>
            <w:bookmarkStart w:id="88" w:name="_29.2.2（2）"/>
            <w:bookmarkEnd w:id="88"/>
            <w:r>
              <w:rPr>
                <w:rFonts w:hint="eastAsia" w:ascii="宋体" w:hAnsi="宋体" w:eastAsia="宋体" w:cs="宋体"/>
                <w:color w:val="auto"/>
                <w:sz w:val="21"/>
                <w:szCs w:val="21"/>
                <w:highlight w:val="none"/>
              </w:rPr>
              <w:t>29.2</w:t>
            </w:r>
          </w:p>
        </w:tc>
        <w:tc>
          <w:tcPr>
            <w:tcW w:w="0" w:type="auto"/>
            <w:tcBorders>
              <w:top w:val="single" w:color="auto" w:sz="4" w:space="0"/>
              <w:left w:val="single" w:color="auto" w:sz="4" w:space="0"/>
              <w:right w:val="single" w:color="auto" w:sz="4" w:space="0"/>
            </w:tcBorders>
            <w:vAlign w:val="center"/>
          </w:tcPr>
          <w:p w14:paraId="5868E63A">
            <w:pPr>
              <w:keepNext w:val="0"/>
              <w:keepLines w:val="0"/>
              <w:pageBreakBefore w:val="0"/>
              <w:widowControl w:val="0"/>
              <w:kinsoku/>
              <w:wordWrap/>
              <w:overflowPunct/>
              <w:topLinePunct w:val="0"/>
              <w:bidi w:val="0"/>
              <w:adjustRightInd/>
              <w:snapToGrid w:val="0"/>
              <w:spacing w:line="360" w:lineRule="exac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auto"/>
                <w:sz w:val="21"/>
                <w:szCs w:val="21"/>
                <w:highlight w:val="none"/>
              </w:rPr>
              <w:t>商务要求评审中允许负偏离的条款数为</w:t>
            </w:r>
            <w:r>
              <w:rPr>
                <w:rFonts w:hint="eastAsia" w:ascii="宋体" w:hAnsi="宋体" w:cs="宋体"/>
                <w:color w:val="000000" w:themeColor="text1"/>
                <w:sz w:val="21"/>
                <w:szCs w:val="21"/>
                <w:highlight w:val="none"/>
                <w:u w:val="single"/>
                <w:lang w:val="en-US" w:eastAsia="zh-CN"/>
                <w14:textFill>
                  <w14:solidFill>
                    <w14:schemeClr w14:val="tx1"/>
                  </w14:solidFill>
                </w14:textFill>
              </w:rPr>
              <w:t>0</w:t>
            </w:r>
            <w:r>
              <w:rPr>
                <w:rFonts w:hint="eastAsia" w:ascii="宋体" w:hAnsi="宋体" w:eastAsia="宋体" w:cs="宋体"/>
                <w:color w:val="000000" w:themeColor="text1"/>
                <w:sz w:val="21"/>
                <w:szCs w:val="21"/>
                <w:highlight w:val="none"/>
                <w14:textFill>
                  <w14:solidFill>
                    <w14:schemeClr w14:val="tx1"/>
                  </w14:solidFill>
                </w14:textFill>
              </w:rPr>
              <w:t>项。</w:t>
            </w:r>
          </w:p>
          <w:p w14:paraId="2258CCFA">
            <w:pPr>
              <w:keepNext w:val="0"/>
              <w:keepLines w:val="0"/>
              <w:pageBreakBefore w:val="0"/>
              <w:widowControl w:val="0"/>
              <w:kinsoku/>
              <w:wordWrap/>
              <w:overflowPunct/>
              <w:topLinePunct w:val="0"/>
              <w:bidi w:val="0"/>
              <w:adjustRightInd/>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000000" w:themeColor="text1"/>
                <w:sz w:val="21"/>
                <w:szCs w:val="21"/>
                <w:highlight w:val="none"/>
                <w14:textFill>
                  <w14:solidFill>
                    <w14:schemeClr w14:val="tx1"/>
                  </w14:solidFill>
                </w14:textFill>
              </w:rPr>
              <w:t>技术要求评审中允许负偏离的条款数为</w:t>
            </w:r>
            <w:r>
              <w:rPr>
                <w:rFonts w:hint="eastAsia" w:ascii="宋体" w:hAnsi="宋体" w:cs="宋体"/>
                <w:color w:val="000000" w:themeColor="text1"/>
                <w:sz w:val="21"/>
                <w:szCs w:val="21"/>
                <w:highlight w:val="none"/>
                <w:u w:val="single"/>
                <w:lang w:val="en-US" w:eastAsia="zh-CN"/>
                <w14:textFill>
                  <w14:solidFill>
                    <w14:schemeClr w14:val="tx1"/>
                  </w14:solidFill>
                </w14:textFill>
              </w:rPr>
              <w:t>0</w:t>
            </w:r>
            <w:r>
              <w:rPr>
                <w:rFonts w:hint="eastAsia" w:ascii="宋体" w:hAnsi="宋体" w:eastAsia="宋体" w:cs="宋体"/>
                <w:color w:val="auto"/>
                <w:sz w:val="21"/>
                <w:szCs w:val="21"/>
                <w:highlight w:val="none"/>
              </w:rPr>
              <w:t>项。</w:t>
            </w:r>
          </w:p>
        </w:tc>
      </w:tr>
      <w:tr w14:paraId="56950A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vAlign w:val="center"/>
          </w:tcPr>
          <w:p w14:paraId="3E1DE904">
            <w:pPr>
              <w:keepNext w:val="0"/>
              <w:keepLines w:val="0"/>
              <w:pageBreakBefore w:val="0"/>
              <w:widowControl w:val="0"/>
              <w:kinsoku/>
              <w:wordWrap/>
              <w:overflowPunct/>
              <w:topLinePunct w:val="0"/>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29.3</w:t>
            </w:r>
          </w:p>
        </w:tc>
        <w:tc>
          <w:tcPr>
            <w:tcW w:w="0" w:type="auto"/>
            <w:tcBorders>
              <w:top w:val="single" w:color="auto" w:sz="4" w:space="0"/>
              <w:left w:val="single" w:color="auto" w:sz="4" w:space="0"/>
              <w:right w:val="single" w:color="auto" w:sz="4" w:space="0"/>
            </w:tcBorders>
            <w:vAlign w:val="center"/>
          </w:tcPr>
          <w:p w14:paraId="56A74D8F">
            <w:pPr>
              <w:keepNext w:val="0"/>
              <w:keepLines w:val="0"/>
              <w:pageBreakBefore w:val="0"/>
              <w:widowControl w:val="0"/>
              <w:kinsoku/>
              <w:wordWrap/>
              <w:overflowPunct/>
              <w:topLinePunct w:val="0"/>
              <w:bidi w:val="0"/>
              <w:adjustRightInd/>
              <w:snapToGrid w:val="0"/>
              <w:spacing w:line="360" w:lineRule="exac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中标候选人推荐数量：</w:t>
            </w:r>
            <w:r>
              <w:rPr>
                <w:rFonts w:hint="eastAsia" w:ascii="宋体" w:hAnsi="宋体" w:eastAsia="宋体" w:cs="宋体"/>
                <w:color w:val="auto"/>
                <w:sz w:val="21"/>
                <w:szCs w:val="21"/>
                <w:highlight w:val="none"/>
                <w:u w:val="single"/>
              </w:rPr>
              <w:t>3</w:t>
            </w:r>
            <w:r>
              <w:rPr>
                <w:rFonts w:hint="eastAsia" w:ascii="宋体" w:hAnsi="宋体" w:eastAsia="宋体" w:cs="宋体"/>
                <w:color w:val="auto"/>
                <w:sz w:val="21"/>
                <w:szCs w:val="21"/>
                <w:highlight w:val="none"/>
              </w:rPr>
              <w:t>名。</w:t>
            </w:r>
          </w:p>
        </w:tc>
      </w:tr>
      <w:tr w14:paraId="039EEB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trPr>
        <w:tc>
          <w:tcPr>
            <w:tcW w:w="0" w:type="auto"/>
            <w:tcBorders>
              <w:top w:val="single" w:color="auto" w:sz="4" w:space="0"/>
              <w:left w:val="single" w:color="auto" w:sz="4" w:space="0"/>
              <w:bottom w:val="single" w:color="auto" w:sz="4" w:space="0"/>
              <w:right w:val="single" w:color="auto" w:sz="4" w:space="0"/>
            </w:tcBorders>
            <w:vAlign w:val="center"/>
          </w:tcPr>
          <w:p w14:paraId="39C0F98A">
            <w:pPr>
              <w:keepNext w:val="0"/>
              <w:keepLines w:val="0"/>
              <w:pageBreakBefore w:val="0"/>
              <w:widowControl w:val="0"/>
              <w:kinsoku/>
              <w:wordWrap/>
              <w:overflowPunct/>
              <w:topLinePunct w:val="0"/>
              <w:bidi w:val="0"/>
              <w:adjustRightInd/>
              <w:spacing w:line="360" w:lineRule="exact"/>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29.5</w:t>
            </w:r>
          </w:p>
        </w:tc>
        <w:tc>
          <w:tcPr>
            <w:tcW w:w="0" w:type="auto"/>
            <w:tcBorders>
              <w:top w:val="single" w:color="auto" w:sz="4" w:space="0"/>
              <w:left w:val="single" w:color="auto" w:sz="4" w:space="0"/>
              <w:right w:val="single" w:color="auto" w:sz="4" w:space="0"/>
            </w:tcBorders>
            <w:vAlign w:val="center"/>
          </w:tcPr>
          <w:p w14:paraId="52DBD554">
            <w:pPr>
              <w:keepNext w:val="0"/>
              <w:keepLines w:val="0"/>
              <w:pageBreakBefore w:val="0"/>
              <w:widowControl w:val="0"/>
              <w:kinsoku/>
              <w:wordWrap/>
              <w:overflowPunct/>
              <w:topLinePunct w:val="0"/>
              <w:bidi w:val="0"/>
              <w:adjustRightInd/>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异常低价审查：根据《关于推动解决政府采购异常低价问题的通知》财库〔2026〕2号规定，政府采购评审中出现下列情形之一的，评审委员会应当启动异常低价投标（响应）审查程序：</w:t>
            </w:r>
          </w:p>
          <w:p w14:paraId="0074678A">
            <w:pPr>
              <w:keepNext w:val="0"/>
              <w:keepLines w:val="0"/>
              <w:pageBreakBefore w:val="0"/>
              <w:widowControl w:val="0"/>
              <w:kinsoku/>
              <w:wordWrap/>
              <w:overflowPunct/>
              <w:topLinePunct w:val="0"/>
              <w:bidi w:val="0"/>
              <w:adjustRightInd/>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1.投标（响应）报价低于全部通过符合性审查供应商投标（响应）报价平均值</w:t>
            </w:r>
            <w:r>
              <w:rPr>
                <w:rFonts w:hint="eastAsia" w:ascii="宋体" w:hAnsi="宋体" w:eastAsia="宋体" w:cs="宋体"/>
                <w:color w:val="auto"/>
                <w:sz w:val="21"/>
                <w:szCs w:val="21"/>
                <w:highlight w:val="none"/>
                <w:lang w:val="en-US" w:eastAsia="zh-CN"/>
              </w:rPr>
              <w:t>65</w:t>
            </w:r>
            <w:r>
              <w:rPr>
                <w:rFonts w:hint="eastAsia" w:ascii="宋体" w:hAnsi="宋体" w:eastAsia="宋体" w:cs="宋体"/>
                <w:color w:val="auto"/>
                <w:sz w:val="21"/>
                <w:szCs w:val="21"/>
                <w:highlight w:val="none"/>
              </w:rPr>
              <w:t>%的，即投标（响应）报价&lt;全部通过符合性审查供应商投标（响应）报价平均值×</w:t>
            </w:r>
            <w:r>
              <w:rPr>
                <w:rFonts w:hint="eastAsia" w:ascii="宋体" w:hAnsi="宋体" w:eastAsia="宋体" w:cs="宋体"/>
                <w:color w:val="auto"/>
                <w:sz w:val="21"/>
                <w:szCs w:val="21"/>
                <w:highlight w:val="none"/>
                <w:lang w:val="en-US" w:eastAsia="zh-CN"/>
              </w:rPr>
              <w:t>65</w:t>
            </w:r>
            <w:r>
              <w:rPr>
                <w:rFonts w:hint="eastAsia" w:ascii="宋体" w:hAnsi="宋体" w:eastAsia="宋体" w:cs="宋体"/>
                <w:color w:val="auto"/>
                <w:sz w:val="21"/>
                <w:szCs w:val="21"/>
                <w:highlight w:val="none"/>
              </w:rPr>
              <w:t>%；</w:t>
            </w:r>
          </w:p>
          <w:p w14:paraId="0120B07F">
            <w:pPr>
              <w:keepNext w:val="0"/>
              <w:keepLines w:val="0"/>
              <w:pageBreakBefore w:val="0"/>
              <w:widowControl w:val="0"/>
              <w:kinsoku/>
              <w:wordWrap/>
              <w:overflowPunct/>
              <w:topLinePunct w:val="0"/>
              <w:bidi w:val="0"/>
              <w:adjustRightInd/>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2.投标（响应）报价低于通过符合性审查的次低报价供应商投标（响应）报价</w:t>
            </w:r>
            <w:r>
              <w:rPr>
                <w:rFonts w:hint="eastAsia" w:ascii="宋体" w:hAnsi="宋体" w:eastAsia="宋体" w:cs="宋体"/>
                <w:color w:val="auto"/>
                <w:sz w:val="21"/>
                <w:szCs w:val="21"/>
                <w:highlight w:val="none"/>
                <w:lang w:val="en-US" w:eastAsia="zh-CN"/>
              </w:rPr>
              <w:t>65</w:t>
            </w:r>
            <w:r>
              <w:rPr>
                <w:rFonts w:hint="eastAsia" w:ascii="宋体" w:hAnsi="宋体" w:eastAsia="宋体" w:cs="宋体"/>
                <w:color w:val="auto"/>
                <w:sz w:val="21"/>
                <w:szCs w:val="21"/>
                <w:highlight w:val="none"/>
              </w:rPr>
              <w:t>%的，即投标（响应）报价&lt;通过符合性审查的次低报价供应商投标（响应）报价×</w:t>
            </w:r>
            <w:r>
              <w:rPr>
                <w:rFonts w:hint="eastAsia" w:ascii="宋体" w:hAnsi="宋体" w:eastAsia="宋体" w:cs="宋体"/>
                <w:color w:val="auto"/>
                <w:sz w:val="21"/>
                <w:szCs w:val="21"/>
                <w:highlight w:val="none"/>
                <w:lang w:val="en-US" w:eastAsia="zh-CN"/>
              </w:rPr>
              <w:t>65</w:t>
            </w:r>
            <w:r>
              <w:rPr>
                <w:rFonts w:hint="eastAsia" w:ascii="宋体" w:hAnsi="宋体" w:eastAsia="宋体" w:cs="宋体"/>
                <w:color w:val="auto"/>
                <w:sz w:val="21"/>
                <w:szCs w:val="21"/>
                <w:highlight w:val="none"/>
              </w:rPr>
              <w:t>%；</w:t>
            </w:r>
          </w:p>
          <w:p w14:paraId="62739FD7">
            <w:pPr>
              <w:keepNext w:val="0"/>
              <w:keepLines w:val="0"/>
              <w:pageBreakBefore w:val="0"/>
              <w:widowControl w:val="0"/>
              <w:kinsoku/>
              <w:wordWrap/>
              <w:overflowPunct/>
              <w:topLinePunct w:val="0"/>
              <w:bidi w:val="0"/>
              <w:adjustRightInd/>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3.投标（响应）报价低于采购项目最高限价</w:t>
            </w:r>
            <w:r>
              <w:rPr>
                <w:rFonts w:hint="eastAsia" w:ascii="宋体" w:hAnsi="宋体" w:eastAsia="宋体" w:cs="宋体"/>
                <w:color w:val="auto"/>
                <w:sz w:val="21"/>
                <w:szCs w:val="21"/>
                <w:highlight w:val="none"/>
                <w:lang w:val="en-US" w:eastAsia="zh-CN"/>
              </w:rPr>
              <w:t>65</w:t>
            </w:r>
            <w:r>
              <w:rPr>
                <w:rFonts w:hint="eastAsia" w:ascii="宋体" w:hAnsi="宋体" w:eastAsia="宋体" w:cs="宋体"/>
                <w:color w:val="auto"/>
                <w:sz w:val="21"/>
                <w:szCs w:val="21"/>
                <w:highlight w:val="none"/>
              </w:rPr>
              <w:t>%的，即投标（响应）报价&lt;采购项目最高限价×</w:t>
            </w:r>
            <w:r>
              <w:rPr>
                <w:rFonts w:hint="eastAsia" w:ascii="宋体" w:hAnsi="宋体" w:eastAsia="宋体" w:cs="宋体"/>
                <w:color w:val="auto"/>
                <w:sz w:val="21"/>
                <w:szCs w:val="21"/>
                <w:highlight w:val="none"/>
                <w:lang w:val="en-US" w:eastAsia="zh-CN"/>
              </w:rPr>
              <w:t>65</w:t>
            </w:r>
            <w:r>
              <w:rPr>
                <w:rFonts w:hint="eastAsia" w:ascii="宋体" w:hAnsi="宋体" w:eastAsia="宋体" w:cs="宋体"/>
                <w:color w:val="auto"/>
                <w:sz w:val="21"/>
                <w:szCs w:val="21"/>
                <w:highlight w:val="none"/>
              </w:rPr>
              <w:t>%；</w:t>
            </w:r>
          </w:p>
          <w:p w14:paraId="3D84844E">
            <w:pPr>
              <w:keepNext w:val="0"/>
              <w:keepLines w:val="0"/>
              <w:pageBreakBefore w:val="0"/>
              <w:widowControl w:val="0"/>
              <w:kinsoku/>
              <w:wordWrap/>
              <w:overflowPunct/>
              <w:topLinePunct w:val="0"/>
              <w:bidi w:val="0"/>
              <w:adjustRightInd/>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4.评审委员会基于专业判断，认为供应商报价过低，有可能影响产品质量或者不能诚信履约的其他情形。</w:t>
            </w:r>
          </w:p>
          <w:p w14:paraId="010529D2">
            <w:pPr>
              <w:keepNext w:val="0"/>
              <w:keepLines w:val="0"/>
              <w:pageBreakBefore w:val="0"/>
              <w:widowControl w:val="0"/>
              <w:kinsoku/>
              <w:wordWrap/>
              <w:overflowPunct/>
              <w:topLinePunct w:val="0"/>
              <w:bidi w:val="0"/>
              <w:adjustRightInd/>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相关法律法规对供应商报价有规定的，从其规定。</w:t>
            </w:r>
          </w:p>
        </w:tc>
      </w:tr>
      <w:tr w14:paraId="5BB0D0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4B884E4D">
            <w:pPr>
              <w:keepNext w:val="0"/>
              <w:keepLines w:val="0"/>
              <w:pageBreakBefore w:val="0"/>
              <w:widowControl w:val="0"/>
              <w:kinsoku/>
              <w:wordWrap/>
              <w:overflowPunct/>
              <w:topLinePunct w:val="0"/>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30.1</w:t>
            </w:r>
          </w:p>
        </w:tc>
        <w:tc>
          <w:tcPr>
            <w:tcW w:w="0" w:type="auto"/>
            <w:tcBorders>
              <w:top w:val="single" w:color="auto" w:sz="4" w:space="0"/>
              <w:left w:val="single" w:color="auto" w:sz="4" w:space="0"/>
              <w:bottom w:val="single" w:color="auto" w:sz="4" w:space="0"/>
              <w:right w:val="single" w:color="auto" w:sz="4" w:space="0"/>
            </w:tcBorders>
            <w:vAlign w:val="center"/>
          </w:tcPr>
          <w:p w14:paraId="10DF73A6">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采用综合评分法的采购项目，采购人确定中标人时，出现中标候选人并列的情形，采购人按以下的方式确定中标人：按综合评分中服务水平、售后服务、履约能力得分高低依次确定。</w:t>
            </w:r>
          </w:p>
          <w:p w14:paraId="2C18024A">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用最低评标价法的采购项目，采购人确定中标人时，出现中标候选人并列的情形，采购人按以下的方式确定中标人：按服务水平技术指标高优先、服务方案好优先、拟投入人员多优先、服务响应时间短优先的顺序依次确定。</w:t>
            </w:r>
          </w:p>
        </w:tc>
      </w:tr>
      <w:tr w14:paraId="295F50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auto" w:sz="4" w:space="0"/>
              <w:left w:val="single" w:color="auto" w:sz="4" w:space="0"/>
              <w:bottom w:val="single" w:color="auto" w:sz="4" w:space="0"/>
              <w:right w:val="single" w:color="auto" w:sz="4" w:space="0"/>
            </w:tcBorders>
            <w:vAlign w:val="center"/>
          </w:tcPr>
          <w:p w14:paraId="687ED636">
            <w:pPr>
              <w:keepNext w:val="0"/>
              <w:keepLines w:val="0"/>
              <w:pageBreakBefore w:val="0"/>
              <w:widowControl w:val="0"/>
              <w:kinsoku/>
              <w:wordWrap/>
              <w:overflowPunct/>
              <w:topLinePunct w:val="0"/>
              <w:bidi w:val="0"/>
              <w:adjustRightInd/>
              <w:spacing w:line="360" w:lineRule="exact"/>
              <w:jc w:val="center"/>
              <w:rPr>
                <w:rFonts w:hint="eastAsia" w:ascii="宋体" w:hAnsi="宋体" w:eastAsia="宋体" w:cs="宋体"/>
                <w:color w:val="auto"/>
                <w:sz w:val="21"/>
                <w:szCs w:val="21"/>
                <w:highlight w:val="none"/>
              </w:rPr>
            </w:pPr>
            <w:bookmarkStart w:id="89" w:name="_39.1"/>
            <w:bookmarkEnd w:id="89"/>
            <w:r>
              <w:rPr>
                <w:rFonts w:hint="eastAsia" w:ascii="宋体" w:hAnsi="宋体" w:eastAsia="宋体" w:cs="宋体"/>
                <w:color w:val="auto"/>
                <w:sz w:val="21"/>
                <w:szCs w:val="21"/>
                <w:highlight w:val="none"/>
              </w:rPr>
              <w:t>35.1</w:t>
            </w:r>
          </w:p>
        </w:tc>
        <w:tc>
          <w:tcPr>
            <w:tcW w:w="0" w:type="auto"/>
            <w:tcBorders>
              <w:top w:val="single" w:color="auto" w:sz="4" w:space="0"/>
              <w:left w:val="single" w:color="auto" w:sz="4" w:space="0"/>
              <w:bottom w:val="single" w:color="auto" w:sz="4" w:space="0"/>
              <w:right w:val="single" w:color="auto" w:sz="4" w:space="0"/>
            </w:tcBorders>
            <w:vAlign w:val="center"/>
          </w:tcPr>
          <w:p w14:paraId="0FFBAEAF">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本项目</w:t>
            </w:r>
            <w:r>
              <w:rPr>
                <w:rFonts w:hint="eastAsia" w:ascii="宋体" w:hAnsi="宋体" w:eastAsia="宋体" w:cs="宋体"/>
                <w:color w:val="auto"/>
                <w:sz w:val="21"/>
                <w:szCs w:val="21"/>
                <w:highlight w:val="none"/>
                <w:lang w:eastAsia="zh-CN"/>
              </w:rPr>
              <w:t>收取</w:t>
            </w:r>
            <w:r>
              <w:rPr>
                <w:rFonts w:hint="eastAsia" w:ascii="宋体" w:hAnsi="宋体" w:eastAsia="宋体" w:cs="宋体"/>
                <w:color w:val="auto"/>
                <w:sz w:val="21"/>
                <w:szCs w:val="21"/>
                <w:highlight w:val="none"/>
              </w:rPr>
              <w:t>履约保证金。</w:t>
            </w:r>
          </w:p>
        </w:tc>
      </w:tr>
      <w:tr w14:paraId="5BB564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623AE51A">
            <w:pPr>
              <w:keepNext w:val="0"/>
              <w:keepLines w:val="0"/>
              <w:pageBreakBefore w:val="0"/>
              <w:widowControl w:val="0"/>
              <w:kinsoku/>
              <w:wordWrap/>
              <w:overflowPunct/>
              <w:topLinePunct w:val="0"/>
              <w:bidi w:val="0"/>
              <w:adjustRightInd/>
              <w:spacing w:line="360" w:lineRule="exact"/>
              <w:jc w:val="center"/>
              <w:rPr>
                <w:rFonts w:hint="eastAsia" w:ascii="宋体" w:hAnsi="宋体" w:eastAsia="宋体" w:cs="宋体"/>
                <w:color w:val="auto"/>
                <w:sz w:val="21"/>
                <w:szCs w:val="21"/>
                <w:highlight w:val="none"/>
              </w:rPr>
            </w:pPr>
            <w:bookmarkStart w:id="90" w:name="_40.1"/>
            <w:bookmarkEnd w:id="90"/>
            <w:r>
              <w:rPr>
                <w:rFonts w:hint="eastAsia" w:ascii="宋体" w:hAnsi="宋体" w:eastAsia="宋体" w:cs="宋体"/>
                <w:color w:val="auto"/>
                <w:sz w:val="21"/>
                <w:szCs w:val="21"/>
                <w:highlight w:val="none"/>
              </w:rPr>
              <w:t>36.1</w:t>
            </w:r>
          </w:p>
        </w:tc>
        <w:tc>
          <w:tcPr>
            <w:tcW w:w="0" w:type="auto"/>
            <w:tcBorders>
              <w:top w:val="single" w:color="auto" w:sz="4" w:space="0"/>
              <w:left w:val="single" w:color="auto" w:sz="4" w:space="0"/>
              <w:bottom w:val="single" w:color="auto" w:sz="4" w:space="0"/>
              <w:right w:val="single" w:color="auto" w:sz="4" w:space="0"/>
            </w:tcBorders>
            <w:vAlign w:val="center"/>
          </w:tcPr>
          <w:p w14:paraId="157A27D4">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签订合同携带的证明材料：</w:t>
            </w:r>
          </w:p>
          <w:p w14:paraId="7D41F63A">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委托代理人负责签订合同的，须携带授权委托书及委托代理人身份证原件等其他资格证件。</w:t>
            </w:r>
          </w:p>
          <w:p w14:paraId="19FBCB1C">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法定代表人负责签订合同的，须携带法定代表人身份证明原件及身份证原件等其他证明材料。</w:t>
            </w:r>
          </w:p>
        </w:tc>
      </w:tr>
      <w:tr w14:paraId="0D4209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33" w:type="dxa"/>
            <w:tcBorders>
              <w:top w:val="single" w:color="auto" w:sz="4" w:space="0"/>
              <w:left w:val="single" w:color="auto" w:sz="4" w:space="0"/>
              <w:bottom w:val="single" w:color="auto" w:sz="4" w:space="0"/>
              <w:right w:val="single" w:color="auto" w:sz="4" w:space="0"/>
            </w:tcBorders>
            <w:vAlign w:val="center"/>
          </w:tcPr>
          <w:p w14:paraId="28B0311E">
            <w:pPr>
              <w:spacing w:line="360" w:lineRule="auto"/>
              <w:jc w:val="center"/>
              <w:rPr>
                <w:rFonts w:hint="default" w:ascii="宋体" w:hAnsi="宋体" w:eastAsia="宋体" w:cs="宋体"/>
                <w:color w:val="auto"/>
                <w:sz w:val="21"/>
                <w:szCs w:val="21"/>
                <w:highlight w:val="none"/>
                <w:lang w:val="en-US"/>
              </w:rPr>
            </w:pPr>
            <w:r>
              <w:rPr>
                <w:rFonts w:hint="eastAsia" w:ascii="宋体" w:hAnsi="宋体" w:cs="宋体"/>
                <w:color w:val="auto"/>
                <w:szCs w:val="21"/>
                <w:lang w:val="en-US" w:eastAsia="zh-CN"/>
              </w:rPr>
              <w:t>37</w:t>
            </w:r>
          </w:p>
        </w:tc>
        <w:tc>
          <w:tcPr>
            <w:tcW w:w="9305" w:type="dxa"/>
            <w:tcBorders>
              <w:top w:val="single" w:color="auto" w:sz="4" w:space="0"/>
              <w:left w:val="single" w:color="auto" w:sz="4" w:space="0"/>
              <w:bottom w:val="single" w:color="auto" w:sz="4" w:space="0"/>
              <w:right w:val="single" w:color="auto" w:sz="4" w:space="0"/>
            </w:tcBorders>
            <w:vAlign w:val="center"/>
          </w:tcPr>
          <w:p w14:paraId="00557C45">
            <w:pPr>
              <w:pStyle w:val="14"/>
              <w:keepNext w:val="0"/>
              <w:keepLines w:val="0"/>
              <w:pageBreakBefore w:val="0"/>
              <w:widowControl w:val="0"/>
              <w:kinsoku/>
              <w:wordWrap/>
              <w:overflowPunct/>
              <w:topLinePunct w:val="0"/>
              <w:bidi w:val="0"/>
              <w:adjustRightInd/>
              <w:snapToGrid w:val="0"/>
              <w:spacing w:line="360" w:lineRule="exact"/>
              <w:rPr>
                <w:rFonts w:hint="eastAsia" w:hAnsi="宋体" w:cs="宋体"/>
                <w:color w:val="auto"/>
              </w:rPr>
            </w:pPr>
            <w:r>
              <w:rPr>
                <w:rFonts w:hint="eastAsia" w:hAnsi="宋体" w:cs="宋体"/>
                <w:color w:val="auto"/>
              </w:rPr>
              <w:t>政府采购合同公告。</w:t>
            </w:r>
          </w:p>
          <w:p w14:paraId="0AB3C775">
            <w:pPr>
              <w:pStyle w:val="14"/>
              <w:keepNext w:val="0"/>
              <w:keepLines w:val="0"/>
              <w:pageBreakBefore w:val="0"/>
              <w:widowControl w:val="0"/>
              <w:kinsoku/>
              <w:wordWrap/>
              <w:overflowPunct/>
              <w:topLinePunct w:val="0"/>
              <w:bidi w:val="0"/>
              <w:adjustRightInd/>
              <w:snapToGrid w:val="0"/>
              <w:spacing w:line="360" w:lineRule="exact"/>
              <w:rPr>
                <w:rFonts w:hint="eastAsia" w:ascii="宋体" w:hAnsi="宋体" w:eastAsia="宋体" w:cs="宋体"/>
                <w:color w:val="auto"/>
                <w:sz w:val="21"/>
                <w:szCs w:val="21"/>
                <w:highlight w:val="none"/>
              </w:rPr>
            </w:pPr>
            <w:r>
              <w:rPr>
                <w:rFonts w:hint="eastAsia" w:hAnsi="宋体" w:cs="宋体"/>
                <w:color w:val="auto"/>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采购人须在合同签订之日起2个工作日内把合同副本以及扫描件送达我中心。</w:t>
            </w:r>
          </w:p>
        </w:tc>
      </w:tr>
      <w:tr w14:paraId="178ACD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77B5DBD9">
            <w:pPr>
              <w:keepNext w:val="0"/>
              <w:keepLines w:val="0"/>
              <w:pageBreakBefore w:val="0"/>
              <w:widowControl w:val="0"/>
              <w:kinsoku/>
              <w:wordWrap/>
              <w:overflowPunct/>
              <w:topLinePunct w:val="0"/>
              <w:bidi w:val="0"/>
              <w:adjustRightInd/>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38.2</w:t>
            </w:r>
          </w:p>
        </w:tc>
        <w:tc>
          <w:tcPr>
            <w:tcW w:w="0" w:type="auto"/>
            <w:tcBorders>
              <w:top w:val="single" w:color="auto" w:sz="4" w:space="0"/>
              <w:left w:val="single" w:color="auto" w:sz="4" w:space="0"/>
              <w:bottom w:val="single" w:color="auto" w:sz="4" w:space="0"/>
              <w:right w:val="single" w:color="auto" w:sz="4" w:space="0"/>
            </w:tcBorders>
            <w:vAlign w:val="center"/>
          </w:tcPr>
          <w:p w14:paraId="0D280AB1">
            <w:pPr>
              <w:keepNext w:val="0"/>
              <w:keepLines w:val="0"/>
              <w:pageBreakBefore w:val="0"/>
              <w:widowControl w:val="0"/>
              <w:kinsoku/>
              <w:wordWrap/>
              <w:overflowPunct/>
              <w:topLinePunct w:val="0"/>
              <w:bidi w:val="0"/>
              <w:adjustRightInd/>
              <w:snapToGrid w:val="0"/>
              <w:spacing w:line="36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接收质疑函方式：以书面形式</w:t>
            </w:r>
            <w:r>
              <w:rPr>
                <w:rFonts w:hint="eastAsia" w:ascii="宋体" w:hAnsi="宋体" w:eastAsia="宋体" w:cs="宋体"/>
                <w:color w:val="auto"/>
                <w:sz w:val="21"/>
                <w:szCs w:val="21"/>
                <w:highlight w:val="none"/>
                <w:lang w:eastAsia="zh-CN"/>
              </w:rPr>
              <w:t>。</w:t>
            </w:r>
          </w:p>
          <w:p w14:paraId="1FCDC625">
            <w:pPr>
              <w:keepNext w:val="0"/>
              <w:keepLines w:val="0"/>
              <w:pageBreakBefore w:val="0"/>
              <w:widowControl w:val="0"/>
              <w:kinsoku/>
              <w:wordWrap/>
              <w:overflowPunct/>
              <w:topLinePunct w:val="0"/>
              <w:bidi w:val="0"/>
              <w:adjustRightInd/>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u w:val="single"/>
                <w:lang w:val="en-US" w:eastAsia="zh-CN"/>
              </w:rPr>
              <w:t>防城港市大数据和行政审批局</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通讯地址：</w:t>
            </w:r>
            <w:r>
              <w:rPr>
                <w:rFonts w:hint="eastAsia" w:ascii="宋体" w:hAnsi="宋体" w:cs="宋体"/>
                <w:color w:val="auto"/>
                <w:sz w:val="21"/>
                <w:szCs w:val="21"/>
                <w:highlight w:val="none"/>
                <w:u w:val="single"/>
                <w:lang w:val="en-US" w:eastAsia="zh-CN"/>
              </w:rPr>
              <w:t>防城港市中心区红树林大厦东塔2楼</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联系方式：</w:t>
            </w:r>
            <w:r>
              <w:rPr>
                <w:rFonts w:hint="eastAsia" w:ascii="宋体" w:hAnsi="宋体" w:eastAsia="宋体" w:cs="宋体"/>
                <w:color w:val="auto"/>
                <w:sz w:val="21"/>
                <w:szCs w:val="21"/>
                <w:highlight w:val="none"/>
                <w:u w:val="single"/>
                <w:lang w:val="en-US" w:eastAsia="zh-CN"/>
              </w:rPr>
              <w:t>0770-2881275</w:t>
            </w:r>
            <w:r>
              <w:rPr>
                <w:rFonts w:hint="eastAsia" w:ascii="宋体" w:hAnsi="宋体" w:eastAsia="宋体" w:cs="宋体"/>
                <w:color w:val="auto"/>
                <w:sz w:val="21"/>
                <w:szCs w:val="21"/>
                <w:highlight w:val="none"/>
              </w:rPr>
              <w:t>。</w:t>
            </w:r>
          </w:p>
          <w:p w14:paraId="36D1B681">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业务时间：每天上午</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时00分到12时00分，下午</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时</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rPr>
              <w:t>0分到</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时</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rPr>
              <w:t>0分，双休日和法定节假日不办理业务。</w:t>
            </w:r>
          </w:p>
          <w:p w14:paraId="37083183">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cs="宋体"/>
                <w:color w:val="auto"/>
                <w:sz w:val="21"/>
                <w:szCs w:val="21"/>
                <w:highlight w:val="none"/>
                <w:u w:val="single"/>
                <w:lang w:val="en-US" w:eastAsia="zh-CN"/>
              </w:rPr>
            </w:pPr>
            <w:r>
              <w:rPr>
                <w:rFonts w:hint="eastAsia" w:ascii="宋体" w:hAnsi="宋体" w:eastAsia="宋体" w:cs="宋体"/>
                <w:color w:val="auto"/>
                <w:sz w:val="21"/>
                <w:szCs w:val="21"/>
                <w:highlight w:val="none"/>
                <w:lang w:val="en-US" w:eastAsia="zh-CN"/>
              </w:rPr>
              <w:t>采购代理机构：</w:t>
            </w:r>
            <w:r>
              <w:rPr>
                <w:rFonts w:hint="eastAsia" w:ascii="宋体" w:hAnsi="宋体" w:eastAsia="宋体" w:cs="宋体"/>
                <w:color w:val="auto"/>
                <w:sz w:val="21"/>
                <w:szCs w:val="21"/>
                <w:highlight w:val="none"/>
                <w:u w:val="single"/>
                <w:lang w:val="en-US" w:eastAsia="zh-CN"/>
              </w:rPr>
              <w:t>防城港市政府采购中心</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通讯地址：</w:t>
            </w:r>
            <w:r>
              <w:rPr>
                <w:rFonts w:hint="eastAsia" w:ascii="宋体" w:hAnsi="宋体" w:cs="宋体"/>
                <w:color w:val="auto"/>
                <w:sz w:val="21"/>
                <w:szCs w:val="21"/>
                <w:highlight w:val="none"/>
                <w:u w:val="single"/>
                <w:lang w:val="en-US" w:eastAsia="zh-CN"/>
              </w:rPr>
              <w:t>防城港市中心区红树林大厦东塔6楼</w:t>
            </w:r>
            <w:r>
              <w:rPr>
                <w:rFonts w:hint="eastAsia" w:ascii="宋体" w:hAnsi="宋体" w:cs="宋体"/>
                <w:color w:val="auto"/>
                <w:sz w:val="21"/>
                <w:szCs w:val="21"/>
                <w:highlight w:val="none"/>
                <w:lang w:val="en-US" w:eastAsia="zh-CN"/>
              </w:rPr>
              <w:t>，联系方式：</w:t>
            </w:r>
            <w:r>
              <w:rPr>
                <w:rFonts w:hint="eastAsia" w:ascii="宋体" w:hAnsi="宋体" w:cs="宋体"/>
                <w:color w:val="auto"/>
                <w:sz w:val="21"/>
                <w:szCs w:val="21"/>
                <w:highlight w:val="none"/>
                <w:u w:val="single"/>
                <w:lang w:val="en-US" w:eastAsia="zh-CN"/>
              </w:rPr>
              <w:t>0770-6126192</w:t>
            </w:r>
            <w:r>
              <w:rPr>
                <w:rFonts w:hint="eastAsia" w:ascii="宋体" w:hAnsi="宋体" w:cs="宋体"/>
                <w:color w:val="auto"/>
                <w:sz w:val="21"/>
                <w:szCs w:val="21"/>
                <w:highlight w:val="none"/>
                <w:u w:val="none"/>
                <w:lang w:val="en-US" w:eastAsia="zh-CN"/>
              </w:rPr>
              <w:t>。</w:t>
            </w:r>
          </w:p>
          <w:p w14:paraId="28F029A3">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业务时间：每天上午9时00分到12时00分，下午</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时</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0分到</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时</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0分，双休日和法定节假日不办理业务。</w:t>
            </w:r>
          </w:p>
        </w:tc>
      </w:tr>
      <w:tr w14:paraId="0FCF8F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4083874F">
            <w:pPr>
              <w:keepNext w:val="0"/>
              <w:keepLines w:val="0"/>
              <w:pageBreakBefore w:val="0"/>
              <w:widowControl w:val="0"/>
              <w:kinsoku/>
              <w:wordWrap/>
              <w:overflowPunct/>
              <w:topLinePunct w:val="0"/>
              <w:bidi w:val="0"/>
              <w:adjustRightInd/>
              <w:spacing w:line="360" w:lineRule="exact"/>
              <w:jc w:val="center"/>
              <w:rPr>
                <w:rFonts w:hint="eastAsia" w:ascii="宋体" w:hAnsi="宋体" w:eastAsia="宋体" w:cs="宋体"/>
                <w:color w:val="auto"/>
                <w:sz w:val="21"/>
                <w:szCs w:val="21"/>
                <w:highlight w:val="none"/>
              </w:rPr>
            </w:pPr>
            <w:bookmarkStart w:id="91" w:name="_42"/>
            <w:bookmarkEnd w:id="91"/>
            <w:bookmarkStart w:id="92" w:name="_41"/>
            <w:bookmarkEnd w:id="92"/>
            <w:bookmarkStart w:id="93" w:name="_Hlt17709148"/>
            <w:r>
              <w:rPr>
                <w:rFonts w:hint="eastAsia" w:ascii="宋体" w:hAnsi="宋体" w:eastAsia="宋体" w:cs="宋体"/>
                <w:color w:val="auto"/>
                <w:sz w:val="21"/>
                <w:szCs w:val="21"/>
                <w:highlight w:val="none"/>
              </w:rPr>
              <w:t>3</w:t>
            </w:r>
            <w:bookmarkEnd w:id="93"/>
            <w:r>
              <w:rPr>
                <w:rFonts w:hint="eastAsia" w:ascii="宋体" w:hAnsi="宋体" w:eastAsia="宋体" w:cs="宋体"/>
                <w:color w:val="auto"/>
                <w:sz w:val="21"/>
                <w:szCs w:val="21"/>
                <w:highlight w:val="none"/>
              </w:rPr>
              <w:t>9.1</w:t>
            </w:r>
          </w:p>
        </w:tc>
        <w:tc>
          <w:tcPr>
            <w:tcW w:w="0" w:type="auto"/>
            <w:tcBorders>
              <w:top w:val="single" w:color="auto" w:sz="4" w:space="0"/>
              <w:left w:val="single" w:color="auto" w:sz="4" w:space="0"/>
              <w:bottom w:val="single" w:color="auto" w:sz="4" w:space="0"/>
              <w:right w:val="single" w:color="auto" w:sz="4" w:space="0"/>
            </w:tcBorders>
            <w:vAlign w:val="center"/>
          </w:tcPr>
          <w:p w14:paraId="032C3D93">
            <w:pPr>
              <w:keepNext w:val="0"/>
              <w:keepLines w:val="0"/>
              <w:pageBreakBefore w:val="0"/>
              <w:widowControl w:val="0"/>
              <w:kinsoku/>
              <w:wordWrap/>
              <w:overflowPunct/>
              <w:topLinePunct w:val="0"/>
              <w:bidi w:val="0"/>
              <w:adjustRightInd/>
              <w:snapToGrid w:val="0"/>
              <w:spacing w:line="360" w:lineRule="exact"/>
              <w:rPr>
                <w:rFonts w:hint="eastAsia" w:ascii="宋体" w:hAnsi="宋体" w:eastAsia="宋体" w:cs="宋体"/>
                <w:color w:val="auto"/>
                <w:sz w:val="21"/>
                <w:szCs w:val="21"/>
                <w:highlight w:val="none"/>
                <w:lang w:eastAsia="zh-CN"/>
              </w:rPr>
            </w:pPr>
            <w:r>
              <w:rPr>
                <w:rFonts w:hint="eastAsia" w:ascii="宋体" w:hAnsi="宋体" w:eastAsia="宋体" w:cs="宋体"/>
                <w:color w:val="000000" w:themeColor="text1"/>
                <w:sz w:val="21"/>
                <w:szCs w:val="21"/>
                <w:highlight w:val="none"/>
                <w14:textFill>
                  <w14:solidFill>
                    <w14:schemeClr w14:val="tx1"/>
                  </w14:solidFill>
                </w14:textFill>
              </w:rPr>
              <w:t>本项目</w:t>
            </w:r>
            <w:r>
              <w:rPr>
                <w:rFonts w:hint="eastAsia" w:ascii="宋体" w:hAnsi="宋体" w:cs="宋体"/>
                <w:color w:val="000000" w:themeColor="text1"/>
                <w:sz w:val="21"/>
                <w:szCs w:val="21"/>
                <w:highlight w:val="none"/>
                <w:lang w:val="en-US" w:eastAsia="zh-CN"/>
                <w14:textFill>
                  <w14:solidFill>
                    <w14:schemeClr w14:val="tx1"/>
                  </w14:solidFill>
                </w14:textFill>
              </w:rPr>
              <w:t>不收取</w:t>
            </w:r>
            <w:r>
              <w:rPr>
                <w:rFonts w:hint="eastAsia" w:ascii="宋体" w:hAnsi="宋体" w:eastAsia="宋体" w:cs="宋体"/>
                <w:bCs/>
                <w:color w:val="000000" w:themeColor="text1"/>
                <w:sz w:val="21"/>
                <w:szCs w:val="21"/>
                <w:highlight w:val="none"/>
                <w14:textFill>
                  <w14:solidFill>
                    <w14:schemeClr w14:val="tx1"/>
                  </w14:solidFill>
                </w14:textFill>
              </w:rPr>
              <w:t>代理服务费</w:t>
            </w:r>
            <w:r>
              <w:rPr>
                <w:rFonts w:hint="eastAsia" w:ascii="宋体" w:hAnsi="宋体" w:eastAsia="宋体" w:cs="宋体"/>
                <w:bCs/>
                <w:color w:val="000000" w:themeColor="text1"/>
                <w:sz w:val="21"/>
                <w:szCs w:val="21"/>
                <w:highlight w:val="none"/>
                <w:lang w:eastAsia="zh-CN"/>
                <w14:textFill>
                  <w14:solidFill>
                    <w14:schemeClr w14:val="tx1"/>
                  </w14:solidFill>
                </w14:textFill>
              </w:rPr>
              <w:t>。</w:t>
            </w:r>
          </w:p>
        </w:tc>
      </w:tr>
      <w:tr w14:paraId="0A1E0B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45E7DC97">
            <w:pPr>
              <w:keepNext w:val="0"/>
              <w:keepLines w:val="0"/>
              <w:pageBreakBefore w:val="0"/>
              <w:widowControl w:val="0"/>
              <w:kinsoku/>
              <w:wordWrap/>
              <w:overflowPunct/>
              <w:topLinePunct w:val="0"/>
              <w:bidi w:val="0"/>
              <w:adjustRightInd/>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40.1</w:t>
            </w:r>
          </w:p>
        </w:tc>
        <w:tc>
          <w:tcPr>
            <w:tcW w:w="0" w:type="auto"/>
            <w:tcBorders>
              <w:top w:val="single" w:color="auto" w:sz="4" w:space="0"/>
              <w:left w:val="single" w:color="auto" w:sz="4" w:space="0"/>
              <w:bottom w:val="single" w:color="auto" w:sz="4" w:space="0"/>
              <w:right w:val="single" w:color="auto" w:sz="4" w:space="0"/>
            </w:tcBorders>
            <w:vAlign w:val="center"/>
          </w:tcPr>
          <w:p w14:paraId="55267AEC">
            <w:pPr>
              <w:keepNext w:val="0"/>
              <w:keepLines w:val="0"/>
              <w:pageBreakBefore w:val="0"/>
              <w:widowControl w:val="0"/>
              <w:kinsoku/>
              <w:wordWrap/>
              <w:overflowPunct/>
              <w:topLinePunct w:val="0"/>
              <w:bidi w:val="0"/>
              <w:adjustRightInd/>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解释：构成本</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文件的各个组成文件应互为解释，互为说明；除</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文件中有特别规定外，仅适用于</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投标阶段的规定，按更正公告（澄清公告）、</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文件不一致时以更正公告（澄清公告）为准。按本款前述规定仍不能形成结论的，由采购人或者采购代理机构负责解释。</w:t>
            </w:r>
          </w:p>
        </w:tc>
      </w:tr>
      <w:tr w14:paraId="374967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83" w:hRule="atLeast"/>
        </w:trPr>
        <w:tc>
          <w:tcPr>
            <w:tcW w:w="0" w:type="auto"/>
            <w:tcBorders>
              <w:top w:val="single" w:color="auto" w:sz="4" w:space="0"/>
              <w:left w:val="single" w:color="auto" w:sz="4" w:space="0"/>
              <w:bottom w:val="single" w:color="auto" w:sz="4" w:space="0"/>
              <w:right w:val="single" w:color="auto" w:sz="4" w:space="0"/>
            </w:tcBorders>
            <w:vAlign w:val="center"/>
          </w:tcPr>
          <w:p w14:paraId="3A7257EA">
            <w:pPr>
              <w:keepNext w:val="0"/>
              <w:keepLines w:val="0"/>
              <w:pageBreakBefore w:val="0"/>
              <w:widowControl w:val="0"/>
              <w:kinsoku/>
              <w:wordWrap/>
              <w:overflowPunct/>
              <w:topLinePunct w:val="0"/>
              <w:bidi w:val="0"/>
              <w:adjustRightInd/>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40.2</w:t>
            </w:r>
          </w:p>
        </w:tc>
        <w:tc>
          <w:tcPr>
            <w:tcW w:w="0" w:type="auto"/>
            <w:tcBorders>
              <w:top w:val="single" w:color="auto" w:sz="4" w:space="0"/>
              <w:left w:val="single" w:color="auto" w:sz="4" w:space="0"/>
              <w:bottom w:val="single" w:color="auto" w:sz="4" w:space="0"/>
              <w:right w:val="single" w:color="auto" w:sz="4" w:space="0"/>
            </w:tcBorders>
            <w:vAlign w:val="center"/>
          </w:tcPr>
          <w:p w14:paraId="2AE23DDD">
            <w:pPr>
              <w:pStyle w:val="14"/>
              <w:keepNext w:val="0"/>
              <w:keepLines w:val="0"/>
              <w:pageBreakBefore w:val="0"/>
              <w:widowControl w:val="0"/>
              <w:kinsoku/>
              <w:wordWrap/>
              <w:overflowPunct/>
              <w:topLinePunct w:val="0"/>
              <w:bidi w:val="0"/>
              <w:adjustRightInd/>
              <w:snapToGrid w:val="0"/>
              <w:spacing w:line="360" w:lineRule="exac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1.本</w:t>
            </w:r>
            <w:r>
              <w:rPr>
                <w:rFonts w:hint="eastAsia" w:hAnsi="宋体" w:cs="宋体"/>
                <w:bCs/>
                <w:color w:val="auto"/>
                <w:sz w:val="21"/>
                <w:szCs w:val="21"/>
                <w:highlight w:val="none"/>
                <w:lang w:eastAsia="zh-CN"/>
              </w:rPr>
              <w:t>采购</w:t>
            </w:r>
            <w:r>
              <w:rPr>
                <w:rFonts w:hint="eastAsia" w:ascii="宋体" w:hAnsi="宋体" w:eastAsia="宋体" w:cs="宋体"/>
                <w:bCs/>
                <w:color w:val="auto"/>
                <w:sz w:val="21"/>
                <w:szCs w:val="21"/>
                <w:highlight w:val="none"/>
              </w:rPr>
              <w:t>文件中描述投标人的“公章”是指根据我国对公章的管理规定，用投标人法定主体行为名称制作的印章，除本</w:t>
            </w:r>
            <w:r>
              <w:rPr>
                <w:rFonts w:hint="eastAsia" w:hAnsi="宋体" w:cs="宋体"/>
                <w:bCs/>
                <w:color w:val="auto"/>
                <w:sz w:val="21"/>
                <w:szCs w:val="21"/>
                <w:highlight w:val="none"/>
                <w:lang w:eastAsia="zh-CN"/>
              </w:rPr>
              <w:t>采购</w:t>
            </w:r>
            <w:r>
              <w:rPr>
                <w:rFonts w:hint="eastAsia" w:ascii="宋体" w:hAnsi="宋体" w:eastAsia="宋体" w:cs="宋体"/>
                <w:bCs/>
                <w:color w:val="auto"/>
                <w:sz w:val="21"/>
                <w:szCs w:val="21"/>
                <w:highlight w:val="none"/>
              </w:rPr>
              <w:t>文件有特殊规定外，投标人的财务章、部门章、分公司章、工会章、合同章、投标专用章、业务专用章及银行的转账章、现金收讫章、现金付讫章等其他形式印章均不能代替公章。</w:t>
            </w:r>
          </w:p>
          <w:p w14:paraId="3DB7C6E1">
            <w:pPr>
              <w:pStyle w:val="14"/>
              <w:keepNext w:val="0"/>
              <w:keepLines w:val="0"/>
              <w:pageBreakBefore w:val="0"/>
              <w:widowControl w:val="0"/>
              <w:kinsoku/>
              <w:wordWrap/>
              <w:overflowPunct/>
              <w:topLinePunct w:val="0"/>
              <w:bidi w:val="0"/>
              <w:adjustRightInd/>
              <w:snapToGrid w:val="0"/>
              <w:spacing w:line="360" w:lineRule="exac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2.本</w:t>
            </w:r>
            <w:r>
              <w:rPr>
                <w:rFonts w:hint="eastAsia" w:hAnsi="宋体" w:cs="宋体"/>
                <w:bCs/>
                <w:color w:val="auto"/>
                <w:sz w:val="21"/>
                <w:szCs w:val="21"/>
                <w:highlight w:val="none"/>
                <w:lang w:eastAsia="zh-CN"/>
              </w:rPr>
              <w:t>采购</w:t>
            </w:r>
            <w:r>
              <w:rPr>
                <w:rFonts w:hint="eastAsia" w:ascii="宋体" w:hAnsi="宋体" w:eastAsia="宋体" w:cs="宋体"/>
                <w:bCs/>
                <w:color w:val="auto"/>
                <w:sz w:val="21"/>
                <w:szCs w:val="21"/>
                <w:highlight w:val="none"/>
              </w:rPr>
              <w:t>文件所称的“</w:t>
            </w:r>
            <w:r>
              <w:rPr>
                <w:rFonts w:hint="eastAsia" w:ascii="宋体" w:hAnsi="宋体" w:eastAsia="宋体" w:cs="宋体"/>
                <w:color w:val="auto"/>
                <w:sz w:val="21"/>
                <w:szCs w:val="21"/>
                <w:highlight w:val="none"/>
              </w:rPr>
              <w:t>电子签章</w:t>
            </w:r>
            <w:r>
              <w:rPr>
                <w:rFonts w:hint="eastAsia" w:ascii="宋体" w:hAnsi="宋体" w:eastAsia="宋体" w:cs="宋体"/>
                <w:bCs/>
                <w:color w:val="auto"/>
                <w:sz w:val="21"/>
                <w:szCs w:val="21"/>
                <w:highlight w:val="none"/>
              </w:rPr>
              <w:t>”、“电子签名”</w:t>
            </w:r>
            <w:r>
              <w:rPr>
                <w:rFonts w:hint="eastAsia" w:ascii="宋体" w:hAnsi="宋体" w:eastAsia="宋体" w:cs="宋体"/>
                <w:color w:val="auto"/>
                <w:sz w:val="21"/>
                <w:szCs w:val="21"/>
                <w:highlight w:val="none"/>
              </w:rPr>
              <w:t>，是指经</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认可的CA认证的电子签名数据为表现形式的印章，可用于签署电子投标文件，电子印章与实物印章具有同等法律效力，不因其采用电子化表现形式而否定其法律效力。</w:t>
            </w:r>
          </w:p>
          <w:p w14:paraId="47B86654">
            <w:pPr>
              <w:pStyle w:val="14"/>
              <w:keepNext w:val="0"/>
              <w:keepLines w:val="0"/>
              <w:pageBreakBefore w:val="0"/>
              <w:widowControl w:val="0"/>
              <w:kinsoku/>
              <w:wordWrap/>
              <w:overflowPunct/>
              <w:topLinePunct w:val="0"/>
              <w:bidi w:val="0"/>
              <w:adjustRightInd/>
              <w:snapToGrid w:val="0"/>
              <w:spacing w:line="360" w:lineRule="exac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3.投标人为其他组织或者自然人时，本</w:t>
            </w:r>
            <w:r>
              <w:rPr>
                <w:rFonts w:hint="eastAsia" w:hAnsi="宋体" w:cs="宋体"/>
                <w:bCs/>
                <w:color w:val="auto"/>
                <w:sz w:val="21"/>
                <w:szCs w:val="21"/>
                <w:highlight w:val="none"/>
                <w:lang w:eastAsia="zh-CN"/>
              </w:rPr>
              <w:t>采购</w:t>
            </w:r>
            <w:r>
              <w:rPr>
                <w:rFonts w:hint="eastAsia" w:ascii="宋体" w:hAnsi="宋体" w:eastAsia="宋体" w:cs="宋体"/>
                <w:bCs/>
                <w:color w:val="auto"/>
                <w:sz w:val="21"/>
                <w:szCs w:val="21"/>
                <w:highlight w:val="none"/>
              </w:rPr>
              <w:t>文件规定的法定代表人指负责人或者自然人。本</w:t>
            </w:r>
            <w:r>
              <w:rPr>
                <w:rFonts w:hint="eastAsia" w:hAnsi="宋体" w:cs="宋体"/>
                <w:bCs/>
                <w:color w:val="auto"/>
                <w:sz w:val="21"/>
                <w:szCs w:val="21"/>
                <w:highlight w:val="none"/>
                <w:lang w:eastAsia="zh-CN"/>
              </w:rPr>
              <w:t>采购</w:t>
            </w:r>
            <w:r>
              <w:rPr>
                <w:rFonts w:hint="eastAsia" w:ascii="宋体" w:hAnsi="宋体" w:eastAsia="宋体" w:cs="宋体"/>
                <w:bCs/>
                <w:color w:val="auto"/>
                <w:sz w:val="21"/>
                <w:szCs w:val="21"/>
                <w:highlight w:val="none"/>
              </w:rPr>
              <w:t>文件所称负责人是指参加投标的其他组织营业执照或者执业许可证等证照上的负责人，本</w:t>
            </w:r>
            <w:r>
              <w:rPr>
                <w:rFonts w:hint="eastAsia" w:hAnsi="宋体" w:cs="宋体"/>
                <w:bCs/>
                <w:color w:val="auto"/>
                <w:sz w:val="21"/>
                <w:szCs w:val="21"/>
                <w:highlight w:val="none"/>
                <w:lang w:eastAsia="zh-CN"/>
              </w:rPr>
              <w:t>采购</w:t>
            </w:r>
            <w:r>
              <w:rPr>
                <w:rFonts w:hint="eastAsia" w:ascii="宋体" w:hAnsi="宋体" w:eastAsia="宋体" w:cs="宋体"/>
                <w:bCs/>
                <w:color w:val="auto"/>
                <w:sz w:val="21"/>
                <w:szCs w:val="21"/>
                <w:highlight w:val="none"/>
              </w:rPr>
              <w:t>文件所称自然人指参与投标的自然人本人，且应具备独立承担民事责任能力，自然人应当为年满18岁以上成年人（十六周岁以上的未成年人，以自己的劳动收入为主要生活来源的，视为完全民事行为能力人）。</w:t>
            </w:r>
          </w:p>
          <w:p w14:paraId="50B305FE">
            <w:pPr>
              <w:pStyle w:val="14"/>
              <w:keepNext w:val="0"/>
              <w:keepLines w:val="0"/>
              <w:pageBreakBefore w:val="0"/>
              <w:widowControl w:val="0"/>
              <w:kinsoku/>
              <w:wordWrap/>
              <w:overflowPunct/>
              <w:topLinePunct w:val="0"/>
              <w:bidi w:val="0"/>
              <w:adjustRightInd/>
              <w:snapToGrid w:val="0"/>
              <w:spacing w:line="360" w:lineRule="exac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4.本</w:t>
            </w:r>
            <w:r>
              <w:rPr>
                <w:rFonts w:hint="eastAsia" w:hAnsi="宋体" w:cs="宋体"/>
                <w:bCs/>
                <w:color w:val="auto"/>
                <w:sz w:val="21"/>
                <w:szCs w:val="21"/>
                <w:highlight w:val="none"/>
                <w:lang w:eastAsia="zh-CN"/>
              </w:rPr>
              <w:t>采购</w:t>
            </w:r>
            <w:r>
              <w:rPr>
                <w:rFonts w:hint="eastAsia" w:ascii="宋体" w:hAnsi="宋体" w:eastAsia="宋体" w:cs="宋体"/>
                <w:bCs/>
                <w:color w:val="auto"/>
                <w:sz w:val="21"/>
                <w:szCs w:val="21"/>
                <w:highlight w:val="none"/>
              </w:rPr>
              <w:t>文件中描述投标人的“签字”是指投标人的法定代表人或者委托代理人亲自在文件规定签字处亲笔写上个人的名字的行为，私章、签字章、印鉴、影印等其他形式均不能代替亲笔签字。</w:t>
            </w:r>
          </w:p>
          <w:p w14:paraId="59DA3FAD">
            <w:pPr>
              <w:pStyle w:val="14"/>
              <w:keepNext w:val="0"/>
              <w:keepLines w:val="0"/>
              <w:pageBreakBefore w:val="0"/>
              <w:widowControl w:val="0"/>
              <w:kinsoku/>
              <w:wordWrap/>
              <w:overflowPunct/>
              <w:topLinePunct w:val="0"/>
              <w:bidi w:val="0"/>
              <w:adjustRightInd/>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5.本</w:t>
            </w:r>
            <w:r>
              <w:rPr>
                <w:rFonts w:hint="eastAsia" w:hAnsi="宋体" w:cs="宋体"/>
                <w:bCs/>
                <w:color w:val="auto"/>
                <w:sz w:val="21"/>
                <w:szCs w:val="21"/>
                <w:highlight w:val="none"/>
                <w:lang w:eastAsia="zh-CN"/>
              </w:rPr>
              <w:t>采购</w:t>
            </w:r>
            <w:r>
              <w:rPr>
                <w:rFonts w:hint="eastAsia" w:ascii="宋体" w:hAnsi="宋体" w:eastAsia="宋体" w:cs="宋体"/>
                <w:bCs/>
                <w:color w:val="auto"/>
                <w:sz w:val="21"/>
                <w:szCs w:val="21"/>
                <w:highlight w:val="none"/>
              </w:rPr>
              <w:t>文件所称的“以上”“以下”“以内”“届满”，包括本数；所称的“不满”“超过”“以外”，不包括本数。</w:t>
            </w:r>
          </w:p>
        </w:tc>
      </w:tr>
    </w:tbl>
    <w:p w14:paraId="78C6A7A9">
      <w:pPr>
        <w:rPr>
          <w:rFonts w:asciiTheme="minorHAnsi" w:hAnsiTheme="minorHAnsi" w:eastAsiaTheme="minorEastAsia" w:cstheme="minorBidi"/>
          <w:color w:val="auto"/>
          <w:kern w:val="2"/>
          <w:sz w:val="21"/>
          <w:szCs w:val="24"/>
          <w:lang w:val="en-US" w:eastAsia="zh-CN" w:bidi="ar-SA"/>
        </w:rPr>
      </w:pPr>
      <w:r>
        <w:rPr>
          <w:rFonts w:asciiTheme="minorHAnsi" w:hAnsiTheme="minorHAnsi" w:eastAsiaTheme="minorEastAsia" w:cstheme="minorBidi"/>
          <w:color w:val="auto"/>
          <w:kern w:val="2"/>
          <w:sz w:val="21"/>
          <w:szCs w:val="24"/>
          <w:lang w:val="en-US" w:eastAsia="zh-CN" w:bidi="ar-SA"/>
        </w:rPr>
        <w:br w:type="page"/>
      </w:r>
    </w:p>
    <w:p w14:paraId="2AD333B7">
      <w:pPr>
        <w:pageBreakBefore w:val="0"/>
        <w:kinsoku/>
        <w:overflowPunct/>
        <w:topLinePunct w:val="0"/>
        <w:bidi w:val="0"/>
        <w:spacing w:line="24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投标人须知正文</w:t>
      </w:r>
    </w:p>
    <w:p w14:paraId="70AA8782">
      <w:pPr>
        <w:pStyle w:val="4"/>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一、总</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则</w:t>
      </w:r>
    </w:p>
    <w:p w14:paraId="2021A53D">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bookmarkStart w:id="94" w:name="_Toc254970668"/>
      <w:bookmarkStart w:id="95" w:name="_Toc254970527"/>
      <w:r>
        <w:rPr>
          <w:rFonts w:hint="eastAsia" w:ascii="宋体" w:hAnsi="宋体" w:eastAsia="宋体" w:cs="宋体"/>
          <w:color w:val="auto"/>
          <w:sz w:val="21"/>
          <w:szCs w:val="21"/>
          <w:highlight w:val="none"/>
        </w:rPr>
        <w:t>1.适用范围</w:t>
      </w:r>
      <w:bookmarkEnd w:id="94"/>
      <w:bookmarkEnd w:id="95"/>
    </w:p>
    <w:p w14:paraId="3BE82555">
      <w:pPr>
        <w:pageBreakBefore w:val="0"/>
        <w:widowControl w:val="0"/>
        <w:kinsoku/>
        <w:wordWrap/>
        <w:overflowPunct/>
        <w:topLinePunct w:val="0"/>
        <w:autoSpaceDE/>
        <w:autoSpaceDN/>
        <w:bidi w:val="0"/>
        <w:snapToGrid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5BE0869D">
      <w:pPr>
        <w:pageBreakBefore w:val="0"/>
        <w:widowControl w:val="0"/>
        <w:kinsoku/>
        <w:wordWrap/>
        <w:overflowPunct/>
        <w:topLinePunct w:val="0"/>
        <w:autoSpaceDE/>
        <w:autoSpaceDN/>
        <w:bidi w:val="0"/>
        <w:snapToGrid w:val="0"/>
        <w:spacing w:line="360" w:lineRule="exact"/>
        <w:ind w:firstLine="420" w:firstLineChars="200"/>
        <w:jc w:val="left"/>
        <w:textAlignment w:val="auto"/>
        <w:rPr>
          <w:rFonts w:hint="eastAsia" w:ascii="宋体" w:hAnsi="宋体" w:eastAsia="宋体" w:cs="宋体"/>
          <w:color w:val="auto"/>
          <w:spacing w:val="-6"/>
          <w:sz w:val="21"/>
          <w:szCs w:val="21"/>
          <w:highlight w:val="none"/>
        </w:rPr>
      </w:pPr>
      <w:r>
        <w:rPr>
          <w:rFonts w:hint="eastAsia" w:ascii="宋体" w:hAnsi="宋体" w:eastAsia="宋体" w:cs="宋体"/>
          <w:color w:val="auto"/>
          <w:sz w:val="21"/>
          <w:szCs w:val="21"/>
          <w:highlight w:val="none"/>
        </w:rPr>
        <w:t>1.2本</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w:t>
      </w:r>
      <w:r>
        <w:rPr>
          <w:rFonts w:hint="eastAsia" w:ascii="宋体" w:hAnsi="宋体" w:eastAsia="宋体" w:cs="宋体"/>
          <w:color w:val="auto"/>
          <w:spacing w:val="-6"/>
          <w:sz w:val="21"/>
          <w:szCs w:val="21"/>
          <w:highlight w:val="none"/>
        </w:rPr>
        <w:t>适用于本项目的所有采购程序和环节（法律、法规另有规定的，从其规定）。</w:t>
      </w:r>
    </w:p>
    <w:p w14:paraId="4FBBBD2C">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bookmarkStart w:id="96" w:name="_Toc254970528"/>
      <w:bookmarkStart w:id="97" w:name="_Toc254970669"/>
      <w:r>
        <w:rPr>
          <w:rFonts w:hint="eastAsia" w:ascii="宋体" w:hAnsi="宋体" w:eastAsia="宋体" w:cs="宋体"/>
          <w:color w:val="auto"/>
          <w:sz w:val="21"/>
          <w:szCs w:val="21"/>
          <w:highlight w:val="none"/>
        </w:rPr>
        <w:t>2.定义</w:t>
      </w:r>
      <w:bookmarkEnd w:id="96"/>
      <w:bookmarkEnd w:id="97"/>
    </w:p>
    <w:p w14:paraId="402B0319">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2.1“采购人”是指依法进行政府采购的国家机关、事业单位、团体组织。</w:t>
      </w:r>
    </w:p>
    <w:p w14:paraId="1C04C4CB">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2.2“采购代理机构”是指政府采购集中采购机构和集中采购机构以外的采购代理机构。</w:t>
      </w:r>
    </w:p>
    <w:p w14:paraId="4D8ED559">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2.3“供应商”是指向采购人提供货物、工程或者服务的法人、其他组织或者自然人。</w:t>
      </w:r>
    </w:p>
    <w:p w14:paraId="596BABB0">
      <w:pPr>
        <w:pStyle w:val="7"/>
        <w:pageBreakBefore w:val="0"/>
        <w:widowControl w:val="0"/>
        <w:kinsoku/>
        <w:wordWrap/>
        <w:overflowPunct/>
        <w:topLinePunct w:val="0"/>
        <w:autoSpaceDE/>
        <w:autoSpaceDN/>
        <w:bidi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2.4“投标人”是指响应</w:t>
      </w:r>
      <w:r>
        <w:rPr>
          <w:rFonts w:hint="eastAsia" w:ascii="宋体" w:hAnsi="宋体" w:cs="宋体"/>
          <w:color w:val="000000" w:themeColor="text1"/>
          <w:sz w:val="21"/>
          <w:szCs w:val="21"/>
          <w:highlight w:val="none"/>
          <w:lang w:eastAsia="zh-CN"/>
          <w14:textFill>
            <w14:solidFill>
              <w14:schemeClr w14:val="tx1"/>
            </w14:solidFill>
          </w14:textFill>
        </w:rPr>
        <w:t>采购</w:t>
      </w:r>
      <w:r>
        <w:rPr>
          <w:rFonts w:hint="eastAsia" w:ascii="宋体" w:hAnsi="宋体" w:eastAsia="宋体" w:cs="宋体"/>
          <w:color w:val="auto"/>
          <w:sz w:val="21"/>
          <w:szCs w:val="21"/>
          <w:highlight w:val="none"/>
        </w:rPr>
        <w:t>、参加投标竞争的法人、其他组织或者自然人。</w:t>
      </w:r>
    </w:p>
    <w:p w14:paraId="0288FA65">
      <w:pPr>
        <w:pStyle w:val="6"/>
        <w:pageBreakBefore w:val="0"/>
        <w:widowControl w:val="0"/>
        <w:kinsoku/>
        <w:wordWrap/>
        <w:overflowPunct/>
        <w:topLinePunct w:val="0"/>
        <w:autoSpaceDE/>
        <w:autoSpaceDN/>
        <w:bidi w:val="0"/>
        <w:spacing w:before="0" w:after="0" w:line="360" w:lineRule="exact"/>
        <w:ind w:firstLine="420" w:firstLineChars="20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2.5“服务”是指除货物和工程以外的其他政府采购对象。</w:t>
      </w:r>
    </w:p>
    <w:p w14:paraId="1F6CC6BE">
      <w:pPr>
        <w:pStyle w:val="6"/>
        <w:pageBreakBefore w:val="0"/>
        <w:widowControl w:val="0"/>
        <w:kinsoku/>
        <w:wordWrap/>
        <w:overflowPunct/>
        <w:topLinePunct w:val="0"/>
        <w:autoSpaceDE/>
        <w:autoSpaceDN/>
        <w:bidi w:val="0"/>
        <w:spacing w:before="0" w:after="0" w:line="360" w:lineRule="exact"/>
        <w:ind w:firstLine="420" w:firstLineChars="20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2.6“售后服务”是指商品出售以后所提供的各种服务，包含但不限于投标人须承担的备品备件、包装、运输、装卸、保险、货到就位以及安装、调试、培训、保修以及其他各种服务。</w:t>
      </w:r>
    </w:p>
    <w:p w14:paraId="68831B80">
      <w:pPr>
        <w:pStyle w:val="6"/>
        <w:pageBreakBefore w:val="0"/>
        <w:widowControl w:val="0"/>
        <w:kinsoku/>
        <w:wordWrap/>
        <w:overflowPunct/>
        <w:topLinePunct w:val="0"/>
        <w:autoSpaceDE/>
        <w:autoSpaceDN/>
        <w:bidi w:val="0"/>
        <w:spacing w:before="0" w:after="0" w:line="360" w:lineRule="exac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2.7“书面形式”是指合同书、信件和数据电文（包括电报、电传、传真、电子数据交换和电子邮件）等可以有形地表现所载内容的形式。</w:t>
      </w:r>
    </w:p>
    <w:p w14:paraId="5F0CB0A9">
      <w:pPr>
        <w:pStyle w:val="6"/>
        <w:pageBreakBefore w:val="0"/>
        <w:widowControl w:val="0"/>
        <w:kinsoku/>
        <w:wordWrap/>
        <w:overflowPunct/>
        <w:topLinePunct w:val="0"/>
        <w:autoSpaceDE/>
        <w:autoSpaceDN/>
        <w:bidi w:val="0"/>
        <w:spacing w:before="0" w:after="0" w:line="360" w:lineRule="exact"/>
        <w:ind w:firstLine="420" w:firstLineChars="20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2.8“实质性要求”是指</w:t>
      </w:r>
      <w:r>
        <w:rPr>
          <w:rFonts w:hint="eastAsia" w:ascii="宋体" w:hAnsi="宋体" w:cs="宋体"/>
          <w:b w:val="0"/>
          <w:color w:val="auto"/>
          <w:sz w:val="21"/>
          <w:szCs w:val="21"/>
          <w:highlight w:val="none"/>
          <w:lang w:eastAsia="zh-CN"/>
        </w:rPr>
        <w:t>采购</w:t>
      </w:r>
      <w:r>
        <w:rPr>
          <w:rFonts w:hint="eastAsia" w:ascii="宋体" w:hAnsi="宋体" w:eastAsia="宋体" w:cs="宋体"/>
          <w:b w:val="0"/>
          <w:color w:val="auto"/>
          <w:sz w:val="21"/>
          <w:szCs w:val="21"/>
          <w:highlight w:val="none"/>
        </w:rPr>
        <w:t>文件中已经指明不满足则投标无效的条款，或者不能负偏离的条款，或者采购需求中带“▲”的条款。</w:t>
      </w:r>
    </w:p>
    <w:p w14:paraId="6CAE591F">
      <w:pPr>
        <w:pageBreakBefore w:val="0"/>
        <w:widowControl w:val="0"/>
        <w:kinsoku/>
        <w:wordWrap/>
        <w:overflowPunct/>
        <w:topLinePunct w:val="0"/>
        <w:autoSpaceDE/>
        <w:autoSpaceDN/>
        <w:bidi w:val="0"/>
        <w:snapToGrid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2.9“正偏离”，是指投标文件对</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文件“采购需求”中有关条款作出的响应优于条款要求并有利于采购人的情形。</w:t>
      </w:r>
    </w:p>
    <w:p w14:paraId="1CD189F0">
      <w:pPr>
        <w:pageBreakBefore w:val="0"/>
        <w:widowControl w:val="0"/>
        <w:kinsoku/>
        <w:wordWrap/>
        <w:overflowPunct/>
        <w:topLinePunct w:val="0"/>
        <w:autoSpaceDE/>
        <w:autoSpaceDN/>
        <w:bidi w:val="0"/>
        <w:snapToGrid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2.10“负偏离”，是指投标文件对</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文件“采购需求”中有关条款作出的响应不满足条款要求，导致采购人要求不能得到满足的情形。</w:t>
      </w:r>
    </w:p>
    <w:p w14:paraId="3C9246F5">
      <w:pPr>
        <w:pageBreakBefore w:val="0"/>
        <w:widowControl w:val="0"/>
        <w:kinsoku/>
        <w:wordWrap/>
        <w:overflowPunct/>
        <w:topLinePunct w:val="0"/>
        <w:autoSpaceDE/>
        <w:autoSpaceDN/>
        <w:bidi w:val="0"/>
        <w:snapToGrid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2.11“允许负偏离的条款”是指采购需求中的不属于“实质性要求”的条款。</w:t>
      </w:r>
      <w:bookmarkStart w:id="98" w:name="_Toc254970670"/>
      <w:bookmarkStart w:id="99" w:name="_Toc254970529"/>
    </w:p>
    <w:p w14:paraId="7D2F0BB1">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bookmarkEnd w:id="98"/>
      <w:bookmarkEnd w:id="99"/>
      <w:r>
        <w:rPr>
          <w:rFonts w:hint="eastAsia" w:ascii="宋体" w:hAnsi="宋体" w:eastAsia="宋体" w:cs="宋体"/>
          <w:color w:val="auto"/>
          <w:sz w:val="21"/>
          <w:szCs w:val="21"/>
          <w:highlight w:val="none"/>
        </w:rPr>
        <w:t>投标人的资格要求</w:t>
      </w:r>
    </w:p>
    <w:p w14:paraId="334A391C">
      <w:pPr>
        <w:pageBreakBefore w:val="0"/>
        <w:widowControl w:val="0"/>
        <w:kinsoku/>
        <w:wordWrap/>
        <w:overflowPunct/>
        <w:topLinePunct w:val="0"/>
        <w:autoSpaceDE/>
        <w:autoSpaceDN/>
        <w:bidi w:val="0"/>
        <w:snapToGrid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投标人的资格要求详见“投标人须知前附表”。</w:t>
      </w:r>
    </w:p>
    <w:p w14:paraId="3A1E0B19">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bookmarkStart w:id="100" w:name="_Toc254970530"/>
      <w:bookmarkStart w:id="101" w:name="_Toc254970671"/>
      <w:r>
        <w:rPr>
          <w:rFonts w:hint="eastAsia" w:ascii="宋体" w:hAnsi="宋体" w:eastAsia="宋体" w:cs="宋体"/>
          <w:color w:val="auto"/>
          <w:sz w:val="21"/>
          <w:szCs w:val="21"/>
          <w:highlight w:val="none"/>
        </w:rPr>
        <w:t>4.投标委托</w:t>
      </w:r>
      <w:bookmarkEnd w:id="100"/>
      <w:bookmarkEnd w:id="101"/>
    </w:p>
    <w:p w14:paraId="14E8DE17">
      <w:pPr>
        <w:pageBreakBefore w:val="0"/>
        <w:widowControl w:val="0"/>
        <w:kinsoku/>
        <w:wordWrap/>
        <w:overflowPunct/>
        <w:topLinePunct w:val="0"/>
        <w:autoSpaceDE/>
        <w:autoSpaceDN/>
        <w:bidi w:val="0"/>
        <w:snapToGrid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投标人代表参加投标活动过程中必须携带个人有效身份证件。如投标人代表不是法定代表人，须持有授权委托书（按第六章要求格式填写）。</w:t>
      </w:r>
    </w:p>
    <w:p w14:paraId="055E1411">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bookmarkStart w:id="102" w:name="_5.投标费用"/>
      <w:bookmarkEnd w:id="102"/>
      <w:bookmarkStart w:id="103" w:name="_Toc254970672"/>
      <w:bookmarkStart w:id="104" w:name="_Toc254970531"/>
      <w:r>
        <w:rPr>
          <w:rFonts w:hint="eastAsia" w:ascii="宋体" w:hAnsi="宋体" w:eastAsia="宋体" w:cs="宋体"/>
          <w:color w:val="auto"/>
          <w:sz w:val="21"/>
          <w:szCs w:val="21"/>
          <w:highlight w:val="none"/>
        </w:rPr>
        <w:t>5.投标费用</w:t>
      </w:r>
      <w:bookmarkEnd w:id="103"/>
      <w:bookmarkEnd w:id="104"/>
    </w:p>
    <w:p w14:paraId="4E47F1E4">
      <w:pPr>
        <w:pageBreakBefore w:val="0"/>
        <w:widowControl w:val="0"/>
        <w:kinsoku/>
        <w:wordWrap/>
        <w:overflowPunct/>
        <w:topLinePunct w:val="0"/>
        <w:autoSpaceDE/>
        <w:autoSpaceDN/>
        <w:bidi w:val="0"/>
        <w:snapToGrid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投标费用：投标人应承担参与本次采购活动有关的所有费用，包括但不限于获取</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文件、勘查现场、编制和提交投标文件、参加澄清说明、签订合同等，不论投标结果如何，均应自行承担。</w:t>
      </w:r>
    </w:p>
    <w:p w14:paraId="1ED66293">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6.联合体投标</w:t>
      </w:r>
    </w:p>
    <w:p w14:paraId="50A92CD1">
      <w:pPr>
        <w:pageBreakBefore w:val="0"/>
        <w:widowControl w:val="0"/>
        <w:kinsoku/>
        <w:wordWrap/>
        <w:overflowPunct/>
        <w:topLinePunct w:val="0"/>
        <w:autoSpaceDE/>
        <w:autoSpaceDN/>
        <w:bidi w:val="0"/>
        <w:snapToGrid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6.1本项目</w:t>
      </w:r>
      <w:r>
        <w:rPr>
          <w:rFonts w:hint="eastAsia" w:ascii="宋体" w:hAnsi="宋体" w:eastAsia="宋体" w:cs="宋体"/>
          <w:color w:val="auto"/>
          <w:sz w:val="21"/>
          <w:szCs w:val="21"/>
          <w:highlight w:val="none"/>
          <w:lang w:eastAsia="zh-CN"/>
        </w:rPr>
        <w:t>不</w:t>
      </w:r>
      <w:r>
        <w:rPr>
          <w:rFonts w:hint="eastAsia" w:ascii="宋体" w:hAnsi="宋体" w:eastAsia="宋体" w:cs="宋体"/>
          <w:color w:val="auto"/>
          <w:sz w:val="21"/>
          <w:szCs w:val="21"/>
          <w:highlight w:val="none"/>
        </w:rPr>
        <w:t>接受联合体投标。</w:t>
      </w:r>
    </w:p>
    <w:p w14:paraId="53CE9125">
      <w:pPr>
        <w:pageBreakBefore w:val="0"/>
        <w:widowControl w:val="0"/>
        <w:kinsoku/>
        <w:wordWrap/>
        <w:overflowPunct/>
        <w:topLinePunct w:val="0"/>
        <w:autoSpaceDE/>
        <w:autoSpaceDN/>
        <w:bidi w:val="0"/>
        <w:snapToGrid w:val="0"/>
        <w:spacing w:line="36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7.</w:t>
      </w:r>
      <w:r>
        <w:rPr>
          <w:rFonts w:hint="eastAsia" w:ascii="宋体" w:hAnsi="宋体" w:eastAsia="宋体" w:cs="宋体"/>
          <w:b/>
          <w:bCs/>
          <w:color w:val="auto"/>
          <w:sz w:val="21"/>
          <w:szCs w:val="21"/>
          <w:highlight w:val="none"/>
        </w:rPr>
        <w:t>转包与分包</w:t>
      </w:r>
    </w:p>
    <w:p w14:paraId="7DA85654">
      <w:pPr>
        <w:pageBreakBefore w:val="0"/>
        <w:widowControl w:val="0"/>
        <w:numPr>
          <w:ilvl w:val="0"/>
          <w:numId w:val="0"/>
        </w:numPr>
        <w:kinsoku/>
        <w:wordWrap/>
        <w:overflowPunct/>
        <w:topLinePunct w:val="0"/>
        <w:autoSpaceDE/>
        <w:autoSpaceDN/>
        <w:bidi w:val="0"/>
        <w:snapToGrid w:val="0"/>
        <w:spacing w:line="360" w:lineRule="exact"/>
        <w:ind w:firstLine="420" w:firstLineChars="200"/>
        <w:jc w:val="lef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7.1本项目不允许转包。</w:t>
      </w:r>
    </w:p>
    <w:p w14:paraId="6D84E5E9">
      <w:pPr>
        <w:numPr>
          <w:ilvl w:val="0"/>
          <w:numId w:val="0"/>
        </w:numPr>
        <w:snapToGrid w:val="0"/>
        <w:spacing w:line="360" w:lineRule="exact"/>
        <w:ind w:firstLine="420" w:firstLineChars="200"/>
        <w:jc w:val="left"/>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7.2本项目允许分包。</w:t>
      </w:r>
    </w:p>
    <w:p w14:paraId="7C436128">
      <w:pPr>
        <w:numPr>
          <w:ilvl w:val="0"/>
          <w:numId w:val="0"/>
        </w:numPr>
        <w:snapToGrid w:val="0"/>
        <w:spacing w:line="360" w:lineRule="exact"/>
        <w:ind w:firstLine="420" w:firstLineChars="200"/>
        <w:jc w:val="left"/>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lang w:val="en-US" w:eastAsia="zh-CN"/>
        </w:rPr>
        <w:t>7.2.</w:t>
      </w:r>
      <w:r>
        <w:rPr>
          <w:rFonts w:hint="eastAsia" w:ascii="宋体" w:hAnsi="宋体" w:eastAsia="宋体" w:cs="宋体"/>
          <w:b w:val="0"/>
          <w:color w:val="auto"/>
          <w:sz w:val="21"/>
          <w:szCs w:val="21"/>
          <w:highlight w:val="none"/>
        </w:rPr>
        <w:t>1.可分包内容：等保测评、</w:t>
      </w:r>
      <w:r>
        <w:rPr>
          <w:rFonts w:hint="eastAsia" w:ascii="宋体" w:hAnsi="宋体" w:eastAsia="宋体" w:cs="宋体"/>
          <w:b w:val="0"/>
          <w:color w:val="auto"/>
          <w:sz w:val="21"/>
          <w:szCs w:val="21"/>
          <w:highlight w:val="none"/>
          <w:lang w:eastAsia="zh-CN"/>
        </w:rPr>
        <w:t>机房场地租赁、日常运维</w:t>
      </w:r>
      <w:r>
        <w:rPr>
          <w:rFonts w:hint="eastAsia" w:ascii="宋体" w:hAnsi="宋体" w:eastAsia="宋体" w:cs="宋体"/>
          <w:b w:val="0"/>
          <w:color w:val="auto"/>
          <w:sz w:val="21"/>
          <w:szCs w:val="21"/>
          <w:highlight w:val="none"/>
        </w:rPr>
        <w:t>等非核心增值</w:t>
      </w:r>
      <w:r>
        <w:rPr>
          <w:rFonts w:hint="eastAsia" w:ascii="宋体" w:hAnsi="宋体" w:eastAsia="宋体" w:cs="宋体"/>
          <w:b w:val="0"/>
          <w:color w:val="auto"/>
          <w:sz w:val="21"/>
          <w:szCs w:val="21"/>
          <w:highlight w:val="none"/>
          <w:lang w:eastAsia="zh-CN"/>
        </w:rPr>
        <w:t>类</w:t>
      </w:r>
      <w:r>
        <w:rPr>
          <w:rFonts w:hint="eastAsia" w:ascii="宋体" w:hAnsi="宋体" w:eastAsia="宋体" w:cs="宋体"/>
          <w:b w:val="0"/>
          <w:color w:val="auto"/>
          <w:sz w:val="21"/>
          <w:szCs w:val="21"/>
          <w:highlight w:val="none"/>
        </w:rPr>
        <w:t>服务。</w:t>
      </w:r>
    </w:p>
    <w:p w14:paraId="6F27357D">
      <w:pPr>
        <w:numPr>
          <w:ilvl w:val="0"/>
          <w:numId w:val="0"/>
        </w:numPr>
        <w:snapToGrid w:val="0"/>
        <w:spacing w:line="360" w:lineRule="exact"/>
        <w:ind w:firstLine="420" w:firstLineChars="200"/>
        <w:jc w:val="left"/>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lang w:val="en-US" w:eastAsia="zh-CN"/>
        </w:rPr>
        <w:t>7.2.</w:t>
      </w:r>
      <w:r>
        <w:rPr>
          <w:rFonts w:hint="eastAsia" w:ascii="宋体" w:hAnsi="宋体" w:eastAsia="宋体" w:cs="宋体"/>
          <w:b w:val="0"/>
          <w:color w:val="auto"/>
          <w:sz w:val="21"/>
          <w:szCs w:val="21"/>
          <w:highlight w:val="none"/>
        </w:rPr>
        <w:t>2.分包金额上限：</w:t>
      </w:r>
      <w:r>
        <w:rPr>
          <w:rFonts w:hint="eastAsia" w:ascii="宋体" w:hAnsi="宋体" w:eastAsia="宋体" w:cs="宋体"/>
          <w:b w:val="0"/>
          <w:color w:val="auto"/>
          <w:sz w:val="21"/>
          <w:szCs w:val="21"/>
          <w:highlight w:val="none"/>
          <w:lang w:eastAsia="zh-CN"/>
        </w:rPr>
        <w:t>所有分包部分的费用合计</w:t>
      </w:r>
      <w:r>
        <w:rPr>
          <w:rFonts w:hint="eastAsia" w:ascii="宋体" w:hAnsi="宋体" w:eastAsia="宋体" w:cs="宋体"/>
          <w:b w:val="0"/>
          <w:color w:val="auto"/>
          <w:sz w:val="21"/>
          <w:szCs w:val="21"/>
          <w:highlight w:val="none"/>
        </w:rPr>
        <w:t>不</w:t>
      </w:r>
      <w:r>
        <w:rPr>
          <w:rFonts w:hint="eastAsia" w:ascii="宋体" w:hAnsi="宋体" w:eastAsia="宋体" w:cs="宋体"/>
          <w:b w:val="0"/>
          <w:color w:val="auto"/>
          <w:sz w:val="21"/>
          <w:szCs w:val="21"/>
          <w:highlight w:val="none"/>
          <w:lang w:eastAsia="zh-CN"/>
        </w:rPr>
        <w:t>得</w:t>
      </w:r>
      <w:r>
        <w:rPr>
          <w:rFonts w:hint="eastAsia" w:ascii="宋体" w:hAnsi="宋体" w:eastAsia="宋体" w:cs="宋体"/>
          <w:b w:val="0"/>
          <w:color w:val="auto"/>
          <w:sz w:val="21"/>
          <w:szCs w:val="21"/>
          <w:highlight w:val="none"/>
        </w:rPr>
        <w:t>超过合同总金额的20%。</w:t>
      </w:r>
    </w:p>
    <w:p w14:paraId="000494E1">
      <w:pPr>
        <w:numPr>
          <w:ilvl w:val="0"/>
          <w:numId w:val="0"/>
        </w:numPr>
        <w:snapToGrid w:val="0"/>
        <w:spacing w:line="360" w:lineRule="exact"/>
        <w:ind w:firstLine="420" w:firstLineChars="200"/>
        <w:jc w:val="left"/>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lang w:val="en-US" w:eastAsia="zh-CN"/>
        </w:rPr>
        <w:t>7.2.</w:t>
      </w:r>
      <w:r>
        <w:rPr>
          <w:rFonts w:hint="eastAsia" w:ascii="宋体" w:hAnsi="宋体" w:eastAsia="宋体" w:cs="宋体"/>
          <w:b w:val="0"/>
          <w:color w:val="auto"/>
          <w:sz w:val="21"/>
          <w:szCs w:val="21"/>
          <w:highlight w:val="none"/>
        </w:rPr>
        <w:t>3.分包供应商资格要求：分包供应商须具备从事对应分包内容所需的法定资质。</w:t>
      </w:r>
    </w:p>
    <w:p w14:paraId="755083BE">
      <w:pPr>
        <w:numPr>
          <w:ilvl w:val="0"/>
          <w:numId w:val="0"/>
        </w:numPr>
        <w:snapToGrid w:val="0"/>
        <w:spacing w:line="360" w:lineRule="exact"/>
        <w:ind w:firstLine="420" w:firstLineChars="200"/>
        <w:jc w:val="left"/>
        <w:rPr>
          <w:rFonts w:hint="eastAsia" w:eastAsia="宋体"/>
          <w:highlight w:val="none"/>
          <w:lang w:eastAsia="zh-CN"/>
        </w:rPr>
      </w:pPr>
      <w:r>
        <w:rPr>
          <w:rFonts w:hint="eastAsia" w:ascii="宋体" w:hAnsi="宋体" w:eastAsia="宋体" w:cs="宋体"/>
          <w:b w:val="0"/>
          <w:color w:val="auto"/>
          <w:sz w:val="21"/>
          <w:szCs w:val="21"/>
          <w:highlight w:val="none"/>
          <w:lang w:val="en-US" w:eastAsia="zh-CN"/>
        </w:rPr>
        <w:t>7.2.</w:t>
      </w:r>
      <w:r>
        <w:rPr>
          <w:rFonts w:hint="eastAsia" w:ascii="宋体" w:hAnsi="宋体" w:eastAsia="宋体" w:cs="宋体"/>
          <w:b w:val="0"/>
          <w:color w:val="auto"/>
          <w:sz w:val="21"/>
          <w:szCs w:val="21"/>
          <w:highlight w:val="none"/>
        </w:rPr>
        <w:t>4.禁止分包的内容：云平台核心服务（</w:t>
      </w:r>
      <w:r>
        <w:rPr>
          <w:rFonts w:hint="eastAsia" w:ascii="宋体" w:hAnsi="宋体" w:eastAsia="宋体" w:cs="宋体"/>
          <w:b w:val="0"/>
          <w:color w:val="auto"/>
          <w:sz w:val="21"/>
          <w:szCs w:val="21"/>
          <w:highlight w:val="none"/>
          <w:lang w:eastAsia="zh-CN"/>
        </w:rPr>
        <w:t>包括但不限于</w:t>
      </w:r>
      <w:r>
        <w:rPr>
          <w:rFonts w:hint="eastAsia" w:ascii="宋体" w:hAnsi="宋体" w:eastAsia="宋体" w:cs="宋体"/>
          <w:b w:val="0"/>
          <w:color w:val="auto"/>
          <w:sz w:val="21"/>
          <w:szCs w:val="21"/>
          <w:highlight w:val="none"/>
        </w:rPr>
        <w:t>云主机、</w:t>
      </w:r>
      <w:r>
        <w:rPr>
          <w:rFonts w:hint="eastAsia" w:ascii="宋体" w:hAnsi="宋体" w:eastAsia="宋体" w:cs="宋体"/>
          <w:b w:val="0"/>
          <w:color w:val="auto"/>
          <w:sz w:val="21"/>
          <w:szCs w:val="21"/>
          <w:highlight w:val="none"/>
          <w:lang w:eastAsia="zh-CN"/>
        </w:rPr>
        <w:t>云计算、</w:t>
      </w:r>
      <w:r>
        <w:rPr>
          <w:rFonts w:hint="eastAsia" w:ascii="宋体" w:hAnsi="宋体" w:eastAsia="宋体" w:cs="宋体"/>
          <w:b w:val="0"/>
          <w:color w:val="auto"/>
          <w:sz w:val="21"/>
          <w:szCs w:val="21"/>
          <w:highlight w:val="none"/>
        </w:rPr>
        <w:t>云存储、云网络、云安全、数据库等）不得分包</w:t>
      </w:r>
      <w:r>
        <w:rPr>
          <w:rFonts w:hint="eastAsia" w:ascii="宋体" w:hAnsi="宋体" w:eastAsia="宋体" w:cs="宋体"/>
          <w:b w:val="0"/>
          <w:color w:val="auto"/>
          <w:sz w:val="21"/>
          <w:szCs w:val="21"/>
          <w:highlight w:val="none"/>
          <w:lang w:eastAsia="zh-CN"/>
        </w:rPr>
        <w:t>。</w:t>
      </w:r>
    </w:p>
    <w:p w14:paraId="7B962639">
      <w:pPr>
        <w:pStyle w:val="26"/>
        <w:pageBreakBefore w:val="0"/>
        <w:widowControl w:val="0"/>
        <w:kinsoku/>
        <w:wordWrap/>
        <w:overflowPunct/>
        <w:topLinePunct w:val="0"/>
        <w:autoSpaceDE/>
        <w:autoSpaceDN/>
        <w:bidi w:val="0"/>
        <w:spacing w:line="360" w:lineRule="exact"/>
        <w:textAlignment w:val="auto"/>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8.特别说明</w:t>
      </w:r>
    </w:p>
    <w:p w14:paraId="3D2D0005">
      <w:pPr>
        <w:pStyle w:val="26"/>
        <w:pageBreakBefore w:val="0"/>
        <w:widowControl w:val="0"/>
        <w:kinsoku/>
        <w:wordWrap/>
        <w:overflowPunct/>
        <w:topLinePunct w:val="0"/>
        <w:autoSpaceDE/>
        <w:autoSpaceDN/>
        <w:bidi w:val="0"/>
        <w:spacing w:line="360" w:lineRule="exact"/>
        <w:textAlignment w:val="auto"/>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8.1采用最低评标价法的采购项目，提供相同品牌产品的不同投标人参加同一合同项下投标的，以其中通过资格审查、符合性审查且报价最低的参加评标；报价相同的，由采购人或者采购人委托评标委员会按照“投标人须知前附表”规定的方式确定一个参加评标的投标人，</w:t>
      </w:r>
      <w:r>
        <w:rPr>
          <w:rFonts w:hint="eastAsia" w:ascii="宋体" w:hAnsi="宋体" w:eastAsia="宋体" w:cs="宋体"/>
          <w:b/>
          <w:bCs/>
          <w:color w:val="auto"/>
          <w:kern w:val="2"/>
          <w:sz w:val="21"/>
          <w:szCs w:val="21"/>
          <w:highlight w:val="none"/>
          <w:lang w:val="en-US" w:eastAsia="zh-CN" w:bidi="ar-SA"/>
        </w:rPr>
        <w:t>其他投标无效。</w:t>
      </w:r>
    </w:p>
    <w:p w14:paraId="76E0BFD1">
      <w:pPr>
        <w:pStyle w:val="26"/>
        <w:pageBreakBefore w:val="0"/>
        <w:widowControl w:val="0"/>
        <w:kinsoku/>
        <w:wordWrap/>
        <w:overflowPunct/>
        <w:topLinePunct w:val="0"/>
        <w:autoSpaceDE/>
        <w:autoSpaceDN/>
        <w:bidi w:val="0"/>
        <w:spacing w:line="360" w:lineRule="exact"/>
        <w:textAlignment w:val="auto"/>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投标人须知前附表”规定的方式确定一个投标人获得中标人推荐资格，其他同品牌投标人不作为中标候选人。</w:t>
      </w:r>
    </w:p>
    <w:p w14:paraId="6AC74F49">
      <w:pPr>
        <w:pStyle w:val="26"/>
        <w:pageBreakBefore w:val="0"/>
        <w:widowControl w:val="0"/>
        <w:kinsoku/>
        <w:wordWrap/>
        <w:overflowPunct/>
        <w:topLinePunct w:val="0"/>
        <w:autoSpaceDE/>
        <w:autoSpaceDN/>
        <w:bidi w:val="0"/>
        <w:spacing w:line="360" w:lineRule="exact"/>
        <w:textAlignment w:val="auto"/>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非单一产品采购项目，多家投标人提供的核心产品品牌相同的，按前两款规定处理。</w:t>
      </w:r>
    </w:p>
    <w:p w14:paraId="705EB6F1">
      <w:pPr>
        <w:pStyle w:val="26"/>
        <w:pageBreakBefore w:val="0"/>
        <w:widowControl w:val="0"/>
        <w:kinsoku/>
        <w:wordWrap/>
        <w:overflowPunct/>
        <w:topLinePunct w:val="0"/>
        <w:autoSpaceDE/>
        <w:autoSpaceDN/>
        <w:bidi w:val="0"/>
        <w:spacing w:line="360" w:lineRule="exact"/>
        <w:textAlignment w:val="auto"/>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 xml:space="preserve"> 8.2如果本采购文件要求提供投标人或制造商的资格、信誉、荣誉、业绩与企业认证等材料的，资格、信誉、荣誉、业绩与企业认证等必须为投标人或者制造商所拥有或自身获得。</w:t>
      </w:r>
    </w:p>
    <w:p w14:paraId="217E9831">
      <w:pPr>
        <w:pStyle w:val="26"/>
        <w:pageBreakBefore w:val="0"/>
        <w:widowControl w:val="0"/>
        <w:kinsoku/>
        <w:wordWrap/>
        <w:overflowPunct/>
        <w:topLinePunct w:val="0"/>
        <w:autoSpaceDE/>
        <w:autoSpaceDN/>
        <w:bidi w:val="0"/>
        <w:spacing w:line="360" w:lineRule="exact"/>
        <w:textAlignment w:val="auto"/>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 xml:space="preserve"> 8.3投标人应仔细阅读采购文件的所有内容，按照采购文件的要求提交投标文件，并对所提供的全部资料的真实性承担法律责任。</w:t>
      </w:r>
    </w:p>
    <w:p w14:paraId="41C8B129">
      <w:pPr>
        <w:pStyle w:val="26"/>
        <w:pageBreakBefore w:val="0"/>
        <w:widowControl w:val="0"/>
        <w:kinsoku/>
        <w:wordWrap/>
        <w:overflowPunct/>
        <w:topLinePunct w:val="0"/>
        <w:autoSpaceDE/>
        <w:autoSpaceDN/>
        <w:bidi w:val="0"/>
        <w:spacing w:line="360" w:lineRule="exact"/>
        <w:textAlignment w:val="auto"/>
        <w:rPr>
          <w:rFonts w:hint="eastAsia"/>
          <w:color w:val="auto"/>
        </w:rPr>
      </w:pPr>
      <w:r>
        <w:rPr>
          <w:rFonts w:hint="eastAsia" w:ascii="宋体" w:hAnsi="宋体" w:eastAsia="宋体" w:cs="宋体"/>
          <w:b w:val="0"/>
          <w:color w:val="auto"/>
          <w:kern w:val="2"/>
          <w:sz w:val="21"/>
          <w:szCs w:val="21"/>
          <w:highlight w:val="none"/>
          <w:lang w:val="en-US" w:eastAsia="zh-CN" w:bidi="ar-SA"/>
        </w:rPr>
        <w:t xml:space="preserve"> 8.4投标人在投标活动中提供任何虚假材料，将报监管部门查处；中标后发现的，中标人须依照《中华人民共和国消费者</w:t>
      </w:r>
      <w:r>
        <w:rPr>
          <w:rFonts w:hint="eastAsia"/>
          <w:color w:val="auto"/>
        </w:rPr>
        <w:t>权益保护法》规定赔偿采购人，且民事赔偿并不免除违法投标人的行政与刑事责任。</w:t>
      </w:r>
    </w:p>
    <w:p w14:paraId="47C872EC">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9.回避与串通投标</w:t>
      </w:r>
    </w:p>
    <w:p w14:paraId="17B1D39B">
      <w:pPr>
        <w:pStyle w:val="6"/>
        <w:pageBreakBefore w:val="0"/>
        <w:widowControl w:val="0"/>
        <w:kinsoku/>
        <w:wordWrap/>
        <w:overflowPunct/>
        <w:topLinePunct w:val="0"/>
        <w:autoSpaceDE/>
        <w:autoSpaceDN/>
        <w:bidi w:val="0"/>
        <w:spacing w:before="0" w:after="0" w:line="360" w:lineRule="exact"/>
        <w:ind w:firstLine="367" w:firstLineChars="175"/>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9.1在政府采购活动中，采购人员及相关人员与供应商有下列利害关系之一的，应当回避：</w:t>
      </w:r>
    </w:p>
    <w:p w14:paraId="447D2C67">
      <w:pPr>
        <w:pStyle w:val="14"/>
        <w:pageBreakBefore w:val="0"/>
        <w:widowControl w:val="0"/>
        <w:kinsoku/>
        <w:wordWrap/>
        <w:overflowPunct/>
        <w:topLinePunct w:val="0"/>
        <w:autoSpaceDE/>
        <w:autoSpaceDN/>
        <w:bidi w:val="0"/>
        <w:snapToGrid w:val="0"/>
        <w:spacing w:line="360" w:lineRule="exact"/>
        <w:ind w:left="2" w:leftChars="1"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（1）参加采购活动前3年内与供应商存在劳动关系；</w:t>
      </w:r>
    </w:p>
    <w:p w14:paraId="1CE2A7DC">
      <w:pPr>
        <w:pStyle w:val="14"/>
        <w:pageBreakBefore w:val="0"/>
        <w:widowControl w:val="0"/>
        <w:kinsoku/>
        <w:wordWrap/>
        <w:overflowPunct/>
        <w:topLinePunct w:val="0"/>
        <w:autoSpaceDE/>
        <w:autoSpaceDN/>
        <w:bidi w:val="0"/>
        <w:snapToGrid w:val="0"/>
        <w:spacing w:line="360" w:lineRule="exact"/>
        <w:ind w:left="2" w:leftChars="1"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（2）参加采购活动前3年内担任供应商的董事、监事；</w:t>
      </w:r>
    </w:p>
    <w:p w14:paraId="6BA50641">
      <w:pPr>
        <w:pStyle w:val="14"/>
        <w:pageBreakBefore w:val="0"/>
        <w:widowControl w:val="0"/>
        <w:kinsoku/>
        <w:wordWrap/>
        <w:overflowPunct/>
        <w:topLinePunct w:val="0"/>
        <w:autoSpaceDE/>
        <w:autoSpaceDN/>
        <w:bidi w:val="0"/>
        <w:snapToGrid w:val="0"/>
        <w:spacing w:line="360" w:lineRule="exact"/>
        <w:ind w:left="2" w:leftChars="1"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（3）参加采购活动前3年内是供应商的控股股东或者实际控制人；</w:t>
      </w:r>
    </w:p>
    <w:p w14:paraId="654D8350">
      <w:pPr>
        <w:pStyle w:val="14"/>
        <w:pageBreakBefore w:val="0"/>
        <w:widowControl w:val="0"/>
        <w:kinsoku/>
        <w:wordWrap/>
        <w:overflowPunct/>
        <w:topLinePunct w:val="0"/>
        <w:autoSpaceDE/>
        <w:autoSpaceDN/>
        <w:bidi w:val="0"/>
        <w:snapToGrid w:val="0"/>
        <w:spacing w:line="360" w:lineRule="exact"/>
        <w:ind w:left="2" w:leftChars="1"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（4）与供应商的法定代表人或者负责人有夫妻、直系血亲、三代以内旁系血亲或者近姻亲关系；</w:t>
      </w:r>
    </w:p>
    <w:p w14:paraId="28BA2627">
      <w:pPr>
        <w:pStyle w:val="14"/>
        <w:pageBreakBefore w:val="0"/>
        <w:widowControl w:val="0"/>
        <w:kinsoku/>
        <w:wordWrap/>
        <w:overflowPunct/>
        <w:topLinePunct w:val="0"/>
        <w:autoSpaceDE/>
        <w:autoSpaceDN/>
        <w:bidi w:val="0"/>
        <w:snapToGrid w:val="0"/>
        <w:spacing w:line="360" w:lineRule="exact"/>
        <w:ind w:left="2" w:leftChars="1"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（5）与供应商有其他可能影响政府采购活动公平、公正进行的关系。</w:t>
      </w:r>
    </w:p>
    <w:p w14:paraId="5479990F">
      <w:pPr>
        <w:pStyle w:val="14"/>
        <w:pageBreakBefore w:val="0"/>
        <w:widowControl w:val="0"/>
        <w:kinsoku/>
        <w:wordWrap/>
        <w:overflowPunct/>
        <w:topLinePunct w:val="0"/>
        <w:autoSpaceDE/>
        <w:autoSpaceDN/>
        <w:bidi w:val="0"/>
        <w:snapToGrid w:val="0"/>
        <w:spacing w:line="360" w:lineRule="exact"/>
        <w:ind w:left="2" w:leftChars="1"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47F28282">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9.2有下列情形之一的视为投标人相互串通投标，投标文件将被视为无效：</w:t>
      </w:r>
    </w:p>
    <w:p w14:paraId="35D4059E">
      <w:pPr>
        <w:pStyle w:val="14"/>
        <w:pageBreakBefore w:val="0"/>
        <w:widowControl w:val="0"/>
        <w:kinsoku/>
        <w:wordWrap/>
        <w:overflowPunct/>
        <w:topLinePunct w:val="0"/>
        <w:autoSpaceDE/>
        <w:autoSpaceDN/>
        <w:bidi w:val="0"/>
        <w:snapToGrid w:val="0"/>
        <w:spacing w:line="360" w:lineRule="exact"/>
        <w:ind w:left="2" w:leftChars="1" w:firstLine="422" w:firstLineChars="200"/>
        <w:textAlignment w:val="auto"/>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（1）不同投标人的投标文件由同一单位或者个人编制；</w:t>
      </w:r>
    </w:p>
    <w:p w14:paraId="3A94D435">
      <w:pPr>
        <w:pStyle w:val="14"/>
        <w:pageBreakBefore w:val="0"/>
        <w:widowControl w:val="0"/>
        <w:kinsoku/>
        <w:wordWrap/>
        <w:overflowPunct/>
        <w:topLinePunct w:val="0"/>
        <w:autoSpaceDE/>
        <w:autoSpaceDN/>
        <w:bidi w:val="0"/>
        <w:snapToGrid w:val="0"/>
        <w:spacing w:line="360" w:lineRule="exact"/>
        <w:ind w:left="2" w:leftChars="1" w:firstLine="422" w:firstLineChars="200"/>
        <w:textAlignment w:val="auto"/>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（2）不同投标人委托同一单位或者个人办理投标事宜；</w:t>
      </w:r>
    </w:p>
    <w:p w14:paraId="548B68E4">
      <w:pPr>
        <w:pStyle w:val="14"/>
        <w:pageBreakBefore w:val="0"/>
        <w:widowControl w:val="0"/>
        <w:kinsoku/>
        <w:wordWrap/>
        <w:overflowPunct/>
        <w:topLinePunct w:val="0"/>
        <w:autoSpaceDE/>
        <w:autoSpaceDN/>
        <w:bidi w:val="0"/>
        <w:snapToGrid w:val="0"/>
        <w:spacing w:line="360" w:lineRule="exact"/>
        <w:ind w:left="2" w:leftChars="1" w:firstLine="422" w:firstLineChars="200"/>
        <w:textAlignment w:val="auto"/>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（3）不同的投标人的投标文件载明的项目管理员为同一个人；</w:t>
      </w:r>
    </w:p>
    <w:p w14:paraId="46E8FEAF">
      <w:pPr>
        <w:pStyle w:val="14"/>
        <w:pageBreakBefore w:val="0"/>
        <w:widowControl w:val="0"/>
        <w:kinsoku/>
        <w:wordWrap/>
        <w:overflowPunct/>
        <w:topLinePunct w:val="0"/>
        <w:autoSpaceDE/>
        <w:autoSpaceDN/>
        <w:bidi w:val="0"/>
        <w:snapToGrid w:val="0"/>
        <w:spacing w:line="360" w:lineRule="exact"/>
        <w:ind w:left="2" w:leftChars="1" w:firstLine="422" w:firstLineChars="200"/>
        <w:textAlignment w:val="auto"/>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（4）不同投标人的投标文件异常一致或者投标报价呈规律性差异；</w:t>
      </w:r>
    </w:p>
    <w:p w14:paraId="21309B22">
      <w:pPr>
        <w:pStyle w:val="14"/>
        <w:pageBreakBefore w:val="0"/>
        <w:widowControl w:val="0"/>
        <w:kinsoku/>
        <w:wordWrap/>
        <w:overflowPunct/>
        <w:topLinePunct w:val="0"/>
        <w:autoSpaceDE/>
        <w:autoSpaceDN/>
        <w:bidi w:val="0"/>
        <w:snapToGrid w:val="0"/>
        <w:spacing w:line="360" w:lineRule="exact"/>
        <w:ind w:left="2" w:leftChars="1" w:firstLine="422" w:firstLineChars="200"/>
        <w:textAlignment w:val="auto"/>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（5）不同投标人的投标文件相互混装。</w:t>
      </w:r>
    </w:p>
    <w:p w14:paraId="14AF58A6">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9.3供应商有下列情形之一的，属于恶意串通行为，将报同级监督管理部门：</w:t>
      </w:r>
    </w:p>
    <w:p w14:paraId="177CFCA7">
      <w:pPr>
        <w:pStyle w:val="14"/>
        <w:pageBreakBefore w:val="0"/>
        <w:widowControl w:val="0"/>
        <w:kinsoku/>
        <w:wordWrap/>
        <w:overflowPunct/>
        <w:topLinePunct w:val="0"/>
        <w:autoSpaceDE/>
        <w:autoSpaceDN/>
        <w:bidi w:val="0"/>
        <w:snapToGrid w:val="0"/>
        <w:spacing w:line="360" w:lineRule="exact"/>
        <w:ind w:left="2" w:leftChars="1"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（1）供应商直接或者间接从采购人或者采购代理机构处获得其他供应商的相关信息并修改其投标文件或者投标文件；</w:t>
      </w:r>
    </w:p>
    <w:p w14:paraId="21DBD1D2">
      <w:pPr>
        <w:pStyle w:val="14"/>
        <w:pageBreakBefore w:val="0"/>
        <w:widowControl w:val="0"/>
        <w:kinsoku/>
        <w:wordWrap/>
        <w:overflowPunct/>
        <w:topLinePunct w:val="0"/>
        <w:autoSpaceDE/>
        <w:autoSpaceDN/>
        <w:bidi w:val="0"/>
        <w:snapToGrid w:val="0"/>
        <w:spacing w:line="360" w:lineRule="exact"/>
        <w:ind w:left="2" w:leftChars="1"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（2）供应商按照采购人或者采购代理机构的授意撤换、修改投标文件或者投标文件；</w:t>
      </w:r>
    </w:p>
    <w:p w14:paraId="29A9F5B5">
      <w:pPr>
        <w:pStyle w:val="14"/>
        <w:pageBreakBefore w:val="0"/>
        <w:widowControl w:val="0"/>
        <w:kinsoku/>
        <w:wordWrap/>
        <w:overflowPunct/>
        <w:topLinePunct w:val="0"/>
        <w:autoSpaceDE/>
        <w:autoSpaceDN/>
        <w:bidi w:val="0"/>
        <w:snapToGrid w:val="0"/>
        <w:spacing w:line="360" w:lineRule="exact"/>
        <w:ind w:left="2" w:leftChars="1"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（3）供应商之间协商报价、技术方案等投标文件或者投标文件的实质性内容；</w:t>
      </w:r>
    </w:p>
    <w:p w14:paraId="7B43B26B">
      <w:pPr>
        <w:pStyle w:val="14"/>
        <w:pageBreakBefore w:val="0"/>
        <w:widowControl w:val="0"/>
        <w:kinsoku/>
        <w:wordWrap/>
        <w:overflowPunct/>
        <w:topLinePunct w:val="0"/>
        <w:autoSpaceDE/>
        <w:autoSpaceDN/>
        <w:bidi w:val="0"/>
        <w:snapToGrid w:val="0"/>
        <w:spacing w:line="360" w:lineRule="exact"/>
        <w:ind w:left="2" w:leftChars="1"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（4）属于同一集团、协会、商会等组织成员的供应商按照该组织要求协同参加政府采购活动；</w:t>
      </w:r>
    </w:p>
    <w:p w14:paraId="5A6738EC">
      <w:pPr>
        <w:pStyle w:val="14"/>
        <w:pageBreakBefore w:val="0"/>
        <w:widowControl w:val="0"/>
        <w:kinsoku/>
        <w:wordWrap/>
        <w:overflowPunct/>
        <w:topLinePunct w:val="0"/>
        <w:autoSpaceDE/>
        <w:autoSpaceDN/>
        <w:bidi w:val="0"/>
        <w:snapToGrid w:val="0"/>
        <w:spacing w:line="360" w:lineRule="exact"/>
        <w:ind w:left="2" w:leftChars="1"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（5）供应商之间事先约定一致抬高或者压低投标报价，或者在</w:t>
      </w:r>
      <w:r>
        <w:rPr>
          <w:rFonts w:hint="eastAsia" w:hAnsi="宋体" w:cs="宋体"/>
          <w:color w:val="auto"/>
          <w:kern w:val="2"/>
          <w:sz w:val="21"/>
          <w:szCs w:val="21"/>
          <w:highlight w:val="none"/>
          <w:lang w:eastAsia="zh-CN"/>
        </w:rPr>
        <w:t>采购</w:t>
      </w:r>
      <w:r>
        <w:rPr>
          <w:rFonts w:hint="eastAsia" w:ascii="宋体" w:hAnsi="宋体" w:eastAsia="宋体" w:cs="宋体"/>
          <w:color w:val="auto"/>
          <w:kern w:val="2"/>
          <w:sz w:val="21"/>
          <w:szCs w:val="21"/>
          <w:highlight w:val="none"/>
        </w:rPr>
        <w:t>项目中事先约定轮流以高价位或者低价位中标，或者事先约定由某一特定供应商中标，然后再参加投标；</w:t>
      </w:r>
    </w:p>
    <w:p w14:paraId="47C9F07C">
      <w:pPr>
        <w:pStyle w:val="14"/>
        <w:pageBreakBefore w:val="0"/>
        <w:widowControl w:val="0"/>
        <w:kinsoku/>
        <w:wordWrap/>
        <w:overflowPunct/>
        <w:topLinePunct w:val="0"/>
        <w:autoSpaceDE/>
        <w:autoSpaceDN/>
        <w:bidi w:val="0"/>
        <w:snapToGrid w:val="0"/>
        <w:spacing w:line="360" w:lineRule="exact"/>
        <w:ind w:left="2" w:leftChars="1"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（6）供应商之间商定部分供应商放弃参加政府采购活动或者放弃中标；</w:t>
      </w:r>
    </w:p>
    <w:p w14:paraId="4F0328AF">
      <w:pPr>
        <w:pStyle w:val="14"/>
        <w:pageBreakBefore w:val="0"/>
        <w:widowControl w:val="0"/>
        <w:kinsoku/>
        <w:wordWrap/>
        <w:overflowPunct/>
        <w:topLinePunct w:val="0"/>
        <w:autoSpaceDE/>
        <w:autoSpaceDN/>
        <w:bidi w:val="0"/>
        <w:snapToGrid w:val="0"/>
        <w:spacing w:line="360" w:lineRule="exact"/>
        <w:ind w:left="2" w:leftChars="1"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（7）供应商与采购人或者采购代理机构之间、供应商相互之间，为谋求特定供应商中标或者排斥其他供应商的其他串通行为。</w:t>
      </w:r>
    </w:p>
    <w:p w14:paraId="3D8FDDBF">
      <w:pPr>
        <w:pStyle w:val="4"/>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auto"/>
          <w:sz w:val="21"/>
          <w:szCs w:val="21"/>
          <w:highlight w:val="none"/>
        </w:rPr>
      </w:pPr>
      <w:bookmarkStart w:id="105" w:name="_Toc254970534"/>
      <w:bookmarkStart w:id="106" w:name="_Toc254970675"/>
      <w:r>
        <w:rPr>
          <w:rFonts w:hint="eastAsia" w:ascii="宋体" w:hAnsi="宋体" w:eastAsia="宋体" w:cs="宋体"/>
          <w:color w:val="auto"/>
          <w:sz w:val="21"/>
          <w:szCs w:val="21"/>
          <w:highlight w:val="none"/>
        </w:rPr>
        <w:t>二、</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w:t>
      </w:r>
      <w:bookmarkEnd w:id="105"/>
      <w:bookmarkEnd w:id="106"/>
    </w:p>
    <w:p w14:paraId="7C370B3F">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文件的组成</w:t>
      </w:r>
    </w:p>
    <w:p w14:paraId="0ADF5563">
      <w:pPr>
        <w:pageBreakBefore w:val="0"/>
        <w:widowControl w:val="0"/>
        <w:kinsoku/>
        <w:wordWrap/>
        <w:overflowPunct/>
        <w:topLinePunct w:val="0"/>
        <w:autoSpaceDE/>
        <w:autoSpaceDN/>
        <w:bidi w:val="0"/>
        <w:snapToGrid w:val="0"/>
        <w:spacing w:line="360" w:lineRule="exact"/>
        <w:ind w:firstLine="42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公告；</w:t>
      </w:r>
    </w:p>
    <w:p w14:paraId="58267602">
      <w:pPr>
        <w:pageBreakBefore w:val="0"/>
        <w:widowControl w:val="0"/>
        <w:kinsoku/>
        <w:wordWrap/>
        <w:overflowPunct/>
        <w:topLinePunct w:val="0"/>
        <w:autoSpaceDE/>
        <w:autoSpaceDN/>
        <w:bidi w:val="0"/>
        <w:snapToGrid w:val="0"/>
        <w:spacing w:line="360" w:lineRule="exact"/>
        <w:ind w:firstLine="42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（2）采购需求；</w:t>
      </w:r>
    </w:p>
    <w:p w14:paraId="2FE69B11">
      <w:pPr>
        <w:pageBreakBefore w:val="0"/>
        <w:widowControl w:val="0"/>
        <w:kinsoku/>
        <w:wordWrap/>
        <w:overflowPunct/>
        <w:topLinePunct w:val="0"/>
        <w:autoSpaceDE/>
        <w:autoSpaceDN/>
        <w:bidi w:val="0"/>
        <w:snapToGrid w:val="0"/>
        <w:spacing w:line="360" w:lineRule="exact"/>
        <w:ind w:firstLine="42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（3）投标人须知；</w:t>
      </w:r>
    </w:p>
    <w:p w14:paraId="4DE31BBE">
      <w:pPr>
        <w:pageBreakBefore w:val="0"/>
        <w:widowControl w:val="0"/>
        <w:kinsoku/>
        <w:wordWrap/>
        <w:overflowPunct/>
        <w:topLinePunct w:val="0"/>
        <w:autoSpaceDE/>
        <w:autoSpaceDN/>
        <w:bidi w:val="0"/>
        <w:snapToGrid w:val="0"/>
        <w:spacing w:line="360" w:lineRule="exact"/>
        <w:ind w:firstLine="42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（4）评标方法及评标标准；</w:t>
      </w:r>
    </w:p>
    <w:p w14:paraId="624B671C">
      <w:pPr>
        <w:pageBreakBefore w:val="0"/>
        <w:widowControl w:val="0"/>
        <w:kinsoku/>
        <w:wordWrap/>
        <w:overflowPunct/>
        <w:topLinePunct w:val="0"/>
        <w:autoSpaceDE/>
        <w:autoSpaceDN/>
        <w:bidi w:val="0"/>
        <w:snapToGrid w:val="0"/>
        <w:spacing w:line="360" w:lineRule="exact"/>
        <w:ind w:firstLine="42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（5）拟签订的合同文本；</w:t>
      </w:r>
    </w:p>
    <w:p w14:paraId="7008D099">
      <w:pPr>
        <w:pageBreakBefore w:val="0"/>
        <w:widowControl w:val="0"/>
        <w:kinsoku/>
        <w:wordWrap/>
        <w:overflowPunct/>
        <w:topLinePunct w:val="0"/>
        <w:autoSpaceDE/>
        <w:autoSpaceDN/>
        <w:bidi w:val="0"/>
        <w:snapToGrid w:val="0"/>
        <w:spacing w:line="360" w:lineRule="exact"/>
        <w:ind w:firstLine="42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（6）投标文件格式。</w:t>
      </w:r>
    </w:p>
    <w:p w14:paraId="18D5411F">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文件的澄清、修改、现场考察和答疑会</w:t>
      </w:r>
    </w:p>
    <w:p w14:paraId="0F476D13">
      <w:pPr>
        <w:pStyle w:val="6"/>
        <w:pageBreakBefore w:val="0"/>
        <w:widowControl w:val="0"/>
        <w:kinsoku/>
        <w:wordWrap/>
        <w:overflowPunct/>
        <w:topLinePunct w:val="0"/>
        <w:autoSpaceDE/>
        <w:autoSpaceDN/>
        <w:bidi w:val="0"/>
        <w:spacing w:before="0" w:after="0" w:line="360" w:lineRule="exact"/>
        <w:ind w:firstLine="315" w:firstLineChars="15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11.1采购人或者采购代理机构可以对已发出的</w:t>
      </w:r>
      <w:r>
        <w:rPr>
          <w:rFonts w:hint="eastAsia" w:ascii="宋体" w:hAnsi="宋体" w:cs="宋体"/>
          <w:b w:val="0"/>
          <w:color w:val="auto"/>
          <w:sz w:val="21"/>
          <w:szCs w:val="21"/>
          <w:highlight w:val="none"/>
          <w:lang w:eastAsia="zh-CN"/>
        </w:rPr>
        <w:t>采购</w:t>
      </w:r>
      <w:r>
        <w:rPr>
          <w:rFonts w:hint="eastAsia" w:ascii="宋体" w:hAnsi="宋体" w:eastAsia="宋体" w:cs="宋体"/>
          <w:b w:val="0"/>
          <w:color w:val="auto"/>
          <w:sz w:val="21"/>
          <w:szCs w:val="21"/>
          <w:highlight w:val="none"/>
        </w:rPr>
        <w:t>文件进行必要的澄清或者修改，但不得改变采购标的和资格条件。澄清或者修改应当在原公告发布媒体上发布澄清公告。澄清或者修改的内容为</w:t>
      </w:r>
      <w:r>
        <w:rPr>
          <w:rFonts w:hint="eastAsia" w:ascii="宋体" w:hAnsi="宋体" w:cs="宋体"/>
          <w:b w:val="0"/>
          <w:color w:val="auto"/>
          <w:sz w:val="21"/>
          <w:szCs w:val="21"/>
          <w:highlight w:val="none"/>
          <w:lang w:eastAsia="zh-CN"/>
        </w:rPr>
        <w:t>采购</w:t>
      </w:r>
      <w:r>
        <w:rPr>
          <w:rFonts w:hint="eastAsia" w:ascii="宋体" w:hAnsi="宋体" w:eastAsia="宋体" w:cs="宋体"/>
          <w:b w:val="0"/>
          <w:color w:val="auto"/>
          <w:sz w:val="21"/>
          <w:szCs w:val="21"/>
          <w:highlight w:val="none"/>
        </w:rPr>
        <w:t>文件的组成部分。</w:t>
      </w:r>
    </w:p>
    <w:p w14:paraId="3F903437">
      <w:pPr>
        <w:pStyle w:val="14"/>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澄清或者修改的内容可能影响投标文件编制的，采购人或者采购代理机构应当在投标截止时间至少15日前，以书面形式通知所有获取</w:t>
      </w:r>
      <w:r>
        <w:rPr>
          <w:rFonts w:hint="eastAsia" w:hAnsi="宋体" w:cs="宋体"/>
          <w:color w:val="auto"/>
          <w:sz w:val="21"/>
          <w:szCs w:val="21"/>
          <w:highlight w:val="none"/>
          <w:lang w:eastAsia="zh-CN"/>
        </w:rPr>
        <w:t>采购</w:t>
      </w:r>
      <w:r>
        <w:rPr>
          <w:rFonts w:hint="eastAsia" w:ascii="宋体" w:hAnsi="宋体" w:eastAsia="宋体" w:cs="宋体"/>
          <w:color w:val="auto"/>
          <w:sz w:val="21"/>
          <w:szCs w:val="21"/>
          <w:highlight w:val="none"/>
        </w:rPr>
        <w:t>文件的潜在投标人；不足15日的，采购人或者采购代理机构应当顺延提交投标文件的截止时间。</w:t>
      </w:r>
    </w:p>
    <w:p w14:paraId="37429944">
      <w:pPr>
        <w:pStyle w:val="14"/>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w:t>
      </w:r>
      <w:bookmarkStart w:id="107" w:name="_Hlk53134511"/>
      <w:r>
        <w:rPr>
          <w:rFonts w:hint="eastAsia" w:ascii="宋体" w:hAnsi="宋体" w:eastAsia="宋体" w:cs="宋体"/>
          <w:color w:val="auto"/>
          <w:sz w:val="21"/>
          <w:szCs w:val="21"/>
          <w:highlight w:val="none"/>
        </w:rPr>
        <w:t>采购人或者采购代理机构可以在</w:t>
      </w:r>
      <w:r>
        <w:rPr>
          <w:rFonts w:hint="eastAsia" w:hAnsi="宋体" w:cs="宋体"/>
          <w:color w:val="auto"/>
          <w:sz w:val="21"/>
          <w:szCs w:val="21"/>
          <w:highlight w:val="none"/>
          <w:lang w:eastAsia="zh-CN"/>
        </w:rPr>
        <w:t>采购</w:t>
      </w:r>
      <w:r>
        <w:rPr>
          <w:rFonts w:hint="eastAsia" w:ascii="宋体" w:hAnsi="宋体" w:eastAsia="宋体" w:cs="宋体"/>
          <w:color w:val="auto"/>
          <w:sz w:val="21"/>
          <w:szCs w:val="21"/>
          <w:highlight w:val="none"/>
        </w:rPr>
        <w:t>文件提供期限截止后，组织已获取</w:t>
      </w:r>
      <w:r>
        <w:rPr>
          <w:rFonts w:hint="eastAsia" w:hAnsi="宋体" w:cs="宋体"/>
          <w:color w:val="auto"/>
          <w:sz w:val="21"/>
          <w:szCs w:val="21"/>
          <w:highlight w:val="none"/>
          <w:lang w:eastAsia="zh-CN"/>
        </w:rPr>
        <w:t>采购</w:t>
      </w:r>
      <w:r>
        <w:rPr>
          <w:rFonts w:hint="eastAsia" w:ascii="宋体" w:hAnsi="宋体" w:eastAsia="宋体" w:cs="宋体"/>
          <w:color w:val="auto"/>
          <w:sz w:val="21"/>
          <w:szCs w:val="21"/>
          <w:highlight w:val="none"/>
        </w:rPr>
        <w:t>文件的潜在投标人现场考察或者召开开标前答疑会，具体详见“投标人须知前附表”。</w:t>
      </w:r>
    </w:p>
    <w:bookmarkEnd w:id="107"/>
    <w:p w14:paraId="2FFEAF5C">
      <w:pPr>
        <w:pStyle w:val="4"/>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auto"/>
          <w:sz w:val="21"/>
          <w:szCs w:val="21"/>
          <w:highlight w:val="none"/>
        </w:rPr>
      </w:pPr>
      <w:bookmarkStart w:id="108" w:name="_Toc254970535"/>
      <w:bookmarkStart w:id="109" w:name="_Toc254970676"/>
      <w:r>
        <w:rPr>
          <w:rFonts w:hint="eastAsia" w:ascii="宋体" w:hAnsi="宋体" w:eastAsia="宋体" w:cs="宋体"/>
          <w:color w:val="auto"/>
          <w:sz w:val="21"/>
          <w:szCs w:val="21"/>
          <w:highlight w:val="none"/>
        </w:rPr>
        <w:t>三、投标文件的编制</w:t>
      </w:r>
      <w:bookmarkEnd w:id="108"/>
      <w:bookmarkEnd w:id="109"/>
    </w:p>
    <w:p w14:paraId="77E2F24C">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bookmarkStart w:id="110" w:name="_Toc254970677"/>
      <w:bookmarkStart w:id="111" w:name="_Toc254970536"/>
      <w:r>
        <w:rPr>
          <w:rFonts w:hint="eastAsia" w:ascii="宋体" w:hAnsi="宋体" w:eastAsia="宋体" w:cs="宋体"/>
          <w:color w:val="auto"/>
          <w:sz w:val="21"/>
          <w:szCs w:val="21"/>
          <w:highlight w:val="none"/>
        </w:rPr>
        <w:t>12.投标文件的编制原则</w:t>
      </w:r>
    </w:p>
    <w:p w14:paraId="756CD24E">
      <w:pPr>
        <w:pageBreakBefore w:val="0"/>
        <w:widowControl w:val="0"/>
        <w:kinsoku/>
        <w:wordWrap/>
        <w:overflowPunct/>
        <w:topLinePunct w:val="0"/>
        <w:autoSpaceDE/>
        <w:autoSpaceDN/>
        <w:bidi w:val="0"/>
        <w:snapToGrid w:val="0"/>
        <w:spacing w:line="360" w:lineRule="exact"/>
        <w:ind w:firstLine="42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投标人必须按照</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文件的要求编制投标文件。投标文件必须对</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文件提出的要求和条件作出明确响应。</w:t>
      </w:r>
    </w:p>
    <w:p w14:paraId="0631E912">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13.投标文件的组成</w:t>
      </w:r>
      <w:bookmarkEnd w:id="110"/>
      <w:bookmarkEnd w:id="111"/>
    </w:p>
    <w:p w14:paraId="7A932F3C">
      <w:pPr>
        <w:pageBreakBefore w:val="0"/>
        <w:widowControl w:val="0"/>
        <w:kinsoku/>
        <w:wordWrap/>
        <w:overflowPunct/>
        <w:topLinePunct w:val="0"/>
        <w:autoSpaceDE/>
        <w:autoSpaceDN/>
        <w:bidi w:val="0"/>
        <w:snapToGrid w:val="0"/>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投标文件由报价文件、资格证明文件、商务文件、技术文件四部分组成。</w:t>
      </w:r>
      <w:bookmarkStart w:id="112" w:name="_13.1报价文件:_具体材料见“投标人须知前附表”。"/>
      <w:bookmarkEnd w:id="112"/>
    </w:p>
    <w:p w14:paraId="7DFAF7FC">
      <w:pPr>
        <w:pageBreakBefore w:val="0"/>
        <w:widowControl w:val="0"/>
        <w:numPr>
          <w:ilvl w:val="0"/>
          <w:numId w:val="5"/>
        </w:numPr>
        <w:kinsoku/>
        <w:wordWrap/>
        <w:overflowPunct/>
        <w:topLinePunct w:val="0"/>
        <w:autoSpaceDE/>
        <w:autoSpaceDN/>
        <w:bidi w:val="0"/>
        <w:snapToGrid w:val="0"/>
        <w:spacing w:line="360" w:lineRule="exact"/>
        <w:ind w:firstLine="420" w:firstLineChars="200"/>
        <w:jc w:val="lef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报价文件：具体材料见“投标人须知前附表”。</w:t>
      </w:r>
      <w:bookmarkStart w:id="113" w:name="_13.2资格证明文件：具体材料见“投标人须知前附表”。"/>
      <w:bookmarkEnd w:id="113"/>
    </w:p>
    <w:p w14:paraId="20EAB0AF">
      <w:pPr>
        <w:pageBreakBefore w:val="0"/>
        <w:widowControl w:val="0"/>
        <w:numPr>
          <w:ilvl w:val="0"/>
          <w:numId w:val="5"/>
        </w:numPr>
        <w:kinsoku/>
        <w:wordWrap/>
        <w:overflowPunct/>
        <w:topLinePunct w:val="0"/>
        <w:autoSpaceDE/>
        <w:autoSpaceDN/>
        <w:bidi w:val="0"/>
        <w:snapToGrid w:val="0"/>
        <w:spacing w:line="360" w:lineRule="exact"/>
        <w:ind w:left="0" w:leftChars="0" w:firstLine="420" w:firstLineChars="200"/>
        <w:jc w:val="lef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资格证明文件：具体材料见“投标人须知前附表”。</w:t>
      </w:r>
      <w:bookmarkStart w:id="114" w:name="_13.3商务文件:_具体材料见“投标人须知前附表”。"/>
      <w:bookmarkEnd w:id="114"/>
    </w:p>
    <w:p w14:paraId="4398A7F2">
      <w:pPr>
        <w:pageBreakBefore w:val="0"/>
        <w:widowControl w:val="0"/>
        <w:numPr>
          <w:ilvl w:val="0"/>
          <w:numId w:val="5"/>
        </w:numPr>
        <w:kinsoku/>
        <w:wordWrap/>
        <w:overflowPunct/>
        <w:topLinePunct w:val="0"/>
        <w:autoSpaceDE/>
        <w:autoSpaceDN/>
        <w:bidi w:val="0"/>
        <w:snapToGrid w:val="0"/>
        <w:spacing w:line="360" w:lineRule="exact"/>
        <w:ind w:left="0" w:leftChars="0" w:firstLine="420" w:firstLineChars="200"/>
        <w:jc w:val="lef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商务文件：具体材料见“投标人须知前附表”。</w:t>
      </w:r>
      <w:bookmarkStart w:id="115" w:name="_13.4技术文件：具体材料见“投标人须知前附表”。"/>
      <w:bookmarkEnd w:id="115"/>
    </w:p>
    <w:p w14:paraId="7DC5B0E9">
      <w:pPr>
        <w:pageBreakBefore w:val="0"/>
        <w:widowControl w:val="0"/>
        <w:numPr>
          <w:ilvl w:val="0"/>
          <w:numId w:val="5"/>
        </w:numPr>
        <w:kinsoku/>
        <w:wordWrap/>
        <w:overflowPunct/>
        <w:topLinePunct w:val="0"/>
        <w:autoSpaceDE/>
        <w:autoSpaceDN/>
        <w:bidi w:val="0"/>
        <w:snapToGrid w:val="0"/>
        <w:spacing w:line="360" w:lineRule="exact"/>
        <w:ind w:left="0" w:leftChars="0" w:firstLine="420" w:firstLineChars="200"/>
        <w:jc w:val="lef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技术文件：具体材料见“投标人须知前附表”。</w:t>
      </w:r>
      <w:bookmarkStart w:id="116" w:name="_13.5投标文件电子版：具体材料见“投标人须知前附表”。"/>
      <w:bookmarkEnd w:id="116"/>
      <w:bookmarkStart w:id="117" w:name="_Toc254970537"/>
      <w:bookmarkStart w:id="118" w:name="_Toc254970678"/>
    </w:p>
    <w:p w14:paraId="59B5372B">
      <w:pPr>
        <w:pageBreakBefore w:val="0"/>
        <w:widowControl w:val="0"/>
        <w:numPr>
          <w:ilvl w:val="0"/>
          <w:numId w:val="6"/>
        </w:numPr>
        <w:kinsoku/>
        <w:wordWrap/>
        <w:overflowPunct/>
        <w:topLinePunct w:val="0"/>
        <w:autoSpaceDE/>
        <w:autoSpaceDN/>
        <w:bidi w:val="0"/>
        <w:snapToGrid w:val="0"/>
        <w:spacing w:line="360" w:lineRule="exact"/>
        <w:ind w:left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投标文件的语言及计量</w:t>
      </w:r>
      <w:bookmarkEnd w:id="117"/>
      <w:bookmarkEnd w:id="118"/>
    </w:p>
    <w:p w14:paraId="336EDEF8">
      <w:pPr>
        <w:pageBreakBefore w:val="0"/>
        <w:widowControl w:val="0"/>
        <w:numPr>
          <w:ilvl w:val="0"/>
          <w:numId w:val="0"/>
        </w:numPr>
        <w:kinsoku/>
        <w:wordWrap/>
        <w:overflowPunct/>
        <w:topLinePunct w:val="0"/>
        <w:autoSpaceDE/>
        <w:autoSpaceDN/>
        <w:bidi w:val="0"/>
        <w:snapToGrid w:val="0"/>
        <w:spacing w:line="360" w:lineRule="exact"/>
        <w:ind w:firstLine="420" w:firstLineChars="200"/>
        <w:jc w:val="lef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14.1语言文字</w:t>
      </w:r>
    </w:p>
    <w:p w14:paraId="251B212B">
      <w:pPr>
        <w:pageBreakBefore w:val="0"/>
        <w:widowControl w:val="0"/>
        <w:numPr>
          <w:ilvl w:val="0"/>
          <w:numId w:val="0"/>
        </w:numPr>
        <w:kinsoku/>
        <w:wordWrap/>
        <w:overflowPunct/>
        <w:topLinePunct w:val="0"/>
        <w:autoSpaceDE/>
        <w:autoSpaceDN/>
        <w:bidi w:val="0"/>
        <w:snapToGrid w:val="0"/>
        <w:spacing w:line="360" w:lineRule="exact"/>
        <w:ind w:firstLine="420" w:firstLineChars="200"/>
        <w:jc w:val="lef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投标文件以及投标人与采购人就有关投标事宜的所有来往函电，均应以中文书写（除专用术语外，与</w:t>
      </w:r>
      <w:r>
        <w:rPr>
          <w:rFonts w:hint="eastAsia" w:ascii="宋体" w:hAnsi="宋体" w:cs="宋体"/>
          <w:b w:val="0"/>
          <w:color w:val="auto"/>
          <w:sz w:val="21"/>
          <w:szCs w:val="21"/>
          <w:highlight w:val="none"/>
          <w:lang w:eastAsia="zh-CN"/>
        </w:rPr>
        <w:t>采购</w:t>
      </w:r>
      <w:r>
        <w:rPr>
          <w:rFonts w:hint="eastAsia" w:ascii="宋体" w:hAnsi="宋体" w:eastAsia="宋体" w:cs="宋体"/>
          <w:b w:val="0"/>
          <w:color w:val="auto"/>
          <w:sz w:val="21"/>
          <w:szCs w:val="21"/>
          <w:highlight w:val="none"/>
        </w:rPr>
        <w:t>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2F0D9E0E">
      <w:pPr>
        <w:pStyle w:val="6"/>
        <w:pageBreakBefore w:val="0"/>
        <w:widowControl w:val="0"/>
        <w:kinsoku/>
        <w:wordWrap/>
        <w:overflowPunct/>
        <w:topLinePunct w:val="0"/>
        <w:autoSpaceDE/>
        <w:autoSpaceDN/>
        <w:bidi w:val="0"/>
        <w:spacing w:before="0" w:after="0" w:line="360" w:lineRule="exact"/>
        <w:ind w:firstLine="420" w:firstLineChars="20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14.2投标计量单位</w:t>
      </w:r>
    </w:p>
    <w:p w14:paraId="00117A69">
      <w:pPr>
        <w:pStyle w:val="6"/>
        <w:pageBreakBefore w:val="0"/>
        <w:widowControl w:val="0"/>
        <w:kinsoku/>
        <w:wordWrap/>
        <w:overflowPunct/>
        <w:topLinePunct w:val="0"/>
        <w:autoSpaceDE/>
        <w:autoSpaceDN/>
        <w:bidi w:val="0"/>
        <w:spacing w:before="0" w:after="0" w:line="360" w:lineRule="exact"/>
        <w:ind w:firstLine="420" w:firstLineChars="200"/>
        <w:textAlignment w:val="auto"/>
        <w:rPr>
          <w:rFonts w:hint="eastAsia" w:ascii="宋体" w:hAnsi="宋体" w:eastAsia="宋体" w:cs="宋体"/>
          <w:b w:val="0"/>
          <w:color w:val="auto"/>
          <w:sz w:val="21"/>
          <w:szCs w:val="21"/>
          <w:highlight w:val="none"/>
        </w:rPr>
      </w:pPr>
      <w:r>
        <w:rPr>
          <w:rFonts w:hint="eastAsia" w:ascii="宋体" w:hAnsi="宋体" w:cs="宋体"/>
          <w:b w:val="0"/>
          <w:color w:val="auto"/>
          <w:sz w:val="21"/>
          <w:szCs w:val="21"/>
          <w:highlight w:val="none"/>
          <w:lang w:eastAsia="zh-CN"/>
        </w:rPr>
        <w:t>采购</w:t>
      </w:r>
      <w:r>
        <w:rPr>
          <w:rFonts w:hint="eastAsia" w:ascii="宋体" w:hAnsi="宋体" w:eastAsia="宋体" w:cs="宋体"/>
          <w:b w:val="0"/>
          <w:color w:val="auto"/>
          <w:sz w:val="21"/>
          <w:szCs w:val="21"/>
          <w:highlight w:val="none"/>
        </w:rPr>
        <w:t>文件已有明确规定的，使用</w:t>
      </w:r>
      <w:r>
        <w:rPr>
          <w:rFonts w:hint="eastAsia" w:ascii="宋体" w:hAnsi="宋体" w:cs="宋体"/>
          <w:b w:val="0"/>
          <w:color w:val="auto"/>
          <w:sz w:val="21"/>
          <w:szCs w:val="21"/>
          <w:highlight w:val="none"/>
          <w:lang w:eastAsia="zh-CN"/>
        </w:rPr>
        <w:t>采购</w:t>
      </w:r>
      <w:r>
        <w:rPr>
          <w:rFonts w:hint="eastAsia" w:ascii="宋体" w:hAnsi="宋体" w:eastAsia="宋体" w:cs="宋体"/>
          <w:b w:val="0"/>
          <w:color w:val="auto"/>
          <w:sz w:val="21"/>
          <w:szCs w:val="21"/>
          <w:highlight w:val="none"/>
        </w:rPr>
        <w:t>文件规定的计量单位；</w:t>
      </w:r>
      <w:r>
        <w:rPr>
          <w:rFonts w:hint="eastAsia" w:ascii="宋体" w:hAnsi="宋体" w:cs="宋体"/>
          <w:b w:val="0"/>
          <w:color w:val="auto"/>
          <w:sz w:val="21"/>
          <w:szCs w:val="21"/>
          <w:highlight w:val="none"/>
          <w:lang w:eastAsia="zh-CN"/>
        </w:rPr>
        <w:t>采购</w:t>
      </w:r>
      <w:r>
        <w:rPr>
          <w:rFonts w:hint="eastAsia" w:ascii="宋体" w:hAnsi="宋体" w:eastAsia="宋体" w:cs="宋体"/>
          <w:b w:val="0"/>
          <w:color w:val="auto"/>
          <w:sz w:val="21"/>
          <w:szCs w:val="21"/>
          <w:highlight w:val="none"/>
        </w:rPr>
        <w:t>文件没有规定的，应采用中华人民共和国法定计量单位，货币种类为人民币，</w:t>
      </w:r>
      <w:r>
        <w:rPr>
          <w:rFonts w:hint="eastAsia" w:ascii="宋体" w:hAnsi="宋体" w:eastAsia="宋体" w:cs="宋体"/>
          <w:color w:val="auto"/>
          <w:sz w:val="21"/>
          <w:szCs w:val="21"/>
          <w:highlight w:val="none"/>
        </w:rPr>
        <w:t>否则视同未响应。</w:t>
      </w:r>
    </w:p>
    <w:p w14:paraId="43904B1E">
      <w:pPr>
        <w:pStyle w:val="6"/>
        <w:pageBreakBefore w:val="0"/>
        <w:widowControl w:val="0"/>
        <w:kinsoku/>
        <w:wordWrap/>
        <w:overflowPunct/>
        <w:topLinePunct w:val="0"/>
        <w:autoSpaceDE/>
        <w:autoSpaceDN/>
        <w:bidi w:val="0"/>
        <w:spacing w:before="0" w:after="0" w:line="360" w:lineRule="exact"/>
        <w:ind w:left="42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15.投标的风险</w:t>
      </w:r>
    </w:p>
    <w:p w14:paraId="4F6040D5">
      <w:pPr>
        <w:pStyle w:val="14"/>
        <w:pageBreakBefore w:val="0"/>
        <w:widowControl w:val="0"/>
        <w:kinsoku/>
        <w:wordWrap/>
        <w:overflowPunct/>
        <w:topLinePunct w:val="0"/>
        <w:autoSpaceDE/>
        <w:autoSpaceDN/>
        <w:bidi w:val="0"/>
        <w:snapToGrid w:val="0"/>
        <w:spacing w:line="360" w:lineRule="exact"/>
        <w:ind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投标人没有按照</w:t>
      </w:r>
      <w:r>
        <w:rPr>
          <w:rFonts w:hint="eastAsia" w:hAnsi="宋体" w:cs="宋体"/>
          <w:color w:val="auto"/>
          <w:sz w:val="21"/>
          <w:szCs w:val="21"/>
          <w:highlight w:val="none"/>
          <w:lang w:eastAsia="zh-CN"/>
        </w:rPr>
        <w:t>采购</w:t>
      </w:r>
      <w:r>
        <w:rPr>
          <w:rFonts w:hint="eastAsia" w:ascii="宋体" w:hAnsi="宋体" w:eastAsia="宋体" w:cs="宋体"/>
          <w:color w:val="auto"/>
          <w:sz w:val="21"/>
          <w:szCs w:val="21"/>
          <w:highlight w:val="none"/>
        </w:rPr>
        <w:t>文件要求提供全部资料，或者投标人没有对</w:t>
      </w:r>
      <w:r>
        <w:rPr>
          <w:rFonts w:hint="eastAsia" w:hAnsi="宋体" w:cs="宋体"/>
          <w:color w:val="auto"/>
          <w:sz w:val="21"/>
          <w:szCs w:val="21"/>
          <w:highlight w:val="none"/>
          <w:lang w:eastAsia="zh-CN"/>
        </w:rPr>
        <w:t>采购</w:t>
      </w:r>
      <w:r>
        <w:rPr>
          <w:rFonts w:hint="eastAsia" w:ascii="宋体" w:hAnsi="宋体" w:eastAsia="宋体" w:cs="宋体"/>
          <w:color w:val="auto"/>
          <w:sz w:val="21"/>
          <w:szCs w:val="21"/>
          <w:highlight w:val="none"/>
        </w:rPr>
        <w:t>文件作出实质性响应是投标人的风险，并可能导致其投标被拒绝。</w:t>
      </w:r>
      <w:bookmarkStart w:id="119" w:name="_Toc254970679"/>
      <w:bookmarkStart w:id="120" w:name="_Toc254970538"/>
    </w:p>
    <w:p w14:paraId="0AEFF321">
      <w:pPr>
        <w:pStyle w:val="14"/>
        <w:pageBreakBefore w:val="0"/>
        <w:widowControl w:val="0"/>
        <w:numPr>
          <w:ilvl w:val="0"/>
          <w:numId w:val="0"/>
        </w:numPr>
        <w:kinsoku/>
        <w:wordWrap/>
        <w:overflowPunct/>
        <w:topLinePunct w:val="0"/>
        <w:autoSpaceDE/>
        <w:autoSpaceDN/>
        <w:bidi w:val="0"/>
        <w:snapToGrid w:val="0"/>
        <w:spacing w:line="360" w:lineRule="exact"/>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lang w:val="en-US" w:eastAsia="zh-CN" w:bidi="ar-SA"/>
        </w:rPr>
        <w:t>16.</w:t>
      </w:r>
      <w:r>
        <w:rPr>
          <w:rFonts w:hint="eastAsia" w:ascii="宋体" w:hAnsi="宋体" w:eastAsia="宋体" w:cs="宋体"/>
          <w:color w:val="auto"/>
          <w:sz w:val="21"/>
          <w:szCs w:val="21"/>
          <w:highlight w:val="none"/>
        </w:rPr>
        <w:t>投标报价</w:t>
      </w:r>
      <w:bookmarkEnd w:id="119"/>
      <w:bookmarkEnd w:id="120"/>
    </w:p>
    <w:p w14:paraId="2D73152B">
      <w:pPr>
        <w:pStyle w:val="14"/>
        <w:pageBreakBefore w:val="0"/>
        <w:widowControl w:val="0"/>
        <w:numPr>
          <w:ilvl w:val="0"/>
          <w:numId w:val="0"/>
        </w:numPr>
        <w:kinsoku/>
        <w:wordWrap/>
        <w:overflowPunct/>
        <w:topLinePunct w:val="0"/>
        <w:autoSpaceDE/>
        <w:autoSpaceDN/>
        <w:bidi w:val="0"/>
        <w:snapToGrid w:val="0"/>
        <w:spacing w:line="360" w:lineRule="exact"/>
        <w:ind w:leftChars="0" w:firstLine="420" w:firstLineChars="200"/>
        <w:jc w:val="lef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16.1投标报价应按“第六章　投标文件格式”中“开标一览表”格式填写。</w:t>
      </w:r>
      <w:bookmarkStart w:id="121" w:name="_16.2投标报价具体定义见投标人须知前附表。"/>
      <w:bookmarkEnd w:id="121"/>
    </w:p>
    <w:p w14:paraId="4E67DB2A">
      <w:pPr>
        <w:pStyle w:val="14"/>
        <w:pageBreakBefore w:val="0"/>
        <w:widowControl w:val="0"/>
        <w:numPr>
          <w:ilvl w:val="0"/>
          <w:numId w:val="0"/>
        </w:numPr>
        <w:kinsoku/>
        <w:wordWrap/>
        <w:overflowPunct/>
        <w:topLinePunct w:val="0"/>
        <w:autoSpaceDE/>
        <w:autoSpaceDN/>
        <w:bidi w:val="0"/>
        <w:snapToGrid w:val="0"/>
        <w:spacing w:line="360" w:lineRule="exact"/>
        <w:ind w:leftChars="0" w:firstLine="420" w:firstLineChars="200"/>
        <w:jc w:val="lef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16.2投标报价具体包括内容详见“投标人须知前附表”。</w:t>
      </w:r>
    </w:p>
    <w:p w14:paraId="4118A79F">
      <w:pPr>
        <w:pStyle w:val="14"/>
        <w:pageBreakBefore w:val="0"/>
        <w:widowControl w:val="0"/>
        <w:numPr>
          <w:ilvl w:val="0"/>
          <w:numId w:val="0"/>
        </w:numPr>
        <w:kinsoku/>
        <w:wordWrap/>
        <w:overflowPunct/>
        <w:topLinePunct w:val="0"/>
        <w:autoSpaceDE/>
        <w:autoSpaceDN/>
        <w:bidi w:val="0"/>
        <w:snapToGrid w:val="0"/>
        <w:spacing w:line="360" w:lineRule="exact"/>
        <w:ind w:leftChars="0" w:firstLine="420" w:firstLineChars="200"/>
        <w:jc w:val="lef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16.3投标人必须就所投每个分标的全部内容分别作完整唯一总价报价，不得存在漏项报价；投标人必须就所投分标的单项内容作唯一报价。</w:t>
      </w:r>
    </w:p>
    <w:p w14:paraId="09C4455D">
      <w:pPr>
        <w:pStyle w:val="14"/>
        <w:pageBreakBefore w:val="0"/>
        <w:widowControl w:val="0"/>
        <w:numPr>
          <w:ilvl w:val="0"/>
          <w:numId w:val="0"/>
        </w:numPr>
        <w:kinsoku/>
        <w:wordWrap/>
        <w:overflowPunct/>
        <w:topLinePunct w:val="0"/>
        <w:autoSpaceDE/>
        <w:autoSpaceDN/>
        <w:bidi w:val="0"/>
        <w:snapToGrid w:val="0"/>
        <w:spacing w:line="36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lang w:val="en-US" w:eastAsia="zh-CN" w:bidi="ar-SA"/>
        </w:rPr>
        <w:t>17.</w:t>
      </w:r>
      <w:r>
        <w:rPr>
          <w:rFonts w:hint="eastAsia" w:ascii="宋体" w:hAnsi="宋体" w:eastAsia="宋体" w:cs="宋体"/>
          <w:color w:val="auto"/>
          <w:sz w:val="21"/>
          <w:szCs w:val="21"/>
          <w:highlight w:val="none"/>
        </w:rPr>
        <w:t>投标有效期</w:t>
      </w:r>
      <w:bookmarkStart w:id="122" w:name="_17.1投标有效期应按“投标人须知中的前附表”规定的期限。"/>
      <w:bookmarkEnd w:id="122"/>
    </w:p>
    <w:p w14:paraId="4AFD3EFC">
      <w:pPr>
        <w:pStyle w:val="14"/>
        <w:pageBreakBefore w:val="0"/>
        <w:widowControl w:val="0"/>
        <w:numPr>
          <w:ilvl w:val="0"/>
          <w:numId w:val="0"/>
        </w:numPr>
        <w:kinsoku/>
        <w:wordWrap/>
        <w:overflowPunct/>
        <w:topLinePunct w:val="0"/>
        <w:autoSpaceDE/>
        <w:autoSpaceDN/>
        <w:bidi w:val="0"/>
        <w:snapToGrid w:val="0"/>
        <w:spacing w:line="360" w:lineRule="exact"/>
        <w:ind w:leftChars="0" w:firstLine="420" w:firstLineChars="200"/>
        <w:jc w:val="lef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17.1投标有效期是指为保证采购人有足够的时间在开标后完成评标、定标、合同签订等工作而要求投标人提交的投标文件在一定时间内保持有效的期限。</w:t>
      </w:r>
    </w:p>
    <w:p w14:paraId="27958B42">
      <w:pPr>
        <w:pStyle w:val="14"/>
        <w:pageBreakBefore w:val="0"/>
        <w:widowControl w:val="0"/>
        <w:numPr>
          <w:ilvl w:val="0"/>
          <w:numId w:val="0"/>
        </w:numPr>
        <w:kinsoku/>
        <w:wordWrap/>
        <w:overflowPunct/>
        <w:topLinePunct w:val="0"/>
        <w:autoSpaceDE/>
        <w:autoSpaceDN/>
        <w:bidi w:val="0"/>
        <w:snapToGrid w:val="0"/>
        <w:spacing w:line="360" w:lineRule="exact"/>
        <w:ind w:leftChars="0" w:firstLine="420" w:firstLineChars="200"/>
        <w:jc w:val="lef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17.2</w:t>
      </w:r>
      <w:bookmarkStart w:id="123" w:name="_Toc254970681"/>
      <w:bookmarkStart w:id="124" w:name="_Toc254970540"/>
      <w:r>
        <w:rPr>
          <w:rFonts w:hint="eastAsia" w:ascii="宋体" w:hAnsi="宋体" w:eastAsia="宋体" w:cs="宋体"/>
          <w:b w:val="0"/>
          <w:color w:val="auto"/>
          <w:sz w:val="21"/>
          <w:szCs w:val="21"/>
          <w:highlight w:val="none"/>
        </w:rPr>
        <w:t>投标有效期应按规定的期限作出承诺，具体详见“投标人须知前附表”。</w:t>
      </w:r>
    </w:p>
    <w:p w14:paraId="026E863D">
      <w:pPr>
        <w:pStyle w:val="14"/>
        <w:pageBreakBefore w:val="0"/>
        <w:widowControl w:val="0"/>
        <w:numPr>
          <w:ilvl w:val="0"/>
          <w:numId w:val="0"/>
        </w:numPr>
        <w:kinsoku/>
        <w:wordWrap/>
        <w:overflowPunct/>
        <w:topLinePunct w:val="0"/>
        <w:autoSpaceDE/>
        <w:autoSpaceDN/>
        <w:bidi w:val="0"/>
        <w:snapToGrid w:val="0"/>
        <w:spacing w:line="360" w:lineRule="exact"/>
        <w:ind w:leftChars="0" w:firstLine="420" w:firstLineChars="200"/>
        <w:jc w:val="lef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17.3投标人的投标文件在投标有效期内均保持有效。</w:t>
      </w:r>
      <w:bookmarkEnd w:id="123"/>
      <w:bookmarkEnd w:id="124"/>
      <w:bookmarkStart w:id="125" w:name="_18.投标保证金"/>
      <w:bookmarkEnd w:id="125"/>
      <w:bookmarkStart w:id="126" w:name="_Toc254970541"/>
      <w:bookmarkStart w:id="127" w:name="_Toc254970682"/>
    </w:p>
    <w:p w14:paraId="0369AC5A">
      <w:pPr>
        <w:pStyle w:val="14"/>
        <w:pageBreakBefore w:val="0"/>
        <w:widowControl w:val="0"/>
        <w:numPr>
          <w:ilvl w:val="0"/>
          <w:numId w:val="0"/>
        </w:numPr>
        <w:kinsoku/>
        <w:wordWrap/>
        <w:overflowPunct/>
        <w:topLinePunct w:val="0"/>
        <w:autoSpaceDE/>
        <w:autoSpaceDN/>
        <w:bidi w:val="0"/>
        <w:snapToGrid w:val="0"/>
        <w:spacing w:line="360" w:lineRule="exact"/>
        <w:ind w:left="0" w:leftChars="0" w:firstLine="420" w:firstLineChars="200"/>
        <w:jc w:val="lef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kern w:val="0"/>
          <w:sz w:val="21"/>
          <w:szCs w:val="21"/>
          <w:lang w:val="en-US" w:eastAsia="zh-CN" w:bidi="ar-SA"/>
        </w:rPr>
        <w:t>18.</w:t>
      </w:r>
      <w:r>
        <w:rPr>
          <w:rFonts w:hint="eastAsia" w:ascii="宋体" w:hAnsi="宋体" w:eastAsia="宋体" w:cs="宋体"/>
          <w:color w:val="auto"/>
          <w:sz w:val="21"/>
          <w:szCs w:val="21"/>
          <w:highlight w:val="none"/>
        </w:rPr>
        <w:t>投标保证金</w:t>
      </w:r>
      <w:bookmarkEnd w:id="126"/>
      <w:bookmarkEnd w:id="127"/>
      <w:r>
        <w:rPr>
          <w:rFonts w:hint="eastAsia" w:ascii="宋体" w:hAnsi="宋体" w:eastAsia="宋体" w:cs="宋体"/>
          <w:color w:val="auto"/>
          <w:sz w:val="21"/>
          <w:szCs w:val="21"/>
          <w:highlight w:val="none"/>
        </w:rPr>
        <w:t>：</w:t>
      </w:r>
      <w:r>
        <w:rPr>
          <w:rFonts w:hint="eastAsia" w:ascii="宋体" w:hAnsi="宋体" w:eastAsia="宋体" w:cs="宋体"/>
          <w:b w:val="0"/>
          <w:color w:val="auto"/>
          <w:sz w:val="21"/>
          <w:szCs w:val="21"/>
          <w:highlight w:val="none"/>
        </w:rPr>
        <w:t>本项目不收取投标保证金。</w:t>
      </w:r>
      <w:bookmarkStart w:id="128" w:name="_Toc254970683"/>
      <w:bookmarkStart w:id="129" w:name="_Toc254970542"/>
    </w:p>
    <w:p w14:paraId="594AA17B">
      <w:pPr>
        <w:pStyle w:val="14"/>
        <w:pageBreakBefore w:val="0"/>
        <w:widowControl w:val="0"/>
        <w:numPr>
          <w:ilvl w:val="0"/>
          <w:numId w:val="0"/>
        </w:numPr>
        <w:kinsoku/>
        <w:wordWrap/>
        <w:overflowPunct/>
        <w:topLinePunct w:val="0"/>
        <w:autoSpaceDE/>
        <w:autoSpaceDN/>
        <w:bidi w:val="0"/>
        <w:snapToGrid w:val="0"/>
        <w:spacing w:line="36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lang w:val="en-US" w:eastAsia="zh-CN" w:bidi="ar-SA"/>
        </w:rPr>
        <w:t>19.</w:t>
      </w:r>
      <w:r>
        <w:rPr>
          <w:rFonts w:hint="eastAsia" w:ascii="宋体" w:hAnsi="宋体" w:eastAsia="宋体" w:cs="宋体"/>
          <w:color w:val="auto"/>
          <w:sz w:val="21"/>
          <w:szCs w:val="21"/>
          <w:highlight w:val="none"/>
        </w:rPr>
        <w:t>投标文件的</w:t>
      </w:r>
      <w:bookmarkEnd w:id="128"/>
      <w:bookmarkEnd w:id="129"/>
      <w:r>
        <w:rPr>
          <w:rFonts w:hint="eastAsia" w:ascii="宋体" w:hAnsi="宋体" w:eastAsia="宋体" w:cs="宋体"/>
          <w:color w:val="auto"/>
          <w:sz w:val="21"/>
          <w:szCs w:val="21"/>
          <w:highlight w:val="none"/>
        </w:rPr>
        <w:t>编制</w:t>
      </w:r>
    </w:p>
    <w:p w14:paraId="16458F9A">
      <w:pPr>
        <w:pStyle w:val="14"/>
        <w:pageBreakBefore w:val="0"/>
        <w:widowControl w:val="0"/>
        <w:numPr>
          <w:ilvl w:val="0"/>
          <w:numId w:val="0"/>
        </w:numPr>
        <w:kinsoku/>
        <w:wordWrap/>
        <w:overflowPunct/>
        <w:topLinePunct w:val="0"/>
        <w:autoSpaceDE/>
        <w:autoSpaceDN/>
        <w:bidi w:val="0"/>
        <w:snapToGrid w:val="0"/>
        <w:spacing w:line="360" w:lineRule="exact"/>
        <w:ind w:leftChars="0" w:firstLine="420" w:firstLineChars="200"/>
        <w:jc w:val="lef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19.1投标人应先安装“政采云电子投标客户端”（请自行前往</w:t>
      </w:r>
      <w:r>
        <w:rPr>
          <w:rFonts w:hint="eastAsia" w:ascii="宋体" w:hAnsi="宋体" w:eastAsia="宋体" w:cs="宋体"/>
          <w:b w:val="0"/>
          <w:color w:val="auto"/>
          <w:sz w:val="21"/>
          <w:szCs w:val="21"/>
          <w:highlight w:val="none"/>
          <w:lang w:eastAsia="zh-CN"/>
        </w:rPr>
        <w:t>广西政府采购云平台</w:t>
      </w:r>
      <w:r>
        <w:rPr>
          <w:rFonts w:hint="eastAsia" w:ascii="宋体" w:hAnsi="宋体" w:eastAsia="宋体" w:cs="宋体"/>
          <w:b w:val="0"/>
          <w:color w:val="auto"/>
          <w:sz w:val="21"/>
          <w:szCs w:val="21"/>
          <w:highlight w:val="none"/>
        </w:rPr>
        <w:t>进行下载），并按照本项目</w:t>
      </w:r>
      <w:r>
        <w:rPr>
          <w:rFonts w:hint="eastAsia" w:ascii="宋体" w:hAnsi="宋体" w:cs="宋体"/>
          <w:b w:val="0"/>
          <w:color w:val="auto"/>
          <w:sz w:val="21"/>
          <w:szCs w:val="21"/>
          <w:highlight w:val="none"/>
          <w:lang w:eastAsia="zh-CN"/>
        </w:rPr>
        <w:t>采购</w:t>
      </w:r>
      <w:r>
        <w:rPr>
          <w:rFonts w:hint="eastAsia" w:ascii="宋体" w:hAnsi="宋体" w:eastAsia="宋体" w:cs="宋体"/>
          <w:b w:val="0"/>
          <w:color w:val="auto"/>
          <w:sz w:val="21"/>
          <w:szCs w:val="21"/>
          <w:highlight w:val="none"/>
        </w:rPr>
        <w:t>文件规定的格式和顺序和</w:t>
      </w:r>
      <w:r>
        <w:rPr>
          <w:rFonts w:hint="eastAsia" w:ascii="宋体" w:hAnsi="宋体" w:eastAsia="宋体" w:cs="宋体"/>
          <w:b w:val="0"/>
          <w:color w:val="auto"/>
          <w:sz w:val="21"/>
          <w:szCs w:val="21"/>
          <w:highlight w:val="none"/>
          <w:lang w:eastAsia="zh-CN"/>
        </w:rPr>
        <w:t>广西政府采购云平台</w:t>
      </w:r>
      <w:r>
        <w:rPr>
          <w:rFonts w:hint="eastAsia" w:ascii="宋体" w:hAnsi="宋体" w:eastAsia="宋体" w:cs="宋体"/>
          <w:b w:val="0"/>
          <w:color w:val="auto"/>
          <w:sz w:val="21"/>
          <w:szCs w:val="21"/>
          <w:highlight w:val="none"/>
        </w:rPr>
        <w:t>的要求编制并加密。投标文件内容不完整、编排混乱导致投标文件被误读、漏读或者查找不到相关内容的，由此引发的后果由投标人承担。</w:t>
      </w:r>
      <w:bookmarkStart w:id="130" w:name="_19.2投标文件应按报价文件、资格证明文件、商务文件、技术文件分别编制"/>
      <w:bookmarkEnd w:id="130"/>
    </w:p>
    <w:p w14:paraId="0B621A2C">
      <w:pPr>
        <w:pStyle w:val="14"/>
        <w:pageBreakBefore w:val="0"/>
        <w:widowControl w:val="0"/>
        <w:numPr>
          <w:ilvl w:val="0"/>
          <w:numId w:val="0"/>
        </w:numPr>
        <w:kinsoku/>
        <w:wordWrap/>
        <w:overflowPunct/>
        <w:topLinePunct w:val="0"/>
        <w:autoSpaceDE/>
        <w:autoSpaceDN/>
        <w:bidi w:val="0"/>
        <w:snapToGrid w:val="0"/>
        <w:spacing w:line="360" w:lineRule="exact"/>
        <w:ind w:leftChars="0" w:firstLine="420" w:firstLineChars="200"/>
        <w:jc w:val="lef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19.2为确保网上操作合法、有效和安全，投标人应当在投标截止时间前完成在</w:t>
      </w:r>
      <w:r>
        <w:rPr>
          <w:rFonts w:hint="eastAsia" w:ascii="宋体" w:hAnsi="宋体" w:eastAsia="宋体" w:cs="宋体"/>
          <w:b w:val="0"/>
          <w:color w:val="auto"/>
          <w:sz w:val="21"/>
          <w:szCs w:val="21"/>
          <w:highlight w:val="none"/>
          <w:lang w:eastAsia="zh-CN"/>
        </w:rPr>
        <w:t>广西政府采购云平台</w:t>
      </w:r>
      <w:r>
        <w:rPr>
          <w:rFonts w:hint="eastAsia" w:ascii="宋体" w:hAnsi="宋体" w:eastAsia="宋体" w:cs="宋体"/>
          <w:b w:val="0"/>
          <w:color w:val="auto"/>
          <w:sz w:val="21"/>
          <w:szCs w:val="21"/>
          <w:highlight w:val="none"/>
        </w:rPr>
        <w:t>的身份认证，确保在电子投标过程中能够对相关数据电文进行加密和使用电子签章。</w:t>
      </w:r>
    </w:p>
    <w:p w14:paraId="3D3836CF">
      <w:pPr>
        <w:pStyle w:val="14"/>
        <w:pageBreakBefore w:val="0"/>
        <w:widowControl w:val="0"/>
        <w:numPr>
          <w:ilvl w:val="0"/>
          <w:numId w:val="0"/>
        </w:numPr>
        <w:kinsoku/>
        <w:wordWrap/>
        <w:overflowPunct/>
        <w:topLinePunct w:val="0"/>
        <w:autoSpaceDE/>
        <w:autoSpaceDN/>
        <w:bidi w:val="0"/>
        <w:snapToGrid w:val="0"/>
        <w:spacing w:line="360" w:lineRule="exact"/>
        <w:ind w:leftChars="0" w:firstLine="420" w:firstLineChars="200"/>
        <w:jc w:val="lef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19.3投标文件须由投标人在规定位置签字（或者电子签名）、盖章（具体以投标人须知前附表或投标文件格式规定为准），</w:t>
      </w:r>
      <w:r>
        <w:rPr>
          <w:rFonts w:hint="eastAsia" w:ascii="宋体" w:hAnsi="宋体" w:eastAsia="宋体" w:cs="宋体"/>
          <w:bCs/>
          <w:color w:val="auto"/>
          <w:sz w:val="21"/>
          <w:szCs w:val="21"/>
          <w:highlight w:val="none"/>
        </w:rPr>
        <w:t>否则按无效投标处理</w:t>
      </w:r>
      <w:r>
        <w:rPr>
          <w:rFonts w:hint="eastAsia" w:ascii="宋体" w:hAnsi="宋体" w:eastAsia="宋体" w:cs="宋体"/>
          <w:b w:val="0"/>
          <w:color w:val="auto"/>
          <w:sz w:val="21"/>
          <w:szCs w:val="21"/>
          <w:highlight w:val="none"/>
        </w:rPr>
        <w:t>。</w:t>
      </w:r>
    </w:p>
    <w:p w14:paraId="3B28C146">
      <w:pPr>
        <w:pStyle w:val="14"/>
        <w:pageBreakBefore w:val="0"/>
        <w:widowControl w:val="0"/>
        <w:numPr>
          <w:ilvl w:val="0"/>
          <w:numId w:val="0"/>
        </w:numPr>
        <w:kinsoku/>
        <w:wordWrap/>
        <w:overflowPunct/>
        <w:topLinePunct w:val="0"/>
        <w:autoSpaceDE/>
        <w:autoSpaceDN/>
        <w:bidi w:val="0"/>
        <w:snapToGrid w:val="0"/>
        <w:spacing w:line="360" w:lineRule="exact"/>
        <w:ind w:leftChars="0" w:firstLine="420" w:firstLineChars="200"/>
        <w:jc w:val="lef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19.4投标文件中标注的投标人名称应与主体资格证明（如营业执照或者事业单位法人证书或者执业许可证或者登记证书等）及公章一致，并与“政采云”中获取</w:t>
      </w:r>
      <w:r>
        <w:rPr>
          <w:rFonts w:hint="eastAsia" w:ascii="宋体" w:hAnsi="宋体" w:cs="宋体"/>
          <w:b w:val="0"/>
          <w:color w:val="auto"/>
          <w:sz w:val="21"/>
          <w:szCs w:val="21"/>
          <w:highlight w:val="none"/>
          <w:lang w:eastAsia="zh-CN"/>
        </w:rPr>
        <w:t>采购</w:t>
      </w:r>
      <w:r>
        <w:rPr>
          <w:rFonts w:hint="eastAsia" w:ascii="宋体" w:hAnsi="宋体" w:eastAsia="宋体" w:cs="宋体"/>
          <w:b w:val="0"/>
          <w:color w:val="auto"/>
          <w:sz w:val="21"/>
          <w:szCs w:val="21"/>
          <w:highlight w:val="none"/>
        </w:rPr>
        <w:t>文件的投标人名称一致，投标人为自然人的，标注的投标人名称应与身份证姓名及签名一致，</w:t>
      </w:r>
      <w:r>
        <w:rPr>
          <w:rFonts w:hint="eastAsia" w:ascii="宋体" w:hAnsi="宋体" w:eastAsia="宋体" w:cs="宋体"/>
          <w:color w:val="auto"/>
          <w:sz w:val="21"/>
          <w:szCs w:val="21"/>
          <w:highlight w:val="none"/>
        </w:rPr>
        <w:t>否则按无效投标处理</w:t>
      </w:r>
      <w:r>
        <w:rPr>
          <w:rFonts w:hint="eastAsia" w:ascii="宋体" w:hAnsi="宋体" w:eastAsia="宋体" w:cs="宋体"/>
          <w:b w:val="0"/>
          <w:color w:val="auto"/>
          <w:sz w:val="21"/>
          <w:szCs w:val="21"/>
          <w:highlight w:val="none"/>
        </w:rPr>
        <w:t>。</w:t>
      </w:r>
    </w:p>
    <w:p w14:paraId="236B52F6">
      <w:pPr>
        <w:pStyle w:val="6"/>
        <w:pageBreakBefore w:val="0"/>
        <w:widowControl w:val="0"/>
        <w:kinsoku/>
        <w:wordWrap/>
        <w:overflowPunct/>
        <w:topLinePunct w:val="0"/>
        <w:autoSpaceDE/>
        <w:autoSpaceDN/>
        <w:bidi w:val="0"/>
        <w:spacing w:before="0" w:after="0" w:line="360" w:lineRule="exact"/>
        <w:ind w:firstLine="315" w:firstLineChars="15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671C139A">
      <w:pPr>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20.电子备份投标文件</w:t>
      </w:r>
    </w:p>
    <w:p w14:paraId="14FD97EC">
      <w:pPr>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电子备份投标文件是指通过“政采云电子投标客户端”在线编制生成且后缀名为“bfbs”的文件，是否接受电子备份投标文件</w:t>
      </w:r>
      <w:r>
        <w:rPr>
          <w:rFonts w:hint="eastAsia" w:ascii="宋体" w:hAnsi="宋体" w:eastAsia="宋体" w:cs="宋体"/>
          <w:bCs/>
          <w:color w:val="auto"/>
          <w:sz w:val="21"/>
          <w:szCs w:val="21"/>
          <w:highlight w:val="none"/>
        </w:rPr>
        <w:t>详见在“投标人须知前附表”。</w:t>
      </w:r>
    </w:p>
    <w:p w14:paraId="3C5C40F4">
      <w:pPr>
        <w:pageBreakBefore w:val="0"/>
        <w:widowControl w:val="0"/>
        <w:numPr>
          <w:ilvl w:val="0"/>
          <w:numId w:val="7"/>
        </w:numPr>
        <w:kinsoku/>
        <w:wordWrap/>
        <w:overflowPunct/>
        <w:topLinePunct w:val="0"/>
        <w:autoSpaceDE/>
        <w:autoSpaceDN/>
        <w:bidi w:val="0"/>
        <w:spacing w:line="36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投标文件的提交</w:t>
      </w:r>
      <w:bookmarkStart w:id="131" w:name="_21.1投标人必须在“投标人须知中的前附表”规定的投标文件接收时间和投"/>
      <w:bookmarkEnd w:id="131"/>
    </w:p>
    <w:p w14:paraId="6BBF84E3">
      <w:pPr>
        <w:pageBreakBefore w:val="0"/>
        <w:widowControl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Cs/>
          <w:color w:val="auto"/>
          <w:sz w:val="21"/>
          <w:szCs w:val="21"/>
          <w:highlight w:val="none"/>
        </w:rPr>
        <w:t>21.1投标人必须在“投标人须知前附表”规定的</w:t>
      </w:r>
      <w:r>
        <w:rPr>
          <w:rFonts w:hint="eastAsia" w:ascii="宋体" w:hAnsi="宋体" w:eastAsia="宋体" w:cs="宋体"/>
          <w:color w:val="auto"/>
          <w:sz w:val="21"/>
          <w:szCs w:val="21"/>
          <w:highlight w:val="none"/>
        </w:rPr>
        <w:t>投标文件提交截止时间前将</w:t>
      </w:r>
      <w:r>
        <w:rPr>
          <w:rFonts w:hint="eastAsia" w:ascii="宋体" w:hAnsi="宋体" w:eastAsia="宋体" w:cs="宋体"/>
          <w:bCs/>
          <w:color w:val="auto"/>
          <w:sz w:val="21"/>
          <w:szCs w:val="21"/>
          <w:highlight w:val="none"/>
        </w:rPr>
        <w:t>电子投标文件提交至投标地点。电子投标文件应在制作完成后，在投标截止时间前通过有效数字证书（CA认证锁）进行电子签章、加密，然后通过网络将加密的电子投标文件递交至</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bCs/>
          <w:color w:val="auto"/>
          <w:sz w:val="21"/>
          <w:szCs w:val="21"/>
          <w:highlight w:val="none"/>
        </w:rPr>
        <w:t>。</w:t>
      </w:r>
    </w:p>
    <w:p w14:paraId="30B0E5FB">
      <w:pPr>
        <w:pageBreakBefore w:val="0"/>
        <w:widowControl w:val="0"/>
        <w:kinsoku/>
        <w:wordWrap/>
        <w:overflowPunct/>
        <w:topLinePunct w:val="0"/>
        <w:autoSpaceDE/>
        <w:autoSpaceDN/>
        <w:bidi w:val="0"/>
        <w:spacing w:line="360" w:lineRule="exact"/>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21.2未在规定时间内提交或者未按照</w:t>
      </w:r>
      <w:r>
        <w:rPr>
          <w:rFonts w:hint="eastAsia" w:ascii="宋体" w:hAnsi="宋体" w:cs="宋体"/>
          <w:b/>
          <w:color w:val="auto"/>
          <w:sz w:val="21"/>
          <w:szCs w:val="21"/>
          <w:highlight w:val="none"/>
          <w:lang w:eastAsia="zh-CN"/>
        </w:rPr>
        <w:t>采购</w:t>
      </w:r>
      <w:r>
        <w:rPr>
          <w:rFonts w:hint="eastAsia" w:ascii="宋体" w:hAnsi="宋体" w:eastAsia="宋体" w:cs="宋体"/>
          <w:b/>
          <w:color w:val="auto"/>
          <w:sz w:val="21"/>
          <w:szCs w:val="21"/>
          <w:highlight w:val="none"/>
        </w:rPr>
        <w:t>文件要求加密的电子投标文件，</w:t>
      </w:r>
      <w:r>
        <w:rPr>
          <w:rFonts w:hint="eastAsia" w:ascii="宋体" w:hAnsi="宋体" w:eastAsia="宋体" w:cs="宋体"/>
          <w:b/>
          <w:color w:val="auto"/>
          <w:sz w:val="21"/>
          <w:szCs w:val="21"/>
          <w:highlight w:val="none"/>
          <w:lang w:eastAsia="zh-CN"/>
        </w:rPr>
        <w:t>广西政府采购云平台</w:t>
      </w:r>
      <w:r>
        <w:rPr>
          <w:rFonts w:hint="eastAsia" w:ascii="宋体" w:hAnsi="宋体" w:eastAsia="宋体" w:cs="宋体"/>
          <w:b/>
          <w:color w:val="auto"/>
          <w:sz w:val="21"/>
          <w:szCs w:val="21"/>
          <w:highlight w:val="none"/>
        </w:rPr>
        <w:t>将拒收。</w:t>
      </w:r>
    </w:p>
    <w:p w14:paraId="2CD5763F">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22.投标文件的补充、修改、撤回与退回</w:t>
      </w:r>
    </w:p>
    <w:p w14:paraId="31361329">
      <w:pPr>
        <w:pageBreakBefore w:val="0"/>
        <w:widowControl w:val="0"/>
        <w:kinsoku/>
        <w:wordWrap/>
        <w:overflowPunct/>
        <w:topLinePunct w:val="0"/>
        <w:autoSpaceDE/>
        <w:autoSpaceDN/>
        <w:bidi w:val="0"/>
        <w:snapToGrid w:val="0"/>
        <w:spacing w:line="360" w:lineRule="exact"/>
        <w:ind w:firstLine="420"/>
        <w:jc w:val="left"/>
        <w:textAlignment w:val="auto"/>
        <w:rPr>
          <w:rFonts w:hint="eastAsia" w:ascii="宋体" w:hAnsi="宋体" w:eastAsia="宋体" w:cs="宋体"/>
          <w:color w:val="auto"/>
          <w:sz w:val="21"/>
          <w:szCs w:val="21"/>
          <w:highlight w:val="none"/>
        </w:rPr>
      </w:pPr>
      <w:bookmarkStart w:id="132" w:name="_Toc254970684"/>
      <w:bookmarkStart w:id="133" w:name="_Toc254970543"/>
      <w:r>
        <w:rPr>
          <w:rFonts w:hint="eastAsia" w:ascii="宋体" w:hAnsi="宋体" w:eastAsia="宋体" w:cs="宋体"/>
          <w:color w:val="auto"/>
          <w:sz w:val="21"/>
          <w:szCs w:val="21"/>
          <w:highlight w:val="none"/>
        </w:rPr>
        <w:t>22.1</w:t>
      </w:r>
      <w:r>
        <w:rPr>
          <w:rFonts w:hint="eastAsia" w:ascii="宋体" w:hAnsi="宋体" w:eastAsia="宋体" w:cs="宋体"/>
          <w:bCs/>
          <w:color w:val="auto"/>
          <w:sz w:val="21"/>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Pr>
          <w:rFonts w:hint="eastAsia" w:ascii="宋体" w:hAnsi="宋体" w:eastAsia="宋体" w:cs="宋体"/>
          <w:bCs/>
          <w:color w:val="auto"/>
          <w:sz w:val="21"/>
          <w:szCs w:val="21"/>
          <w:highlight w:val="none"/>
          <w:lang w:eastAsia="zh-CN"/>
        </w:rPr>
        <w:t>广西政府采购云平台</w:t>
      </w:r>
      <w:r>
        <w:rPr>
          <w:rFonts w:hint="eastAsia" w:ascii="宋体" w:hAnsi="宋体" w:eastAsia="宋体" w:cs="宋体"/>
          <w:bCs/>
          <w:color w:val="auto"/>
          <w:sz w:val="21"/>
          <w:szCs w:val="21"/>
          <w:highlight w:val="none"/>
        </w:rPr>
        <w:t>将予以拒收。</w:t>
      </w:r>
      <w:r>
        <w:rPr>
          <w:rFonts w:hint="eastAsia" w:ascii="宋体" w:hAnsi="宋体" w:eastAsia="宋体" w:cs="宋体"/>
          <w:color w:val="auto"/>
          <w:sz w:val="21"/>
          <w:szCs w:val="21"/>
          <w:highlight w:val="none"/>
        </w:rPr>
        <w:t>（补充、修改或者撤回方式可登陆</w:t>
      </w:r>
      <w:r>
        <w:rPr>
          <w:rFonts w:hint="eastAsia" w:ascii="宋体" w:hAnsi="宋体" w:eastAsia="宋体" w:cs="宋体"/>
          <w:color w:val="auto"/>
          <w:kern w:val="0"/>
          <w:sz w:val="21"/>
          <w:szCs w:val="21"/>
          <w:highlight w:val="none"/>
          <w:lang w:eastAsia="zh-CN"/>
        </w:rPr>
        <w:t>广西政府采购云平台</w:t>
      </w: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rPr>
        <w:t>进入“服务中心”中查看“电子投标文件制作与投送教程”）</w:t>
      </w:r>
    </w:p>
    <w:bookmarkEnd w:id="132"/>
    <w:bookmarkEnd w:id="133"/>
    <w:p w14:paraId="1843804F">
      <w:pPr>
        <w:pStyle w:val="27"/>
        <w:pageBreakBefore w:val="0"/>
        <w:widowControl w:val="0"/>
        <w:kinsoku/>
        <w:wordWrap/>
        <w:overflowPunct/>
        <w:topLinePunct w:val="0"/>
        <w:autoSpaceDE/>
        <w:autoSpaceDN/>
        <w:bidi w:val="0"/>
        <w:spacing w:before="0"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收到投标文件后向供应商发出确认回执通知。在投标截止时间前，除供应商补充、修改或者撤回投标文件外，任何单位和个人不得解密或提取投标文件。</w:t>
      </w:r>
    </w:p>
    <w:p w14:paraId="4210E42C">
      <w:pPr>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22.3在投标截止时间后，采购人和采购代理机构对已提交的投标文件概不退回。</w:t>
      </w:r>
    </w:p>
    <w:p w14:paraId="104D5EEC">
      <w:pPr>
        <w:pStyle w:val="4"/>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auto"/>
          <w:sz w:val="21"/>
          <w:szCs w:val="21"/>
          <w:highlight w:val="none"/>
        </w:rPr>
      </w:pPr>
      <w:bookmarkStart w:id="134" w:name="_Toc254970544"/>
      <w:bookmarkStart w:id="135" w:name="_Toc254970685"/>
      <w:r>
        <w:rPr>
          <w:rFonts w:hint="eastAsia" w:ascii="宋体" w:hAnsi="宋体" w:eastAsia="宋体" w:cs="宋体"/>
          <w:color w:val="auto"/>
          <w:sz w:val="21"/>
          <w:szCs w:val="21"/>
          <w:highlight w:val="none"/>
        </w:rPr>
        <w:t>四、开    标</w:t>
      </w:r>
      <w:bookmarkEnd w:id="134"/>
      <w:bookmarkEnd w:id="135"/>
    </w:p>
    <w:p w14:paraId="39A3C33B">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bookmarkStart w:id="136" w:name="_23.开标时间和地点"/>
      <w:bookmarkEnd w:id="136"/>
      <w:r>
        <w:rPr>
          <w:rFonts w:hint="eastAsia" w:ascii="宋体" w:hAnsi="宋体" w:eastAsia="宋体" w:cs="宋体"/>
          <w:color w:val="auto"/>
          <w:sz w:val="21"/>
          <w:szCs w:val="21"/>
          <w:highlight w:val="none"/>
        </w:rPr>
        <w:t>23.开标时间和地点</w:t>
      </w:r>
    </w:p>
    <w:p w14:paraId="0FDF307C">
      <w:pPr>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开标时间及地点详见“投标人须知前附表”</w:t>
      </w:r>
    </w:p>
    <w:p w14:paraId="5F420330">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24.开标程序</w:t>
      </w:r>
    </w:p>
    <w:p w14:paraId="60722265">
      <w:pPr>
        <w:pStyle w:val="7"/>
        <w:pageBreakBefore w:val="0"/>
        <w:widowControl w:val="0"/>
        <w:kinsoku/>
        <w:wordWrap/>
        <w:overflowPunct/>
        <w:topLinePunct w:val="0"/>
        <w:autoSpaceDE/>
        <w:autoSpaceDN/>
        <w:bidi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24.1提交投标文件截止时间止，投标人不足3家的，不得开标。</w:t>
      </w:r>
    </w:p>
    <w:p w14:paraId="7CF99E05">
      <w:pPr>
        <w:pStyle w:val="7"/>
        <w:pageBreakBefore w:val="0"/>
        <w:widowControl w:val="0"/>
        <w:kinsoku/>
        <w:wordWrap/>
        <w:overflowPunct/>
        <w:topLinePunct w:val="0"/>
        <w:autoSpaceDE/>
        <w:autoSpaceDN/>
        <w:bidi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24.2采购代理机构将按照</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文件规定的时间通过</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组织线上开标活动，所有供应商均应当准时在线参加，投标人因未在线参加开标而导致投标文件无法按时解密等一切后果由投标人自己承担。</w:t>
      </w:r>
    </w:p>
    <w:p w14:paraId="077C68A5">
      <w:pPr>
        <w:pStyle w:val="7"/>
        <w:pageBreakBefore w:val="0"/>
        <w:widowControl w:val="0"/>
        <w:kinsoku/>
        <w:wordWrap/>
        <w:overflowPunct/>
        <w:topLinePunct w:val="0"/>
        <w:autoSpaceDE/>
        <w:autoSpaceDN/>
        <w:bidi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24.3开标程序</w:t>
      </w:r>
    </w:p>
    <w:p w14:paraId="2807AD24">
      <w:pPr>
        <w:pStyle w:val="7"/>
        <w:pageBreakBefore w:val="0"/>
        <w:widowControl w:val="0"/>
        <w:kinsoku/>
        <w:wordWrap/>
        <w:overflowPunct/>
        <w:topLinePunct w:val="0"/>
        <w:autoSpaceDE/>
        <w:autoSpaceDN/>
        <w:bidi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（1）解密电子投标文件。</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按开标时间自动提取所有投标文件。采购代理机构依托</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向各投标人发出电子加密投标文件【开始解密】通知，由投标人按</w:t>
      </w:r>
      <w:r>
        <w:rPr>
          <w:rFonts w:hint="eastAsia" w:ascii="宋体" w:hAnsi="宋体" w:eastAsia="宋体" w:cs="宋体"/>
          <w:bCs/>
          <w:color w:val="auto"/>
          <w:sz w:val="21"/>
          <w:szCs w:val="21"/>
          <w:highlight w:val="none"/>
        </w:rPr>
        <w:t>“投标人须知前附表”</w:t>
      </w:r>
      <w:r>
        <w:rPr>
          <w:rFonts w:hint="eastAsia" w:ascii="宋体" w:hAnsi="宋体" w:eastAsia="宋体" w:cs="宋体"/>
          <w:color w:val="auto"/>
          <w:sz w:val="21"/>
          <w:szCs w:val="21"/>
          <w:highlight w:val="none"/>
        </w:rPr>
        <w:t>规定的时间内自行进行投标文件解密。投标人的法定代表人或其委托代理人须凭加密时所用的CA锁准时登录到</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电子开标大厅签到并对电子投标文件解密。</w:t>
      </w:r>
      <w:r>
        <w:rPr>
          <w:rFonts w:hint="eastAsia" w:ascii="宋体" w:hAnsi="宋体" w:eastAsia="宋体" w:cs="宋体"/>
          <w:b/>
          <w:color w:val="auto"/>
          <w:sz w:val="21"/>
          <w:szCs w:val="21"/>
          <w:highlight w:val="none"/>
        </w:rPr>
        <w:t>投标人未在规定的时间内解密投标文件或者解密失败的，投标人的投标文件作无效处理。</w:t>
      </w:r>
    </w:p>
    <w:p w14:paraId="39BF3E9E">
      <w:pPr>
        <w:pStyle w:val="7"/>
        <w:pageBreakBefore w:val="0"/>
        <w:widowControl w:val="0"/>
        <w:kinsoku/>
        <w:wordWrap/>
        <w:overflowPunct/>
        <w:topLinePunct w:val="0"/>
        <w:autoSpaceDE/>
        <w:autoSpaceDN/>
        <w:bidi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（2）电子唱标。投标文件解密结束，宣布的内容均在</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远程开标大厅展示，具体详见</w:t>
      </w:r>
      <w:r>
        <w:rPr>
          <w:rFonts w:hint="eastAsia" w:ascii="宋体" w:hAnsi="宋体" w:eastAsia="宋体" w:cs="宋体"/>
          <w:bCs/>
          <w:color w:val="auto"/>
          <w:sz w:val="21"/>
          <w:szCs w:val="21"/>
          <w:highlight w:val="none"/>
        </w:rPr>
        <w:t>“投标人须知前附表”</w:t>
      </w:r>
      <w:r>
        <w:rPr>
          <w:rFonts w:hint="eastAsia" w:ascii="宋体" w:hAnsi="宋体" w:eastAsia="宋体" w:cs="宋体"/>
          <w:color w:val="auto"/>
          <w:sz w:val="21"/>
          <w:szCs w:val="21"/>
          <w:highlight w:val="none"/>
        </w:rPr>
        <w:t>；</w:t>
      </w:r>
    </w:p>
    <w:p w14:paraId="73D9276C">
      <w:pPr>
        <w:pStyle w:val="7"/>
        <w:pageBreakBefore w:val="0"/>
        <w:widowControl w:val="0"/>
        <w:kinsoku/>
        <w:wordWrap/>
        <w:overflowPunct/>
        <w:topLinePunct w:val="0"/>
        <w:autoSpaceDE/>
        <w:autoSpaceDN/>
        <w:bidi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（3）开标过程由采购代理机构如实记录，并电子留痕，由参加电子开标的各投标人代表对电子开标记录在开标记录公布后15分钟内进行校核及勘误，并线上确认是否有异议，未确认的视同认可开标结果。</w:t>
      </w:r>
    </w:p>
    <w:p w14:paraId="31D0D7D1">
      <w:pPr>
        <w:pStyle w:val="7"/>
        <w:pageBreakBefore w:val="0"/>
        <w:widowControl w:val="0"/>
        <w:kinsoku/>
        <w:wordWrap/>
        <w:overflowPunct/>
        <w:topLinePunct w:val="0"/>
        <w:autoSpaceDE/>
        <w:autoSpaceDN/>
        <w:bidi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2DACC4B3">
      <w:pPr>
        <w:pStyle w:val="7"/>
        <w:pageBreakBefore w:val="0"/>
        <w:widowControl w:val="0"/>
        <w:kinsoku/>
        <w:wordWrap/>
        <w:overflowPunct/>
        <w:topLinePunct w:val="0"/>
        <w:autoSpaceDE/>
        <w:autoSpaceDN/>
        <w:bidi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（5）开标结束。</w:t>
      </w:r>
    </w:p>
    <w:p w14:paraId="4ECD0E88">
      <w:pPr>
        <w:pStyle w:val="14"/>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特别说明：如遇</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电子化开标或评审程序调整的，按调整后执行。</w:t>
      </w:r>
    </w:p>
    <w:p w14:paraId="13717C30">
      <w:pPr>
        <w:pStyle w:val="4"/>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五、资格审查</w:t>
      </w:r>
    </w:p>
    <w:p w14:paraId="6C245823">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25.资格审查</w:t>
      </w:r>
    </w:p>
    <w:p w14:paraId="18D62590">
      <w:pPr>
        <w:pStyle w:val="6"/>
        <w:pageBreakBefore w:val="0"/>
        <w:widowControl w:val="0"/>
        <w:kinsoku/>
        <w:wordWrap/>
        <w:overflowPunct/>
        <w:topLinePunct w:val="0"/>
        <w:autoSpaceDE/>
        <w:autoSpaceDN/>
        <w:bidi w:val="0"/>
        <w:spacing w:before="0" w:after="0" w:line="360" w:lineRule="exact"/>
        <w:ind w:firstLine="315" w:firstLineChars="15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25.1开标结束后，采购人或者采购代理机构通过电子开评标系统依据</w:t>
      </w:r>
      <w:r>
        <w:rPr>
          <w:rFonts w:hint="eastAsia" w:ascii="宋体" w:hAnsi="宋体" w:cs="宋体"/>
          <w:b w:val="0"/>
          <w:color w:val="auto"/>
          <w:sz w:val="21"/>
          <w:szCs w:val="21"/>
          <w:highlight w:val="none"/>
          <w:lang w:eastAsia="zh-CN"/>
        </w:rPr>
        <w:t>采购</w:t>
      </w:r>
      <w:r>
        <w:rPr>
          <w:rFonts w:hint="eastAsia" w:ascii="宋体" w:hAnsi="宋体" w:eastAsia="宋体" w:cs="宋体"/>
          <w:b w:val="0"/>
          <w:color w:val="auto"/>
          <w:sz w:val="21"/>
          <w:szCs w:val="21"/>
          <w:highlight w:val="none"/>
        </w:rPr>
        <w:t>文件对电子投标文件进行线上资格审查。</w:t>
      </w:r>
    </w:p>
    <w:p w14:paraId="3F878408">
      <w:pPr>
        <w:pStyle w:val="6"/>
        <w:pageBreakBefore w:val="0"/>
        <w:widowControl w:val="0"/>
        <w:kinsoku/>
        <w:wordWrap/>
        <w:overflowPunct/>
        <w:topLinePunct w:val="0"/>
        <w:autoSpaceDE/>
        <w:autoSpaceDN/>
        <w:bidi w:val="0"/>
        <w:spacing w:before="0" w:after="0" w:line="360" w:lineRule="exact"/>
        <w:ind w:firstLine="315" w:firstLineChars="15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25.2资格审查标准为本</w:t>
      </w:r>
      <w:r>
        <w:rPr>
          <w:rFonts w:hint="eastAsia" w:ascii="宋体" w:hAnsi="宋体" w:cs="宋体"/>
          <w:b w:val="0"/>
          <w:color w:val="auto"/>
          <w:sz w:val="21"/>
          <w:szCs w:val="21"/>
          <w:highlight w:val="none"/>
          <w:lang w:eastAsia="zh-CN"/>
        </w:rPr>
        <w:t>采购</w:t>
      </w:r>
      <w:r>
        <w:rPr>
          <w:rFonts w:hint="eastAsia" w:ascii="宋体" w:hAnsi="宋体" w:eastAsia="宋体" w:cs="宋体"/>
          <w:b w:val="0"/>
          <w:color w:val="auto"/>
          <w:sz w:val="21"/>
          <w:szCs w:val="21"/>
          <w:highlight w:val="none"/>
        </w:rPr>
        <w:t>文件中载明对投标人资格要求的条件。本项目资格审查采用合格制，凡符合</w:t>
      </w:r>
      <w:r>
        <w:rPr>
          <w:rFonts w:hint="eastAsia" w:ascii="宋体" w:hAnsi="宋体" w:cs="宋体"/>
          <w:b w:val="0"/>
          <w:color w:val="auto"/>
          <w:sz w:val="21"/>
          <w:szCs w:val="21"/>
          <w:highlight w:val="none"/>
          <w:lang w:eastAsia="zh-CN"/>
        </w:rPr>
        <w:t>采购</w:t>
      </w:r>
      <w:r>
        <w:rPr>
          <w:rFonts w:hint="eastAsia" w:ascii="宋体" w:hAnsi="宋体" w:eastAsia="宋体" w:cs="宋体"/>
          <w:b w:val="0"/>
          <w:color w:val="auto"/>
          <w:sz w:val="21"/>
          <w:szCs w:val="21"/>
          <w:highlight w:val="none"/>
        </w:rPr>
        <w:t>文件规定的投标人资格要求的投标人均通过资格审查。</w:t>
      </w:r>
    </w:p>
    <w:p w14:paraId="2F96BBD2">
      <w:pPr>
        <w:pStyle w:val="6"/>
        <w:pageBreakBefore w:val="0"/>
        <w:widowControl w:val="0"/>
        <w:numPr>
          <w:ilvl w:val="4"/>
          <w:numId w:val="0"/>
        </w:numPr>
        <w:kinsoku/>
        <w:wordWrap/>
        <w:overflowPunct/>
        <w:topLinePunct w:val="0"/>
        <w:autoSpaceDE/>
        <w:autoSpaceDN/>
        <w:bidi w:val="0"/>
        <w:spacing w:before="0" w:after="0" w:line="360" w:lineRule="exact"/>
        <w:ind w:firstLine="422" w:firstLineChars="200"/>
        <w:textAlignment w:val="auto"/>
        <w:rPr>
          <w:rFonts w:hint="eastAsia" w:ascii="宋体" w:hAnsi="宋体" w:eastAsia="宋体" w:cs="宋体"/>
          <w:color w:val="auto"/>
          <w:sz w:val="21"/>
          <w:szCs w:val="21"/>
          <w:highlight w:val="none"/>
        </w:rPr>
      </w:pPr>
      <w:bookmarkStart w:id="137" w:name="_25.3_投标人有下列情形之一的，资格审查不通过而导致其投标无效："/>
      <w:bookmarkEnd w:id="137"/>
      <w:r>
        <w:rPr>
          <w:rFonts w:hint="eastAsia" w:ascii="宋体" w:hAnsi="宋体" w:eastAsia="宋体" w:cs="宋体"/>
          <w:color w:val="auto"/>
          <w:sz w:val="21"/>
          <w:szCs w:val="21"/>
          <w:highlight w:val="none"/>
        </w:rPr>
        <w:t>25.3投标人有下列情形之一的，资格审查不通过，作无效投标处理：</w:t>
      </w:r>
    </w:p>
    <w:p w14:paraId="175ECC4F">
      <w:pPr>
        <w:pStyle w:val="14"/>
        <w:pageBreakBefore w:val="0"/>
        <w:widowControl w:val="0"/>
        <w:kinsoku/>
        <w:wordWrap/>
        <w:overflowPunct/>
        <w:topLinePunct w:val="0"/>
        <w:autoSpaceDE/>
        <w:autoSpaceDN/>
        <w:bidi w:val="0"/>
        <w:snapToGrid w:val="0"/>
        <w:spacing w:line="360" w:lineRule="exact"/>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（1）不具备</w:t>
      </w:r>
      <w:r>
        <w:rPr>
          <w:rFonts w:hint="eastAsia" w:hAnsi="宋体" w:cs="宋体"/>
          <w:b/>
          <w:color w:val="auto"/>
          <w:sz w:val="21"/>
          <w:szCs w:val="21"/>
          <w:highlight w:val="none"/>
          <w:lang w:eastAsia="zh-CN"/>
        </w:rPr>
        <w:t>采购</w:t>
      </w:r>
      <w:r>
        <w:rPr>
          <w:rFonts w:hint="eastAsia" w:ascii="宋体" w:hAnsi="宋体" w:eastAsia="宋体" w:cs="宋体"/>
          <w:b/>
          <w:color w:val="auto"/>
          <w:sz w:val="21"/>
          <w:szCs w:val="21"/>
          <w:highlight w:val="none"/>
        </w:rPr>
        <w:t>文件中规定的资格要求的；</w:t>
      </w:r>
    </w:p>
    <w:p w14:paraId="1A395B4B">
      <w:pPr>
        <w:pStyle w:val="14"/>
        <w:pageBreakBefore w:val="0"/>
        <w:widowControl w:val="0"/>
        <w:kinsoku/>
        <w:wordWrap/>
        <w:overflowPunct/>
        <w:topLinePunct w:val="0"/>
        <w:autoSpaceDE/>
        <w:autoSpaceDN/>
        <w:bidi w:val="0"/>
        <w:snapToGrid w:val="0"/>
        <w:spacing w:line="360" w:lineRule="exact"/>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在“信用中国”网站（www.creditchina.gov.cn）、中国政府采购网（www.ccgp.gov.cn）被列入失信被执行人、重大税收违法案件当事人名单、政府采购严重违法失信行为记录名单及其他不符合《中华人民共和国政府采购法》第二十二条规定条件的；（注：其中信用查询规则见“投标人须知前附表”，</w:t>
      </w:r>
      <w:r>
        <w:rPr>
          <w:rFonts w:hint="eastAsia" w:ascii="宋体" w:hAnsi="宋体" w:eastAsia="宋体" w:cs="宋体"/>
          <w:b/>
          <w:color w:val="auto"/>
          <w:sz w:val="21"/>
          <w:szCs w:val="21"/>
          <w:highlight w:val="none"/>
          <w:lang w:eastAsia="zh-CN"/>
        </w:rPr>
        <w:t>广西政府采购云平台</w:t>
      </w:r>
      <w:r>
        <w:rPr>
          <w:rFonts w:hint="eastAsia" w:ascii="宋体" w:hAnsi="宋体" w:eastAsia="宋体" w:cs="宋体"/>
          <w:b/>
          <w:color w:val="auto"/>
          <w:sz w:val="21"/>
          <w:szCs w:val="21"/>
          <w:highlight w:val="none"/>
        </w:rPr>
        <w:t>已与“信用中国”网站、中国政府采购网实现数据对接，可直接在线查询）</w:t>
      </w:r>
    </w:p>
    <w:p w14:paraId="32717AC2">
      <w:pPr>
        <w:pStyle w:val="14"/>
        <w:pageBreakBefore w:val="0"/>
        <w:widowControl w:val="0"/>
        <w:kinsoku/>
        <w:wordWrap/>
        <w:overflowPunct/>
        <w:topLinePunct w:val="0"/>
        <w:autoSpaceDE/>
        <w:autoSpaceDN/>
        <w:bidi w:val="0"/>
        <w:snapToGrid w:val="0"/>
        <w:spacing w:line="360" w:lineRule="exact"/>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（3）同一合同项下的不同投标人，单位负责人为同一人或者存在直接控股、管理关系的；为本项目提供过整体设计、规范编制或者项目管理、监理、检测等服务的供应商，再参加该采购项目的其他采购活动的；</w:t>
      </w:r>
    </w:p>
    <w:p w14:paraId="263834C7">
      <w:pPr>
        <w:pStyle w:val="14"/>
        <w:pageBreakBefore w:val="0"/>
        <w:widowControl w:val="0"/>
        <w:kinsoku/>
        <w:wordWrap/>
        <w:overflowPunct/>
        <w:topLinePunct w:val="0"/>
        <w:autoSpaceDE/>
        <w:autoSpaceDN/>
        <w:bidi w:val="0"/>
        <w:snapToGrid w:val="0"/>
        <w:spacing w:line="360" w:lineRule="exact"/>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（4）投标文件中的资格证明文件缺少任一项“投标人须知前附表”资格证明文件规定“必须提供”的文件资料的；</w:t>
      </w:r>
    </w:p>
    <w:p w14:paraId="4E944294">
      <w:pPr>
        <w:pStyle w:val="14"/>
        <w:pageBreakBefore w:val="0"/>
        <w:widowControl w:val="0"/>
        <w:kinsoku/>
        <w:wordWrap/>
        <w:overflowPunct/>
        <w:topLinePunct w:val="0"/>
        <w:autoSpaceDE/>
        <w:autoSpaceDN/>
        <w:bidi w:val="0"/>
        <w:snapToGrid w:val="0"/>
        <w:spacing w:line="360" w:lineRule="exact"/>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（5）投标文件中的资格证明文件出现任一项不符合“投标人须知前附表”资格证明文件规定“必须提供”的文件资料要求或者无效的。</w:t>
      </w:r>
    </w:p>
    <w:p w14:paraId="0A27E494">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b w:val="0"/>
          <w:color w:val="auto"/>
          <w:sz w:val="21"/>
          <w:szCs w:val="21"/>
          <w:highlight w:val="none"/>
        </w:rPr>
      </w:pPr>
      <w:r>
        <w:rPr>
          <w:rFonts w:hint="eastAsia" w:ascii="宋体" w:hAnsi="宋体" w:eastAsia="宋体" w:cs="宋体"/>
          <w:color w:val="auto"/>
          <w:sz w:val="21"/>
          <w:szCs w:val="21"/>
          <w:highlight w:val="none"/>
        </w:rPr>
        <w:t>25.4合格投标人不足3家的，不得评标。</w:t>
      </w:r>
    </w:p>
    <w:p w14:paraId="3B35BC9E">
      <w:pPr>
        <w:pStyle w:val="4"/>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六、评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标</w:t>
      </w:r>
    </w:p>
    <w:p w14:paraId="6D0FAC57">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bookmarkStart w:id="138" w:name="_26.组建评标委员会"/>
      <w:bookmarkEnd w:id="138"/>
      <w:r>
        <w:rPr>
          <w:rFonts w:hint="eastAsia" w:ascii="宋体" w:hAnsi="宋体" w:eastAsia="宋体" w:cs="宋体"/>
          <w:color w:val="auto"/>
          <w:sz w:val="21"/>
          <w:szCs w:val="21"/>
          <w:highlight w:val="none"/>
        </w:rPr>
        <w:t>26.组建评标委员会</w:t>
      </w:r>
    </w:p>
    <w:p w14:paraId="69DAC5B1">
      <w:pPr>
        <w:pStyle w:val="14"/>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26.1评标委员会由采购人代表和评审专家组成，具体人数详见“投标人须知前附表”，其中评审专家不得少于成员总数的三分之二。</w:t>
      </w:r>
    </w:p>
    <w:p w14:paraId="03B332A3">
      <w:pPr>
        <w:pStyle w:val="14"/>
        <w:pageBreakBefore w:val="0"/>
        <w:widowControl w:val="0"/>
        <w:kinsoku/>
        <w:wordWrap/>
        <w:overflowPunct/>
        <w:topLinePunct w:val="0"/>
        <w:autoSpaceDE/>
        <w:autoSpaceDN/>
        <w:bidi w:val="0"/>
        <w:snapToGrid w:val="0"/>
        <w:spacing w:line="360" w:lineRule="exact"/>
        <w:ind w:left="2" w:leftChars="1"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26.2参加过采购项目前期咨询论证的专家，不得参加该采购项目的评审活动。</w:t>
      </w:r>
    </w:p>
    <w:p w14:paraId="793E72F5">
      <w:pPr>
        <w:pStyle w:val="14"/>
        <w:pageBreakBefore w:val="0"/>
        <w:widowControl w:val="0"/>
        <w:kinsoku/>
        <w:wordWrap/>
        <w:overflowPunct/>
        <w:topLinePunct w:val="0"/>
        <w:autoSpaceDE/>
        <w:autoSpaceDN/>
        <w:bidi w:val="0"/>
        <w:snapToGrid w:val="0"/>
        <w:spacing w:line="360" w:lineRule="exact"/>
        <w:ind w:left="2" w:leftChars="1"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26.3</w:t>
      </w:r>
      <w:r>
        <w:rPr>
          <w:rFonts w:hint="eastAsia" w:ascii="宋体" w:hAnsi="宋体" w:eastAsia="宋体" w:cs="宋体"/>
          <w:bCs/>
          <w:color w:val="auto"/>
          <w:sz w:val="21"/>
          <w:szCs w:val="21"/>
          <w:highlight w:val="none"/>
        </w:rPr>
        <w:t>采购代理机构应当基于</w:t>
      </w:r>
      <w:r>
        <w:rPr>
          <w:rFonts w:hint="eastAsia" w:ascii="宋体" w:hAnsi="宋体" w:eastAsia="宋体" w:cs="宋体"/>
          <w:bCs/>
          <w:color w:val="auto"/>
          <w:sz w:val="21"/>
          <w:szCs w:val="21"/>
          <w:highlight w:val="none"/>
          <w:lang w:eastAsia="zh-CN"/>
        </w:rPr>
        <w:t>广西政府采购云平台</w:t>
      </w:r>
      <w:r>
        <w:rPr>
          <w:rFonts w:hint="eastAsia" w:ascii="宋体" w:hAnsi="宋体" w:eastAsia="宋体" w:cs="宋体"/>
          <w:bCs/>
          <w:color w:val="auto"/>
          <w:sz w:val="21"/>
          <w:szCs w:val="21"/>
          <w:highlight w:val="none"/>
        </w:rPr>
        <w:t>抽（选）取评审专家。</w:t>
      </w:r>
    </w:p>
    <w:p w14:paraId="20CA5711">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27.评标的依据</w:t>
      </w:r>
    </w:p>
    <w:p w14:paraId="13AA8750">
      <w:pPr>
        <w:pStyle w:val="14"/>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评标委员会以“第四章 评标方法和评标标准”为依据对投标文件进行评审，没有规定的方法、评审因素和标准，不作为评标依据。</w:t>
      </w:r>
    </w:p>
    <w:p w14:paraId="72F70E70">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28.评标原则</w:t>
      </w:r>
    </w:p>
    <w:p w14:paraId="2E33EB16">
      <w:pPr>
        <w:pStyle w:val="14"/>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494D889B">
      <w:pPr>
        <w:pStyle w:val="14"/>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28.2</w:t>
      </w:r>
      <w:bookmarkStart w:id="139" w:name="_28.3评标方法。本项目将按须知前附表规定的评标办法进行评标，具体评标"/>
      <w:bookmarkEnd w:id="139"/>
      <w:r>
        <w:rPr>
          <w:rFonts w:hint="eastAsia" w:ascii="宋体" w:hAnsi="宋体" w:eastAsia="宋体" w:cs="宋体"/>
          <w:color w:val="auto"/>
          <w:sz w:val="21"/>
          <w:szCs w:val="21"/>
          <w:highlight w:val="none"/>
        </w:rPr>
        <w:t>评委表决。评标委员会成员对需要共同认定的事项存在争议的，应当按照少数服从多数的原则作出结论。</w:t>
      </w:r>
    </w:p>
    <w:p w14:paraId="12FBF9FF">
      <w:pPr>
        <w:pStyle w:val="14"/>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38F78F03">
      <w:pPr>
        <w:pStyle w:val="14"/>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28.4评标过程的监控。本项目电子评标过程实行网上留痕、全程录音、录像监控，</w:t>
      </w:r>
      <w:r>
        <w:rPr>
          <w:rFonts w:hint="eastAsia" w:ascii="宋体" w:hAnsi="宋体" w:eastAsia="宋体" w:cs="宋体"/>
          <w:b/>
          <w:color w:val="auto"/>
          <w:sz w:val="21"/>
          <w:szCs w:val="21"/>
          <w:highlight w:val="none"/>
        </w:rPr>
        <w:t>投标人在评标过程中所进行的试图影响评标结果的不公正活动，可能导致其投标按无效处理。</w:t>
      </w:r>
    </w:p>
    <w:p w14:paraId="496BC6F1">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29.评标方法及中标候选人推荐</w:t>
      </w:r>
    </w:p>
    <w:p w14:paraId="6D53AB42">
      <w:pPr>
        <w:pStyle w:val="14"/>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29.1本项目的评标方法详见“投标人须知前附表”。</w:t>
      </w:r>
    </w:p>
    <w:p w14:paraId="2EDED523">
      <w:pPr>
        <w:pStyle w:val="14"/>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29.2商务/技术要求允许负偏离的条款数详见“投标人须知前附表”。</w:t>
      </w:r>
    </w:p>
    <w:p w14:paraId="487DF9E7">
      <w:pPr>
        <w:pStyle w:val="14"/>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29.3中标候选人推荐数量详见“投标人须知前附表”。</w:t>
      </w:r>
    </w:p>
    <w:p w14:paraId="4E08B956">
      <w:pPr>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29.4电子交易活动的中止。采购过程中出现以下情形，导致电子交易平台无法正常运行，或者无法保证电子交易的公平、公正和安全时，采购代理机构可以中止电子交易活动：</w:t>
      </w:r>
    </w:p>
    <w:p w14:paraId="4D414AB5">
      <w:pPr>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（1）电子交易平台发生故障而无法登录访问的；</w:t>
      </w:r>
    </w:p>
    <w:p w14:paraId="63AE96D6">
      <w:pPr>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（2）电子交易平台应用或数据库出现错误，不能进行正常操作的；</w:t>
      </w:r>
    </w:p>
    <w:p w14:paraId="3BD2C4B0">
      <w:pPr>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（3）电子交易平台发现严重安全漏洞，有潜在泄密危险的；</w:t>
      </w:r>
    </w:p>
    <w:p w14:paraId="7B4DAE1F">
      <w:pPr>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（4）病毒发作导致不能进行正常操作的；</w:t>
      </w:r>
    </w:p>
    <w:p w14:paraId="580C163F">
      <w:pPr>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（5）其他无法保证电子交易的公平、公正和安全的情况。</w:t>
      </w:r>
    </w:p>
    <w:p w14:paraId="430A5203">
      <w:pPr>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79A61D19">
      <w:pPr>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w:t>
      </w:r>
      <w:r>
        <w:rPr>
          <w:rFonts w:hint="eastAsia" w:ascii="宋体" w:hAnsi="宋体" w:eastAsia="宋体" w:cs="宋体"/>
          <w:b w:val="0"/>
          <w:bCs w:val="0"/>
          <w:color w:val="auto"/>
          <w:sz w:val="21"/>
          <w:szCs w:val="21"/>
          <w:highlight w:val="none"/>
          <w:lang w:val="en-US" w:eastAsia="zh-CN"/>
        </w:rPr>
        <w:t>9</w:t>
      </w: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rPr>
        <w:t>异常低价审查</w:t>
      </w:r>
    </w:p>
    <w:p w14:paraId="2DD79E5B">
      <w:pPr>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本项目异常低价审查情形见“投标人须知前附表”规定。</w:t>
      </w:r>
    </w:p>
    <w:p w14:paraId="7684A0C4">
      <w:pPr>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94F5983">
      <w:pPr>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5E258D73">
      <w:pPr>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5249F497">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异常低价投标（响应）审查的启动原因、审查意见和审查结果应当在评审报告中记录，并随供应商提供的相关书面说明及证明材料，以及评审委员会有关互联网浏览、查询历史一并归档。</w:t>
      </w:r>
      <w:bookmarkStart w:id="140" w:name="_Toc254970546"/>
      <w:bookmarkStart w:id="141" w:name="_Toc254970687"/>
    </w:p>
    <w:p w14:paraId="75A2777D">
      <w:pPr>
        <w:pStyle w:val="4"/>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w:t>
      </w:r>
      <w:bookmarkEnd w:id="140"/>
      <w:bookmarkEnd w:id="141"/>
      <w:r>
        <w:rPr>
          <w:rFonts w:hint="eastAsia" w:ascii="宋体" w:hAnsi="宋体" w:eastAsia="宋体" w:cs="宋体"/>
          <w:color w:val="auto"/>
          <w:sz w:val="21"/>
          <w:szCs w:val="21"/>
          <w:highlight w:val="none"/>
        </w:rPr>
        <w:t>中标和合同</w:t>
      </w:r>
    </w:p>
    <w:p w14:paraId="1B8B367E">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确定中标人</w:t>
      </w:r>
    </w:p>
    <w:p w14:paraId="116618E8">
      <w:pPr>
        <w:pStyle w:val="6"/>
        <w:pageBreakBefore w:val="0"/>
        <w:widowControl w:val="0"/>
        <w:kinsoku/>
        <w:wordWrap/>
        <w:overflowPunct/>
        <w:topLinePunct w:val="0"/>
        <w:autoSpaceDE/>
        <w:autoSpaceDN/>
        <w:bidi w:val="0"/>
        <w:spacing w:before="0" w:after="0" w:line="360" w:lineRule="exact"/>
        <w:ind w:firstLine="420" w:firstLineChars="20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30.1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14:paraId="628177B6">
      <w:pPr>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30.2采购人在收到评标报告5个工作日内未按评标报告推荐的中标候选人顺序确定中标人，又不能说明合法理由的，视同按评标报告推荐的顺序确定排名第一的中标候选人为中标人。</w:t>
      </w:r>
    </w:p>
    <w:p w14:paraId="5A8A9662">
      <w:pPr>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30.3出现下列情形之一的，应予废标：</w:t>
      </w:r>
    </w:p>
    <w:p w14:paraId="50D0A8CC">
      <w:pPr>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（1）符合专业条件的供应商或者对</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文件作实质响应的供应商不足三家的；</w:t>
      </w:r>
    </w:p>
    <w:p w14:paraId="4A9548F4">
      <w:pPr>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（2）出现影响采购公正的违法、违规行为的；</w:t>
      </w:r>
    </w:p>
    <w:p w14:paraId="43CF18AD">
      <w:pPr>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（3）投标人的报价均超过了采购预算，采购人不能支付的；</w:t>
      </w:r>
    </w:p>
    <w:p w14:paraId="698CA769">
      <w:pPr>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（4）因重大变故，采购任务取消的。</w:t>
      </w:r>
    </w:p>
    <w:p w14:paraId="4671B675">
      <w:pPr>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废标后，采购人应当将废标理由通知所有投标人。</w:t>
      </w:r>
    </w:p>
    <w:p w14:paraId="2DB3F572">
      <w:pPr>
        <w:pageBreakBefore w:val="0"/>
        <w:widowControl w:val="0"/>
        <w:numPr>
          <w:ilvl w:val="0"/>
          <w:numId w:val="8"/>
        </w:numPr>
        <w:kinsoku/>
        <w:wordWrap/>
        <w:overflowPunct/>
        <w:topLinePunct w:val="0"/>
        <w:autoSpaceDE/>
        <w:autoSpaceDN/>
        <w:bidi w:val="0"/>
        <w:snapToGrid w:val="0"/>
        <w:spacing w:line="36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结果公告</w:t>
      </w:r>
    </w:p>
    <w:p w14:paraId="1A02AF3A">
      <w:pPr>
        <w:pageBreakBefore w:val="0"/>
        <w:widowControl w:val="0"/>
        <w:numPr>
          <w:ilvl w:val="0"/>
          <w:numId w:val="0"/>
        </w:numPr>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b w:val="0"/>
          <w:color w:val="FF0000"/>
          <w:sz w:val="21"/>
          <w:szCs w:val="21"/>
          <w:highlight w:val="none"/>
        </w:rPr>
      </w:pPr>
      <w:r>
        <w:rPr>
          <w:rFonts w:hint="eastAsia" w:ascii="宋体" w:hAnsi="宋体" w:eastAsia="宋体" w:cs="宋体"/>
          <w:b w:val="0"/>
          <w:color w:val="auto"/>
          <w:sz w:val="21"/>
          <w:szCs w:val="21"/>
          <w:highlight w:val="none"/>
        </w:rPr>
        <w:t>31.1</w:t>
      </w:r>
      <w:r>
        <w:rPr>
          <w:rFonts w:hint="eastAsia" w:ascii="宋体" w:hAnsi="宋体" w:eastAsia="宋体" w:cs="宋体"/>
          <w:b w:val="0"/>
          <w:color w:val="000000" w:themeColor="text1"/>
          <w:sz w:val="21"/>
          <w:szCs w:val="21"/>
          <w:highlight w:val="none"/>
          <w14:textFill>
            <w14:solidFill>
              <w14:schemeClr w14:val="tx1"/>
            </w14:solidFill>
          </w14:textFill>
        </w:rPr>
        <w:t>采购人或者采购代理机构应当自中标人确定之日起2个工作日内，在省级以上财政部门指定的媒体上公告中标结果，</w:t>
      </w:r>
      <w:r>
        <w:rPr>
          <w:rFonts w:hint="eastAsia" w:ascii="宋体" w:hAnsi="宋体" w:cs="宋体"/>
          <w:b w:val="0"/>
          <w:color w:val="000000" w:themeColor="text1"/>
          <w:sz w:val="21"/>
          <w:szCs w:val="21"/>
          <w:highlight w:val="none"/>
          <w:lang w:eastAsia="zh-CN"/>
          <w14:textFill>
            <w14:solidFill>
              <w14:schemeClr w14:val="tx1"/>
            </w14:solidFill>
          </w14:textFill>
        </w:rPr>
        <w:t>采购</w:t>
      </w:r>
      <w:r>
        <w:rPr>
          <w:rFonts w:hint="eastAsia" w:ascii="宋体" w:hAnsi="宋体" w:eastAsia="宋体" w:cs="宋体"/>
          <w:b w:val="0"/>
          <w:color w:val="000000" w:themeColor="text1"/>
          <w:sz w:val="21"/>
          <w:szCs w:val="21"/>
          <w:highlight w:val="none"/>
          <w14:textFill>
            <w14:solidFill>
              <w14:schemeClr w14:val="tx1"/>
            </w14:solidFill>
          </w14:textFill>
        </w:rPr>
        <w:t>文件应当随中标结果同时公告。采购人或者采购代理发出中标通知书前，应当对中标人信用进行查询，对列入失信被执行人、重大税收违法案件当事人名单、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7DA3BC60">
      <w:pPr>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以上信息查询记录及相关证据与采购文件一并保存。</w:t>
      </w:r>
    </w:p>
    <w:p w14:paraId="1070A124">
      <w:pPr>
        <w:pStyle w:val="6"/>
        <w:pageBreakBefore w:val="0"/>
        <w:widowControl w:val="0"/>
        <w:kinsoku/>
        <w:wordWrap/>
        <w:overflowPunct/>
        <w:topLinePunct w:val="0"/>
        <w:autoSpaceDE/>
        <w:autoSpaceDN/>
        <w:bidi w:val="0"/>
        <w:spacing w:before="0" w:after="0" w:line="360" w:lineRule="exact"/>
        <w:ind w:firstLine="420" w:firstLineChars="20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31.2中标供应商享受《政府采购促进中小企业发展管理办法》（财库〔2020〕46号）规定的中小企业扶持政策的，采购人、采购代理机构应当随中标结果公开中标供应商的《中小企业声明函》。</w:t>
      </w:r>
    </w:p>
    <w:p w14:paraId="1BD6EF2B">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32.发出中标通知书</w:t>
      </w:r>
    </w:p>
    <w:p w14:paraId="0403F406">
      <w:pPr>
        <w:pStyle w:val="6"/>
        <w:pageBreakBefore w:val="0"/>
        <w:widowControl w:val="0"/>
        <w:kinsoku/>
        <w:wordWrap/>
        <w:overflowPunct/>
        <w:topLinePunct w:val="0"/>
        <w:autoSpaceDE/>
        <w:autoSpaceDN/>
        <w:bidi w:val="0"/>
        <w:spacing w:before="0" w:after="0" w:line="360" w:lineRule="exac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在发布中标公告的同时，采购代理机构向中标人通过</w:t>
      </w:r>
      <w:r>
        <w:rPr>
          <w:rFonts w:hint="eastAsia" w:ascii="宋体" w:hAnsi="宋体" w:eastAsia="宋体" w:cs="宋体"/>
          <w:b w:val="0"/>
          <w:color w:val="auto"/>
          <w:sz w:val="21"/>
          <w:szCs w:val="21"/>
          <w:highlight w:val="none"/>
          <w:lang w:eastAsia="zh-CN"/>
        </w:rPr>
        <w:t>广西政府采购云平台</w:t>
      </w:r>
      <w:r>
        <w:rPr>
          <w:rFonts w:hint="eastAsia" w:ascii="宋体" w:hAnsi="宋体" w:eastAsia="宋体" w:cs="宋体"/>
          <w:b w:val="0"/>
          <w:color w:val="auto"/>
          <w:sz w:val="21"/>
          <w:szCs w:val="21"/>
          <w:highlight w:val="none"/>
        </w:rPr>
        <w:t>发出电子中标通知书。对未通过资格审查的投标人，应当告知其未通过的原因；采用综合评分办法评审的，还应当告知未中标人本人的评审得分与排序。</w:t>
      </w:r>
    </w:p>
    <w:p w14:paraId="4573A927">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33.无义务解释未中标原因</w:t>
      </w:r>
    </w:p>
    <w:p w14:paraId="62B188A5">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采购代理机构无义务向未中标的投标人解释未中标原因。</w:t>
      </w:r>
    </w:p>
    <w:p w14:paraId="38052DCC">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34.合同授予标准</w:t>
      </w:r>
    </w:p>
    <w:p w14:paraId="5C87D75D">
      <w:pPr>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合同将授予被确定实质上响应</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文件要求，具备履行合同能力的中标人。</w:t>
      </w:r>
    </w:p>
    <w:p w14:paraId="6FDC445C">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35.履约保证金</w:t>
      </w:r>
    </w:p>
    <w:p w14:paraId="3AE7E137">
      <w:pPr>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bookmarkStart w:id="142" w:name="_39.1中标人须于签订合同前按本须知前附表规定的金额转账或电汇到指定账"/>
      <w:bookmarkEnd w:id="142"/>
      <w:r>
        <w:rPr>
          <w:rFonts w:hint="eastAsia" w:ascii="宋体" w:hAnsi="宋体" w:eastAsia="宋体" w:cs="宋体"/>
          <w:color w:val="auto"/>
          <w:sz w:val="21"/>
          <w:szCs w:val="21"/>
          <w:highlight w:val="none"/>
        </w:rPr>
        <w:t>本项目</w:t>
      </w:r>
      <w:r>
        <w:rPr>
          <w:rFonts w:hint="eastAsia" w:ascii="宋体" w:hAnsi="宋体" w:eastAsia="宋体" w:cs="宋体"/>
          <w:color w:val="auto"/>
          <w:sz w:val="21"/>
          <w:szCs w:val="21"/>
          <w:highlight w:val="none"/>
          <w:lang w:eastAsia="zh-CN"/>
        </w:rPr>
        <w:t>收取</w:t>
      </w:r>
      <w:r>
        <w:rPr>
          <w:rFonts w:hint="eastAsia" w:ascii="宋体" w:hAnsi="宋体" w:eastAsia="宋体" w:cs="宋体"/>
          <w:color w:val="auto"/>
          <w:sz w:val="21"/>
          <w:szCs w:val="21"/>
          <w:highlight w:val="none"/>
        </w:rPr>
        <w:t>履约保证金。</w:t>
      </w:r>
    </w:p>
    <w:p w14:paraId="07EBC141">
      <w:pPr>
        <w:pageBreakBefore w:val="0"/>
        <w:widowControl w:val="0"/>
        <w:numPr>
          <w:ilvl w:val="0"/>
          <w:numId w:val="9"/>
        </w:numPr>
        <w:kinsoku/>
        <w:wordWrap/>
        <w:overflowPunct/>
        <w:topLinePunct w:val="0"/>
        <w:autoSpaceDE/>
        <w:autoSpaceDN/>
        <w:bidi w:val="0"/>
        <w:snapToGrid w:val="0"/>
        <w:spacing w:line="36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签订合同</w:t>
      </w:r>
      <w:bookmarkStart w:id="143" w:name="_40.1投标人接到中标通知书后，按须知前附表规定向采购人出示相关资格证"/>
      <w:bookmarkEnd w:id="143"/>
    </w:p>
    <w:p w14:paraId="25529459">
      <w:pPr>
        <w:pageBreakBefore w:val="0"/>
        <w:widowControl w:val="0"/>
        <w:numPr>
          <w:ilvl w:val="0"/>
          <w:numId w:val="0"/>
        </w:numPr>
        <w:kinsoku/>
        <w:wordWrap/>
        <w:overflowPunct/>
        <w:topLinePunct w:val="0"/>
        <w:autoSpaceDE/>
        <w:autoSpaceDN/>
        <w:bidi w:val="0"/>
        <w:snapToGrid w:val="0"/>
        <w:spacing w:line="360" w:lineRule="exact"/>
        <w:ind w:firstLine="422" w:firstLineChars="200"/>
        <w:textAlignment w:val="auto"/>
        <w:rPr>
          <w:rFonts w:hint="eastAsia" w:ascii="宋体" w:hAnsi="宋体" w:eastAsia="宋体" w:cs="宋体"/>
          <w:b/>
          <w:bCs/>
          <w:color w:val="auto"/>
          <w:kern w:val="0"/>
          <w:sz w:val="21"/>
          <w:szCs w:val="21"/>
          <w:highlight w:val="none"/>
          <w:lang w:val="zh-CN"/>
        </w:rPr>
      </w:pPr>
      <w:r>
        <w:rPr>
          <w:rFonts w:hint="eastAsia" w:ascii="宋体" w:hAnsi="宋体" w:eastAsia="宋体" w:cs="宋体"/>
          <w:b/>
          <w:bCs/>
          <w:color w:val="auto"/>
          <w:sz w:val="21"/>
          <w:szCs w:val="21"/>
          <w:highlight w:val="none"/>
        </w:rPr>
        <w:t>36.1签订电子采购合同：中标人领取电子中标通知书后，</w:t>
      </w:r>
      <w:r>
        <w:rPr>
          <w:rFonts w:hint="eastAsia" w:ascii="宋体" w:hAnsi="宋体" w:eastAsia="宋体" w:cs="宋体"/>
          <w:b/>
          <w:bCs/>
          <w:color w:val="auto"/>
          <w:kern w:val="0"/>
          <w:sz w:val="21"/>
          <w:szCs w:val="21"/>
          <w:highlight w:val="none"/>
        </w:rPr>
        <w:t>在</w:t>
      </w:r>
      <w:r>
        <w:rPr>
          <w:rFonts w:hint="eastAsia" w:ascii="宋体" w:hAnsi="宋体" w:eastAsia="宋体" w:cs="宋体"/>
          <w:b/>
          <w:bCs/>
          <w:color w:val="auto"/>
          <w:kern w:val="0"/>
          <w:sz w:val="21"/>
          <w:szCs w:val="21"/>
          <w:highlight w:val="none"/>
          <w:lang w:val="zh-CN"/>
        </w:rPr>
        <w:t>规定的日期、时间、地点，由法定代表人或其授权代表与采购人代表签订电子采购合同。</w:t>
      </w:r>
    </w:p>
    <w:p w14:paraId="588FE46C">
      <w:pPr>
        <w:pageBreakBefore w:val="0"/>
        <w:widowControl w:val="0"/>
        <w:numPr>
          <w:ilvl w:val="0"/>
          <w:numId w:val="0"/>
        </w:numPr>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线下签订纸质合同：投标人领取中标通知书后，按“投标人须知前附表”规定向采购人出示相关证明材料，经采购人核验合格后方可签订合同。</w:t>
      </w:r>
    </w:p>
    <w:p w14:paraId="535BC7D9">
      <w:pPr>
        <w:pStyle w:val="6"/>
        <w:pageBreakBefore w:val="0"/>
        <w:widowControl w:val="0"/>
        <w:numPr>
          <w:ilvl w:val="4"/>
          <w:numId w:val="0"/>
        </w:numPr>
        <w:kinsoku/>
        <w:wordWrap/>
        <w:overflowPunct/>
        <w:topLinePunct w:val="0"/>
        <w:autoSpaceDE/>
        <w:autoSpaceDN/>
        <w:bidi w:val="0"/>
        <w:spacing w:before="0" w:after="0" w:line="360" w:lineRule="exact"/>
        <w:ind w:firstLine="420" w:firstLineChars="20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36.2签订合同时间：按中标通知书规定的时间与采购人签订合同。</w:t>
      </w:r>
    </w:p>
    <w:p w14:paraId="3DDB552E">
      <w:pPr>
        <w:pStyle w:val="6"/>
        <w:pageBreakBefore w:val="0"/>
        <w:widowControl w:val="0"/>
        <w:kinsoku/>
        <w:wordWrap/>
        <w:overflowPunct/>
        <w:topLinePunct w:val="0"/>
        <w:autoSpaceDE/>
        <w:autoSpaceDN/>
        <w:bidi w:val="0"/>
        <w:spacing w:before="0" w:after="0" w:line="360" w:lineRule="exac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36.3中标人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736A5F1F">
      <w:pPr>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77AA3218">
      <w:pPr>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36.5采购人或中标供应商不得单方面向合同另一方提出任何</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文件没有约定的条件或不合理的要求，作为签订合同的条件；也不得协商另行订立背离</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文件和合同实质性内容的协议。</w:t>
      </w:r>
    </w:p>
    <w:p w14:paraId="5B400F12">
      <w:pPr>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36.6如签订合同并生效后，供应商无故拒绝或延期，除按照合同条款处理外，将承担相应的法律责任。</w:t>
      </w:r>
    </w:p>
    <w:p w14:paraId="1E043EF8">
      <w:pPr>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36.7政府采购合同履行中，采购人需追加与合同标的相同的货物、工程或者服务的，在不改变合同其他条款的前提下，可以与供应商协商签订补充合同，但所有补充合同的采购金额不得超过原合同采购金额的10%。</w:t>
      </w:r>
    </w:p>
    <w:p w14:paraId="7F1EB0EC">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bookmarkStart w:id="144" w:name="_41.政府采购合同公告"/>
      <w:bookmarkEnd w:id="144"/>
      <w:r>
        <w:rPr>
          <w:rFonts w:hint="eastAsia" w:ascii="宋体" w:hAnsi="宋体" w:eastAsia="宋体" w:cs="宋体"/>
          <w:color w:val="auto"/>
          <w:sz w:val="21"/>
          <w:szCs w:val="21"/>
          <w:highlight w:val="none"/>
        </w:rPr>
        <w:t>37.政府采购合同公告</w:t>
      </w:r>
    </w:p>
    <w:p w14:paraId="497AC881">
      <w:pPr>
        <w:pStyle w:val="14"/>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采购人或者受托采购代理机构应当自政府采购合同签订之日起2个工作日内，将政府采购合同在省级以上人民政府财政部门指定的媒体上公告，但政府采购合同中涉及国家秘密、商业秘密的内容除外。</w:t>
      </w:r>
    </w:p>
    <w:p w14:paraId="2BED95CC">
      <w:pPr>
        <w:pStyle w:val="14"/>
        <w:pageBreakBefore w:val="0"/>
        <w:widowControl w:val="0"/>
        <w:kinsoku/>
        <w:wordWrap/>
        <w:overflowPunct/>
        <w:topLinePunct w:val="0"/>
        <w:autoSpaceDE/>
        <w:autoSpaceDN/>
        <w:bidi w:val="0"/>
        <w:snapToGrid w:val="0"/>
        <w:spacing w:line="36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38.询问、质疑和投诉</w:t>
      </w:r>
    </w:p>
    <w:p w14:paraId="71C8DF7B">
      <w:pPr>
        <w:pStyle w:val="7"/>
        <w:pageBreakBefore w:val="0"/>
        <w:widowControl w:val="0"/>
        <w:kinsoku/>
        <w:wordWrap/>
        <w:overflowPunct/>
        <w:topLinePunct w:val="0"/>
        <w:autoSpaceDE/>
        <w:autoSpaceDN/>
        <w:bidi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38.1供应商对政府采购活动事项有疑问的，可以向采购人提出询问，采购人或者采购代理机构应当在3个工作日内对供应商依法提出的询问作出答复，但答复的内容不得涉及商业秘密。</w:t>
      </w:r>
    </w:p>
    <w:p w14:paraId="32DCC4CA">
      <w:pPr>
        <w:pStyle w:val="6"/>
        <w:pageBreakBefore w:val="0"/>
        <w:widowControl w:val="0"/>
        <w:kinsoku/>
        <w:wordWrap/>
        <w:overflowPunct/>
        <w:topLinePunct w:val="0"/>
        <w:autoSpaceDE/>
        <w:autoSpaceDN/>
        <w:bidi w:val="0"/>
        <w:spacing w:before="0" w:after="0" w:line="360" w:lineRule="exact"/>
        <w:ind w:firstLine="315" w:firstLineChars="15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38.2供应商认为</w:t>
      </w:r>
      <w:r>
        <w:rPr>
          <w:rFonts w:hint="eastAsia" w:ascii="宋体" w:hAnsi="宋体" w:cs="宋体"/>
          <w:b w:val="0"/>
          <w:color w:val="auto"/>
          <w:sz w:val="21"/>
          <w:szCs w:val="21"/>
          <w:highlight w:val="none"/>
          <w:lang w:eastAsia="zh-CN"/>
        </w:rPr>
        <w:t>采购</w:t>
      </w:r>
      <w:r>
        <w:rPr>
          <w:rFonts w:hint="eastAsia" w:ascii="宋体" w:hAnsi="宋体" w:eastAsia="宋体" w:cs="宋体"/>
          <w:b w:val="0"/>
          <w:color w:val="auto"/>
          <w:sz w:val="21"/>
          <w:szCs w:val="21"/>
          <w:highlight w:val="none"/>
        </w:rPr>
        <w:t>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w:t>
      </w:r>
    </w:p>
    <w:p w14:paraId="41BFAF28">
      <w:pPr>
        <w:pStyle w:val="14"/>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（1）对可以质疑的</w:t>
      </w:r>
      <w:r>
        <w:rPr>
          <w:rFonts w:hint="eastAsia" w:hAnsi="宋体" w:cs="宋体"/>
          <w:color w:val="auto"/>
          <w:sz w:val="21"/>
          <w:szCs w:val="21"/>
          <w:highlight w:val="none"/>
          <w:lang w:eastAsia="zh-CN"/>
        </w:rPr>
        <w:t>采购</w:t>
      </w:r>
      <w:r>
        <w:rPr>
          <w:rFonts w:hint="eastAsia" w:ascii="宋体" w:hAnsi="宋体" w:eastAsia="宋体" w:cs="宋体"/>
          <w:color w:val="auto"/>
          <w:sz w:val="21"/>
          <w:szCs w:val="21"/>
          <w:highlight w:val="none"/>
        </w:rPr>
        <w:t>文件提出质疑的，为收到</w:t>
      </w:r>
      <w:r>
        <w:rPr>
          <w:rFonts w:hint="eastAsia" w:hAnsi="宋体" w:cs="宋体"/>
          <w:color w:val="auto"/>
          <w:sz w:val="21"/>
          <w:szCs w:val="21"/>
          <w:highlight w:val="none"/>
          <w:lang w:eastAsia="zh-CN"/>
        </w:rPr>
        <w:t>采购</w:t>
      </w:r>
      <w:r>
        <w:rPr>
          <w:rFonts w:hint="eastAsia" w:ascii="宋体" w:hAnsi="宋体" w:eastAsia="宋体" w:cs="宋体"/>
          <w:color w:val="auto"/>
          <w:sz w:val="21"/>
          <w:szCs w:val="21"/>
          <w:highlight w:val="none"/>
        </w:rPr>
        <w:t>文件之日或者</w:t>
      </w:r>
      <w:r>
        <w:rPr>
          <w:rFonts w:hint="eastAsia" w:hAnsi="宋体" w:cs="宋体"/>
          <w:color w:val="auto"/>
          <w:sz w:val="21"/>
          <w:szCs w:val="21"/>
          <w:highlight w:val="none"/>
          <w:lang w:eastAsia="zh-CN"/>
        </w:rPr>
        <w:t>采购</w:t>
      </w:r>
      <w:r>
        <w:rPr>
          <w:rFonts w:hint="eastAsia" w:ascii="宋体" w:hAnsi="宋体" w:eastAsia="宋体" w:cs="宋体"/>
          <w:color w:val="auto"/>
          <w:sz w:val="21"/>
          <w:szCs w:val="21"/>
          <w:highlight w:val="none"/>
        </w:rPr>
        <w:t>文件公告期限届满之日；</w:t>
      </w:r>
    </w:p>
    <w:p w14:paraId="54AF0646">
      <w:pPr>
        <w:pStyle w:val="14"/>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（2）对采购过程提出质疑的，为各采购程序环节结束之日；</w:t>
      </w:r>
    </w:p>
    <w:p w14:paraId="18FF0B0A">
      <w:pPr>
        <w:pStyle w:val="14"/>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（3）对中标结果提出质疑的，为中标结果公告期限届满之日。</w:t>
      </w:r>
    </w:p>
    <w:p w14:paraId="245C62A1">
      <w:pPr>
        <w:pStyle w:val="6"/>
        <w:pageBreakBefore w:val="0"/>
        <w:widowControl w:val="0"/>
        <w:kinsoku/>
        <w:wordWrap/>
        <w:overflowPunct/>
        <w:topLinePunct w:val="0"/>
        <w:autoSpaceDE/>
        <w:autoSpaceDN/>
        <w:bidi w:val="0"/>
        <w:spacing w:before="0" w:after="0" w:line="360" w:lineRule="exact"/>
        <w:ind w:firstLine="315" w:firstLineChars="15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38.3</w:t>
      </w:r>
      <w:r>
        <w:rPr>
          <w:rFonts w:hint="eastAsia" w:ascii="宋体" w:hAnsi="宋体" w:eastAsia="宋体" w:cs="宋体"/>
          <w:b w:val="0"/>
          <w:bCs/>
          <w:color w:val="auto"/>
          <w:sz w:val="21"/>
          <w:szCs w:val="21"/>
          <w:highlight w:val="none"/>
        </w:rPr>
        <w:t>供应商提出质疑应当提交质疑函和必要的证明材料，针对同一采购程序环节的质疑必须在法定质疑期内一次性提出。质疑函应当包括下列内容（质疑函格式后附）：</w:t>
      </w:r>
    </w:p>
    <w:p w14:paraId="3BC7C6D8">
      <w:pPr>
        <w:pStyle w:val="14"/>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（1）供应商的姓名或者名称、地址、邮编、联系人及联系电话；</w:t>
      </w:r>
    </w:p>
    <w:p w14:paraId="66C37492">
      <w:pPr>
        <w:pStyle w:val="14"/>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（2）质疑项目的名称、编号；</w:t>
      </w:r>
    </w:p>
    <w:p w14:paraId="1B2BA196">
      <w:pPr>
        <w:pStyle w:val="14"/>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（3）具体、明确的质疑事项和与质疑事项相关的请求；</w:t>
      </w:r>
    </w:p>
    <w:p w14:paraId="018A9702">
      <w:pPr>
        <w:pStyle w:val="14"/>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（4）事实依据；</w:t>
      </w:r>
    </w:p>
    <w:p w14:paraId="78DC7439">
      <w:pPr>
        <w:pStyle w:val="14"/>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（5）必要的法律依据；</w:t>
      </w:r>
    </w:p>
    <w:p w14:paraId="585B12AA">
      <w:pPr>
        <w:pStyle w:val="14"/>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（6）提出质疑的日期。</w:t>
      </w:r>
    </w:p>
    <w:p w14:paraId="664F5536">
      <w:pPr>
        <w:pStyle w:val="14"/>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供应商为自然人的，应当由本人签字；供应商为法人或者其他组织的，应当由法定代表人、主要负责人，或者其委托代理人签字或者盖章，并加盖公章。</w:t>
      </w:r>
    </w:p>
    <w:p w14:paraId="639B057C">
      <w:pPr>
        <w:pStyle w:val="6"/>
        <w:pageBreakBefore w:val="0"/>
        <w:widowControl w:val="0"/>
        <w:kinsoku/>
        <w:wordWrap/>
        <w:overflowPunct/>
        <w:topLinePunct w:val="0"/>
        <w:autoSpaceDE/>
        <w:autoSpaceDN/>
        <w:bidi w:val="0"/>
        <w:snapToGrid w:val="0"/>
        <w:spacing w:before="0" w:after="0" w:line="360" w:lineRule="exact"/>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color w:val="auto"/>
          <w:sz w:val="21"/>
          <w:szCs w:val="21"/>
          <w:highlight w:val="none"/>
        </w:rPr>
        <w:t>3</w:t>
      </w:r>
      <w:r>
        <w:rPr>
          <w:rFonts w:hint="eastAsia" w:ascii="宋体" w:hAnsi="宋体" w:eastAsia="宋体" w:cs="宋体"/>
          <w:b w:val="0"/>
          <w:bCs/>
          <w:color w:val="auto"/>
          <w:sz w:val="21"/>
          <w:szCs w:val="21"/>
          <w:highlight w:val="none"/>
        </w:rPr>
        <w:t>8.4采购人、采购代理机构认为供应商质疑不成立，或者成立但未对中标结果构成影响的，继续开展采购活动；认为供应商质疑成立且影响或者可能影响中标结果的，按照下列情况处理：</w:t>
      </w:r>
    </w:p>
    <w:p w14:paraId="0E2B09E5">
      <w:pPr>
        <w:pStyle w:val="14"/>
        <w:pageBreakBefore w:val="0"/>
        <w:widowControl w:val="0"/>
        <w:kinsoku/>
        <w:wordWrap/>
        <w:overflowPunct/>
        <w:topLinePunct w:val="0"/>
        <w:autoSpaceDE/>
        <w:autoSpaceDN/>
        <w:bidi w:val="0"/>
        <w:snapToGrid w:val="0"/>
        <w:spacing w:line="360" w:lineRule="exac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（一）对</w:t>
      </w:r>
      <w:r>
        <w:rPr>
          <w:rFonts w:hint="eastAsia" w:hAnsi="宋体" w:cs="宋体"/>
          <w:bCs/>
          <w:color w:val="auto"/>
          <w:sz w:val="21"/>
          <w:szCs w:val="21"/>
          <w:highlight w:val="none"/>
          <w:lang w:eastAsia="zh-CN"/>
        </w:rPr>
        <w:t>采购</w:t>
      </w:r>
      <w:r>
        <w:rPr>
          <w:rFonts w:hint="eastAsia" w:ascii="宋体" w:hAnsi="宋体" w:eastAsia="宋体" w:cs="宋体"/>
          <w:bCs/>
          <w:color w:val="auto"/>
          <w:sz w:val="21"/>
          <w:szCs w:val="21"/>
          <w:highlight w:val="none"/>
        </w:rPr>
        <w:t>文件提出的质疑，依法通过澄清或者修改可以继续开展采购活动的，澄清或者修改</w:t>
      </w:r>
      <w:r>
        <w:rPr>
          <w:rFonts w:hint="eastAsia" w:hAnsi="宋体" w:cs="宋体"/>
          <w:bCs/>
          <w:color w:val="auto"/>
          <w:sz w:val="21"/>
          <w:szCs w:val="21"/>
          <w:highlight w:val="none"/>
          <w:lang w:eastAsia="zh-CN"/>
        </w:rPr>
        <w:t>采购</w:t>
      </w:r>
      <w:r>
        <w:rPr>
          <w:rFonts w:hint="eastAsia" w:ascii="宋体" w:hAnsi="宋体" w:eastAsia="宋体" w:cs="宋体"/>
          <w:bCs/>
          <w:color w:val="auto"/>
          <w:sz w:val="21"/>
          <w:szCs w:val="21"/>
          <w:highlight w:val="none"/>
        </w:rPr>
        <w:t>文件后继续开展采购活动；否则应当修改</w:t>
      </w:r>
      <w:r>
        <w:rPr>
          <w:rFonts w:hint="eastAsia" w:hAnsi="宋体" w:cs="宋体"/>
          <w:bCs/>
          <w:color w:val="auto"/>
          <w:sz w:val="21"/>
          <w:szCs w:val="21"/>
          <w:highlight w:val="none"/>
          <w:lang w:eastAsia="zh-CN"/>
        </w:rPr>
        <w:t>采购</w:t>
      </w:r>
      <w:r>
        <w:rPr>
          <w:rFonts w:hint="eastAsia" w:ascii="宋体" w:hAnsi="宋体" w:eastAsia="宋体" w:cs="宋体"/>
          <w:bCs/>
          <w:color w:val="auto"/>
          <w:sz w:val="21"/>
          <w:szCs w:val="21"/>
          <w:highlight w:val="none"/>
        </w:rPr>
        <w:t>文件后重新开展采购活动。</w:t>
      </w:r>
    </w:p>
    <w:p w14:paraId="7EF7A390">
      <w:pPr>
        <w:pStyle w:val="14"/>
        <w:pageBreakBefore w:val="0"/>
        <w:widowControl w:val="0"/>
        <w:kinsoku/>
        <w:wordWrap/>
        <w:overflowPunct/>
        <w:topLinePunct w:val="0"/>
        <w:autoSpaceDE/>
        <w:autoSpaceDN/>
        <w:bidi w:val="0"/>
        <w:snapToGrid w:val="0"/>
        <w:spacing w:line="360" w:lineRule="exac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（二）对采购过程、中标结果提出的质疑，合格供应商符合法定数量时，可以从合格的中标候选人中另行确定中标供应商的，应当依法另行确定中标供应商；否则应当重新开展采购活动。</w:t>
      </w:r>
    </w:p>
    <w:p w14:paraId="4B3E99FE">
      <w:pPr>
        <w:pStyle w:val="14"/>
        <w:pageBreakBefore w:val="0"/>
        <w:widowControl w:val="0"/>
        <w:kinsoku/>
        <w:wordWrap/>
        <w:overflowPunct/>
        <w:topLinePunct w:val="0"/>
        <w:autoSpaceDE/>
        <w:autoSpaceDN/>
        <w:bidi w:val="0"/>
        <w:snapToGrid w:val="0"/>
        <w:spacing w:line="360" w:lineRule="exact"/>
        <w:ind w:firstLine="42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质疑答复导致中标结果改变的，采购人或者采购代理机构应当将有关情况书面报告本级财政部门。</w:t>
      </w:r>
    </w:p>
    <w:p w14:paraId="71B95E70">
      <w:pPr>
        <w:pStyle w:val="14"/>
        <w:pageBreakBefore w:val="0"/>
        <w:widowControl w:val="0"/>
        <w:kinsoku/>
        <w:wordWrap/>
        <w:overflowPunct/>
        <w:topLinePunct w:val="0"/>
        <w:autoSpaceDE/>
        <w:autoSpaceDN/>
        <w:bidi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38.5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2F6F2271">
      <w:pPr>
        <w:pStyle w:val="4"/>
        <w:pageBreakBefore w:val="0"/>
        <w:widowControl w:val="0"/>
        <w:kinsoku/>
        <w:wordWrap/>
        <w:overflowPunct/>
        <w:topLinePunct w:val="0"/>
        <w:autoSpaceDE/>
        <w:autoSpaceDN/>
        <w:bidi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八、其他事项</w:t>
      </w:r>
    </w:p>
    <w:p w14:paraId="18FBE88E">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000000" w:themeColor="text1"/>
          <w:sz w:val="21"/>
          <w:szCs w:val="21"/>
          <w:highlight w:val="none"/>
          <w14:textFill>
            <w14:solidFill>
              <w14:schemeClr w14:val="tx1"/>
            </w14:solidFill>
          </w14:textFill>
        </w:rPr>
      </w:pPr>
      <w:bookmarkStart w:id="145" w:name="_42.代理服务费"/>
      <w:bookmarkEnd w:id="145"/>
      <w:r>
        <w:rPr>
          <w:rFonts w:hint="eastAsia" w:ascii="宋体" w:hAnsi="宋体" w:eastAsia="宋体" w:cs="宋体"/>
          <w:color w:val="000000" w:themeColor="text1"/>
          <w:sz w:val="21"/>
          <w:szCs w:val="21"/>
          <w:highlight w:val="none"/>
          <w14:textFill>
            <w14:solidFill>
              <w14:schemeClr w14:val="tx1"/>
            </w14:solidFill>
          </w14:textFill>
        </w:rPr>
        <w:t>39.代理服务费</w:t>
      </w:r>
    </w:p>
    <w:p w14:paraId="5B557DE9">
      <w:pPr>
        <w:pStyle w:val="7"/>
        <w:pageBreakBefore w:val="0"/>
        <w:widowControl w:val="0"/>
        <w:kinsoku/>
        <w:wordWrap/>
        <w:overflowPunct/>
        <w:topLinePunct w:val="0"/>
        <w:autoSpaceDE/>
        <w:autoSpaceDN/>
        <w:bidi w:val="0"/>
        <w:spacing w:line="360" w:lineRule="exact"/>
        <w:textAlignment w:val="auto"/>
        <w:rPr>
          <w:rFonts w:hint="default" w:eastAsia="宋体"/>
          <w:color w:val="000000" w:themeColor="text1"/>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本项目不收取代理服务费。</w:t>
      </w:r>
    </w:p>
    <w:p w14:paraId="1195AABE">
      <w:pPr>
        <w:pStyle w:val="6"/>
        <w:pageBreakBefore w:val="0"/>
        <w:widowControl w:val="0"/>
        <w:kinsoku/>
        <w:wordWrap/>
        <w:overflowPunct/>
        <w:topLinePunct w:val="0"/>
        <w:autoSpaceDE/>
        <w:autoSpaceDN/>
        <w:bidi w:val="0"/>
        <w:spacing w:before="0" w:after="0" w:line="360" w:lineRule="exact"/>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40.需要补充的其他内容</w:t>
      </w:r>
    </w:p>
    <w:p w14:paraId="4267E7F7">
      <w:pPr>
        <w:pStyle w:val="14"/>
        <w:keepNext w:val="0"/>
        <w:keepLines w:val="0"/>
        <w:pageBreakBefore w:val="0"/>
        <w:widowControl w:val="0"/>
        <w:kinsoku/>
        <w:wordWrap/>
        <w:overflowPunct/>
        <w:topLinePunct w:val="0"/>
        <w:autoSpaceDE/>
        <w:autoSpaceDN/>
        <w:bidi w:val="0"/>
        <w:adjustRightInd/>
        <w:snapToGrid/>
        <w:spacing w:line="36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40.1本</w:t>
      </w:r>
      <w:r>
        <w:rPr>
          <w:rFonts w:hint="eastAsia" w:hAnsi="宋体" w:cs="宋体"/>
          <w:color w:val="auto"/>
          <w:sz w:val="21"/>
          <w:szCs w:val="21"/>
          <w:highlight w:val="none"/>
          <w:lang w:eastAsia="zh-CN"/>
        </w:rPr>
        <w:t>采购</w:t>
      </w:r>
      <w:r>
        <w:rPr>
          <w:rFonts w:hint="eastAsia" w:ascii="宋体" w:hAnsi="宋体" w:eastAsia="宋体" w:cs="宋体"/>
          <w:color w:val="auto"/>
          <w:sz w:val="21"/>
          <w:szCs w:val="21"/>
          <w:highlight w:val="none"/>
        </w:rPr>
        <w:t>文件解释规则详见“投标人须知前附表”。</w:t>
      </w:r>
    </w:p>
    <w:p w14:paraId="0FC40165">
      <w:pPr>
        <w:pStyle w:val="14"/>
        <w:pageBreakBefore w:val="0"/>
        <w:widowControl w:val="0"/>
        <w:kinsoku/>
        <w:wordWrap/>
        <w:overflowPunct/>
        <w:topLinePunct w:val="0"/>
        <w:autoSpaceDE/>
        <w:autoSpaceDN/>
        <w:bidi w:val="0"/>
        <w:spacing w:before="120" w:after="120" w:line="36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40.2其他事项详见“投标人须知前附表”。</w:t>
      </w:r>
    </w:p>
    <w:p w14:paraId="5294DBCF">
      <w:pPr>
        <w:pStyle w:val="14"/>
        <w:pageBreakBefore w:val="0"/>
        <w:widowControl w:val="0"/>
        <w:kinsoku/>
        <w:wordWrap/>
        <w:overflowPunct/>
        <w:topLinePunct w:val="0"/>
        <w:autoSpaceDE/>
        <w:autoSpaceDN/>
        <w:bidi w:val="0"/>
        <w:spacing w:before="120" w:after="120" w:line="360" w:lineRule="exact"/>
        <w:ind w:firstLine="420" w:firstLineChars="200"/>
        <w:contextualSpacing/>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40.3</w:t>
      </w:r>
      <w:bookmarkStart w:id="146" w:name="_Hlk65857140"/>
      <w:r>
        <w:rPr>
          <w:rFonts w:hint="eastAsia" w:ascii="宋体" w:hAnsi="宋体" w:eastAsia="宋体" w:cs="宋体"/>
          <w:color w:val="000000" w:themeColor="text1"/>
          <w:sz w:val="21"/>
          <w:szCs w:val="21"/>
          <w:highlight w:val="none"/>
          <w14:textFill>
            <w14:solidFill>
              <w14:schemeClr w14:val="tx1"/>
            </w14:solidFill>
          </w14:textFill>
        </w:rPr>
        <w:t>本</w:t>
      </w:r>
      <w:r>
        <w:rPr>
          <w:rFonts w:hint="eastAsia" w:hAnsi="宋体" w:cs="宋体"/>
          <w:color w:val="000000" w:themeColor="text1"/>
          <w:sz w:val="21"/>
          <w:szCs w:val="21"/>
          <w:highlight w:val="none"/>
          <w:lang w:eastAsia="zh-CN"/>
          <w14:textFill>
            <w14:solidFill>
              <w14:schemeClr w14:val="tx1"/>
            </w14:solidFill>
          </w14:textFill>
        </w:rPr>
        <w:t>采购</w:t>
      </w:r>
      <w:r>
        <w:rPr>
          <w:rFonts w:hint="eastAsia" w:ascii="宋体" w:hAnsi="宋体" w:eastAsia="宋体" w:cs="宋体"/>
          <w:color w:val="000000" w:themeColor="text1"/>
          <w:sz w:val="21"/>
          <w:szCs w:val="21"/>
          <w:highlight w:val="none"/>
          <w14:textFill>
            <w14:solidFill>
              <w14:schemeClr w14:val="tx1"/>
            </w14:solidFill>
          </w14:textFill>
        </w:rPr>
        <w:t>文件所称</w:t>
      </w:r>
      <w:r>
        <w:rPr>
          <w:rFonts w:hint="eastAsia" w:hAnsi="宋体" w:cs="宋体"/>
          <w:color w:val="000000" w:themeColor="text1"/>
          <w:sz w:val="21"/>
          <w:szCs w:val="21"/>
          <w:highlight w:val="none"/>
          <w:lang w:val="en-US" w:eastAsia="zh-CN"/>
          <w14:textFill>
            <w14:solidFill>
              <w14:schemeClr w14:val="tx1"/>
            </w14:solidFill>
          </w14:textFill>
        </w:rPr>
        <w:t>中小</w:t>
      </w:r>
      <w:r>
        <w:rPr>
          <w:rFonts w:hint="eastAsia" w:ascii="宋体" w:hAnsi="宋体" w:eastAsia="宋体" w:cs="宋体"/>
          <w:color w:val="000000" w:themeColor="text1"/>
          <w:sz w:val="21"/>
          <w:szCs w:val="21"/>
          <w:highlight w:val="none"/>
          <w14:textFill>
            <w14:solidFill>
              <w14:schemeClr w14:val="tx1"/>
            </w14:solidFill>
          </w14:textFill>
        </w:rPr>
        <w:t>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w:t>
      </w:r>
      <w:r>
        <w:rPr>
          <w:rFonts w:hint="eastAsia" w:hAnsi="宋体" w:cs="宋体"/>
          <w:color w:val="000000" w:themeColor="text1"/>
          <w:sz w:val="21"/>
          <w:szCs w:val="21"/>
          <w:highlight w:val="none"/>
          <w:lang w:eastAsia="zh-CN"/>
          <w14:textFill>
            <w14:solidFill>
              <w14:schemeClr w14:val="tx1"/>
            </w14:solidFill>
          </w14:textFill>
        </w:rPr>
        <w:t>采购</w:t>
      </w:r>
      <w:r>
        <w:rPr>
          <w:rFonts w:hint="eastAsia" w:ascii="宋体" w:hAnsi="宋体" w:eastAsia="宋体" w:cs="宋体"/>
          <w:color w:val="000000" w:themeColor="text1"/>
          <w:sz w:val="21"/>
          <w:szCs w:val="21"/>
          <w:highlight w:val="none"/>
          <w14:textFill>
            <w14:solidFill>
              <w14:schemeClr w14:val="tx1"/>
            </w14:solidFill>
          </w14:textFill>
        </w:rPr>
        <w:t>文件规定的中小企业扶持政策：</w:t>
      </w:r>
    </w:p>
    <w:p w14:paraId="4DB8AEFD">
      <w:pPr>
        <w:pStyle w:val="14"/>
        <w:pageBreakBefore w:val="0"/>
        <w:widowControl w:val="0"/>
        <w:kinsoku/>
        <w:wordWrap/>
        <w:overflowPunct/>
        <w:topLinePunct w:val="0"/>
        <w:autoSpaceDE/>
        <w:autoSpaceDN/>
        <w:bidi w:val="0"/>
        <w:spacing w:before="120" w:after="120" w:line="360" w:lineRule="exact"/>
        <w:ind w:firstLine="420" w:firstLineChars="200"/>
        <w:contextualSpacing/>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（1）在货物采购项目中，货物由中小企业制造，即货物由中小企业生产且使用该中小企业商号或者注册商标，不对其中涉及的工程承建商和服务的承接商作出要求；</w:t>
      </w:r>
    </w:p>
    <w:p w14:paraId="4FF7DE2C">
      <w:pPr>
        <w:pStyle w:val="14"/>
        <w:pageBreakBefore w:val="0"/>
        <w:widowControl w:val="0"/>
        <w:kinsoku/>
        <w:wordWrap/>
        <w:overflowPunct/>
        <w:topLinePunct w:val="0"/>
        <w:autoSpaceDE/>
        <w:autoSpaceDN/>
        <w:bidi w:val="0"/>
        <w:spacing w:before="120" w:after="120" w:line="360" w:lineRule="exact"/>
        <w:ind w:firstLine="420" w:firstLineChars="200"/>
        <w:contextualSpacing/>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（2）在工程采购项目中，工程由中小企业承建，即工程施工单位为中小企业，不对其中涉及的货物的制造商和服务的承接商作出要求；</w:t>
      </w:r>
    </w:p>
    <w:p w14:paraId="7656381E">
      <w:pPr>
        <w:pStyle w:val="14"/>
        <w:pageBreakBefore w:val="0"/>
        <w:widowControl w:val="0"/>
        <w:kinsoku/>
        <w:wordWrap/>
        <w:overflowPunct/>
        <w:topLinePunct w:val="0"/>
        <w:autoSpaceDE/>
        <w:autoSpaceDN/>
        <w:bidi w:val="0"/>
        <w:spacing w:before="120" w:after="120" w:line="360" w:lineRule="exact"/>
        <w:ind w:firstLine="420" w:firstLineChars="200"/>
        <w:contextualSpacing/>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（3）在服务采购项目中，服务由中小企业承接，即提供服务的人员为中小企业依照《中华人民共和国劳动合同法》订立劳动合同的从业人员，不对其中涉及的货物的制造商和工程承建商作出要求。</w:t>
      </w:r>
    </w:p>
    <w:p w14:paraId="07A32494">
      <w:pPr>
        <w:pStyle w:val="14"/>
        <w:pageBreakBefore w:val="0"/>
        <w:widowControl w:val="0"/>
        <w:kinsoku/>
        <w:wordWrap/>
        <w:overflowPunct/>
        <w:topLinePunct w:val="0"/>
        <w:autoSpaceDE/>
        <w:autoSpaceDN/>
        <w:bidi w:val="0"/>
        <w:spacing w:before="120" w:after="120" w:line="360" w:lineRule="exact"/>
        <w:ind w:firstLine="420" w:firstLineChars="200"/>
        <w:contextualSpacing/>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在货物采购项目中，供应商提供的货物既有中小企业制造货物，也有大型企业制造货物的，不享受本</w:t>
      </w:r>
      <w:r>
        <w:rPr>
          <w:rFonts w:hint="eastAsia" w:ascii="宋体" w:hAnsi="宋体" w:eastAsia="宋体" w:cs="宋体"/>
          <w:color w:val="000000" w:themeColor="text1"/>
          <w:sz w:val="21"/>
          <w:szCs w:val="21"/>
          <w:highlight w:val="none"/>
          <w:lang w:eastAsia="zh-CN"/>
          <w14:textFill>
            <w14:solidFill>
              <w14:schemeClr w14:val="tx1"/>
            </w14:solidFill>
          </w14:textFill>
        </w:rPr>
        <w:t>采购</w:t>
      </w:r>
      <w:r>
        <w:rPr>
          <w:rFonts w:hint="eastAsia" w:ascii="宋体" w:hAnsi="宋体" w:eastAsia="宋体" w:cs="宋体"/>
          <w:color w:val="000000" w:themeColor="text1"/>
          <w:sz w:val="21"/>
          <w:szCs w:val="21"/>
          <w:highlight w:val="none"/>
          <w14:textFill>
            <w14:solidFill>
              <w14:schemeClr w14:val="tx1"/>
            </w14:solidFill>
          </w14:textFill>
        </w:rPr>
        <w:t>文件规定的中小企业扶持政策。</w:t>
      </w:r>
    </w:p>
    <w:p w14:paraId="5BE75443">
      <w:pPr>
        <w:pStyle w:val="14"/>
        <w:pageBreakBefore w:val="0"/>
        <w:widowControl w:val="0"/>
        <w:kinsoku/>
        <w:wordWrap/>
        <w:overflowPunct/>
        <w:topLinePunct w:val="0"/>
        <w:autoSpaceDE/>
        <w:autoSpaceDN/>
        <w:bidi w:val="0"/>
        <w:spacing w:before="120" w:after="120" w:line="360" w:lineRule="exact"/>
        <w:ind w:firstLine="420" w:firstLineChars="200"/>
        <w:contextualSpacing/>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依据本</w:t>
      </w:r>
      <w:r>
        <w:rPr>
          <w:rFonts w:hint="eastAsia" w:ascii="宋体" w:hAnsi="宋体" w:eastAsia="宋体" w:cs="宋体"/>
          <w:color w:val="000000" w:themeColor="text1"/>
          <w:sz w:val="21"/>
          <w:szCs w:val="21"/>
          <w:highlight w:val="none"/>
          <w:lang w:eastAsia="zh-CN"/>
          <w14:textFill>
            <w14:solidFill>
              <w14:schemeClr w14:val="tx1"/>
            </w14:solidFill>
          </w14:textFill>
        </w:rPr>
        <w:t>采购</w:t>
      </w:r>
      <w:r>
        <w:rPr>
          <w:rFonts w:hint="eastAsia" w:ascii="宋体" w:hAnsi="宋体" w:eastAsia="宋体" w:cs="宋体"/>
          <w:color w:val="000000" w:themeColor="text1"/>
          <w:sz w:val="21"/>
          <w:szCs w:val="21"/>
          <w:highlight w:val="none"/>
          <w14:textFill>
            <w14:solidFill>
              <w14:schemeClr w14:val="tx1"/>
            </w14:solidFill>
          </w14:textFill>
        </w:rPr>
        <w:t>文件规定享受扶持政策获得政府采购合同的，小微企业不得将合同分包给大中型企业，中型企业不得将合同分包给大型企业。</w:t>
      </w:r>
      <w:bookmarkEnd w:id="146"/>
    </w:p>
    <w:p w14:paraId="11B304BF">
      <w:pPr>
        <w:rPr>
          <w:rFonts w:asciiTheme="minorHAnsi" w:hAnsiTheme="minorHAnsi" w:eastAsiaTheme="minorEastAsia" w:cstheme="minorBidi"/>
          <w:color w:val="auto"/>
          <w:kern w:val="2"/>
          <w:sz w:val="21"/>
          <w:szCs w:val="24"/>
          <w:lang w:val="en-US" w:eastAsia="zh-CN" w:bidi="ar-SA"/>
        </w:rPr>
      </w:pPr>
      <w:r>
        <w:rPr>
          <w:rFonts w:asciiTheme="minorHAnsi" w:hAnsiTheme="minorHAnsi" w:eastAsiaTheme="minorEastAsia" w:cstheme="minorBidi"/>
          <w:color w:val="auto"/>
          <w:kern w:val="2"/>
          <w:sz w:val="21"/>
          <w:szCs w:val="24"/>
          <w:lang w:val="en-US" w:eastAsia="zh-CN" w:bidi="ar-SA"/>
        </w:rPr>
        <w:br w:type="page"/>
      </w:r>
    </w:p>
    <w:p w14:paraId="2F375A1F">
      <w:pPr>
        <w:pageBreakBefore w:val="0"/>
        <w:kinsoku/>
        <w:overflowPunct/>
        <w:topLinePunct w:val="0"/>
        <w:bidi w:val="0"/>
        <w:snapToGrid w:val="0"/>
        <w:spacing w:line="240" w:lineRule="auto"/>
        <w:rPr>
          <w:rFonts w:hint="eastAsia" w:ascii="宋体" w:hAnsi="宋体" w:eastAsia="宋体" w:cs="宋体"/>
          <w:color w:val="auto"/>
          <w:kern w:val="0"/>
          <w:sz w:val="21"/>
          <w:szCs w:val="21"/>
          <w:highlight w:val="none"/>
        </w:rPr>
      </w:pPr>
      <w:r>
        <w:rPr>
          <w:rFonts w:hint="eastAsia" w:ascii="宋体" w:hAnsi="宋体" w:eastAsia="宋体" w:cs="宋体"/>
          <w:bCs/>
          <w:color w:val="auto"/>
          <w:kern w:val="0"/>
          <w:sz w:val="21"/>
          <w:szCs w:val="21"/>
          <w:highlight w:val="none"/>
        </w:rPr>
        <w:t>附件1：</w:t>
      </w:r>
    </w:p>
    <w:p w14:paraId="1C59947E">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b/>
          <w:bCs/>
          <w:color w:val="auto"/>
          <w:kern w:val="0"/>
          <w:sz w:val="21"/>
          <w:szCs w:val="21"/>
          <w:highlight w:val="none"/>
        </w:rPr>
        <w:t>广西壮族自治区政府采购项目合同验收书（格式）</w:t>
      </w:r>
    </w:p>
    <w:p w14:paraId="2F39F110">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p>
    <w:p w14:paraId="689218A5">
      <w:pPr>
        <w:pageBreakBefore w:val="0"/>
        <w:widowControl/>
        <w:kinsoku/>
        <w:overflowPunct/>
        <w:topLinePunct w:val="0"/>
        <w:bidi w:val="0"/>
        <w:snapToGrid w:val="0"/>
        <w:spacing w:line="240" w:lineRule="auto"/>
        <w:ind w:firstLine="48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根据政府采购项目（</w:t>
      </w:r>
      <w:r>
        <w:rPr>
          <w:rFonts w:hint="eastAsia" w:ascii="宋体" w:hAnsi="宋体" w:eastAsia="宋体" w:cs="宋体"/>
          <w:color w:val="auto"/>
          <w:kern w:val="0"/>
          <w:sz w:val="21"/>
          <w:szCs w:val="21"/>
          <w:highlight w:val="none"/>
          <w:u w:val="single"/>
        </w:rPr>
        <w:t xml:space="preserve">采购合同编号： </w:t>
      </w:r>
      <w:r>
        <w:rPr>
          <w:rFonts w:hint="eastAsia" w:ascii="宋体" w:hAnsi="宋体" w:eastAsia="宋体" w:cs="宋体"/>
          <w:color w:val="auto"/>
          <w:kern w:val="0"/>
          <w:sz w:val="21"/>
          <w:szCs w:val="21"/>
          <w:highlight w:val="none"/>
        </w:rPr>
        <w:t>）的约定，我单位对（</w:t>
      </w:r>
      <w:r>
        <w:rPr>
          <w:rFonts w:hint="eastAsia" w:ascii="宋体" w:hAnsi="宋体" w:eastAsia="宋体" w:cs="宋体"/>
          <w:color w:val="auto"/>
          <w:kern w:val="0"/>
          <w:sz w:val="21"/>
          <w:szCs w:val="21"/>
          <w:highlight w:val="none"/>
          <w:u w:val="single"/>
        </w:rPr>
        <w:t xml:space="preserve"> 项目名称 </w:t>
      </w:r>
      <w:r>
        <w:rPr>
          <w:rFonts w:hint="eastAsia" w:ascii="宋体" w:hAnsi="宋体" w:eastAsia="宋体" w:cs="宋体"/>
          <w:color w:val="auto"/>
          <w:kern w:val="0"/>
          <w:sz w:val="21"/>
          <w:szCs w:val="21"/>
          <w:highlight w:val="none"/>
        </w:rPr>
        <w:t>） 政府采购项目中标人（</w:t>
      </w:r>
      <w:r>
        <w:rPr>
          <w:rFonts w:hint="eastAsia" w:ascii="宋体" w:hAnsi="宋体" w:eastAsia="宋体" w:cs="宋体"/>
          <w:color w:val="auto"/>
          <w:kern w:val="0"/>
          <w:sz w:val="21"/>
          <w:szCs w:val="21"/>
          <w:highlight w:val="none"/>
          <w:u w:val="single"/>
        </w:rPr>
        <w:t xml:space="preserve"> 公司名称 </w:t>
      </w:r>
      <w:r>
        <w:rPr>
          <w:rFonts w:hint="eastAsia" w:ascii="宋体" w:hAnsi="宋体" w:eastAsia="宋体" w:cs="宋体"/>
          <w:color w:val="auto"/>
          <w:kern w:val="0"/>
          <w:sz w:val="21"/>
          <w:szCs w:val="21"/>
          <w:highlight w:val="none"/>
        </w:rPr>
        <w:t>） 提供的货物（或者工程、服务）进行了验收，验收情况如下：</w:t>
      </w:r>
    </w:p>
    <w:tbl>
      <w:tblPr>
        <w:tblStyle w:val="20"/>
        <w:tblW w:w="8951" w:type="dxa"/>
        <w:jc w:val="center"/>
        <w:tblLayout w:type="fixed"/>
        <w:tblCellMar>
          <w:top w:w="0" w:type="dxa"/>
          <w:left w:w="0" w:type="dxa"/>
          <w:bottom w:w="0" w:type="dxa"/>
          <w:right w:w="0" w:type="dxa"/>
        </w:tblCellMar>
      </w:tblPr>
      <w:tblGrid>
        <w:gridCol w:w="804"/>
        <w:gridCol w:w="825"/>
        <w:gridCol w:w="1623"/>
        <w:gridCol w:w="798"/>
        <w:gridCol w:w="102"/>
        <w:gridCol w:w="2002"/>
        <w:gridCol w:w="178"/>
        <w:gridCol w:w="1191"/>
        <w:gridCol w:w="1428"/>
      </w:tblGrid>
      <w:tr w14:paraId="2E44CB66">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vAlign w:val="center"/>
          </w:tcPr>
          <w:p w14:paraId="3AED8A8A">
            <w:pPr>
              <w:pageBreakBefore w:val="0"/>
              <w:widowControl/>
              <w:kinsoku/>
              <w:overflowPunct/>
              <w:topLinePunct w:val="0"/>
              <w:bidi w:val="0"/>
              <w:snapToGrid w:val="0"/>
              <w:spacing w:before="100" w:beforeAutospacing="1" w:after="100" w:afterAutospacing="1" w:line="240" w:lineRule="auto"/>
              <w:ind w:firstLine="5"/>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验收方式：</w:t>
            </w:r>
          </w:p>
        </w:tc>
        <w:tc>
          <w:tcPr>
            <w:tcW w:w="5699" w:type="dxa"/>
            <w:gridSpan w:val="6"/>
            <w:tcBorders>
              <w:top w:val="single" w:color="auto" w:sz="8" w:space="0"/>
              <w:left w:val="nil"/>
              <w:bottom w:val="single" w:color="auto" w:sz="8" w:space="0"/>
              <w:right w:val="single" w:color="auto" w:sz="8" w:space="0"/>
            </w:tcBorders>
            <w:vAlign w:val="center"/>
          </w:tcPr>
          <w:p w14:paraId="064DCA0C">
            <w:pPr>
              <w:pageBreakBefore w:val="0"/>
              <w:widowControl/>
              <w:kinsoku/>
              <w:overflowPunct/>
              <w:topLinePunct w:val="0"/>
              <w:bidi w:val="0"/>
              <w:snapToGrid w:val="0"/>
              <w:spacing w:before="100" w:beforeAutospacing="1" w:after="100" w:afterAutospacing="1"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□自行验收 □委托验收</w:t>
            </w:r>
          </w:p>
        </w:tc>
      </w:tr>
      <w:tr w14:paraId="5DB54861">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vAlign w:val="center"/>
          </w:tcPr>
          <w:p w14:paraId="77B679AB">
            <w:pPr>
              <w:pageBreakBefore w:val="0"/>
              <w:widowControl/>
              <w:kinsoku/>
              <w:overflowPunct/>
              <w:topLinePunct w:val="0"/>
              <w:bidi w:val="0"/>
              <w:snapToGrid w:val="0"/>
              <w:spacing w:before="100" w:beforeAutospacing="1" w:after="100" w:afterAutospacing="1" w:line="240" w:lineRule="auto"/>
              <w:ind w:firstLine="2"/>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序号</w:t>
            </w:r>
          </w:p>
        </w:tc>
        <w:tc>
          <w:tcPr>
            <w:tcW w:w="2448" w:type="dxa"/>
            <w:gridSpan w:val="2"/>
            <w:tcBorders>
              <w:top w:val="nil"/>
              <w:left w:val="nil"/>
              <w:bottom w:val="single" w:color="auto" w:sz="8" w:space="0"/>
              <w:right w:val="single" w:color="auto" w:sz="8" w:space="0"/>
            </w:tcBorders>
            <w:vAlign w:val="center"/>
          </w:tcPr>
          <w:p w14:paraId="34AA964D">
            <w:pPr>
              <w:pageBreakBefore w:val="0"/>
              <w:widowControl/>
              <w:kinsoku/>
              <w:overflowPunct/>
              <w:topLinePunct w:val="0"/>
              <w:bidi w:val="0"/>
              <w:snapToGrid w:val="0"/>
              <w:spacing w:before="100" w:beforeAutospacing="1" w:after="100" w:afterAutospacing="1" w:line="240" w:lineRule="auto"/>
              <w:ind w:firstLine="2"/>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名称</w:t>
            </w:r>
          </w:p>
        </w:tc>
        <w:tc>
          <w:tcPr>
            <w:tcW w:w="2902" w:type="dxa"/>
            <w:gridSpan w:val="3"/>
            <w:tcBorders>
              <w:top w:val="nil"/>
              <w:left w:val="nil"/>
              <w:bottom w:val="single" w:color="auto" w:sz="8" w:space="0"/>
              <w:right w:val="single" w:color="auto" w:sz="8" w:space="0"/>
            </w:tcBorders>
            <w:vAlign w:val="center"/>
          </w:tcPr>
          <w:p w14:paraId="7FFB1BCC">
            <w:pPr>
              <w:pageBreakBefore w:val="0"/>
              <w:widowControl/>
              <w:kinsoku/>
              <w:overflowPunct/>
              <w:topLinePunct w:val="0"/>
              <w:bidi w:val="0"/>
              <w:snapToGrid w:val="0"/>
              <w:spacing w:before="100" w:beforeAutospacing="1" w:after="100" w:afterAutospacing="1" w:line="240" w:lineRule="auto"/>
              <w:ind w:firstLine="2"/>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货物型号规格、标准及配置等（或者服务内容、标准）</w:t>
            </w:r>
          </w:p>
        </w:tc>
        <w:tc>
          <w:tcPr>
            <w:tcW w:w="1369" w:type="dxa"/>
            <w:gridSpan w:val="2"/>
            <w:tcBorders>
              <w:top w:val="nil"/>
              <w:left w:val="nil"/>
              <w:bottom w:val="single" w:color="auto" w:sz="8" w:space="0"/>
              <w:right w:val="single" w:color="auto" w:sz="8" w:space="0"/>
            </w:tcBorders>
            <w:vAlign w:val="center"/>
          </w:tcPr>
          <w:p w14:paraId="5DBD0B72">
            <w:pPr>
              <w:pageBreakBefore w:val="0"/>
              <w:widowControl/>
              <w:kinsoku/>
              <w:overflowPunct/>
              <w:topLinePunct w:val="0"/>
              <w:bidi w:val="0"/>
              <w:snapToGrid w:val="0"/>
              <w:spacing w:before="100" w:beforeAutospacing="1" w:after="100" w:afterAutospacing="1"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数量</w:t>
            </w:r>
          </w:p>
        </w:tc>
        <w:tc>
          <w:tcPr>
            <w:tcW w:w="1428" w:type="dxa"/>
            <w:tcBorders>
              <w:top w:val="nil"/>
              <w:left w:val="nil"/>
              <w:bottom w:val="single" w:color="auto" w:sz="8" w:space="0"/>
              <w:right w:val="single" w:color="auto" w:sz="8" w:space="0"/>
            </w:tcBorders>
            <w:vAlign w:val="center"/>
          </w:tcPr>
          <w:p w14:paraId="1B75AEE5">
            <w:pPr>
              <w:pageBreakBefore w:val="0"/>
              <w:widowControl/>
              <w:kinsoku/>
              <w:overflowPunct/>
              <w:topLinePunct w:val="0"/>
              <w:bidi w:val="0"/>
              <w:snapToGrid w:val="0"/>
              <w:spacing w:before="100" w:beforeAutospacing="1" w:after="100" w:afterAutospacing="1" w:line="240" w:lineRule="auto"/>
              <w:ind w:firstLine="2"/>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金额</w:t>
            </w:r>
          </w:p>
        </w:tc>
      </w:tr>
      <w:tr w14:paraId="67D1F77E">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33FE2FC8">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c>
          <w:tcPr>
            <w:tcW w:w="2448" w:type="dxa"/>
            <w:gridSpan w:val="2"/>
            <w:tcBorders>
              <w:top w:val="nil"/>
              <w:left w:val="nil"/>
              <w:bottom w:val="single" w:color="auto" w:sz="8" w:space="0"/>
              <w:right w:val="single" w:color="auto" w:sz="8" w:space="0"/>
            </w:tcBorders>
            <w:vAlign w:val="center"/>
          </w:tcPr>
          <w:p w14:paraId="7CEA6E20">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c>
          <w:tcPr>
            <w:tcW w:w="2902" w:type="dxa"/>
            <w:gridSpan w:val="3"/>
            <w:tcBorders>
              <w:top w:val="nil"/>
              <w:left w:val="nil"/>
              <w:bottom w:val="single" w:color="auto" w:sz="8" w:space="0"/>
              <w:right w:val="single" w:color="auto" w:sz="8" w:space="0"/>
            </w:tcBorders>
            <w:vAlign w:val="center"/>
          </w:tcPr>
          <w:p w14:paraId="278148F9">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c>
          <w:tcPr>
            <w:tcW w:w="1369" w:type="dxa"/>
            <w:gridSpan w:val="2"/>
            <w:tcBorders>
              <w:top w:val="nil"/>
              <w:left w:val="nil"/>
              <w:bottom w:val="single" w:color="auto" w:sz="8" w:space="0"/>
              <w:right w:val="single" w:color="auto" w:sz="8" w:space="0"/>
            </w:tcBorders>
            <w:vAlign w:val="center"/>
          </w:tcPr>
          <w:p w14:paraId="64A82CBF">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c>
          <w:tcPr>
            <w:tcW w:w="1428" w:type="dxa"/>
            <w:tcBorders>
              <w:top w:val="nil"/>
              <w:left w:val="nil"/>
              <w:bottom w:val="single" w:color="auto" w:sz="8" w:space="0"/>
              <w:right w:val="single" w:color="auto" w:sz="8" w:space="0"/>
            </w:tcBorders>
            <w:vAlign w:val="center"/>
          </w:tcPr>
          <w:p w14:paraId="173771E2">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r>
      <w:tr w14:paraId="01C69CB1">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63694ADC">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c>
          <w:tcPr>
            <w:tcW w:w="2448" w:type="dxa"/>
            <w:gridSpan w:val="2"/>
            <w:tcBorders>
              <w:top w:val="nil"/>
              <w:left w:val="nil"/>
              <w:bottom w:val="single" w:color="auto" w:sz="8" w:space="0"/>
              <w:right w:val="single" w:color="auto" w:sz="8" w:space="0"/>
            </w:tcBorders>
            <w:vAlign w:val="center"/>
          </w:tcPr>
          <w:p w14:paraId="0E2BE0F6">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c>
          <w:tcPr>
            <w:tcW w:w="2902" w:type="dxa"/>
            <w:gridSpan w:val="3"/>
            <w:tcBorders>
              <w:top w:val="nil"/>
              <w:left w:val="nil"/>
              <w:bottom w:val="single" w:color="auto" w:sz="8" w:space="0"/>
              <w:right w:val="single" w:color="auto" w:sz="8" w:space="0"/>
            </w:tcBorders>
            <w:vAlign w:val="center"/>
          </w:tcPr>
          <w:p w14:paraId="44FD5678">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c>
          <w:tcPr>
            <w:tcW w:w="1369" w:type="dxa"/>
            <w:gridSpan w:val="2"/>
            <w:tcBorders>
              <w:top w:val="nil"/>
              <w:left w:val="nil"/>
              <w:bottom w:val="single" w:color="auto" w:sz="8" w:space="0"/>
              <w:right w:val="single" w:color="auto" w:sz="8" w:space="0"/>
            </w:tcBorders>
            <w:vAlign w:val="center"/>
          </w:tcPr>
          <w:p w14:paraId="6BA5F5B4">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c>
          <w:tcPr>
            <w:tcW w:w="1428" w:type="dxa"/>
            <w:tcBorders>
              <w:top w:val="nil"/>
              <w:left w:val="nil"/>
              <w:bottom w:val="single" w:color="auto" w:sz="8" w:space="0"/>
              <w:right w:val="single" w:color="auto" w:sz="8" w:space="0"/>
            </w:tcBorders>
            <w:vAlign w:val="center"/>
          </w:tcPr>
          <w:p w14:paraId="50C166B9">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r>
      <w:tr w14:paraId="628476C3">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22E05F43">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c>
          <w:tcPr>
            <w:tcW w:w="2448" w:type="dxa"/>
            <w:gridSpan w:val="2"/>
            <w:tcBorders>
              <w:top w:val="nil"/>
              <w:left w:val="nil"/>
              <w:bottom w:val="single" w:color="auto" w:sz="8" w:space="0"/>
              <w:right w:val="single" w:color="auto" w:sz="8" w:space="0"/>
            </w:tcBorders>
            <w:vAlign w:val="center"/>
          </w:tcPr>
          <w:p w14:paraId="2BF05B55">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c>
          <w:tcPr>
            <w:tcW w:w="2902" w:type="dxa"/>
            <w:gridSpan w:val="3"/>
            <w:tcBorders>
              <w:top w:val="nil"/>
              <w:left w:val="nil"/>
              <w:bottom w:val="single" w:color="auto" w:sz="8" w:space="0"/>
              <w:right w:val="single" w:color="auto" w:sz="8" w:space="0"/>
            </w:tcBorders>
            <w:vAlign w:val="center"/>
          </w:tcPr>
          <w:p w14:paraId="4485DCE8">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c>
          <w:tcPr>
            <w:tcW w:w="1369" w:type="dxa"/>
            <w:gridSpan w:val="2"/>
            <w:tcBorders>
              <w:top w:val="nil"/>
              <w:left w:val="nil"/>
              <w:bottom w:val="single" w:color="auto" w:sz="8" w:space="0"/>
              <w:right w:val="single" w:color="auto" w:sz="8" w:space="0"/>
            </w:tcBorders>
            <w:vAlign w:val="center"/>
          </w:tcPr>
          <w:p w14:paraId="07EE78F9">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c>
          <w:tcPr>
            <w:tcW w:w="1428" w:type="dxa"/>
            <w:tcBorders>
              <w:top w:val="nil"/>
              <w:left w:val="nil"/>
              <w:bottom w:val="single" w:color="auto" w:sz="8" w:space="0"/>
              <w:right w:val="single" w:color="auto" w:sz="8" w:space="0"/>
            </w:tcBorders>
            <w:vAlign w:val="center"/>
          </w:tcPr>
          <w:p w14:paraId="27F0B35D">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r>
      <w:tr w14:paraId="2D83E43D">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vAlign w:val="center"/>
          </w:tcPr>
          <w:p w14:paraId="7BFEAE59">
            <w:pPr>
              <w:pageBreakBefore w:val="0"/>
              <w:widowControl/>
              <w:kinsoku/>
              <w:overflowPunct/>
              <w:topLinePunct w:val="0"/>
              <w:bidi w:val="0"/>
              <w:snapToGrid w:val="0"/>
              <w:spacing w:before="100" w:beforeAutospacing="1" w:after="100" w:afterAutospacing="1" w:line="240" w:lineRule="auto"/>
              <w:ind w:firstLine="5"/>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合 计</w:t>
            </w:r>
          </w:p>
        </w:tc>
        <w:tc>
          <w:tcPr>
            <w:tcW w:w="1369" w:type="dxa"/>
            <w:gridSpan w:val="2"/>
            <w:tcBorders>
              <w:top w:val="nil"/>
              <w:left w:val="nil"/>
              <w:bottom w:val="single" w:color="auto" w:sz="8" w:space="0"/>
              <w:right w:val="single" w:color="auto" w:sz="8" w:space="0"/>
            </w:tcBorders>
            <w:vAlign w:val="center"/>
          </w:tcPr>
          <w:p w14:paraId="1B812D9D">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c>
          <w:tcPr>
            <w:tcW w:w="1428" w:type="dxa"/>
            <w:tcBorders>
              <w:top w:val="nil"/>
              <w:left w:val="nil"/>
              <w:bottom w:val="single" w:color="auto" w:sz="8" w:space="0"/>
              <w:right w:val="single" w:color="auto" w:sz="8" w:space="0"/>
            </w:tcBorders>
            <w:vAlign w:val="center"/>
          </w:tcPr>
          <w:p w14:paraId="43A7F117">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r>
      <w:tr w14:paraId="5E4B3E28">
        <w:tblPrEx>
          <w:tblCellMar>
            <w:top w:w="0" w:type="dxa"/>
            <w:left w:w="0" w:type="dxa"/>
            <w:bottom w:w="0" w:type="dxa"/>
            <w:right w:w="0" w:type="dxa"/>
          </w:tblCellMar>
        </w:tblPrEx>
        <w:trPr>
          <w:trHeight w:val="641" w:hRule="atLeast"/>
          <w:jc w:val="center"/>
        </w:trPr>
        <w:tc>
          <w:tcPr>
            <w:tcW w:w="8951" w:type="dxa"/>
            <w:gridSpan w:val="9"/>
            <w:tcBorders>
              <w:top w:val="nil"/>
              <w:left w:val="single" w:color="auto" w:sz="8" w:space="0"/>
              <w:bottom w:val="single" w:color="auto" w:sz="8" w:space="0"/>
              <w:right w:val="single" w:color="auto" w:sz="8" w:space="0"/>
            </w:tcBorders>
            <w:vAlign w:val="center"/>
          </w:tcPr>
          <w:p w14:paraId="3BDFF3F9">
            <w:pPr>
              <w:pageBreakBefore w:val="0"/>
              <w:widowControl/>
              <w:kinsoku/>
              <w:overflowPunct/>
              <w:topLinePunct w:val="0"/>
              <w:bidi w:val="0"/>
              <w:snapToGrid w:val="0"/>
              <w:spacing w:before="100" w:beforeAutospacing="1" w:after="100" w:afterAutospacing="1" w:line="240" w:lineRule="auto"/>
              <w:ind w:firstLine="210" w:firstLineChars="1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合计大写金额：  仟  佰  拾  万  仟  佰  拾  元</w:t>
            </w:r>
          </w:p>
        </w:tc>
      </w:tr>
      <w:tr w14:paraId="7E866223">
        <w:tblPrEx>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vAlign w:val="center"/>
          </w:tcPr>
          <w:p w14:paraId="3F32D263">
            <w:pPr>
              <w:pageBreakBefore w:val="0"/>
              <w:widowControl/>
              <w:kinsoku/>
              <w:overflowPunct/>
              <w:topLinePunct w:val="0"/>
              <w:bidi w:val="0"/>
              <w:snapToGrid w:val="0"/>
              <w:spacing w:before="100" w:beforeAutospacing="1" w:after="100" w:afterAutospacing="1" w:line="240" w:lineRule="auto"/>
              <w:ind w:firstLine="2"/>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实际供货日期</w:t>
            </w:r>
          </w:p>
        </w:tc>
        <w:tc>
          <w:tcPr>
            <w:tcW w:w="2421" w:type="dxa"/>
            <w:gridSpan w:val="2"/>
            <w:tcBorders>
              <w:top w:val="nil"/>
              <w:left w:val="nil"/>
              <w:bottom w:val="single" w:color="auto" w:sz="8" w:space="0"/>
              <w:right w:val="single" w:color="auto" w:sz="8" w:space="0"/>
            </w:tcBorders>
            <w:vAlign w:val="center"/>
          </w:tcPr>
          <w:p w14:paraId="0B1B45A9">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c>
          <w:tcPr>
            <w:tcW w:w="2282" w:type="dxa"/>
            <w:gridSpan w:val="3"/>
            <w:tcBorders>
              <w:top w:val="nil"/>
              <w:left w:val="nil"/>
              <w:bottom w:val="single" w:color="auto" w:sz="8" w:space="0"/>
              <w:right w:val="single" w:color="auto" w:sz="8" w:space="0"/>
            </w:tcBorders>
            <w:vAlign w:val="center"/>
          </w:tcPr>
          <w:p w14:paraId="27F184EA">
            <w:pPr>
              <w:pageBreakBefore w:val="0"/>
              <w:widowControl/>
              <w:kinsoku/>
              <w:overflowPunct/>
              <w:topLinePunct w:val="0"/>
              <w:bidi w:val="0"/>
              <w:snapToGrid w:val="0"/>
              <w:spacing w:before="100" w:beforeAutospacing="1" w:after="100" w:afterAutospacing="1" w:line="240" w:lineRule="auto"/>
              <w:ind w:firstLine="46"/>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合同交货验收日期</w:t>
            </w:r>
          </w:p>
        </w:tc>
        <w:tc>
          <w:tcPr>
            <w:tcW w:w="2619" w:type="dxa"/>
            <w:gridSpan w:val="2"/>
            <w:tcBorders>
              <w:top w:val="nil"/>
              <w:left w:val="nil"/>
              <w:bottom w:val="single" w:color="auto" w:sz="8" w:space="0"/>
              <w:right w:val="single" w:color="auto" w:sz="8" w:space="0"/>
            </w:tcBorders>
            <w:vAlign w:val="center"/>
          </w:tcPr>
          <w:p w14:paraId="5A72F734">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r>
      <w:tr w14:paraId="3435FAD7">
        <w:tblPrEx>
          <w:tblCellMar>
            <w:top w:w="0" w:type="dxa"/>
            <w:left w:w="0" w:type="dxa"/>
            <w:bottom w:w="0" w:type="dxa"/>
            <w:right w:w="0" w:type="dxa"/>
          </w:tblCellMar>
        </w:tblPrEx>
        <w:trPr>
          <w:trHeight w:val="394" w:hRule="atLeast"/>
          <w:jc w:val="center"/>
        </w:trPr>
        <w:tc>
          <w:tcPr>
            <w:tcW w:w="1629" w:type="dxa"/>
            <w:gridSpan w:val="2"/>
            <w:tcBorders>
              <w:top w:val="nil"/>
              <w:left w:val="single" w:color="auto" w:sz="8" w:space="0"/>
              <w:bottom w:val="single" w:color="auto" w:sz="8" w:space="0"/>
              <w:right w:val="single" w:color="auto" w:sz="8" w:space="0"/>
            </w:tcBorders>
            <w:vAlign w:val="center"/>
          </w:tcPr>
          <w:p w14:paraId="0A8E9AEE">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c>
          <w:tcPr>
            <w:tcW w:w="2421" w:type="dxa"/>
            <w:gridSpan w:val="2"/>
            <w:tcBorders>
              <w:top w:val="nil"/>
              <w:left w:val="nil"/>
              <w:bottom w:val="single" w:color="auto" w:sz="8" w:space="0"/>
              <w:right w:val="single" w:color="auto" w:sz="8" w:space="0"/>
            </w:tcBorders>
            <w:vAlign w:val="center"/>
          </w:tcPr>
          <w:p w14:paraId="158E71A7">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c>
          <w:tcPr>
            <w:tcW w:w="2282" w:type="dxa"/>
            <w:gridSpan w:val="3"/>
            <w:tcBorders>
              <w:top w:val="nil"/>
              <w:left w:val="nil"/>
              <w:bottom w:val="single" w:color="auto" w:sz="8" w:space="0"/>
              <w:right w:val="single" w:color="auto" w:sz="8" w:space="0"/>
            </w:tcBorders>
            <w:vAlign w:val="center"/>
          </w:tcPr>
          <w:p w14:paraId="2469EA60">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c>
          <w:tcPr>
            <w:tcW w:w="2619" w:type="dxa"/>
            <w:gridSpan w:val="2"/>
            <w:tcBorders>
              <w:top w:val="nil"/>
              <w:left w:val="nil"/>
              <w:bottom w:val="single" w:color="auto" w:sz="8" w:space="0"/>
              <w:right w:val="single" w:color="auto" w:sz="8" w:space="0"/>
            </w:tcBorders>
            <w:vAlign w:val="center"/>
          </w:tcPr>
          <w:p w14:paraId="44C9FB75">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r>
      <w:tr w14:paraId="25612DD7">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C94E963">
            <w:pPr>
              <w:pageBreakBefore w:val="0"/>
              <w:widowControl/>
              <w:kinsoku/>
              <w:overflowPunct/>
              <w:topLinePunct w:val="0"/>
              <w:bidi w:val="0"/>
              <w:snapToGrid w:val="0"/>
              <w:spacing w:before="100" w:beforeAutospacing="1" w:after="100" w:afterAutospacing="1" w:line="24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验收具体内容</w:t>
            </w:r>
          </w:p>
        </w:tc>
        <w:tc>
          <w:tcPr>
            <w:tcW w:w="7322"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49BFE619">
            <w:pPr>
              <w:pageBreakBefore w:val="0"/>
              <w:widowControl/>
              <w:kinsoku/>
              <w:overflowPunct/>
              <w:topLinePunct w:val="0"/>
              <w:bidi w:val="0"/>
              <w:snapToGrid w:val="0"/>
              <w:spacing w:before="100" w:beforeAutospacing="1" w:after="100" w:afterAutospacing="1" w:line="24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（应按采购合同、</w:t>
            </w:r>
            <w:r>
              <w:rPr>
                <w:rFonts w:hint="eastAsia" w:ascii="宋体" w:hAnsi="宋体" w:cs="宋体"/>
                <w:color w:val="auto"/>
                <w:kern w:val="0"/>
                <w:sz w:val="21"/>
                <w:szCs w:val="21"/>
                <w:highlight w:val="none"/>
                <w:lang w:eastAsia="zh-CN"/>
              </w:rPr>
              <w:t>采购</w:t>
            </w:r>
            <w:r>
              <w:rPr>
                <w:rFonts w:hint="eastAsia" w:ascii="宋体" w:hAnsi="宋体" w:eastAsia="宋体" w:cs="宋体"/>
                <w:color w:val="auto"/>
                <w:kern w:val="0"/>
                <w:sz w:val="21"/>
                <w:szCs w:val="21"/>
                <w:highlight w:val="none"/>
              </w:rPr>
              <w:t>文件、投标文件及验收方案等进行验收；并核对中标人在安装调试等方面是否违反合同约定或者服务规范要求、提供的质量保证证明材料是否齐全、应有的配件及附件是否达到合同约定等。可附件)</w:t>
            </w:r>
          </w:p>
        </w:tc>
      </w:tr>
      <w:tr w14:paraId="0C7EB092">
        <w:tblPrEx>
          <w:tblCellMar>
            <w:top w:w="0" w:type="dxa"/>
            <w:left w:w="0" w:type="dxa"/>
            <w:bottom w:w="0" w:type="dxa"/>
            <w:right w:w="0" w:type="dxa"/>
          </w:tblCellMar>
        </w:tblPrEx>
        <w:trPr>
          <w:trHeight w:val="1281" w:hRule="atLeast"/>
          <w:jc w:val="center"/>
        </w:trPr>
        <w:tc>
          <w:tcPr>
            <w:tcW w:w="1629" w:type="dxa"/>
            <w:gridSpan w:val="2"/>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D48C729">
            <w:pPr>
              <w:pageBreakBefore w:val="0"/>
              <w:widowControl/>
              <w:kinsoku/>
              <w:overflowPunct/>
              <w:topLinePunct w:val="0"/>
              <w:bidi w:val="0"/>
              <w:spacing w:before="100" w:beforeAutospacing="1" w:after="100" w:afterAutospacing="1" w:line="24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验收小组意见</w:t>
            </w:r>
          </w:p>
        </w:tc>
        <w:tc>
          <w:tcPr>
            <w:tcW w:w="7322" w:type="dxa"/>
            <w:gridSpan w:val="7"/>
            <w:tcBorders>
              <w:top w:val="nil"/>
              <w:left w:val="nil"/>
              <w:bottom w:val="single" w:color="auto" w:sz="8" w:space="0"/>
              <w:right w:val="single" w:color="auto" w:sz="8" w:space="0"/>
            </w:tcBorders>
            <w:vAlign w:val="center"/>
          </w:tcPr>
          <w:p w14:paraId="6D0F884F">
            <w:pPr>
              <w:pageBreakBefore w:val="0"/>
              <w:widowControl/>
              <w:kinsoku/>
              <w:overflowPunct/>
              <w:topLinePunct w:val="0"/>
              <w:bidi w:val="0"/>
              <w:spacing w:before="100" w:beforeAutospacing="1" w:after="100" w:afterAutospacing="1" w:line="240" w:lineRule="auto"/>
              <w:ind w:firstLine="210" w:firstLineChars="1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验收结论性意见：</w:t>
            </w:r>
          </w:p>
        </w:tc>
      </w:tr>
      <w:tr w14:paraId="3E6358F8">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vAlign w:val="center"/>
          </w:tcPr>
          <w:p w14:paraId="271DE121">
            <w:pPr>
              <w:pageBreakBefore w:val="0"/>
              <w:widowControl/>
              <w:kinsoku/>
              <w:overflowPunct/>
              <w:topLinePunct w:val="0"/>
              <w:bidi w:val="0"/>
              <w:spacing w:line="240" w:lineRule="auto"/>
              <w:jc w:val="left"/>
              <w:rPr>
                <w:rFonts w:hint="eastAsia" w:ascii="宋体" w:hAnsi="宋体" w:eastAsia="宋体" w:cs="宋体"/>
                <w:color w:val="auto"/>
                <w:kern w:val="0"/>
                <w:sz w:val="21"/>
                <w:szCs w:val="21"/>
                <w:highlight w:val="none"/>
              </w:rPr>
            </w:pPr>
          </w:p>
        </w:tc>
        <w:tc>
          <w:tcPr>
            <w:tcW w:w="7322" w:type="dxa"/>
            <w:gridSpan w:val="7"/>
            <w:tcBorders>
              <w:top w:val="nil"/>
              <w:left w:val="nil"/>
              <w:bottom w:val="single" w:color="auto" w:sz="8" w:space="0"/>
              <w:right w:val="single" w:color="auto" w:sz="8" w:space="0"/>
            </w:tcBorders>
            <w:vAlign w:val="center"/>
          </w:tcPr>
          <w:p w14:paraId="689AE5EF">
            <w:pPr>
              <w:pageBreakBefore w:val="0"/>
              <w:widowControl/>
              <w:kinsoku/>
              <w:overflowPunct/>
              <w:topLinePunct w:val="0"/>
              <w:bidi w:val="0"/>
              <w:spacing w:before="100" w:beforeAutospacing="1" w:after="100" w:afterAutospacing="1" w:line="240" w:lineRule="auto"/>
              <w:ind w:firstLine="210" w:firstLineChars="1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有异议的意见和说明理由：</w:t>
            </w:r>
          </w:p>
          <w:p w14:paraId="499241CC">
            <w:pPr>
              <w:pageBreakBefore w:val="0"/>
              <w:widowControl/>
              <w:kinsoku/>
              <w:overflowPunct/>
              <w:topLinePunct w:val="0"/>
              <w:bidi w:val="0"/>
              <w:spacing w:before="100" w:beforeAutospacing="1" w:after="100" w:afterAutospacing="1" w:line="240" w:lineRule="auto"/>
              <w:ind w:firstLine="210" w:firstLineChars="1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签字：</w:t>
            </w:r>
          </w:p>
        </w:tc>
      </w:tr>
      <w:tr w14:paraId="21046819">
        <w:tblPrEx>
          <w:tblCellMar>
            <w:top w:w="0" w:type="dxa"/>
            <w:left w:w="0" w:type="dxa"/>
            <w:bottom w:w="0" w:type="dxa"/>
            <w:right w:w="0" w:type="dxa"/>
          </w:tblCellMar>
        </w:tblPrEx>
        <w:trPr>
          <w:trHeight w:val="507" w:hRule="atLeast"/>
          <w:jc w:val="center"/>
        </w:trPr>
        <w:tc>
          <w:tcPr>
            <w:tcW w:w="8951"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E2AB859">
            <w:pPr>
              <w:pageBreakBefore w:val="0"/>
              <w:widowControl/>
              <w:kinsoku/>
              <w:overflowPunct/>
              <w:topLinePunct w:val="0"/>
              <w:bidi w:val="0"/>
              <w:spacing w:before="100" w:beforeAutospacing="1" w:after="100" w:afterAutospacing="1" w:line="24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验收小组成员签字：</w:t>
            </w:r>
          </w:p>
        </w:tc>
      </w:tr>
      <w:tr w14:paraId="7401D950">
        <w:tblPrEx>
          <w:tblCellMar>
            <w:top w:w="0" w:type="dxa"/>
            <w:left w:w="0" w:type="dxa"/>
            <w:bottom w:w="0" w:type="dxa"/>
            <w:right w:w="0" w:type="dxa"/>
          </w:tblCellMar>
        </w:tblPrEx>
        <w:trPr>
          <w:trHeight w:val="736" w:hRule="atLeast"/>
          <w:jc w:val="center"/>
        </w:trPr>
        <w:tc>
          <w:tcPr>
            <w:tcW w:w="8951"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0DE0C1E">
            <w:pPr>
              <w:pageBreakBefore w:val="0"/>
              <w:widowControl/>
              <w:kinsoku/>
              <w:overflowPunct/>
              <w:topLinePunct w:val="0"/>
              <w:bidi w:val="0"/>
              <w:spacing w:before="100" w:beforeAutospacing="1" w:after="100" w:afterAutospacing="1" w:line="24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监督人员或者其他相关人员签字：</w:t>
            </w:r>
          </w:p>
          <w:p w14:paraId="18C47A0C">
            <w:pPr>
              <w:pageBreakBefore w:val="0"/>
              <w:widowControl/>
              <w:kinsoku/>
              <w:overflowPunct/>
              <w:topLinePunct w:val="0"/>
              <w:bidi w:val="0"/>
              <w:spacing w:before="100" w:beforeAutospacing="1" w:after="100" w:afterAutospacing="1" w:line="240" w:lineRule="auto"/>
              <w:ind w:firstLine="74"/>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或者受邀机构的意见（盖章）：</w:t>
            </w:r>
          </w:p>
        </w:tc>
      </w:tr>
      <w:tr w14:paraId="25628724">
        <w:tblPrEx>
          <w:tblCellMar>
            <w:top w:w="0" w:type="dxa"/>
            <w:left w:w="0" w:type="dxa"/>
            <w:bottom w:w="0" w:type="dxa"/>
            <w:right w:w="0" w:type="dxa"/>
          </w:tblCellMar>
        </w:tblPrEx>
        <w:trPr>
          <w:trHeight w:val="758" w:hRule="atLeast"/>
          <w:jc w:val="center"/>
        </w:trPr>
        <w:tc>
          <w:tcPr>
            <w:tcW w:w="4152" w:type="dxa"/>
            <w:gridSpan w:val="5"/>
            <w:tcBorders>
              <w:top w:val="nil"/>
              <w:left w:val="single" w:color="auto" w:sz="8" w:space="0"/>
              <w:bottom w:val="single" w:color="auto" w:sz="8" w:space="0"/>
              <w:right w:val="nil"/>
            </w:tcBorders>
            <w:tcMar>
              <w:top w:w="0" w:type="dxa"/>
              <w:left w:w="108" w:type="dxa"/>
              <w:bottom w:w="0" w:type="dxa"/>
              <w:right w:w="108" w:type="dxa"/>
            </w:tcMar>
            <w:vAlign w:val="center"/>
          </w:tcPr>
          <w:p w14:paraId="48D5875E">
            <w:pPr>
              <w:pageBreakBefore w:val="0"/>
              <w:widowControl/>
              <w:kinsoku/>
              <w:overflowPunct/>
              <w:topLinePunct w:val="0"/>
              <w:bidi w:val="0"/>
              <w:spacing w:before="100" w:beforeAutospacing="1" w:after="100" w:afterAutospacing="1" w:line="24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中标人负责人签字或者盖章：</w:t>
            </w:r>
          </w:p>
          <w:p w14:paraId="0CFE5D02">
            <w:pPr>
              <w:pageBreakBefore w:val="0"/>
              <w:widowControl/>
              <w:kinsoku/>
              <w:overflowPunct/>
              <w:topLinePunct w:val="0"/>
              <w:bidi w:val="0"/>
              <w:spacing w:before="100" w:beforeAutospacing="1" w:after="100" w:afterAutospacing="1" w:line="240" w:lineRule="auto"/>
              <w:jc w:val="left"/>
              <w:rPr>
                <w:rFonts w:hint="eastAsia" w:ascii="宋体" w:hAnsi="宋体" w:eastAsia="宋体" w:cs="宋体"/>
                <w:color w:val="auto"/>
                <w:kern w:val="0"/>
                <w:sz w:val="21"/>
                <w:szCs w:val="21"/>
                <w:highlight w:val="none"/>
              </w:rPr>
            </w:pPr>
          </w:p>
          <w:p w14:paraId="76A92678">
            <w:pPr>
              <w:pageBreakBefore w:val="0"/>
              <w:widowControl/>
              <w:kinsoku/>
              <w:overflowPunct/>
              <w:topLinePunct w:val="0"/>
              <w:bidi w:val="0"/>
              <w:spacing w:before="100" w:beforeAutospacing="1" w:after="100" w:afterAutospacing="1" w:line="24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联系电话：                年  月  日</w:t>
            </w:r>
          </w:p>
        </w:tc>
        <w:tc>
          <w:tcPr>
            <w:tcW w:w="4799" w:type="dxa"/>
            <w:gridSpan w:val="4"/>
            <w:tcBorders>
              <w:top w:val="nil"/>
              <w:left w:val="nil"/>
              <w:bottom w:val="single" w:color="auto" w:sz="8" w:space="0"/>
              <w:right w:val="single" w:color="auto" w:sz="8" w:space="0"/>
            </w:tcBorders>
            <w:vAlign w:val="center"/>
          </w:tcPr>
          <w:p w14:paraId="5EA65383">
            <w:pPr>
              <w:pageBreakBefore w:val="0"/>
              <w:widowControl/>
              <w:kinsoku/>
              <w:overflowPunct/>
              <w:topLinePunct w:val="0"/>
              <w:bidi w:val="0"/>
              <w:spacing w:before="100" w:beforeAutospacing="1" w:after="100" w:afterAutospacing="1" w:line="240" w:lineRule="auto"/>
              <w:ind w:firstLine="210" w:firstLineChars="1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采购人或者受托机构的意见（盖章）：</w:t>
            </w:r>
          </w:p>
          <w:p w14:paraId="33D4458A">
            <w:pPr>
              <w:pageBreakBefore w:val="0"/>
              <w:widowControl/>
              <w:kinsoku/>
              <w:overflowPunct/>
              <w:topLinePunct w:val="0"/>
              <w:bidi w:val="0"/>
              <w:spacing w:before="100" w:beforeAutospacing="1" w:after="100" w:afterAutospacing="1" w:line="240" w:lineRule="auto"/>
              <w:ind w:firstLine="210" w:firstLineChars="100"/>
              <w:jc w:val="left"/>
              <w:rPr>
                <w:rFonts w:hint="eastAsia" w:ascii="宋体" w:hAnsi="宋体" w:eastAsia="宋体" w:cs="宋体"/>
                <w:color w:val="auto"/>
                <w:kern w:val="0"/>
                <w:sz w:val="21"/>
                <w:szCs w:val="21"/>
                <w:highlight w:val="none"/>
              </w:rPr>
            </w:pPr>
          </w:p>
          <w:p w14:paraId="272B6ED2">
            <w:pPr>
              <w:pageBreakBefore w:val="0"/>
              <w:widowControl/>
              <w:kinsoku/>
              <w:overflowPunct/>
              <w:topLinePunct w:val="0"/>
              <w:bidi w:val="0"/>
              <w:spacing w:before="100" w:beforeAutospacing="1" w:after="100" w:afterAutospacing="1" w:line="240" w:lineRule="auto"/>
              <w:ind w:firstLine="210" w:firstLineChars="1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联系电话：                  年  月  日</w:t>
            </w:r>
          </w:p>
        </w:tc>
      </w:tr>
    </w:tbl>
    <w:p w14:paraId="49933FE2">
      <w:pPr>
        <w:rPr>
          <w:rFonts w:hint="eastAsia"/>
          <w:color w:val="auto"/>
        </w:rPr>
      </w:pPr>
      <w:r>
        <w:rPr>
          <w:rFonts w:hint="eastAsia"/>
          <w:color w:val="auto"/>
        </w:rPr>
        <w:br w:type="page"/>
      </w:r>
    </w:p>
    <w:p w14:paraId="6C78033B">
      <w:pPr>
        <w:pageBreakBefore w:val="0"/>
        <w:kinsoku/>
        <w:overflowPunct/>
        <w:topLinePunct w:val="0"/>
        <w:bidi w:val="0"/>
        <w:snapToGrid w:val="0"/>
        <w:spacing w:line="240" w:lineRule="auto"/>
        <w:rPr>
          <w:rFonts w:hint="eastAsia"/>
          <w:color w:val="auto"/>
        </w:rPr>
      </w:pPr>
      <w:r>
        <w:rPr>
          <w:rFonts w:hint="eastAsia" w:ascii="宋体" w:hAnsi="宋体" w:eastAsia="宋体" w:cs="宋体"/>
          <w:bCs/>
          <w:color w:val="auto"/>
          <w:kern w:val="0"/>
          <w:sz w:val="21"/>
          <w:szCs w:val="21"/>
          <w:highlight w:val="none"/>
        </w:rPr>
        <w:t>附件</w:t>
      </w:r>
      <w:r>
        <w:rPr>
          <w:rFonts w:hint="eastAsia" w:ascii="宋体" w:hAnsi="宋体" w:eastAsia="宋体" w:cs="宋体"/>
          <w:bCs/>
          <w:color w:val="auto"/>
          <w:kern w:val="0"/>
          <w:sz w:val="21"/>
          <w:szCs w:val="21"/>
          <w:highlight w:val="none"/>
          <w:lang w:val="en-US" w:eastAsia="zh-CN"/>
        </w:rPr>
        <w:t>2</w:t>
      </w:r>
      <w:r>
        <w:rPr>
          <w:rFonts w:hint="eastAsia" w:ascii="宋体" w:hAnsi="宋体" w:eastAsia="宋体" w:cs="宋体"/>
          <w:bCs/>
          <w:color w:val="auto"/>
          <w:kern w:val="0"/>
          <w:sz w:val="21"/>
          <w:szCs w:val="21"/>
          <w:highlight w:val="none"/>
        </w:rPr>
        <w:t>：</w:t>
      </w:r>
    </w:p>
    <w:p w14:paraId="44A45A58">
      <w:pPr>
        <w:pageBreakBefore w:val="0"/>
        <w:widowControl/>
        <w:kinsoku/>
        <w:overflowPunct/>
        <w:topLinePunct w:val="0"/>
        <w:bidi w:val="0"/>
        <w:spacing w:before="120" w:beforeLines="50" w:after="120" w:afterLines="50" w:line="240" w:lineRule="auto"/>
        <w:jc w:val="center"/>
        <w:rPr>
          <w:rFonts w:hint="eastAsia" w:ascii="宋体" w:hAnsi="宋体" w:eastAsia="宋体" w:cs="宋体"/>
          <w:b/>
          <w:bCs/>
          <w:color w:val="auto"/>
          <w:kern w:val="0"/>
          <w:sz w:val="21"/>
          <w:szCs w:val="21"/>
          <w:highlight w:val="none"/>
        </w:rPr>
      </w:pPr>
      <w:bookmarkStart w:id="147" w:name="_Toc28361_WPSOffice_Level2"/>
      <w:r>
        <w:rPr>
          <w:rFonts w:hint="eastAsia" w:ascii="宋体" w:hAnsi="宋体" w:eastAsia="宋体" w:cs="宋体"/>
          <w:b/>
          <w:bCs/>
          <w:color w:val="auto"/>
          <w:kern w:val="0"/>
          <w:sz w:val="21"/>
          <w:szCs w:val="21"/>
          <w:highlight w:val="none"/>
        </w:rPr>
        <w:t>大中小微型企业划分标准</w:t>
      </w:r>
      <w:bookmarkEnd w:id="147"/>
    </w:p>
    <w:tbl>
      <w:tblPr>
        <w:tblStyle w:val="20"/>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1441"/>
        <w:gridCol w:w="720"/>
        <w:gridCol w:w="1170"/>
        <w:gridCol w:w="1735"/>
        <w:gridCol w:w="1426"/>
        <w:gridCol w:w="992"/>
      </w:tblGrid>
      <w:tr w14:paraId="6A145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951" w:type="dxa"/>
            <w:shd w:val="clear" w:color="auto" w:fill="8DB3E2"/>
            <w:vAlign w:val="center"/>
          </w:tcPr>
          <w:p w14:paraId="7D94F1B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行业名称</w:t>
            </w:r>
          </w:p>
        </w:tc>
        <w:tc>
          <w:tcPr>
            <w:tcW w:w="1441" w:type="dxa"/>
            <w:shd w:val="clear" w:color="auto" w:fill="8DB3E2"/>
            <w:vAlign w:val="center"/>
          </w:tcPr>
          <w:p w14:paraId="7A2E964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指标名称</w:t>
            </w:r>
          </w:p>
        </w:tc>
        <w:tc>
          <w:tcPr>
            <w:tcW w:w="720" w:type="dxa"/>
            <w:shd w:val="clear" w:color="auto" w:fill="8DB3E2"/>
            <w:vAlign w:val="center"/>
          </w:tcPr>
          <w:p w14:paraId="72EB9A7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计量</w:t>
            </w:r>
          </w:p>
          <w:p w14:paraId="7974082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单位</w:t>
            </w:r>
          </w:p>
        </w:tc>
        <w:tc>
          <w:tcPr>
            <w:tcW w:w="1170" w:type="dxa"/>
            <w:shd w:val="clear" w:color="auto" w:fill="8DB3E2"/>
            <w:vAlign w:val="center"/>
          </w:tcPr>
          <w:p w14:paraId="26741A0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大型</w:t>
            </w:r>
          </w:p>
        </w:tc>
        <w:tc>
          <w:tcPr>
            <w:tcW w:w="1735" w:type="dxa"/>
            <w:shd w:val="clear" w:color="auto" w:fill="8DB3E2"/>
            <w:vAlign w:val="center"/>
          </w:tcPr>
          <w:p w14:paraId="60F41C4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中型</w:t>
            </w:r>
          </w:p>
        </w:tc>
        <w:tc>
          <w:tcPr>
            <w:tcW w:w="1426" w:type="dxa"/>
            <w:shd w:val="clear" w:color="auto" w:fill="8DB3E2"/>
            <w:vAlign w:val="center"/>
          </w:tcPr>
          <w:p w14:paraId="3467DC9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小型</w:t>
            </w:r>
          </w:p>
        </w:tc>
        <w:tc>
          <w:tcPr>
            <w:tcW w:w="992" w:type="dxa"/>
            <w:shd w:val="clear" w:color="auto" w:fill="8DB3E2"/>
            <w:vAlign w:val="center"/>
          </w:tcPr>
          <w:p w14:paraId="4E79F5F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微型</w:t>
            </w:r>
          </w:p>
        </w:tc>
      </w:tr>
      <w:tr w14:paraId="0465D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Align w:val="center"/>
          </w:tcPr>
          <w:p w14:paraId="5D55473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农、林、牧、渔业</w:t>
            </w:r>
          </w:p>
        </w:tc>
        <w:tc>
          <w:tcPr>
            <w:tcW w:w="1441" w:type="dxa"/>
            <w:vAlign w:val="center"/>
          </w:tcPr>
          <w:p w14:paraId="14932A3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014EF5D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13A6E53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Y≥20000</w:t>
            </w:r>
          </w:p>
        </w:tc>
        <w:tc>
          <w:tcPr>
            <w:tcW w:w="1735" w:type="dxa"/>
            <w:vAlign w:val="center"/>
          </w:tcPr>
          <w:p w14:paraId="4F8A3EB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500≤Y＜20000</w:t>
            </w:r>
          </w:p>
        </w:tc>
        <w:tc>
          <w:tcPr>
            <w:tcW w:w="1426" w:type="dxa"/>
            <w:vAlign w:val="center"/>
          </w:tcPr>
          <w:p w14:paraId="71B96F5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50≤Y＜500</w:t>
            </w:r>
          </w:p>
        </w:tc>
        <w:tc>
          <w:tcPr>
            <w:tcW w:w="992" w:type="dxa"/>
            <w:vAlign w:val="center"/>
          </w:tcPr>
          <w:p w14:paraId="631D26D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w:t>
            </w:r>
          </w:p>
        </w:tc>
      </w:tr>
      <w:tr w14:paraId="6814C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62BD9AD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工业 *</w:t>
            </w:r>
          </w:p>
        </w:tc>
        <w:tc>
          <w:tcPr>
            <w:tcW w:w="1441" w:type="dxa"/>
            <w:vAlign w:val="center"/>
          </w:tcPr>
          <w:p w14:paraId="77A860C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14:paraId="57A724D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14:paraId="7A4C2F4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X≥1000</w:t>
            </w:r>
          </w:p>
        </w:tc>
        <w:tc>
          <w:tcPr>
            <w:tcW w:w="1735" w:type="dxa"/>
            <w:vAlign w:val="center"/>
          </w:tcPr>
          <w:p w14:paraId="3AF419A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426" w:type="dxa"/>
            <w:vAlign w:val="center"/>
          </w:tcPr>
          <w:p w14:paraId="61E2252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20≤X＜300</w:t>
            </w:r>
          </w:p>
        </w:tc>
        <w:tc>
          <w:tcPr>
            <w:tcW w:w="992" w:type="dxa"/>
            <w:vAlign w:val="center"/>
          </w:tcPr>
          <w:p w14:paraId="0329D5A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14:paraId="76697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23CE0DC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14:paraId="158C2D6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51CB827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46002D3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Y≥40000</w:t>
            </w:r>
          </w:p>
        </w:tc>
        <w:tc>
          <w:tcPr>
            <w:tcW w:w="1735" w:type="dxa"/>
            <w:vAlign w:val="center"/>
          </w:tcPr>
          <w:p w14:paraId="30B35ED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2000≤Y＜40000</w:t>
            </w:r>
          </w:p>
        </w:tc>
        <w:tc>
          <w:tcPr>
            <w:tcW w:w="1426" w:type="dxa"/>
            <w:vAlign w:val="center"/>
          </w:tcPr>
          <w:p w14:paraId="252B944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300≤Y＜2000</w:t>
            </w:r>
          </w:p>
        </w:tc>
        <w:tc>
          <w:tcPr>
            <w:tcW w:w="992" w:type="dxa"/>
            <w:vAlign w:val="center"/>
          </w:tcPr>
          <w:p w14:paraId="57FDA85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w:t>
            </w:r>
          </w:p>
        </w:tc>
      </w:tr>
      <w:tr w14:paraId="59903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63DFA95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建筑业</w:t>
            </w:r>
          </w:p>
        </w:tc>
        <w:tc>
          <w:tcPr>
            <w:tcW w:w="1441" w:type="dxa"/>
            <w:vAlign w:val="center"/>
          </w:tcPr>
          <w:p w14:paraId="5C879D5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5D92BE3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749D9AF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Y≥80000</w:t>
            </w:r>
          </w:p>
        </w:tc>
        <w:tc>
          <w:tcPr>
            <w:tcW w:w="1735" w:type="dxa"/>
            <w:vAlign w:val="center"/>
          </w:tcPr>
          <w:p w14:paraId="6BD4617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6000≤Y＜80000</w:t>
            </w:r>
          </w:p>
        </w:tc>
        <w:tc>
          <w:tcPr>
            <w:tcW w:w="1426" w:type="dxa"/>
            <w:vAlign w:val="center"/>
          </w:tcPr>
          <w:p w14:paraId="5A7CD96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300≤Y＜6000</w:t>
            </w:r>
          </w:p>
        </w:tc>
        <w:tc>
          <w:tcPr>
            <w:tcW w:w="992" w:type="dxa"/>
            <w:vAlign w:val="center"/>
          </w:tcPr>
          <w:p w14:paraId="1F023CD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w:t>
            </w:r>
          </w:p>
        </w:tc>
      </w:tr>
      <w:tr w14:paraId="6654D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3B68019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14:paraId="620F99F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资产总额(Z)</w:t>
            </w:r>
          </w:p>
        </w:tc>
        <w:tc>
          <w:tcPr>
            <w:tcW w:w="720" w:type="dxa"/>
            <w:vAlign w:val="center"/>
          </w:tcPr>
          <w:p w14:paraId="5D4A0D8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57D0B25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Z≥80000</w:t>
            </w:r>
          </w:p>
        </w:tc>
        <w:tc>
          <w:tcPr>
            <w:tcW w:w="1735" w:type="dxa"/>
            <w:vAlign w:val="center"/>
          </w:tcPr>
          <w:p w14:paraId="0212151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5000≤Z＜80000</w:t>
            </w:r>
          </w:p>
        </w:tc>
        <w:tc>
          <w:tcPr>
            <w:tcW w:w="1426" w:type="dxa"/>
            <w:vAlign w:val="center"/>
          </w:tcPr>
          <w:p w14:paraId="444290E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300≤Z＜5000</w:t>
            </w:r>
          </w:p>
        </w:tc>
        <w:tc>
          <w:tcPr>
            <w:tcW w:w="992" w:type="dxa"/>
            <w:vAlign w:val="center"/>
          </w:tcPr>
          <w:p w14:paraId="04FBCF4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Z＜300</w:t>
            </w:r>
          </w:p>
        </w:tc>
      </w:tr>
      <w:tr w14:paraId="25197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0E30C12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批发业</w:t>
            </w:r>
          </w:p>
        </w:tc>
        <w:tc>
          <w:tcPr>
            <w:tcW w:w="1441" w:type="dxa"/>
            <w:vAlign w:val="center"/>
          </w:tcPr>
          <w:p w14:paraId="1D64947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14:paraId="660AB1E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14:paraId="00F14F6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X≥200</w:t>
            </w:r>
          </w:p>
        </w:tc>
        <w:tc>
          <w:tcPr>
            <w:tcW w:w="1735" w:type="dxa"/>
            <w:vAlign w:val="center"/>
          </w:tcPr>
          <w:p w14:paraId="1CB84CC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20≤X＜200</w:t>
            </w:r>
          </w:p>
        </w:tc>
        <w:tc>
          <w:tcPr>
            <w:tcW w:w="1426" w:type="dxa"/>
            <w:vAlign w:val="center"/>
          </w:tcPr>
          <w:p w14:paraId="1542B15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5≤X＜20</w:t>
            </w:r>
          </w:p>
        </w:tc>
        <w:tc>
          <w:tcPr>
            <w:tcW w:w="992" w:type="dxa"/>
            <w:vAlign w:val="center"/>
          </w:tcPr>
          <w:p w14:paraId="7A2C072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X＜5</w:t>
            </w:r>
          </w:p>
        </w:tc>
      </w:tr>
      <w:tr w14:paraId="24CA8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39CB637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14:paraId="4755DCB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64A04E0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016C872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Y≥40000</w:t>
            </w:r>
          </w:p>
        </w:tc>
        <w:tc>
          <w:tcPr>
            <w:tcW w:w="1735" w:type="dxa"/>
            <w:vAlign w:val="center"/>
          </w:tcPr>
          <w:p w14:paraId="04AB016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5000≤Y＜40000</w:t>
            </w:r>
          </w:p>
        </w:tc>
        <w:tc>
          <w:tcPr>
            <w:tcW w:w="1426" w:type="dxa"/>
            <w:vAlign w:val="center"/>
          </w:tcPr>
          <w:p w14:paraId="388B961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1000≤Y＜5000</w:t>
            </w:r>
          </w:p>
        </w:tc>
        <w:tc>
          <w:tcPr>
            <w:tcW w:w="992" w:type="dxa"/>
            <w:vAlign w:val="center"/>
          </w:tcPr>
          <w:p w14:paraId="076B62C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w:t>
            </w:r>
          </w:p>
        </w:tc>
      </w:tr>
      <w:tr w14:paraId="1F9E4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61C24A4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零售业</w:t>
            </w:r>
          </w:p>
        </w:tc>
        <w:tc>
          <w:tcPr>
            <w:tcW w:w="1441" w:type="dxa"/>
            <w:vAlign w:val="center"/>
          </w:tcPr>
          <w:p w14:paraId="687F4CC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14:paraId="4C506BB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14:paraId="141FC61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35" w:type="dxa"/>
            <w:vAlign w:val="center"/>
          </w:tcPr>
          <w:p w14:paraId="419C33D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50≤X＜300</w:t>
            </w:r>
          </w:p>
        </w:tc>
        <w:tc>
          <w:tcPr>
            <w:tcW w:w="1426" w:type="dxa"/>
            <w:vAlign w:val="center"/>
          </w:tcPr>
          <w:p w14:paraId="71D685D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10≤X＜50 </w:t>
            </w:r>
          </w:p>
        </w:tc>
        <w:tc>
          <w:tcPr>
            <w:tcW w:w="992" w:type="dxa"/>
            <w:vAlign w:val="center"/>
          </w:tcPr>
          <w:p w14:paraId="1DCE85C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29C63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7BA8744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14:paraId="57C61C9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7DA3AF6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20022C3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Y≥20000</w:t>
            </w:r>
          </w:p>
        </w:tc>
        <w:tc>
          <w:tcPr>
            <w:tcW w:w="1735" w:type="dxa"/>
            <w:vAlign w:val="center"/>
          </w:tcPr>
          <w:p w14:paraId="6ED567E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500≤Y＜20000</w:t>
            </w:r>
          </w:p>
        </w:tc>
        <w:tc>
          <w:tcPr>
            <w:tcW w:w="1426" w:type="dxa"/>
            <w:vAlign w:val="center"/>
          </w:tcPr>
          <w:p w14:paraId="4EECD03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100≤Y＜500</w:t>
            </w:r>
          </w:p>
        </w:tc>
        <w:tc>
          <w:tcPr>
            <w:tcW w:w="992" w:type="dxa"/>
            <w:vAlign w:val="center"/>
          </w:tcPr>
          <w:p w14:paraId="2765FB6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3E81A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23A5C89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交通运输业 *</w:t>
            </w:r>
          </w:p>
        </w:tc>
        <w:tc>
          <w:tcPr>
            <w:tcW w:w="1441" w:type="dxa"/>
            <w:vAlign w:val="center"/>
          </w:tcPr>
          <w:p w14:paraId="0492198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14:paraId="0DAC5D6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14:paraId="05A10BF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X≥1000</w:t>
            </w:r>
          </w:p>
        </w:tc>
        <w:tc>
          <w:tcPr>
            <w:tcW w:w="1735" w:type="dxa"/>
            <w:vAlign w:val="center"/>
          </w:tcPr>
          <w:p w14:paraId="4CD6C6B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426" w:type="dxa"/>
            <w:vAlign w:val="center"/>
          </w:tcPr>
          <w:p w14:paraId="2F3FA16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20≤X＜300</w:t>
            </w:r>
          </w:p>
        </w:tc>
        <w:tc>
          <w:tcPr>
            <w:tcW w:w="992" w:type="dxa"/>
            <w:vAlign w:val="center"/>
          </w:tcPr>
          <w:p w14:paraId="31A545F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14:paraId="4FBF3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59A2A4A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14:paraId="2316D97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1CC897B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1A79624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Y≥30000</w:t>
            </w:r>
          </w:p>
        </w:tc>
        <w:tc>
          <w:tcPr>
            <w:tcW w:w="1735" w:type="dxa"/>
            <w:vAlign w:val="center"/>
          </w:tcPr>
          <w:p w14:paraId="7D42992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3000≤Y＜30000</w:t>
            </w:r>
          </w:p>
        </w:tc>
        <w:tc>
          <w:tcPr>
            <w:tcW w:w="1426" w:type="dxa"/>
            <w:vAlign w:val="center"/>
          </w:tcPr>
          <w:p w14:paraId="08B6FE2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200≤Y＜3000</w:t>
            </w:r>
          </w:p>
        </w:tc>
        <w:tc>
          <w:tcPr>
            <w:tcW w:w="992" w:type="dxa"/>
            <w:vAlign w:val="center"/>
          </w:tcPr>
          <w:p w14:paraId="5C88D65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w:t>
            </w:r>
          </w:p>
        </w:tc>
      </w:tr>
      <w:tr w14:paraId="18418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73C0A83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仓储业*</w:t>
            </w:r>
          </w:p>
        </w:tc>
        <w:tc>
          <w:tcPr>
            <w:tcW w:w="1441" w:type="dxa"/>
            <w:vAlign w:val="center"/>
          </w:tcPr>
          <w:p w14:paraId="75C4D5A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14:paraId="20D1A26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14:paraId="44AC940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X≥200</w:t>
            </w:r>
          </w:p>
        </w:tc>
        <w:tc>
          <w:tcPr>
            <w:tcW w:w="1735" w:type="dxa"/>
            <w:vAlign w:val="center"/>
          </w:tcPr>
          <w:p w14:paraId="7035F2BB">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100≤X＜200</w:t>
            </w:r>
          </w:p>
        </w:tc>
        <w:tc>
          <w:tcPr>
            <w:tcW w:w="1426" w:type="dxa"/>
            <w:vAlign w:val="center"/>
          </w:tcPr>
          <w:p w14:paraId="6444BEE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20≤X＜100</w:t>
            </w:r>
          </w:p>
        </w:tc>
        <w:tc>
          <w:tcPr>
            <w:tcW w:w="992" w:type="dxa"/>
            <w:vAlign w:val="center"/>
          </w:tcPr>
          <w:p w14:paraId="756F531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14:paraId="7E194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521FF95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14:paraId="3B62650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11CDC56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303002D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Y≥30000</w:t>
            </w:r>
          </w:p>
        </w:tc>
        <w:tc>
          <w:tcPr>
            <w:tcW w:w="1735" w:type="dxa"/>
            <w:vAlign w:val="center"/>
          </w:tcPr>
          <w:p w14:paraId="4522CB4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1000≤Y＜30000</w:t>
            </w:r>
          </w:p>
        </w:tc>
        <w:tc>
          <w:tcPr>
            <w:tcW w:w="1426" w:type="dxa"/>
            <w:vAlign w:val="center"/>
          </w:tcPr>
          <w:p w14:paraId="6465640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100≤Y＜1000</w:t>
            </w:r>
          </w:p>
        </w:tc>
        <w:tc>
          <w:tcPr>
            <w:tcW w:w="992" w:type="dxa"/>
            <w:vAlign w:val="center"/>
          </w:tcPr>
          <w:p w14:paraId="0AA40B8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1351F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02FCED4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邮政业</w:t>
            </w:r>
          </w:p>
        </w:tc>
        <w:tc>
          <w:tcPr>
            <w:tcW w:w="1441" w:type="dxa"/>
            <w:vAlign w:val="center"/>
          </w:tcPr>
          <w:p w14:paraId="5005C34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14:paraId="4D4CCBF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14:paraId="18AE8C7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X≥1000</w:t>
            </w:r>
          </w:p>
        </w:tc>
        <w:tc>
          <w:tcPr>
            <w:tcW w:w="1735" w:type="dxa"/>
            <w:vAlign w:val="center"/>
          </w:tcPr>
          <w:p w14:paraId="47DA13B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426" w:type="dxa"/>
            <w:vAlign w:val="center"/>
          </w:tcPr>
          <w:p w14:paraId="1915DF3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20≤X＜300</w:t>
            </w:r>
          </w:p>
        </w:tc>
        <w:tc>
          <w:tcPr>
            <w:tcW w:w="992" w:type="dxa"/>
            <w:vAlign w:val="center"/>
          </w:tcPr>
          <w:p w14:paraId="62356C9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14:paraId="77269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7F4C256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14:paraId="1B3D758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77AD242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6FC928A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Y≥30000</w:t>
            </w:r>
          </w:p>
        </w:tc>
        <w:tc>
          <w:tcPr>
            <w:tcW w:w="1735" w:type="dxa"/>
            <w:vAlign w:val="center"/>
          </w:tcPr>
          <w:p w14:paraId="60EEBCD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2000≤Y＜30000</w:t>
            </w:r>
          </w:p>
        </w:tc>
        <w:tc>
          <w:tcPr>
            <w:tcW w:w="1426" w:type="dxa"/>
            <w:vAlign w:val="center"/>
          </w:tcPr>
          <w:p w14:paraId="69C31D5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100≤Y＜2000</w:t>
            </w:r>
          </w:p>
        </w:tc>
        <w:tc>
          <w:tcPr>
            <w:tcW w:w="992" w:type="dxa"/>
            <w:vAlign w:val="center"/>
          </w:tcPr>
          <w:p w14:paraId="056C572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42D96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14F8FE4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住宿业</w:t>
            </w:r>
          </w:p>
        </w:tc>
        <w:tc>
          <w:tcPr>
            <w:tcW w:w="1441" w:type="dxa"/>
            <w:vAlign w:val="center"/>
          </w:tcPr>
          <w:p w14:paraId="6C5D96A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14:paraId="2433B90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14:paraId="77B49C4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35" w:type="dxa"/>
            <w:vAlign w:val="center"/>
          </w:tcPr>
          <w:p w14:paraId="797D3B1C">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426" w:type="dxa"/>
            <w:vAlign w:val="center"/>
          </w:tcPr>
          <w:p w14:paraId="3D1324F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992" w:type="dxa"/>
            <w:vAlign w:val="center"/>
          </w:tcPr>
          <w:p w14:paraId="5CED166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27425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6E79E04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14:paraId="16637A3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32A6EA8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1EEDCB5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Y≥10000</w:t>
            </w:r>
          </w:p>
        </w:tc>
        <w:tc>
          <w:tcPr>
            <w:tcW w:w="1735" w:type="dxa"/>
            <w:vAlign w:val="center"/>
          </w:tcPr>
          <w:p w14:paraId="6258BB4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2000≤Y＜10000</w:t>
            </w:r>
          </w:p>
        </w:tc>
        <w:tc>
          <w:tcPr>
            <w:tcW w:w="1426" w:type="dxa"/>
            <w:vAlign w:val="center"/>
          </w:tcPr>
          <w:p w14:paraId="13D1166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100≤Y＜2000</w:t>
            </w:r>
          </w:p>
        </w:tc>
        <w:tc>
          <w:tcPr>
            <w:tcW w:w="992" w:type="dxa"/>
            <w:vAlign w:val="center"/>
          </w:tcPr>
          <w:p w14:paraId="79CD072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72F83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230694A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餐饮业</w:t>
            </w:r>
          </w:p>
        </w:tc>
        <w:tc>
          <w:tcPr>
            <w:tcW w:w="1441" w:type="dxa"/>
            <w:vAlign w:val="center"/>
          </w:tcPr>
          <w:p w14:paraId="4A0D1CC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14:paraId="6792B25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14:paraId="042484E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35" w:type="dxa"/>
            <w:vAlign w:val="center"/>
          </w:tcPr>
          <w:p w14:paraId="1A5E525A">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100≤X＜300 </w:t>
            </w:r>
          </w:p>
        </w:tc>
        <w:tc>
          <w:tcPr>
            <w:tcW w:w="1426" w:type="dxa"/>
            <w:vAlign w:val="center"/>
          </w:tcPr>
          <w:p w14:paraId="78B4C0F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992" w:type="dxa"/>
            <w:vAlign w:val="center"/>
          </w:tcPr>
          <w:p w14:paraId="6A1DBE4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4941F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0C706FA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14:paraId="6EBA177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5DF5A36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2B3F919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Y≥10000</w:t>
            </w:r>
          </w:p>
        </w:tc>
        <w:tc>
          <w:tcPr>
            <w:tcW w:w="1735" w:type="dxa"/>
            <w:vAlign w:val="center"/>
          </w:tcPr>
          <w:p w14:paraId="1361287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2000≤Y＜10000</w:t>
            </w:r>
          </w:p>
        </w:tc>
        <w:tc>
          <w:tcPr>
            <w:tcW w:w="1426" w:type="dxa"/>
            <w:vAlign w:val="center"/>
          </w:tcPr>
          <w:p w14:paraId="31BA84C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100≤Y＜2000</w:t>
            </w:r>
          </w:p>
        </w:tc>
        <w:tc>
          <w:tcPr>
            <w:tcW w:w="992" w:type="dxa"/>
            <w:vAlign w:val="center"/>
          </w:tcPr>
          <w:p w14:paraId="17B8A7C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4AB9B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74B006A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信息传输业*</w:t>
            </w:r>
          </w:p>
        </w:tc>
        <w:tc>
          <w:tcPr>
            <w:tcW w:w="1441" w:type="dxa"/>
            <w:vAlign w:val="center"/>
          </w:tcPr>
          <w:p w14:paraId="0512E10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14:paraId="13CB634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14:paraId="37D63A3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X≥2000</w:t>
            </w:r>
          </w:p>
        </w:tc>
        <w:tc>
          <w:tcPr>
            <w:tcW w:w="1735" w:type="dxa"/>
            <w:vAlign w:val="center"/>
          </w:tcPr>
          <w:p w14:paraId="461E17E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100≤X＜2000</w:t>
            </w:r>
          </w:p>
        </w:tc>
        <w:tc>
          <w:tcPr>
            <w:tcW w:w="1426" w:type="dxa"/>
            <w:vAlign w:val="center"/>
          </w:tcPr>
          <w:p w14:paraId="39890DE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992" w:type="dxa"/>
            <w:vAlign w:val="center"/>
          </w:tcPr>
          <w:p w14:paraId="7E68E2D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4C4AE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1DA9202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14:paraId="1FFBFCA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08BB8EE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3B0FF40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Y≥100000</w:t>
            </w:r>
          </w:p>
        </w:tc>
        <w:tc>
          <w:tcPr>
            <w:tcW w:w="1735" w:type="dxa"/>
            <w:vAlign w:val="center"/>
          </w:tcPr>
          <w:p w14:paraId="337ECBF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1000≤Y＜100000</w:t>
            </w:r>
          </w:p>
        </w:tc>
        <w:tc>
          <w:tcPr>
            <w:tcW w:w="1426" w:type="dxa"/>
            <w:vAlign w:val="center"/>
          </w:tcPr>
          <w:p w14:paraId="679EC72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100≤Y＜1000</w:t>
            </w:r>
          </w:p>
        </w:tc>
        <w:tc>
          <w:tcPr>
            <w:tcW w:w="992" w:type="dxa"/>
            <w:vAlign w:val="center"/>
          </w:tcPr>
          <w:p w14:paraId="2ED8145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4E7F8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422F769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pacing w:val="-12"/>
                <w:kern w:val="0"/>
                <w:sz w:val="21"/>
                <w:szCs w:val="21"/>
                <w:highlight w:val="none"/>
              </w:rPr>
            </w:pPr>
            <w:r>
              <w:rPr>
                <w:rFonts w:hint="eastAsia" w:ascii="宋体" w:hAnsi="宋体" w:eastAsia="宋体" w:cs="宋体"/>
                <w:color w:val="auto"/>
                <w:spacing w:val="-12"/>
                <w:kern w:val="0"/>
                <w:sz w:val="21"/>
                <w:szCs w:val="21"/>
                <w:highlight w:val="none"/>
              </w:rPr>
              <w:t>软件和信息技术服</w:t>
            </w:r>
            <w:r>
              <w:rPr>
                <w:rFonts w:hint="eastAsia" w:ascii="宋体" w:hAnsi="宋体" w:eastAsia="宋体" w:cs="宋体"/>
                <w:color w:val="auto"/>
                <w:kern w:val="0"/>
                <w:sz w:val="21"/>
                <w:szCs w:val="21"/>
                <w:highlight w:val="none"/>
              </w:rPr>
              <w:t>务业</w:t>
            </w:r>
          </w:p>
        </w:tc>
        <w:tc>
          <w:tcPr>
            <w:tcW w:w="1441" w:type="dxa"/>
            <w:vAlign w:val="center"/>
          </w:tcPr>
          <w:p w14:paraId="5854893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14:paraId="070E591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14:paraId="3F11400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35" w:type="dxa"/>
            <w:vAlign w:val="center"/>
          </w:tcPr>
          <w:p w14:paraId="04DA17DF">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100≤X＜300 </w:t>
            </w:r>
          </w:p>
        </w:tc>
        <w:tc>
          <w:tcPr>
            <w:tcW w:w="1426" w:type="dxa"/>
            <w:vAlign w:val="center"/>
          </w:tcPr>
          <w:p w14:paraId="2FC47F2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992" w:type="dxa"/>
            <w:vAlign w:val="center"/>
          </w:tcPr>
          <w:p w14:paraId="5F210A3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3BF08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57C666D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pacing w:val="-12"/>
                <w:kern w:val="0"/>
                <w:sz w:val="21"/>
                <w:szCs w:val="21"/>
                <w:highlight w:val="none"/>
              </w:rPr>
            </w:pPr>
          </w:p>
        </w:tc>
        <w:tc>
          <w:tcPr>
            <w:tcW w:w="1441" w:type="dxa"/>
            <w:vAlign w:val="center"/>
          </w:tcPr>
          <w:p w14:paraId="13A65BF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605DF09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5E59229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Y≥10000</w:t>
            </w:r>
          </w:p>
        </w:tc>
        <w:tc>
          <w:tcPr>
            <w:tcW w:w="1735" w:type="dxa"/>
            <w:vAlign w:val="center"/>
          </w:tcPr>
          <w:p w14:paraId="3E75F16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1000≤Y＜10000</w:t>
            </w:r>
          </w:p>
        </w:tc>
        <w:tc>
          <w:tcPr>
            <w:tcW w:w="1426" w:type="dxa"/>
            <w:vAlign w:val="center"/>
          </w:tcPr>
          <w:p w14:paraId="55EF8EB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50≤Y＜1000</w:t>
            </w:r>
          </w:p>
        </w:tc>
        <w:tc>
          <w:tcPr>
            <w:tcW w:w="992" w:type="dxa"/>
            <w:vAlign w:val="center"/>
          </w:tcPr>
          <w:p w14:paraId="484E257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w:t>
            </w:r>
          </w:p>
        </w:tc>
      </w:tr>
      <w:tr w14:paraId="4451F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5D7521D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房地产开发经营</w:t>
            </w:r>
          </w:p>
        </w:tc>
        <w:tc>
          <w:tcPr>
            <w:tcW w:w="1441" w:type="dxa"/>
            <w:vAlign w:val="center"/>
          </w:tcPr>
          <w:p w14:paraId="10F5AF8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29320FB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63A5BC2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Y≥200000</w:t>
            </w:r>
          </w:p>
        </w:tc>
        <w:tc>
          <w:tcPr>
            <w:tcW w:w="1735" w:type="dxa"/>
            <w:vAlign w:val="center"/>
          </w:tcPr>
          <w:p w14:paraId="51EA180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1000≤Y＜200000</w:t>
            </w:r>
          </w:p>
        </w:tc>
        <w:tc>
          <w:tcPr>
            <w:tcW w:w="1426" w:type="dxa"/>
            <w:vAlign w:val="center"/>
          </w:tcPr>
          <w:p w14:paraId="304B15F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100≤Y＜1000</w:t>
            </w:r>
          </w:p>
        </w:tc>
        <w:tc>
          <w:tcPr>
            <w:tcW w:w="992" w:type="dxa"/>
            <w:vAlign w:val="center"/>
          </w:tcPr>
          <w:p w14:paraId="466AF13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7E46C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4AF2B1B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14:paraId="6BAD54F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资产总额(Z)</w:t>
            </w:r>
          </w:p>
        </w:tc>
        <w:tc>
          <w:tcPr>
            <w:tcW w:w="720" w:type="dxa"/>
            <w:vAlign w:val="center"/>
          </w:tcPr>
          <w:p w14:paraId="78D775C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1400991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Z≥10000</w:t>
            </w:r>
          </w:p>
        </w:tc>
        <w:tc>
          <w:tcPr>
            <w:tcW w:w="1735" w:type="dxa"/>
            <w:vAlign w:val="center"/>
          </w:tcPr>
          <w:p w14:paraId="5432856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5000≤Z＜10000</w:t>
            </w:r>
          </w:p>
        </w:tc>
        <w:tc>
          <w:tcPr>
            <w:tcW w:w="1426" w:type="dxa"/>
            <w:vAlign w:val="center"/>
          </w:tcPr>
          <w:p w14:paraId="4485BAA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2000≤Z＜5000</w:t>
            </w:r>
          </w:p>
        </w:tc>
        <w:tc>
          <w:tcPr>
            <w:tcW w:w="992" w:type="dxa"/>
            <w:vAlign w:val="center"/>
          </w:tcPr>
          <w:p w14:paraId="58739F4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Z＜2000</w:t>
            </w:r>
          </w:p>
        </w:tc>
      </w:tr>
      <w:tr w14:paraId="0E676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41B5107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物业管理</w:t>
            </w:r>
          </w:p>
        </w:tc>
        <w:tc>
          <w:tcPr>
            <w:tcW w:w="1441" w:type="dxa"/>
            <w:vAlign w:val="center"/>
          </w:tcPr>
          <w:p w14:paraId="13521BE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14:paraId="7CD574E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14:paraId="463543D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X≥1000</w:t>
            </w:r>
          </w:p>
        </w:tc>
        <w:tc>
          <w:tcPr>
            <w:tcW w:w="1735" w:type="dxa"/>
            <w:vAlign w:val="center"/>
          </w:tcPr>
          <w:p w14:paraId="2BCB574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426" w:type="dxa"/>
            <w:vAlign w:val="center"/>
          </w:tcPr>
          <w:p w14:paraId="3772CF8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992" w:type="dxa"/>
            <w:vAlign w:val="center"/>
          </w:tcPr>
          <w:p w14:paraId="45BADE7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w:t>
            </w:r>
          </w:p>
        </w:tc>
      </w:tr>
      <w:tr w14:paraId="2152A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033C6EF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14:paraId="6878244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14:paraId="0DB8A19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12BF36F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Y≥5000</w:t>
            </w:r>
          </w:p>
        </w:tc>
        <w:tc>
          <w:tcPr>
            <w:tcW w:w="1735" w:type="dxa"/>
            <w:vAlign w:val="center"/>
          </w:tcPr>
          <w:p w14:paraId="1F212B57">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1000≤Y＜5000</w:t>
            </w:r>
          </w:p>
        </w:tc>
        <w:tc>
          <w:tcPr>
            <w:tcW w:w="1426" w:type="dxa"/>
            <w:vAlign w:val="center"/>
          </w:tcPr>
          <w:p w14:paraId="3789DA7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500≤Y＜1000</w:t>
            </w:r>
          </w:p>
        </w:tc>
        <w:tc>
          <w:tcPr>
            <w:tcW w:w="992" w:type="dxa"/>
            <w:vAlign w:val="center"/>
          </w:tcPr>
          <w:p w14:paraId="4898084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Y＜500</w:t>
            </w:r>
          </w:p>
        </w:tc>
      </w:tr>
      <w:tr w14:paraId="19852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restart"/>
            <w:vAlign w:val="center"/>
          </w:tcPr>
          <w:p w14:paraId="29C101C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租赁和商务服务业</w:t>
            </w:r>
          </w:p>
        </w:tc>
        <w:tc>
          <w:tcPr>
            <w:tcW w:w="1441" w:type="dxa"/>
            <w:vAlign w:val="center"/>
          </w:tcPr>
          <w:p w14:paraId="71982F2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14:paraId="6E16FBB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14:paraId="73170D5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35" w:type="dxa"/>
            <w:vAlign w:val="center"/>
          </w:tcPr>
          <w:p w14:paraId="1ADDE519">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426" w:type="dxa"/>
            <w:vAlign w:val="center"/>
          </w:tcPr>
          <w:p w14:paraId="6BF263D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992" w:type="dxa"/>
            <w:vAlign w:val="center"/>
          </w:tcPr>
          <w:p w14:paraId="6BDF24F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692F0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Merge w:val="continue"/>
            <w:vAlign w:val="center"/>
          </w:tcPr>
          <w:p w14:paraId="710B017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14:paraId="03C7902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资产总额(Z)</w:t>
            </w:r>
          </w:p>
        </w:tc>
        <w:tc>
          <w:tcPr>
            <w:tcW w:w="720" w:type="dxa"/>
            <w:vAlign w:val="center"/>
          </w:tcPr>
          <w:p w14:paraId="1DEE022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14:paraId="7A77787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Z≥120000</w:t>
            </w:r>
          </w:p>
        </w:tc>
        <w:tc>
          <w:tcPr>
            <w:tcW w:w="1735" w:type="dxa"/>
            <w:vAlign w:val="center"/>
          </w:tcPr>
          <w:p w14:paraId="5729398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8000≤Z＜120000</w:t>
            </w:r>
          </w:p>
        </w:tc>
        <w:tc>
          <w:tcPr>
            <w:tcW w:w="1426" w:type="dxa"/>
            <w:vAlign w:val="center"/>
          </w:tcPr>
          <w:p w14:paraId="287FC8B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100≤Z＜8000</w:t>
            </w:r>
          </w:p>
        </w:tc>
        <w:tc>
          <w:tcPr>
            <w:tcW w:w="992" w:type="dxa"/>
            <w:vAlign w:val="center"/>
          </w:tcPr>
          <w:p w14:paraId="330F89A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Z＜100</w:t>
            </w:r>
          </w:p>
        </w:tc>
      </w:tr>
      <w:tr w14:paraId="53EFF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51" w:type="dxa"/>
            <w:vAlign w:val="center"/>
          </w:tcPr>
          <w:p w14:paraId="07595BA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其他未列明行业 *</w:t>
            </w:r>
          </w:p>
        </w:tc>
        <w:tc>
          <w:tcPr>
            <w:tcW w:w="1441" w:type="dxa"/>
            <w:vAlign w:val="center"/>
          </w:tcPr>
          <w:p w14:paraId="67E6FF2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14:paraId="47BABD3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14:paraId="20A3660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35" w:type="dxa"/>
            <w:vAlign w:val="center"/>
          </w:tcPr>
          <w:p w14:paraId="58DF5E45">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426" w:type="dxa"/>
            <w:vAlign w:val="center"/>
          </w:tcPr>
          <w:p w14:paraId="64EFBD6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992" w:type="dxa"/>
            <w:vAlign w:val="center"/>
          </w:tcPr>
          <w:p w14:paraId="6EAE24D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bl>
    <w:p w14:paraId="7E4D4D48">
      <w:pPr>
        <w:pageBreakBefore w:val="0"/>
        <w:widowControl/>
        <w:kinsoku/>
        <w:overflowPunct/>
        <w:topLinePunct w:val="0"/>
        <w:bidi w:val="0"/>
        <w:spacing w:line="240" w:lineRule="auto"/>
        <w:rPr>
          <w:rFonts w:hint="eastAsia" w:ascii="宋体" w:hAnsi="宋体" w:eastAsia="宋体" w:cs="宋体"/>
          <w:color w:val="auto"/>
          <w:kern w:val="0"/>
          <w:sz w:val="21"/>
          <w:szCs w:val="21"/>
          <w:highlight w:val="none"/>
        </w:rPr>
      </w:pPr>
      <w:r>
        <w:rPr>
          <w:rFonts w:hint="eastAsia" w:ascii="宋体" w:hAnsi="宋体" w:eastAsia="宋体" w:cs="宋体"/>
          <w:color w:val="auto"/>
          <w:spacing w:val="8"/>
          <w:kern w:val="0"/>
          <w:sz w:val="21"/>
          <w:szCs w:val="21"/>
          <w:highlight w:val="none"/>
        </w:rPr>
        <w:br w:type="page"/>
      </w:r>
      <w:r>
        <w:rPr>
          <w:rFonts w:hint="eastAsia" w:ascii="宋体" w:hAnsi="宋体" w:eastAsia="宋体" w:cs="宋体"/>
          <w:color w:val="auto"/>
          <w:kern w:val="0"/>
          <w:sz w:val="21"/>
          <w:szCs w:val="21"/>
          <w:highlight w:val="none"/>
        </w:rPr>
        <w:t>说明：</w:t>
      </w:r>
    </w:p>
    <w:p w14:paraId="5E2012C9">
      <w:pPr>
        <w:pStyle w:val="14"/>
        <w:pageBreakBefore w:val="0"/>
        <w:kinsoku/>
        <w:overflowPunct/>
        <w:topLinePunct w:val="0"/>
        <w:bidi w:val="0"/>
        <w:adjustRightInd w:val="0"/>
        <w:spacing w:line="24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1.大型、中型和小型企业须同时满足所列指标的下限，否则下划一档；微型企业只须满足所列指标中的一项即可。</w:t>
      </w:r>
    </w:p>
    <w:p w14:paraId="62B60454">
      <w:pPr>
        <w:pStyle w:val="14"/>
        <w:pageBreakBefore w:val="0"/>
        <w:kinsoku/>
        <w:overflowPunct/>
        <w:topLinePunct w:val="0"/>
        <w:bidi w:val="0"/>
        <w:adjustRightInd w:val="0"/>
        <w:spacing w:line="24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0B49066E">
      <w:pPr>
        <w:pStyle w:val="14"/>
        <w:pageBreakBefore w:val="0"/>
        <w:kinsoku/>
        <w:overflowPunct/>
        <w:topLinePunct w:val="0"/>
        <w:bidi w:val="0"/>
        <w:adjustRightInd w:val="0"/>
        <w:spacing w:line="24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5B3312A4">
      <w:pPr>
        <w:pageBreakBefore w:val="0"/>
        <w:kinsoku/>
        <w:overflowPunct/>
        <w:topLinePunct w:val="0"/>
        <w:bidi w:val="0"/>
        <w:snapToGrid w:val="0"/>
        <w:spacing w:line="240" w:lineRule="auto"/>
        <w:rPr>
          <w:rFonts w:hint="eastAsia" w:ascii="宋体" w:hAnsi="宋体" w:cs="宋体"/>
          <w:b/>
          <w:bCs/>
          <w:color w:val="auto"/>
          <w:sz w:val="28"/>
          <w:szCs w:val="28"/>
        </w:rPr>
      </w:pPr>
      <w:r>
        <w:rPr>
          <w:rFonts w:hint="eastAsia" w:ascii="宋体" w:hAnsi="宋体" w:eastAsia="宋体" w:cs="宋体"/>
          <w:color w:val="auto"/>
          <w:sz w:val="21"/>
          <w:szCs w:val="21"/>
          <w:highlight w:val="none"/>
        </w:rPr>
        <w:br w:type="page"/>
      </w:r>
      <w:r>
        <w:rPr>
          <w:rFonts w:hint="eastAsia" w:ascii="宋体" w:hAnsi="宋体" w:eastAsia="宋体" w:cs="宋体"/>
          <w:bCs/>
          <w:color w:val="auto"/>
          <w:kern w:val="0"/>
          <w:sz w:val="21"/>
          <w:szCs w:val="21"/>
          <w:highlight w:val="none"/>
        </w:rPr>
        <w:t>附件</w:t>
      </w:r>
      <w:r>
        <w:rPr>
          <w:rFonts w:hint="eastAsia" w:ascii="宋体" w:hAnsi="宋体" w:eastAsia="宋体" w:cs="宋体"/>
          <w:bCs/>
          <w:color w:val="auto"/>
          <w:kern w:val="0"/>
          <w:sz w:val="21"/>
          <w:szCs w:val="21"/>
          <w:highlight w:val="none"/>
          <w:lang w:val="en-US" w:eastAsia="zh-CN"/>
        </w:rPr>
        <w:t>3</w:t>
      </w:r>
      <w:r>
        <w:rPr>
          <w:rFonts w:hint="eastAsia" w:ascii="宋体" w:hAnsi="宋体" w:eastAsia="宋体" w:cs="宋体"/>
          <w:bCs/>
          <w:color w:val="auto"/>
          <w:kern w:val="0"/>
          <w:sz w:val="21"/>
          <w:szCs w:val="21"/>
          <w:highlight w:val="none"/>
        </w:rPr>
        <w:t>：</w:t>
      </w:r>
    </w:p>
    <w:p w14:paraId="282B5E93">
      <w:pPr>
        <w:spacing w:line="360" w:lineRule="auto"/>
        <w:contextualSpacing/>
        <w:jc w:val="center"/>
        <w:rPr>
          <w:rFonts w:hint="eastAsia" w:ascii="宋体" w:hAnsi="宋体" w:cs="宋体"/>
          <w:color w:val="auto"/>
          <w:spacing w:val="-2"/>
          <w:sz w:val="40"/>
          <w:szCs w:val="40"/>
        </w:rPr>
      </w:pPr>
      <w:r>
        <w:rPr>
          <w:rFonts w:hint="eastAsia" w:ascii="宋体" w:hAnsi="宋体" w:cs="宋体"/>
          <w:color w:val="auto"/>
          <w:spacing w:val="-2"/>
          <w:sz w:val="40"/>
          <w:szCs w:val="40"/>
        </w:rPr>
        <w:t>节能产品政府采购品目清单</w:t>
      </w:r>
    </w:p>
    <w:tbl>
      <w:tblPr>
        <w:tblStyle w:val="20"/>
        <w:tblW w:w="941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8"/>
        <w:gridCol w:w="1166"/>
        <w:gridCol w:w="1799"/>
        <w:gridCol w:w="1914"/>
        <w:gridCol w:w="3957"/>
      </w:tblGrid>
      <w:tr w14:paraId="5F9813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3" w:hRule="atLeast"/>
        </w:trPr>
        <w:tc>
          <w:tcPr>
            <w:tcW w:w="578" w:type="dxa"/>
            <w:noWrap w:val="0"/>
            <w:vAlign w:val="top"/>
          </w:tcPr>
          <w:p w14:paraId="379FD1A6">
            <w:pPr>
              <w:pStyle w:val="31"/>
              <w:keepNext w:val="0"/>
              <w:keepLines w:val="0"/>
              <w:pageBreakBefore w:val="0"/>
              <w:widowControl w:val="0"/>
              <w:kinsoku/>
              <w:wordWrap/>
              <w:overflowPunct/>
              <w:topLinePunct w:val="0"/>
              <w:autoSpaceDE/>
              <w:autoSpaceDN/>
              <w:bidi w:val="0"/>
              <w:adjustRightInd/>
              <w:snapToGrid/>
              <w:spacing w:before="128" w:line="360" w:lineRule="exact"/>
              <w:ind w:left="91"/>
              <w:jc w:val="both"/>
              <w:textAlignment w:val="auto"/>
              <w:rPr>
                <w:rFonts w:hint="eastAsia"/>
                <w:color w:val="auto"/>
                <w:sz w:val="22"/>
                <w:szCs w:val="22"/>
              </w:rPr>
            </w:pPr>
            <w:r>
              <w:rPr>
                <w:rFonts w:hint="eastAsia"/>
                <w:b/>
                <w:bCs/>
                <w:color w:val="auto"/>
                <w:spacing w:val="-9"/>
                <w:sz w:val="22"/>
                <w:szCs w:val="22"/>
              </w:rPr>
              <w:t>品目</w:t>
            </w:r>
          </w:p>
          <w:p w14:paraId="3F373472">
            <w:pPr>
              <w:pStyle w:val="31"/>
              <w:keepNext w:val="0"/>
              <w:keepLines w:val="0"/>
              <w:pageBreakBefore w:val="0"/>
              <w:widowControl w:val="0"/>
              <w:kinsoku/>
              <w:wordWrap/>
              <w:overflowPunct/>
              <w:topLinePunct w:val="0"/>
              <w:autoSpaceDE/>
              <w:autoSpaceDN/>
              <w:bidi w:val="0"/>
              <w:adjustRightInd/>
              <w:snapToGrid/>
              <w:spacing w:before="45" w:line="360" w:lineRule="exact"/>
              <w:ind w:left="72"/>
              <w:jc w:val="both"/>
              <w:textAlignment w:val="auto"/>
              <w:rPr>
                <w:rFonts w:hint="eastAsia"/>
                <w:color w:val="auto"/>
                <w:sz w:val="22"/>
                <w:szCs w:val="22"/>
              </w:rPr>
            </w:pPr>
            <w:r>
              <w:rPr>
                <w:rFonts w:hint="eastAsia"/>
                <w:b/>
                <w:bCs/>
                <w:color w:val="auto"/>
                <w:spacing w:val="-4"/>
                <w:sz w:val="22"/>
                <w:szCs w:val="22"/>
              </w:rPr>
              <w:t>序号</w:t>
            </w:r>
          </w:p>
        </w:tc>
        <w:tc>
          <w:tcPr>
            <w:tcW w:w="4879" w:type="dxa"/>
            <w:gridSpan w:val="3"/>
            <w:noWrap w:val="0"/>
            <w:vAlign w:val="top"/>
          </w:tcPr>
          <w:p w14:paraId="2CAE5A57">
            <w:pPr>
              <w:pStyle w:val="31"/>
              <w:keepNext w:val="0"/>
              <w:keepLines w:val="0"/>
              <w:pageBreakBefore w:val="0"/>
              <w:widowControl w:val="0"/>
              <w:kinsoku/>
              <w:wordWrap/>
              <w:overflowPunct/>
              <w:topLinePunct w:val="0"/>
              <w:autoSpaceDE/>
              <w:autoSpaceDN/>
              <w:bidi w:val="0"/>
              <w:adjustRightInd/>
              <w:snapToGrid/>
              <w:spacing w:before="285" w:line="360" w:lineRule="exact"/>
              <w:ind w:left="2226"/>
              <w:jc w:val="both"/>
              <w:textAlignment w:val="auto"/>
              <w:rPr>
                <w:rFonts w:hint="eastAsia"/>
                <w:color w:val="auto"/>
                <w:sz w:val="22"/>
                <w:szCs w:val="22"/>
              </w:rPr>
            </w:pPr>
            <w:r>
              <w:rPr>
                <w:rFonts w:hint="eastAsia"/>
                <w:b/>
                <w:bCs/>
                <w:color w:val="auto"/>
                <w:spacing w:val="-5"/>
                <w:sz w:val="22"/>
                <w:szCs w:val="22"/>
              </w:rPr>
              <w:t>名称</w:t>
            </w:r>
          </w:p>
        </w:tc>
        <w:tc>
          <w:tcPr>
            <w:tcW w:w="3957" w:type="dxa"/>
            <w:noWrap w:val="0"/>
            <w:vAlign w:val="top"/>
          </w:tcPr>
          <w:p w14:paraId="1C66AD5A">
            <w:pPr>
              <w:pStyle w:val="31"/>
              <w:keepNext w:val="0"/>
              <w:keepLines w:val="0"/>
              <w:pageBreakBefore w:val="0"/>
              <w:widowControl w:val="0"/>
              <w:kinsoku/>
              <w:wordWrap/>
              <w:overflowPunct/>
              <w:topLinePunct w:val="0"/>
              <w:autoSpaceDE/>
              <w:autoSpaceDN/>
              <w:bidi w:val="0"/>
              <w:adjustRightInd/>
              <w:snapToGrid/>
              <w:spacing w:before="285" w:line="360" w:lineRule="exact"/>
              <w:jc w:val="center"/>
              <w:textAlignment w:val="auto"/>
              <w:rPr>
                <w:rFonts w:hint="eastAsia"/>
                <w:color w:val="auto"/>
                <w:sz w:val="22"/>
                <w:szCs w:val="22"/>
              </w:rPr>
            </w:pPr>
            <w:r>
              <w:rPr>
                <w:rFonts w:hint="eastAsia"/>
                <w:b/>
                <w:bCs/>
                <w:color w:val="auto"/>
                <w:spacing w:val="-4"/>
                <w:sz w:val="22"/>
                <w:szCs w:val="22"/>
              </w:rPr>
              <w:t>依据的标准</w:t>
            </w:r>
          </w:p>
        </w:tc>
      </w:tr>
      <w:tr w14:paraId="79C1B6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restart"/>
            <w:tcBorders>
              <w:bottom w:val="nil"/>
            </w:tcBorders>
            <w:noWrap w:val="0"/>
            <w:vAlign w:val="top"/>
          </w:tcPr>
          <w:p w14:paraId="201F921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668A9AB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622328E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196CCF7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3FB5F634">
            <w:pPr>
              <w:pStyle w:val="31"/>
              <w:keepNext w:val="0"/>
              <w:keepLines w:val="0"/>
              <w:pageBreakBefore w:val="0"/>
              <w:widowControl w:val="0"/>
              <w:kinsoku/>
              <w:wordWrap/>
              <w:overflowPunct/>
              <w:topLinePunct w:val="0"/>
              <w:autoSpaceDE/>
              <w:autoSpaceDN/>
              <w:bidi w:val="0"/>
              <w:adjustRightInd/>
              <w:snapToGrid/>
              <w:spacing w:before="62" w:line="360" w:lineRule="exact"/>
              <w:ind w:left="257"/>
              <w:textAlignment w:val="auto"/>
              <w:rPr>
                <w:rFonts w:hint="eastAsia"/>
                <w:color w:val="auto"/>
              </w:rPr>
            </w:pPr>
            <w:r>
              <w:rPr>
                <w:rFonts w:hint="eastAsia"/>
                <w:color w:val="auto"/>
                <w:position w:val="1"/>
              </w:rPr>
              <w:t>1</w:t>
            </w:r>
          </w:p>
        </w:tc>
        <w:tc>
          <w:tcPr>
            <w:tcW w:w="1166" w:type="dxa"/>
            <w:vMerge w:val="restart"/>
            <w:tcBorders>
              <w:bottom w:val="nil"/>
            </w:tcBorders>
            <w:noWrap w:val="0"/>
            <w:vAlign w:val="top"/>
          </w:tcPr>
          <w:p w14:paraId="00B7F13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395EE0A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2604B5A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7EB2A631">
            <w:pPr>
              <w:pStyle w:val="31"/>
              <w:keepNext w:val="0"/>
              <w:keepLines w:val="0"/>
              <w:pageBreakBefore w:val="0"/>
              <w:widowControl w:val="0"/>
              <w:kinsoku/>
              <w:wordWrap/>
              <w:overflowPunct/>
              <w:topLinePunct w:val="0"/>
              <w:autoSpaceDE/>
              <w:autoSpaceDN/>
              <w:bidi w:val="0"/>
              <w:adjustRightInd/>
              <w:snapToGrid/>
              <w:spacing w:before="62" w:line="360" w:lineRule="exact"/>
              <w:ind w:left="14" w:right="8" w:hanging="5"/>
              <w:textAlignment w:val="auto"/>
              <w:rPr>
                <w:rFonts w:hint="eastAsia"/>
                <w:color w:val="auto"/>
              </w:rPr>
            </w:pPr>
            <w:r>
              <w:rPr>
                <w:rFonts w:hint="eastAsia"/>
                <w:color w:val="auto"/>
                <w:spacing w:val="5"/>
              </w:rPr>
              <w:t>A020101</w:t>
            </w:r>
            <w:r>
              <w:rPr>
                <w:rFonts w:hint="eastAsia"/>
                <w:color w:val="auto"/>
                <w:spacing w:val="-43"/>
              </w:rPr>
              <w:t xml:space="preserve"> </w:t>
            </w:r>
            <w:r>
              <w:rPr>
                <w:rFonts w:hint="eastAsia"/>
                <w:color w:val="auto"/>
                <w:spacing w:val="5"/>
              </w:rPr>
              <w:t>计算</w:t>
            </w:r>
            <w:r>
              <w:rPr>
                <w:rFonts w:hint="eastAsia"/>
                <w:color w:val="auto"/>
              </w:rPr>
              <w:t xml:space="preserve"> </w:t>
            </w:r>
            <w:r>
              <w:rPr>
                <w:rFonts w:hint="eastAsia"/>
                <w:color w:val="auto"/>
                <w:spacing w:val="6"/>
              </w:rPr>
              <w:t>机设备</w:t>
            </w:r>
          </w:p>
        </w:tc>
        <w:tc>
          <w:tcPr>
            <w:tcW w:w="1799" w:type="dxa"/>
            <w:noWrap w:val="0"/>
            <w:vAlign w:val="top"/>
          </w:tcPr>
          <w:p w14:paraId="48B33D63">
            <w:pPr>
              <w:pStyle w:val="31"/>
              <w:keepNext w:val="0"/>
              <w:keepLines w:val="0"/>
              <w:pageBreakBefore w:val="0"/>
              <w:widowControl w:val="0"/>
              <w:kinsoku/>
              <w:wordWrap/>
              <w:overflowPunct/>
              <w:topLinePunct w:val="0"/>
              <w:autoSpaceDE/>
              <w:autoSpaceDN/>
              <w:bidi w:val="0"/>
              <w:adjustRightInd/>
              <w:snapToGrid/>
              <w:spacing w:before="155" w:line="360" w:lineRule="exact"/>
              <w:ind w:left="17" w:right="10" w:firstLine="1"/>
              <w:textAlignment w:val="auto"/>
              <w:rPr>
                <w:rFonts w:hint="eastAsia"/>
                <w:color w:val="auto"/>
              </w:rPr>
            </w:pPr>
            <w:r>
              <w:rPr>
                <w:rFonts w:hint="eastAsia"/>
                <w:color w:val="auto"/>
                <w:spacing w:val="3"/>
              </w:rPr>
              <w:t>★A02010104 台式计</w:t>
            </w:r>
            <w:r>
              <w:rPr>
                <w:rFonts w:hint="eastAsia"/>
                <w:color w:val="auto"/>
                <w:spacing w:val="12"/>
              </w:rPr>
              <w:t xml:space="preserve"> </w:t>
            </w:r>
            <w:r>
              <w:rPr>
                <w:rFonts w:hint="eastAsia"/>
                <w:color w:val="auto"/>
                <w:spacing w:val="4"/>
              </w:rPr>
              <w:t>算机</w:t>
            </w:r>
          </w:p>
        </w:tc>
        <w:tc>
          <w:tcPr>
            <w:tcW w:w="1914" w:type="dxa"/>
            <w:noWrap w:val="0"/>
            <w:vAlign w:val="top"/>
          </w:tcPr>
          <w:p w14:paraId="41FE1FC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3957" w:type="dxa"/>
            <w:noWrap w:val="0"/>
            <w:vAlign w:val="top"/>
          </w:tcPr>
          <w:p w14:paraId="12071A08">
            <w:pPr>
              <w:pStyle w:val="31"/>
              <w:keepNext w:val="0"/>
              <w:keepLines w:val="0"/>
              <w:pageBreakBefore w:val="0"/>
              <w:widowControl w:val="0"/>
              <w:kinsoku/>
              <w:wordWrap/>
              <w:overflowPunct/>
              <w:topLinePunct w:val="0"/>
              <w:autoSpaceDE/>
              <w:autoSpaceDN/>
              <w:bidi w:val="0"/>
              <w:adjustRightInd/>
              <w:snapToGrid/>
              <w:spacing w:before="156" w:line="360" w:lineRule="exact"/>
              <w:ind w:left="19" w:right="11" w:firstLine="3"/>
              <w:textAlignment w:val="auto"/>
              <w:rPr>
                <w:rFonts w:hint="eastAsia"/>
                <w:color w:val="auto"/>
                <w:lang w:eastAsia="zh-CN"/>
              </w:rPr>
            </w:pPr>
            <w:r>
              <w:rPr>
                <w:rFonts w:hint="eastAsia"/>
                <w:color w:val="auto"/>
                <w:spacing w:val="19"/>
                <w:lang w:eastAsia="zh-CN"/>
              </w:rPr>
              <w:t>《微型计算机能效限定值及能效</w:t>
            </w:r>
            <w:r>
              <w:rPr>
                <w:rFonts w:hint="eastAsia"/>
                <w:color w:val="auto"/>
                <w:spacing w:val="2"/>
                <w:lang w:eastAsia="zh-CN"/>
              </w:rPr>
              <w:t xml:space="preserve"> </w:t>
            </w:r>
            <w:r>
              <w:rPr>
                <w:rFonts w:hint="eastAsia"/>
                <w:color w:val="auto"/>
                <w:spacing w:val="6"/>
                <w:lang w:eastAsia="zh-CN"/>
              </w:rPr>
              <w:t>等级》（</w:t>
            </w:r>
            <w:r>
              <w:rPr>
                <w:rFonts w:hint="eastAsia"/>
                <w:color w:val="auto"/>
                <w:lang w:eastAsia="zh-CN"/>
              </w:rPr>
              <w:t>GB</w:t>
            </w:r>
            <w:r>
              <w:rPr>
                <w:rFonts w:hint="eastAsia"/>
                <w:color w:val="auto"/>
                <w:spacing w:val="6"/>
                <w:lang w:eastAsia="zh-CN"/>
              </w:rPr>
              <w:t xml:space="preserve"> 28380）</w:t>
            </w:r>
          </w:p>
        </w:tc>
      </w:tr>
      <w:tr w14:paraId="5CB047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14:paraId="52716FF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166" w:type="dxa"/>
            <w:vMerge w:val="continue"/>
            <w:tcBorders>
              <w:top w:val="nil"/>
              <w:bottom w:val="nil"/>
            </w:tcBorders>
            <w:noWrap w:val="0"/>
            <w:vAlign w:val="top"/>
          </w:tcPr>
          <w:p w14:paraId="3876F02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799" w:type="dxa"/>
            <w:noWrap w:val="0"/>
            <w:vAlign w:val="top"/>
          </w:tcPr>
          <w:p w14:paraId="5B5E908D">
            <w:pPr>
              <w:pStyle w:val="31"/>
              <w:keepNext w:val="0"/>
              <w:keepLines w:val="0"/>
              <w:pageBreakBefore w:val="0"/>
              <w:widowControl w:val="0"/>
              <w:kinsoku/>
              <w:wordWrap/>
              <w:overflowPunct/>
              <w:topLinePunct w:val="0"/>
              <w:autoSpaceDE/>
              <w:autoSpaceDN/>
              <w:bidi w:val="0"/>
              <w:adjustRightInd/>
              <w:snapToGrid/>
              <w:spacing w:before="108" w:line="360" w:lineRule="exact"/>
              <w:ind w:left="15" w:right="10" w:firstLine="3"/>
              <w:textAlignment w:val="auto"/>
              <w:rPr>
                <w:rFonts w:hint="eastAsia"/>
                <w:color w:val="auto"/>
              </w:rPr>
            </w:pPr>
            <w:r>
              <w:rPr>
                <w:rFonts w:hint="eastAsia"/>
                <w:color w:val="auto"/>
                <w:spacing w:val="3"/>
              </w:rPr>
              <w:t>★A02010105 便携式</w:t>
            </w:r>
            <w:r>
              <w:rPr>
                <w:rFonts w:hint="eastAsia"/>
                <w:color w:val="auto"/>
                <w:spacing w:val="12"/>
              </w:rPr>
              <w:t xml:space="preserve"> </w:t>
            </w:r>
            <w:r>
              <w:rPr>
                <w:rFonts w:hint="eastAsia"/>
                <w:color w:val="auto"/>
                <w:spacing w:val="6"/>
              </w:rPr>
              <w:t>计算机</w:t>
            </w:r>
          </w:p>
        </w:tc>
        <w:tc>
          <w:tcPr>
            <w:tcW w:w="1914" w:type="dxa"/>
            <w:noWrap w:val="0"/>
            <w:vAlign w:val="top"/>
          </w:tcPr>
          <w:p w14:paraId="5801AA6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3957" w:type="dxa"/>
            <w:noWrap w:val="0"/>
            <w:vAlign w:val="top"/>
          </w:tcPr>
          <w:p w14:paraId="0998CE12">
            <w:pPr>
              <w:pStyle w:val="31"/>
              <w:keepNext w:val="0"/>
              <w:keepLines w:val="0"/>
              <w:pageBreakBefore w:val="0"/>
              <w:widowControl w:val="0"/>
              <w:kinsoku/>
              <w:wordWrap/>
              <w:overflowPunct/>
              <w:topLinePunct w:val="0"/>
              <w:autoSpaceDE/>
              <w:autoSpaceDN/>
              <w:bidi w:val="0"/>
              <w:adjustRightInd/>
              <w:snapToGrid/>
              <w:spacing w:before="108" w:line="360" w:lineRule="exact"/>
              <w:ind w:left="19" w:right="11" w:firstLine="3"/>
              <w:textAlignment w:val="auto"/>
              <w:rPr>
                <w:rFonts w:hint="eastAsia"/>
                <w:color w:val="auto"/>
                <w:lang w:eastAsia="zh-CN"/>
              </w:rPr>
            </w:pPr>
            <w:r>
              <w:rPr>
                <w:rFonts w:hint="eastAsia"/>
                <w:color w:val="auto"/>
                <w:spacing w:val="19"/>
                <w:lang w:eastAsia="zh-CN"/>
              </w:rPr>
              <w:t>《微型计算机能效限定值及能效</w:t>
            </w:r>
            <w:r>
              <w:rPr>
                <w:rFonts w:hint="eastAsia"/>
                <w:color w:val="auto"/>
                <w:spacing w:val="2"/>
                <w:lang w:eastAsia="zh-CN"/>
              </w:rPr>
              <w:t xml:space="preserve"> </w:t>
            </w:r>
            <w:r>
              <w:rPr>
                <w:rFonts w:hint="eastAsia"/>
                <w:color w:val="auto"/>
                <w:spacing w:val="6"/>
                <w:lang w:eastAsia="zh-CN"/>
              </w:rPr>
              <w:t>等级》（</w:t>
            </w:r>
            <w:r>
              <w:rPr>
                <w:rFonts w:hint="eastAsia"/>
                <w:color w:val="auto"/>
                <w:lang w:eastAsia="zh-CN"/>
              </w:rPr>
              <w:t>GB</w:t>
            </w:r>
            <w:r>
              <w:rPr>
                <w:rFonts w:hint="eastAsia"/>
                <w:color w:val="auto"/>
                <w:spacing w:val="6"/>
                <w:lang w:eastAsia="zh-CN"/>
              </w:rPr>
              <w:t xml:space="preserve"> 28380）</w:t>
            </w:r>
          </w:p>
        </w:tc>
      </w:tr>
      <w:tr w14:paraId="788659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tcBorders>
            <w:noWrap w:val="0"/>
            <w:vAlign w:val="top"/>
          </w:tcPr>
          <w:p w14:paraId="1236C7D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166" w:type="dxa"/>
            <w:vMerge w:val="continue"/>
            <w:tcBorders>
              <w:top w:val="nil"/>
            </w:tcBorders>
            <w:noWrap w:val="0"/>
            <w:vAlign w:val="top"/>
          </w:tcPr>
          <w:p w14:paraId="3AFDAAB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799" w:type="dxa"/>
            <w:noWrap w:val="0"/>
            <w:vAlign w:val="top"/>
          </w:tcPr>
          <w:p w14:paraId="044A37B6">
            <w:pPr>
              <w:pStyle w:val="31"/>
              <w:keepNext w:val="0"/>
              <w:keepLines w:val="0"/>
              <w:pageBreakBefore w:val="0"/>
              <w:widowControl w:val="0"/>
              <w:kinsoku/>
              <w:wordWrap/>
              <w:overflowPunct/>
              <w:topLinePunct w:val="0"/>
              <w:autoSpaceDE/>
              <w:autoSpaceDN/>
              <w:bidi w:val="0"/>
              <w:adjustRightInd/>
              <w:snapToGrid/>
              <w:spacing w:before="128" w:line="360" w:lineRule="exact"/>
              <w:ind w:left="15" w:right="10" w:firstLine="3"/>
              <w:textAlignment w:val="auto"/>
              <w:rPr>
                <w:rFonts w:hint="eastAsia"/>
                <w:color w:val="auto"/>
                <w:lang w:eastAsia="zh-CN"/>
              </w:rPr>
            </w:pPr>
            <w:r>
              <w:rPr>
                <w:rFonts w:hint="eastAsia"/>
                <w:color w:val="auto"/>
                <w:spacing w:val="3"/>
                <w:lang w:eastAsia="zh-CN"/>
              </w:rPr>
              <w:t>★A02010107 平板式</w:t>
            </w:r>
            <w:r>
              <w:rPr>
                <w:rFonts w:hint="eastAsia"/>
                <w:color w:val="auto"/>
                <w:spacing w:val="12"/>
                <w:lang w:eastAsia="zh-CN"/>
              </w:rPr>
              <w:t xml:space="preserve"> </w:t>
            </w:r>
            <w:r>
              <w:rPr>
                <w:rFonts w:hint="eastAsia"/>
                <w:color w:val="auto"/>
                <w:spacing w:val="8"/>
                <w:lang w:eastAsia="zh-CN"/>
              </w:rPr>
              <w:t>微型计算机</w:t>
            </w:r>
          </w:p>
        </w:tc>
        <w:tc>
          <w:tcPr>
            <w:tcW w:w="1914" w:type="dxa"/>
            <w:noWrap w:val="0"/>
            <w:vAlign w:val="top"/>
          </w:tcPr>
          <w:p w14:paraId="6A9CB07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3957" w:type="dxa"/>
            <w:noWrap w:val="0"/>
            <w:vAlign w:val="top"/>
          </w:tcPr>
          <w:p w14:paraId="3A4B3272">
            <w:pPr>
              <w:pStyle w:val="31"/>
              <w:keepNext w:val="0"/>
              <w:keepLines w:val="0"/>
              <w:pageBreakBefore w:val="0"/>
              <w:widowControl w:val="0"/>
              <w:kinsoku/>
              <w:wordWrap/>
              <w:overflowPunct/>
              <w:topLinePunct w:val="0"/>
              <w:autoSpaceDE/>
              <w:autoSpaceDN/>
              <w:bidi w:val="0"/>
              <w:adjustRightInd/>
              <w:snapToGrid/>
              <w:spacing w:before="128" w:line="360" w:lineRule="exact"/>
              <w:ind w:left="19" w:right="11" w:firstLine="3"/>
              <w:textAlignment w:val="auto"/>
              <w:rPr>
                <w:rFonts w:hint="eastAsia"/>
                <w:color w:val="auto"/>
                <w:lang w:eastAsia="zh-CN"/>
              </w:rPr>
            </w:pPr>
            <w:r>
              <w:rPr>
                <w:rFonts w:hint="eastAsia"/>
                <w:color w:val="auto"/>
                <w:spacing w:val="19"/>
                <w:lang w:eastAsia="zh-CN"/>
              </w:rPr>
              <w:t>《微型计算机能效限定值及能效</w:t>
            </w:r>
            <w:r>
              <w:rPr>
                <w:rFonts w:hint="eastAsia"/>
                <w:color w:val="auto"/>
                <w:spacing w:val="2"/>
                <w:lang w:eastAsia="zh-CN"/>
              </w:rPr>
              <w:t xml:space="preserve"> </w:t>
            </w:r>
            <w:r>
              <w:rPr>
                <w:rFonts w:hint="eastAsia"/>
                <w:color w:val="auto"/>
                <w:spacing w:val="6"/>
                <w:lang w:eastAsia="zh-CN"/>
              </w:rPr>
              <w:t>等级》（</w:t>
            </w:r>
            <w:r>
              <w:rPr>
                <w:rFonts w:hint="eastAsia"/>
                <w:color w:val="auto"/>
                <w:lang w:eastAsia="zh-CN"/>
              </w:rPr>
              <w:t>GB</w:t>
            </w:r>
            <w:r>
              <w:rPr>
                <w:rFonts w:hint="eastAsia"/>
                <w:color w:val="auto"/>
                <w:spacing w:val="6"/>
                <w:lang w:eastAsia="zh-CN"/>
              </w:rPr>
              <w:t xml:space="preserve"> 28380）</w:t>
            </w:r>
          </w:p>
        </w:tc>
      </w:tr>
      <w:tr w14:paraId="0B9376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restart"/>
            <w:tcBorders>
              <w:bottom w:val="nil"/>
            </w:tcBorders>
            <w:noWrap w:val="0"/>
            <w:vAlign w:val="top"/>
          </w:tcPr>
          <w:p w14:paraId="611D72E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4951A2C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006B158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39B9E50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0F4FD76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1DCE4B8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509408B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033C729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57686BBC">
            <w:pPr>
              <w:pStyle w:val="31"/>
              <w:keepNext w:val="0"/>
              <w:keepLines w:val="0"/>
              <w:pageBreakBefore w:val="0"/>
              <w:widowControl w:val="0"/>
              <w:kinsoku/>
              <w:wordWrap/>
              <w:overflowPunct/>
              <w:topLinePunct w:val="0"/>
              <w:autoSpaceDE/>
              <w:autoSpaceDN/>
              <w:bidi w:val="0"/>
              <w:adjustRightInd/>
              <w:snapToGrid/>
              <w:spacing w:before="61" w:line="360" w:lineRule="exact"/>
              <w:ind w:left="245"/>
              <w:textAlignment w:val="auto"/>
              <w:rPr>
                <w:rFonts w:hint="eastAsia"/>
                <w:color w:val="auto"/>
              </w:rPr>
            </w:pPr>
            <w:r>
              <w:rPr>
                <w:rFonts w:hint="eastAsia"/>
                <w:color w:val="auto"/>
                <w:position w:val="1"/>
              </w:rPr>
              <w:t>2</w:t>
            </w:r>
          </w:p>
        </w:tc>
        <w:tc>
          <w:tcPr>
            <w:tcW w:w="1166" w:type="dxa"/>
            <w:vMerge w:val="restart"/>
            <w:tcBorders>
              <w:bottom w:val="nil"/>
            </w:tcBorders>
            <w:noWrap w:val="0"/>
            <w:vAlign w:val="top"/>
          </w:tcPr>
          <w:p w14:paraId="4A3005D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52171CC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7E9BD99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5A2FB66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7DB617E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1E5EAF0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03F51B5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45037197">
            <w:pPr>
              <w:pStyle w:val="31"/>
              <w:keepNext w:val="0"/>
              <w:keepLines w:val="0"/>
              <w:pageBreakBefore w:val="0"/>
              <w:widowControl w:val="0"/>
              <w:kinsoku/>
              <w:wordWrap/>
              <w:overflowPunct/>
              <w:topLinePunct w:val="0"/>
              <w:autoSpaceDE/>
              <w:autoSpaceDN/>
              <w:bidi w:val="0"/>
              <w:adjustRightInd/>
              <w:snapToGrid/>
              <w:spacing w:before="62" w:line="360" w:lineRule="exact"/>
              <w:ind w:left="14" w:right="8" w:hanging="5"/>
              <w:textAlignment w:val="auto"/>
              <w:rPr>
                <w:rFonts w:hint="eastAsia"/>
                <w:color w:val="auto"/>
              </w:rPr>
            </w:pPr>
            <w:r>
              <w:rPr>
                <w:rFonts w:hint="eastAsia"/>
                <w:color w:val="auto"/>
                <w:spacing w:val="5"/>
              </w:rPr>
              <w:t>A020106</w:t>
            </w:r>
            <w:r>
              <w:rPr>
                <w:rFonts w:hint="eastAsia"/>
                <w:color w:val="auto"/>
                <w:spacing w:val="-43"/>
              </w:rPr>
              <w:t xml:space="preserve"> </w:t>
            </w:r>
            <w:r>
              <w:rPr>
                <w:rFonts w:hint="eastAsia"/>
                <w:color w:val="auto"/>
                <w:spacing w:val="5"/>
              </w:rPr>
              <w:t>输入</w:t>
            </w:r>
            <w:r>
              <w:rPr>
                <w:rFonts w:hint="eastAsia"/>
                <w:color w:val="auto"/>
              </w:rPr>
              <w:t xml:space="preserve"> </w:t>
            </w:r>
            <w:r>
              <w:rPr>
                <w:rFonts w:hint="eastAsia"/>
                <w:color w:val="auto"/>
                <w:spacing w:val="7"/>
              </w:rPr>
              <w:t>输出设备</w:t>
            </w:r>
          </w:p>
        </w:tc>
        <w:tc>
          <w:tcPr>
            <w:tcW w:w="1799" w:type="dxa"/>
            <w:vMerge w:val="restart"/>
            <w:tcBorders>
              <w:bottom w:val="nil"/>
            </w:tcBorders>
            <w:noWrap w:val="0"/>
            <w:vAlign w:val="top"/>
          </w:tcPr>
          <w:p w14:paraId="74E3EF6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7F889DD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65CEBFA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2063FA88">
            <w:pPr>
              <w:pStyle w:val="31"/>
              <w:keepNext w:val="0"/>
              <w:keepLines w:val="0"/>
              <w:pageBreakBefore w:val="0"/>
              <w:widowControl w:val="0"/>
              <w:kinsoku/>
              <w:wordWrap/>
              <w:overflowPunct/>
              <w:topLinePunct w:val="0"/>
              <w:autoSpaceDE/>
              <w:autoSpaceDN/>
              <w:bidi w:val="0"/>
              <w:adjustRightInd/>
              <w:snapToGrid/>
              <w:spacing w:before="62" w:line="360" w:lineRule="exact"/>
              <w:ind w:left="9"/>
              <w:textAlignment w:val="auto"/>
              <w:rPr>
                <w:rFonts w:hint="eastAsia"/>
                <w:color w:val="auto"/>
              </w:rPr>
            </w:pPr>
            <w:r>
              <w:rPr>
                <w:rFonts w:hint="eastAsia"/>
                <w:color w:val="auto"/>
                <w:spacing w:val="5"/>
              </w:rPr>
              <w:t>A02010601</w:t>
            </w:r>
            <w:r>
              <w:rPr>
                <w:rFonts w:hint="eastAsia"/>
                <w:color w:val="auto"/>
                <w:spacing w:val="-28"/>
              </w:rPr>
              <w:t xml:space="preserve"> </w:t>
            </w:r>
            <w:r>
              <w:rPr>
                <w:rFonts w:hint="eastAsia"/>
                <w:color w:val="auto"/>
                <w:spacing w:val="5"/>
              </w:rPr>
              <w:t>打印设备</w:t>
            </w:r>
          </w:p>
        </w:tc>
        <w:tc>
          <w:tcPr>
            <w:tcW w:w="1914" w:type="dxa"/>
            <w:noWrap w:val="0"/>
            <w:vAlign w:val="top"/>
          </w:tcPr>
          <w:p w14:paraId="2A402FFC">
            <w:pPr>
              <w:pStyle w:val="31"/>
              <w:keepNext w:val="0"/>
              <w:keepLines w:val="0"/>
              <w:pageBreakBefore w:val="0"/>
              <w:widowControl w:val="0"/>
              <w:kinsoku/>
              <w:wordWrap/>
              <w:overflowPunct/>
              <w:topLinePunct w:val="0"/>
              <w:autoSpaceDE/>
              <w:autoSpaceDN/>
              <w:bidi w:val="0"/>
              <w:adjustRightInd/>
              <w:snapToGrid/>
              <w:spacing w:before="114" w:line="360" w:lineRule="exact"/>
              <w:ind w:left="31" w:right="8" w:hanging="21"/>
              <w:textAlignment w:val="auto"/>
              <w:rPr>
                <w:rFonts w:hint="eastAsia"/>
                <w:color w:val="auto"/>
              </w:rPr>
            </w:pPr>
            <w:r>
              <w:rPr>
                <w:rFonts w:hint="eastAsia"/>
                <w:color w:val="auto"/>
                <w:spacing w:val="3"/>
              </w:rPr>
              <w:t>A0201060101</w:t>
            </w:r>
            <w:r>
              <w:rPr>
                <w:rFonts w:hint="eastAsia"/>
                <w:color w:val="auto"/>
                <w:spacing w:val="50"/>
              </w:rPr>
              <w:t xml:space="preserve"> </w:t>
            </w:r>
            <w:r>
              <w:rPr>
                <w:rFonts w:hint="eastAsia"/>
                <w:color w:val="auto"/>
                <w:spacing w:val="3"/>
              </w:rPr>
              <w:t>喷</w:t>
            </w:r>
            <w:r>
              <w:rPr>
                <w:rFonts w:hint="eastAsia"/>
                <w:color w:val="auto"/>
                <w:spacing w:val="-51"/>
              </w:rPr>
              <w:t xml:space="preserve"> </w:t>
            </w:r>
            <w:r>
              <w:rPr>
                <w:rFonts w:hint="eastAsia"/>
                <w:color w:val="auto"/>
                <w:spacing w:val="3"/>
              </w:rPr>
              <w:t>墨</w:t>
            </w:r>
            <w:r>
              <w:rPr>
                <w:rFonts w:hint="eastAsia"/>
                <w:color w:val="auto"/>
                <w:spacing w:val="-53"/>
              </w:rPr>
              <w:t xml:space="preserve"> </w:t>
            </w:r>
            <w:r>
              <w:rPr>
                <w:rFonts w:hint="eastAsia"/>
                <w:color w:val="auto"/>
                <w:spacing w:val="3"/>
              </w:rPr>
              <w:t>打</w:t>
            </w:r>
            <w:r>
              <w:rPr>
                <w:rFonts w:hint="eastAsia"/>
                <w:color w:val="auto"/>
              </w:rPr>
              <w:t xml:space="preserve"> </w:t>
            </w:r>
            <w:r>
              <w:rPr>
                <w:rFonts w:hint="eastAsia"/>
                <w:color w:val="auto"/>
                <w:spacing w:val="-2"/>
              </w:rPr>
              <w:t>印机</w:t>
            </w:r>
          </w:p>
        </w:tc>
        <w:tc>
          <w:tcPr>
            <w:tcW w:w="3957" w:type="dxa"/>
            <w:noWrap w:val="0"/>
            <w:vAlign w:val="top"/>
          </w:tcPr>
          <w:p w14:paraId="499382AC">
            <w:pPr>
              <w:pStyle w:val="31"/>
              <w:keepNext w:val="0"/>
              <w:keepLines w:val="0"/>
              <w:pageBreakBefore w:val="0"/>
              <w:widowControl w:val="0"/>
              <w:kinsoku/>
              <w:wordWrap/>
              <w:overflowPunct/>
              <w:topLinePunct w:val="0"/>
              <w:autoSpaceDE/>
              <w:autoSpaceDN/>
              <w:bidi w:val="0"/>
              <w:adjustRightInd/>
              <w:snapToGrid/>
              <w:spacing w:before="114" w:line="360" w:lineRule="exact"/>
              <w:ind w:left="22" w:right="13"/>
              <w:textAlignment w:val="auto"/>
              <w:rPr>
                <w:rFonts w:hint="eastAsia"/>
                <w:color w:val="auto"/>
                <w:lang w:eastAsia="zh-CN"/>
              </w:rPr>
            </w:pPr>
            <w:r>
              <w:rPr>
                <w:rFonts w:hint="eastAsia"/>
                <w:color w:val="auto"/>
                <w:spacing w:val="5"/>
                <w:lang w:eastAsia="zh-CN"/>
              </w:rPr>
              <w:t>《复印机、打印机和传真机能效限</w:t>
            </w:r>
            <w:r>
              <w:rPr>
                <w:rFonts w:hint="eastAsia"/>
                <w:color w:val="auto"/>
                <w:lang w:eastAsia="zh-CN"/>
              </w:rPr>
              <w:t xml:space="preserve"> </w:t>
            </w:r>
            <w:r>
              <w:rPr>
                <w:rFonts w:hint="eastAsia"/>
                <w:color w:val="auto"/>
                <w:spacing w:val="7"/>
                <w:lang w:eastAsia="zh-CN"/>
              </w:rPr>
              <w:t>定值及能效等级》（</w:t>
            </w:r>
            <w:r>
              <w:rPr>
                <w:rFonts w:hint="eastAsia"/>
                <w:color w:val="auto"/>
                <w:lang w:eastAsia="zh-CN"/>
              </w:rPr>
              <w:t>GB</w:t>
            </w:r>
            <w:r>
              <w:rPr>
                <w:rFonts w:hint="eastAsia"/>
                <w:color w:val="auto"/>
                <w:spacing w:val="7"/>
                <w:lang w:eastAsia="zh-CN"/>
              </w:rPr>
              <w:t xml:space="preserve"> 21521）</w:t>
            </w:r>
          </w:p>
        </w:tc>
      </w:tr>
      <w:tr w14:paraId="3FEB27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14:paraId="6F15DFC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166" w:type="dxa"/>
            <w:vMerge w:val="continue"/>
            <w:tcBorders>
              <w:top w:val="nil"/>
              <w:bottom w:val="nil"/>
            </w:tcBorders>
            <w:noWrap w:val="0"/>
            <w:vAlign w:val="top"/>
          </w:tcPr>
          <w:p w14:paraId="44DBD66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799" w:type="dxa"/>
            <w:vMerge w:val="continue"/>
            <w:tcBorders>
              <w:top w:val="nil"/>
              <w:bottom w:val="nil"/>
            </w:tcBorders>
            <w:noWrap w:val="0"/>
            <w:vAlign w:val="top"/>
          </w:tcPr>
          <w:p w14:paraId="0CC822D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914" w:type="dxa"/>
            <w:noWrap w:val="0"/>
            <w:vAlign w:val="top"/>
          </w:tcPr>
          <w:p w14:paraId="7829666E">
            <w:pPr>
              <w:pStyle w:val="31"/>
              <w:keepNext w:val="0"/>
              <w:keepLines w:val="0"/>
              <w:pageBreakBefore w:val="0"/>
              <w:widowControl w:val="0"/>
              <w:kinsoku/>
              <w:wordWrap/>
              <w:overflowPunct/>
              <w:topLinePunct w:val="0"/>
              <w:autoSpaceDE/>
              <w:autoSpaceDN/>
              <w:bidi w:val="0"/>
              <w:adjustRightInd/>
              <w:snapToGrid/>
              <w:spacing w:before="116" w:line="360" w:lineRule="exact"/>
              <w:ind w:left="19" w:right="8"/>
              <w:textAlignment w:val="auto"/>
              <w:rPr>
                <w:rFonts w:hint="eastAsia"/>
                <w:color w:val="auto"/>
              </w:rPr>
            </w:pPr>
            <w:r>
              <w:rPr>
                <w:rFonts w:hint="eastAsia"/>
                <w:color w:val="auto"/>
                <w:spacing w:val="3"/>
              </w:rPr>
              <w:t>★</w:t>
            </w:r>
            <w:r>
              <w:rPr>
                <w:rFonts w:hint="eastAsia"/>
                <w:color w:val="auto"/>
                <w:spacing w:val="-50"/>
              </w:rPr>
              <w:t xml:space="preserve"> </w:t>
            </w:r>
            <w:r>
              <w:rPr>
                <w:rFonts w:hint="eastAsia"/>
                <w:color w:val="auto"/>
                <w:spacing w:val="3"/>
              </w:rPr>
              <w:t>A0201060102</w:t>
            </w:r>
            <w:r>
              <w:rPr>
                <w:rFonts w:hint="eastAsia"/>
                <w:color w:val="auto"/>
                <w:spacing w:val="41"/>
              </w:rPr>
              <w:t xml:space="preserve"> </w:t>
            </w:r>
            <w:r>
              <w:rPr>
                <w:rFonts w:hint="eastAsia"/>
                <w:color w:val="auto"/>
                <w:spacing w:val="3"/>
              </w:rPr>
              <w:t>激</w:t>
            </w:r>
            <w:r>
              <w:rPr>
                <w:rFonts w:hint="eastAsia"/>
                <w:color w:val="auto"/>
                <w:spacing w:val="-54"/>
              </w:rPr>
              <w:t xml:space="preserve"> </w:t>
            </w:r>
            <w:r>
              <w:rPr>
                <w:rFonts w:hint="eastAsia"/>
                <w:color w:val="auto"/>
                <w:spacing w:val="3"/>
              </w:rPr>
              <w:t>光</w:t>
            </w:r>
            <w:r>
              <w:rPr>
                <w:rFonts w:hint="eastAsia"/>
                <w:color w:val="auto"/>
              </w:rPr>
              <w:t xml:space="preserve"> </w:t>
            </w:r>
            <w:r>
              <w:rPr>
                <w:rFonts w:hint="eastAsia"/>
                <w:color w:val="auto"/>
                <w:spacing w:val="5"/>
              </w:rPr>
              <w:t>打印机</w:t>
            </w:r>
          </w:p>
        </w:tc>
        <w:tc>
          <w:tcPr>
            <w:tcW w:w="3957" w:type="dxa"/>
            <w:noWrap w:val="0"/>
            <w:vAlign w:val="top"/>
          </w:tcPr>
          <w:p w14:paraId="63621F50">
            <w:pPr>
              <w:pStyle w:val="31"/>
              <w:keepNext w:val="0"/>
              <w:keepLines w:val="0"/>
              <w:pageBreakBefore w:val="0"/>
              <w:widowControl w:val="0"/>
              <w:kinsoku/>
              <w:wordWrap/>
              <w:overflowPunct/>
              <w:topLinePunct w:val="0"/>
              <w:autoSpaceDE/>
              <w:autoSpaceDN/>
              <w:bidi w:val="0"/>
              <w:adjustRightInd/>
              <w:snapToGrid/>
              <w:spacing w:before="116" w:line="360" w:lineRule="exact"/>
              <w:ind w:left="22" w:right="13"/>
              <w:textAlignment w:val="auto"/>
              <w:rPr>
                <w:rFonts w:hint="eastAsia"/>
                <w:color w:val="auto"/>
                <w:lang w:eastAsia="zh-CN"/>
              </w:rPr>
            </w:pPr>
            <w:r>
              <w:rPr>
                <w:rFonts w:hint="eastAsia"/>
                <w:color w:val="auto"/>
                <w:spacing w:val="5"/>
                <w:lang w:eastAsia="zh-CN"/>
              </w:rPr>
              <w:t>《复印机、打印机和传真机能效限</w:t>
            </w:r>
            <w:r>
              <w:rPr>
                <w:rFonts w:hint="eastAsia"/>
                <w:color w:val="auto"/>
                <w:lang w:eastAsia="zh-CN"/>
              </w:rPr>
              <w:t xml:space="preserve"> </w:t>
            </w:r>
            <w:r>
              <w:rPr>
                <w:rFonts w:hint="eastAsia"/>
                <w:color w:val="auto"/>
                <w:spacing w:val="7"/>
                <w:lang w:eastAsia="zh-CN"/>
              </w:rPr>
              <w:t>定值及能效等级》（</w:t>
            </w:r>
            <w:r>
              <w:rPr>
                <w:rFonts w:hint="eastAsia"/>
                <w:color w:val="auto"/>
                <w:lang w:eastAsia="zh-CN"/>
              </w:rPr>
              <w:t>GB</w:t>
            </w:r>
            <w:r>
              <w:rPr>
                <w:rFonts w:hint="eastAsia"/>
                <w:color w:val="auto"/>
                <w:spacing w:val="7"/>
                <w:lang w:eastAsia="zh-CN"/>
              </w:rPr>
              <w:t xml:space="preserve"> 21521）</w:t>
            </w:r>
          </w:p>
        </w:tc>
      </w:tr>
      <w:tr w14:paraId="6A3B48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14:paraId="39BE011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166" w:type="dxa"/>
            <w:vMerge w:val="continue"/>
            <w:tcBorders>
              <w:top w:val="nil"/>
              <w:bottom w:val="nil"/>
            </w:tcBorders>
            <w:noWrap w:val="0"/>
            <w:vAlign w:val="top"/>
          </w:tcPr>
          <w:p w14:paraId="1E39B12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799" w:type="dxa"/>
            <w:vMerge w:val="continue"/>
            <w:tcBorders>
              <w:top w:val="nil"/>
            </w:tcBorders>
            <w:noWrap w:val="0"/>
            <w:vAlign w:val="top"/>
          </w:tcPr>
          <w:p w14:paraId="6A124BF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914" w:type="dxa"/>
            <w:noWrap w:val="0"/>
            <w:vAlign w:val="top"/>
          </w:tcPr>
          <w:p w14:paraId="0DD64CD4">
            <w:pPr>
              <w:pStyle w:val="31"/>
              <w:keepNext w:val="0"/>
              <w:keepLines w:val="0"/>
              <w:pageBreakBefore w:val="0"/>
              <w:widowControl w:val="0"/>
              <w:kinsoku/>
              <w:wordWrap/>
              <w:overflowPunct/>
              <w:topLinePunct w:val="0"/>
              <w:autoSpaceDE/>
              <w:autoSpaceDN/>
              <w:bidi w:val="0"/>
              <w:adjustRightInd/>
              <w:snapToGrid/>
              <w:spacing w:before="116" w:line="360" w:lineRule="exact"/>
              <w:ind w:left="19" w:right="8"/>
              <w:textAlignment w:val="auto"/>
              <w:rPr>
                <w:rFonts w:hint="eastAsia"/>
                <w:color w:val="auto"/>
              </w:rPr>
            </w:pPr>
            <w:r>
              <w:rPr>
                <w:rFonts w:hint="eastAsia"/>
                <w:color w:val="auto"/>
                <w:spacing w:val="3"/>
              </w:rPr>
              <w:t>★</w:t>
            </w:r>
            <w:r>
              <w:rPr>
                <w:rFonts w:hint="eastAsia"/>
                <w:color w:val="auto"/>
                <w:spacing w:val="-54"/>
              </w:rPr>
              <w:t xml:space="preserve"> </w:t>
            </w:r>
            <w:r>
              <w:rPr>
                <w:rFonts w:hint="eastAsia"/>
                <w:color w:val="auto"/>
                <w:spacing w:val="3"/>
              </w:rPr>
              <w:t>A0201060104</w:t>
            </w:r>
            <w:r>
              <w:rPr>
                <w:rFonts w:hint="eastAsia"/>
                <w:color w:val="auto"/>
                <w:spacing w:val="43"/>
              </w:rPr>
              <w:t xml:space="preserve"> </w:t>
            </w:r>
            <w:r>
              <w:rPr>
                <w:rFonts w:hint="eastAsia"/>
                <w:color w:val="auto"/>
                <w:spacing w:val="3"/>
              </w:rPr>
              <w:t>针</w:t>
            </w:r>
            <w:r>
              <w:rPr>
                <w:rFonts w:hint="eastAsia"/>
                <w:color w:val="auto"/>
                <w:spacing w:val="-52"/>
              </w:rPr>
              <w:t xml:space="preserve"> </w:t>
            </w:r>
            <w:r>
              <w:rPr>
                <w:rFonts w:hint="eastAsia"/>
                <w:color w:val="auto"/>
                <w:spacing w:val="3"/>
              </w:rPr>
              <w:t>式</w:t>
            </w:r>
            <w:r>
              <w:rPr>
                <w:rFonts w:hint="eastAsia"/>
                <w:color w:val="auto"/>
              </w:rPr>
              <w:t xml:space="preserve"> </w:t>
            </w:r>
            <w:r>
              <w:rPr>
                <w:rFonts w:hint="eastAsia"/>
                <w:color w:val="auto"/>
                <w:spacing w:val="5"/>
              </w:rPr>
              <w:t>打印机</w:t>
            </w:r>
          </w:p>
        </w:tc>
        <w:tc>
          <w:tcPr>
            <w:tcW w:w="3957" w:type="dxa"/>
            <w:noWrap w:val="0"/>
            <w:vAlign w:val="top"/>
          </w:tcPr>
          <w:p w14:paraId="6CA8A0D5">
            <w:pPr>
              <w:pStyle w:val="31"/>
              <w:keepNext w:val="0"/>
              <w:keepLines w:val="0"/>
              <w:pageBreakBefore w:val="0"/>
              <w:widowControl w:val="0"/>
              <w:kinsoku/>
              <w:wordWrap/>
              <w:overflowPunct/>
              <w:topLinePunct w:val="0"/>
              <w:autoSpaceDE/>
              <w:autoSpaceDN/>
              <w:bidi w:val="0"/>
              <w:adjustRightInd/>
              <w:snapToGrid/>
              <w:spacing w:before="116" w:line="360" w:lineRule="exact"/>
              <w:ind w:left="22" w:right="13"/>
              <w:textAlignment w:val="auto"/>
              <w:rPr>
                <w:rFonts w:hint="eastAsia"/>
                <w:color w:val="auto"/>
                <w:lang w:eastAsia="zh-CN"/>
              </w:rPr>
            </w:pPr>
            <w:r>
              <w:rPr>
                <w:rFonts w:hint="eastAsia"/>
                <w:color w:val="auto"/>
                <w:spacing w:val="5"/>
                <w:lang w:eastAsia="zh-CN"/>
              </w:rPr>
              <w:t>《复印机、打印机和传真机能效限</w:t>
            </w:r>
            <w:r>
              <w:rPr>
                <w:rFonts w:hint="eastAsia"/>
                <w:color w:val="auto"/>
                <w:lang w:eastAsia="zh-CN"/>
              </w:rPr>
              <w:t xml:space="preserve"> </w:t>
            </w:r>
            <w:r>
              <w:rPr>
                <w:rFonts w:hint="eastAsia"/>
                <w:color w:val="auto"/>
                <w:spacing w:val="7"/>
                <w:lang w:eastAsia="zh-CN"/>
              </w:rPr>
              <w:t>定值及能效等级》（</w:t>
            </w:r>
            <w:r>
              <w:rPr>
                <w:rFonts w:hint="eastAsia"/>
                <w:color w:val="auto"/>
                <w:lang w:eastAsia="zh-CN"/>
              </w:rPr>
              <w:t>GB</w:t>
            </w:r>
            <w:r>
              <w:rPr>
                <w:rFonts w:hint="eastAsia"/>
                <w:color w:val="auto"/>
                <w:spacing w:val="7"/>
                <w:lang w:eastAsia="zh-CN"/>
              </w:rPr>
              <w:t xml:space="preserve"> 21521）</w:t>
            </w:r>
          </w:p>
        </w:tc>
      </w:tr>
      <w:tr w14:paraId="03083F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14:paraId="30F3CED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166" w:type="dxa"/>
            <w:vMerge w:val="continue"/>
            <w:tcBorders>
              <w:top w:val="nil"/>
              <w:bottom w:val="nil"/>
            </w:tcBorders>
            <w:noWrap w:val="0"/>
            <w:vAlign w:val="top"/>
          </w:tcPr>
          <w:p w14:paraId="2F93544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799" w:type="dxa"/>
            <w:noWrap w:val="0"/>
            <w:vAlign w:val="top"/>
          </w:tcPr>
          <w:p w14:paraId="422B00C2">
            <w:pPr>
              <w:pStyle w:val="31"/>
              <w:keepNext w:val="0"/>
              <w:keepLines w:val="0"/>
              <w:pageBreakBefore w:val="0"/>
              <w:widowControl w:val="0"/>
              <w:kinsoku/>
              <w:wordWrap/>
              <w:overflowPunct/>
              <w:topLinePunct w:val="0"/>
              <w:autoSpaceDE/>
              <w:autoSpaceDN/>
              <w:bidi w:val="0"/>
              <w:adjustRightInd/>
              <w:snapToGrid/>
              <w:spacing w:before="290" w:line="360" w:lineRule="exact"/>
              <w:ind w:left="9"/>
              <w:textAlignment w:val="auto"/>
              <w:rPr>
                <w:rFonts w:hint="eastAsia"/>
                <w:color w:val="auto"/>
              </w:rPr>
            </w:pPr>
            <w:r>
              <w:rPr>
                <w:rFonts w:hint="eastAsia"/>
                <w:color w:val="auto"/>
                <w:spacing w:val="5"/>
              </w:rPr>
              <w:t>A02010604</w:t>
            </w:r>
            <w:r>
              <w:rPr>
                <w:rFonts w:hint="eastAsia"/>
                <w:color w:val="auto"/>
                <w:spacing w:val="-28"/>
              </w:rPr>
              <w:t xml:space="preserve"> </w:t>
            </w:r>
            <w:r>
              <w:rPr>
                <w:rFonts w:hint="eastAsia"/>
                <w:color w:val="auto"/>
                <w:spacing w:val="5"/>
              </w:rPr>
              <w:t>显示设备</w:t>
            </w:r>
          </w:p>
        </w:tc>
        <w:tc>
          <w:tcPr>
            <w:tcW w:w="1914" w:type="dxa"/>
            <w:noWrap w:val="0"/>
            <w:vAlign w:val="top"/>
          </w:tcPr>
          <w:p w14:paraId="0562E2A7">
            <w:pPr>
              <w:pStyle w:val="31"/>
              <w:keepNext w:val="0"/>
              <w:keepLines w:val="0"/>
              <w:pageBreakBefore w:val="0"/>
              <w:widowControl w:val="0"/>
              <w:kinsoku/>
              <w:wordWrap/>
              <w:overflowPunct/>
              <w:topLinePunct w:val="0"/>
              <w:autoSpaceDE/>
              <w:autoSpaceDN/>
              <w:bidi w:val="0"/>
              <w:adjustRightInd/>
              <w:snapToGrid/>
              <w:spacing w:before="133" w:line="360" w:lineRule="exact"/>
              <w:ind w:left="20" w:right="8" w:hanging="1"/>
              <w:textAlignment w:val="auto"/>
              <w:rPr>
                <w:rFonts w:hint="eastAsia"/>
                <w:color w:val="auto"/>
              </w:rPr>
            </w:pPr>
            <w:r>
              <w:rPr>
                <w:rFonts w:hint="eastAsia"/>
                <w:color w:val="auto"/>
                <w:spacing w:val="2"/>
              </w:rPr>
              <w:t>★</w:t>
            </w:r>
            <w:r>
              <w:rPr>
                <w:rFonts w:hint="eastAsia"/>
                <w:color w:val="auto"/>
                <w:spacing w:val="-54"/>
              </w:rPr>
              <w:t xml:space="preserve"> </w:t>
            </w:r>
            <w:r>
              <w:rPr>
                <w:rFonts w:hint="eastAsia"/>
                <w:color w:val="auto"/>
                <w:spacing w:val="2"/>
              </w:rPr>
              <w:t>A0201060401</w:t>
            </w:r>
            <w:r>
              <w:rPr>
                <w:rFonts w:hint="eastAsia"/>
                <w:color w:val="auto"/>
                <w:spacing w:val="44"/>
              </w:rPr>
              <w:t xml:space="preserve"> </w:t>
            </w:r>
            <w:r>
              <w:rPr>
                <w:rFonts w:hint="eastAsia"/>
                <w:color w:val="auto"/>
                <w:spacing w:val="2"/>
              </w:rPr>
              <w:t>液</w:t>
            </w:r>
            <w:r>
              <w:rPr>
                <w:rFonts w:hint="eastAsia"/>
                <w:color w:val="auto"/>
                <w:spacing w:val="-39"/>
              </w:rPr>
              <w:t xml:space="preserve"> </w:t>
            </w:r>
            <w:r>
              <w:rPr>
                <w:rFonts w:hint="eastAsia"/>
                <w:color w:val="auto"/>
                <w:spacing w:val="2"/>
              </w:rPr>
              <w:t>晶</w:t>
            </w:r>
            <w:r>
              <w:rPr>
                <w:rFonts w:hint="eastAsia"/>
                <w:color w:val="auto"/>
              </w:rPr>
              <w:t xml:space="preserve"> </w:t>
            </w:r>
            <w:r>
              <w:rPr>
                <w:rFonts w:hint="eastAsia"/>
                <w:color w:val="auto"/>
                <w:spacing w:val="5"/>
              </w:rPr>
              <w:t>显示器</w:t>
            </w:r>
          </w:p>
        </w:tc>
        <w:tc>
          <w:tcPr>
            <w:tcW w:w="3957" w:type="dxa"/>
            <w:noWrap w:val="0"/>
            <w:vAlign w:val="top"/>
          </w:tcPr>
          <w:p w14:paraId="13392AE4">
            <w:pPr>
              <w:pStyle w:val="31"/>
              <w:keepNext w:val="0"/>
              <w:keepLines w:val="0"/>
              <w:pageBreakBefore w:val="0"/>
              <w:widowControl w:val="0"/>
              <w:kinsoku/>
              <w:wordWrap/>
              <w:overflowPunct/>
              <w:topLinePunct w:val="0"/>
              <w:autoSpaceDE/>
              <w:autoSpaceDN/>
              <w:bidi w:val="0"/>
              <w:adjustRightInd/>
              <w:snapToGrid/>
              <w:spacing w:before="133" w:line="360" w:lineRule="exact"/>
              <w:ind w:left="22" w:right="11"/>
              <w:textAlignment w:val="auto"/>
              <w:rPr>
                <w:rFonts w:hint="eastAsia"/>
                <w:color w:val="auto"/>
                <w:lang w:eastAsia="zh-CN"/>
              </w:rPr>
            </w:pPr>
            <w:r>
              <w:rPr>
                <w:rFonts w:hint="eastAsia"/>
                <w:color w:val="auto"/>
                <w:spacing w:val="19"/>
                <w:lang w:eastAsia="zh-CN"/>
              </w:rPr>
              <w:t>《计算机显示器能效限定值及能</w:t>
            </w:r>
            <w:r>
              <w:rPr>
                <w:rFonts w:hint="eastAsia"/>
                <w:color w:val="auto"/>
                <w:spacing w:val="2"/>
                <w:lang w:eastAsia="zh-CN"/>
              </w:rPr>
              <w:t xml:space="preserve"> </w:t>
            </w:r>
            <w:r>
              <w:rPr>
                <w:rFonts w:hint="eastAsia"/>
                <w:color w:val="auto"/>
                <w:spacing w:val="6"/>
                <w:lang w:eastAsia="zh-CN"/>
              </w:rPr>
              <w:t>效等级》（</w:t>
            </w:r>
            <w:r>
              <w:rPr>
                <w:rFonts w:hint="eastAsia"/>
                <w:color w:val="auto"/>
                <w:lang w:eastAsia="zh-CN"/>
              </w:rPr>
              <w:t>GB</w:t>
            </w:r>
            <w:r>
              <w:rPr>
                <w:rFonts w:hint="eastAsia"/>
                <w:color w:val="auto"/>
                <w:spacing w:val="6"/>
                <w:lang w:eastAsia="zh-CN"/>
              </w:rPr>
              <w:t xml:space="preserve"> 21520）</w:t>
            </w:r>
          </w:p>
        </w:tc>
      </w:tr>
      <w:tr w14:paraId="1A8E1F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tcBorders>
            <w:noWrap w:val="0"/>
            <w:vAlign w:val="top"/>
          </w:tcPr>
          <w:p w14:paraId="6DE86AA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166" w:type="dxa"/>
            <w:vMerge w:val="continue"/>
            <w:tcBorders>
              <w:top w:val="nil"/>
            </w:tcBorders>
            <w:noWrap w:val="0"/>
            <w:vAlign w:val="top"/>
          </w:tcPr>
          <w:p w14:paraId="1647806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799" w:type="dxa"/>
            <w:noWrap w:val="0"/>
            <w:vAlign w:val="top"/>
          </w:tcPr>
          <w:p w14:paraId="7CCF81D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1D3F8B3C">
            <w:pPr>
              <w:pStyle w:val="31"/>
              <w:keepNext w:val="0"/>
              <w:keepLines w:val="0"/>
              <w:pageBreakBefore w:val="0"/>
              <w:widowControl w:val="0"/>
              <w:kinsoku/>
              <w:wordWrap/>
              <w:overflowPunct/>
              <w:topLinePunct w:val="0"/>
              <w:autoSpaceDE/>
              <w:autoSpaceDN/>
              <w:bidi w:val="0"/>
              <w:adjustRightInd/>
              <w:snapToGrid/>
              <w:spacing w:before="62" w:line="360" w:lineRule="exact"/>
              <w:ind w:left="14" w:right="10" w:hanging="5"/>
              <w:textAlignment w:val="auto"/>
              <w:rPr>
                <w:rFonts w:hint="eastAsia"/>
                <w:color w:val="auto"/>
              </w:rPr>
            </w:pPr>
            <w:r>
              <w:rPr>
                <w:rFonts w:hint="eastAsia"/>
                <w:color w:val="auto"/>
                <w:spacing w:val="4"/>
              </w:rPr>
              <w:t>A02010609 图形图像</w:t>
            </w:r>
            <w:r>
              <w:rPr>
                <w:rFonts w:hint="eastAsia"/>
                <w:color w:val="auto"/>
                <w:spacing w:val="7"/>
              </w:rPr>
              <w:t xml:space="preserve"> 输入设备</w:t>
            </w:r>
          </w:p>
        </w:tc>
        <w:tc>
          <w:tcPr>
            <w:tcW w:w="1914" w:type="dxa"/>
            <w:noWrap w:val="0"/>
            <w:vAlign w:val="top"/>
          </w:tcPr>
          <w:p w14:paraId="5CA8F2C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0EFFFFC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76158D53">
            <w:pPr>
              <w:pStyle w:val="31"/>
              <w:keepNext w:val="0"/>
              <w:keepLines w:val="0"/>
              <w:pageBreakBefore w:val="0"/>
              <w:widowControl w:val="0"/>
              <w:kinsoku/>
              <w:wordWrap/>
              <w:overflowPunct/>
              <w:topLinePunct w:val="0"/>
              <w:autoSpaceDE/>
              <w:autoSpaceDN/>
              <w:bidi w:val="0"/>
              <w:adjustRightInd/>
              <w:snapToGrid/>
              <w:spacing w:before="61" w:line="360" w:lineRule="exact"/>
              <w:ind w:left="10"/>
              <w:textAlignment w:val="auto"/>
              <w:rPr>
                <w:rFonts w:hint="eastAsia"/>
                <w:color w:val="auto"/>
              </w:rPr>
            </w:pPr>
            <w:r>
              <w:rPr>
                <w:rFonts w:hint="eastAsia"/>
                <w:color w:val="auto"/>
                <w:spacing w:val="5"/>
              </w:rPr>
              <w:t>A0201060901</w:t>
            </w:r>
            <w:r>
              <w:rPr>
                <w:rFonts w:hint="eastAsia"/>
                <w:color w:val="auto"/>
                <w:spacing w:val="-34"/>
              </w:rPr>
              <w:t xml:space="preserve"> </w:t>
            </w:r>
            <w:r>
              <w:rPr>
                <w:rFonts w:hint="eastAsia"/>
                <w:color w:val="auto"/>
                <w:spacing w:val="5"/>
              </w:rPr>
              <w:t>扫描仪</w:t>
            </w:r>
          </w:p>
        </w:tc>
        <w:tc>
          <w:tcPr>
            <w:tcW w:w="3957" w:type="dxa"/>
            <w:noWrap w:val="0"/>
            <w:vAlign w:val="top"/>
          </w:tcPr>
          <w:p w14:paraId="0AD61E38">
            <w:pPr>
              <w:pStyle w:val="31"/>
              <w:keepNext w:val="0"/>
              <w:keepLines w:val="0"/>
              <w:pageBreakBefore w:val="0"/>
              <w:widowControl w:val="0"/>
              <w:kinsoku/>
              <w:wordWrap/>
              <w:overflowPunct/>
              <w:topLinePunct w:val="0"/>
              <w:autoSpaceDE/>
              <w:autoSpaceDN/>
              <w:bidi w:val="0"/>
              <w:adjustRightInd/>
              <w:snapToGrid/>
              <w:spacing w:before="114" w:line="360" w:lineRule="exact"/>
              <w:ind w:left="22" w:hanging="3"/>
              <w:textAlignment w:val="auto"/>
              <w:rPr>
                <w:rFonts w:hint="eastAsia"/>
                <w:color w:val="auto"/>
                <w:lang w:eastAsia="zh-CN"/>
              </w:rPr>
            </w:pPr>
            <w:r>
              <w:rPr>
                <w:rFonts w:hint="eastAsia"/>
                <w:color w:val="auto"/>
                <w:lang w:eastAsia="zh-CN"/>
              </w:rPr>
              <w:t>参照《复印机、打印机和传真机能</w:t>
            </w:r>
            <w:r>
              <w:rPr>
                <w:rFonts w:hint="eastAsia"/>
                <w:color w:val="auto"/>
                <w:spacing w:val="3"/>
                <w:lang w:eastAsia="zh-CN"/>
              </w:rPr>
              <w:t xml:space="preserve">  </w:t>
            </w:r>
            <w:r>
              <w:rPr>
                <w:rFonts w:hint="eastAsia"/>
                <w:color w:val="auto"/>
                <w:spacing w:val="-4"/>
                <w:lang w:eastAsia="zh-CN"/>
              </w:rPr>
              <w:t>效限定值及能效等级》（GB</w:t>
            </w:r>
            <w:r>
              <w:rPr>
                <w:rFonts w:hint="eastAsia"/>
                <w:color w:val="auto"/>
                <w:spacing w:val="-24"/>
                <w:lang w:eastAsia="zh-CN"/>
              </w:rPr>
              <w:t xml:space="preserve"> </w:t>
            </w:r>
            <w:r>
              <w:rPr>
                <w:rFonts w:hint="eastAsia"/>
                <w:color w:val="auto"/>
                <w:spacing w:val="-4"/>
                <w:lang w:eastAsia="zh-CN"/>
              </w:rPr>
              <w:t>21521）</w:t>
            </w:r>
            <w:r>
              <w:rPr>
                <w:rFonts w:hint="eastAsia"/>
                <w:color w:val="auto"/>
                <w:lang w:eastAsia="zh-CN"/>
              </w:rPr>
              <w:t xml:space="preserve"> </w:t>
            </w:r>
            <w:r>
              <w:rPr>
                <w:rFonts w:hint="eastAsia"/>
                <w:color w:val="auto"/>
                <w:spacing w:val="4"/>
                <w:lang w:eastAsia="zh-CN"/>
              </w:rPr>
              <w:t>中打印速度为</w:t>
            </w:r>
            <w:r>
              <w:rPr>
                <w:rFonts w:hint="eastAsia"/>
                <w:color w:val="auto"/>
                <w:spacing w:val="38"/>
                <w:lang w:eastAsia="zh-CN"/>
              </w:rPr>
              <w:t xml:space="preserve"> </w:t>
            </w:r>
            <w:r>
              <w:rPr>
                <w:rFonts w:hint="eastAsia"/>
                <w:color w:val="auto"/>
                <w:spacing w:val="4"/>
                <w:lang w:eastAsia="zh-CN"/>
              </w:rPr>
              <w:t>15 页/分的针式打</w:t>
            </w:r>
            <w:r>
              <w:rPr>
                <w:rFonts w:hint="eastAsia"/>
                <w:color w:val="auto"/>
                <w:lang w:eastAsia="zh-CN"/>
              </w:rPr>
              <w:t xml:space="preserve">  </w:t>
            </w:r>
            <w:r>
              <w:rPr>
                <w:rFonts w:hint="eastAsia"/>
                <w:color w:val="auto"/>
                <w:spacing w:val="2"/>
                <w:lang w:eastAsia="zh-CN"/>
              </w:rPr>
              <w:t>印机相关要求</w:t>
            </w:r>
          </w:p>
        </w:tc>
      </w:tr>
      <w:tr w14:paraId="3C0D99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noWrap w:val="0"/>
            <w:vAlign w:val="top"/>
          </w:tcPr>
          <w:p w14:paraId="19B8BD53">
            <w:pPr>
              <w:pStyle w:val="31"/>
              <w:keepNext w:val="0"/>
              <w:keepLines w:val="0"/>
              <w:pageBreakBefore w:val="0"/>
              <w:widowControl w:val="0"/>
              <w:kinsoku/>
              <w:wordWrap/>
              <w:overflowPunct/>
              <w:topLinePunct w:val="0"/>
              <w:autoSpaceDE/>
              <w:autoSpaceDN/>
              <w:bidi w:val="0"/>
              <w:adjustRightInd/>
              <w:snapToGrid/>
              <w:spacing w:before="246" w:line="360" w:lineRule="exact"/>
              <w:ind w:left="246"/>
              <w:textAlignment w:val="auto"/>
              <w:rPr>
                <w:rFonts w:hint="eastAsia"/>
                <w:color w:val="auto"/>
              </w:rPr>
            </w:pPr>
            <w:r>
              <w:rPr>
                <w:rFonts w:hint="eastAsia"/>
                <w:color w:val="auto"/>
                <w:position w:val="1"/>
              </w:rPr>
              <w:t>3</w:t>
            </w:r>
          </w:p>
        </w:tc>
        <w:tc>
          <w:tcPr>
            <w:tcW w:w="1166" w:type="dxa"/>
            <w:noWrap w:val="0"/>
            <w:vAlign w:val="top"/>
          </w:tcPr>
          <w:p w14:paraId="59E38421">
            <w:pPr>
              <w:pStyle w:val="31"/>
              <w:keepNext w:val="0"/>
              <w:keepLines w:val="0"/>
              <w:pageBreakBefore w:val="0"/>
              <w:widowControl w:val="0"/>
              <w:kinsoku/>
              <w:wordWrap/>
              <w:overflowPunct/>
              <w:topLinePunct w:val="0"/>
              <w:autoSpaceDE/>
              <w:autoSpaceDN/>
              <w:bidi w:val="0"/>
              <w:adjustRightInd/>
              <w:snapToGrid/>
              <w:spacing w:before="90" w:line="360" w:lineRule="exact"/>
              <w:ind w:left="15" w:right="8" w:hanging="6"/>
              <w:textAlignment w:val="auto"/>
              <w:rPr>
                <w:rFonts w:hint="eastAsia"/>
                <w:color w:val="auto"/>
              </w:rPr>
            </w:pPr>
            <w:r>
              <w:rPr>
                <w:rFonts w:hint="eastAsia"/>
                <w:color w:val="auto"/>
                <w:spacing w:val="4"/>
              </w:rPr>
              <w:t>A020202</w:t>
            </w:r>
            <w:r>
              <w:rPr>
                <w:rFonts w:hint="eastAsia"/>
                <w:color w:val="auto"/>
                <w:spacing w:val="-34"/>
              </w:rPr>
              <w:t xml:space="preserve"> </w:t>
            </w:r>
            <w:r>
              <w:rPr>
                <w:rFonts w:hint="eastAsia"/>
                <w:color w:val="auto"/>
                <w:spacing w:val="4"/>
              </w:rPr>
              <w:t>投影</w:t>
            </w:r>
            <w:r>
              <w:rPr>
                <w:rFonts w:hint="eastAsia"/>
                <w:color w:val="auto"/>
              </w:rPr>
              <w:t xml:space="preserve"> 仪</w:t>
            </w:r>
          </w:p>
        </w:tc>
        <w:tc>
          <w:tcPr>
            <w:tcW w:w="1799" w:type="dxa"/>
            <w:noWrap w:val="0"/>
            <w:vAlign w:val="top"/>
          </w:tcPr>
          <w:p w14:paraId="737BCB2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914" w:type="dxa"/>
            <w:noWrap w:val="0"/>
            <w:vAlign w:val="top"/>
          </w:tcPr>
          <w:p w14:paraId="2D04297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3957" w:type="dxa"/>
            <w:noWrap w:val="0"/>
            <w:vAlign w:val="top"/>
          </w:tcPr>
          <w:p w14:paraId="50276CCE">
            <w:pPr>
              <w:pStyle w:val="31"/>
              <w:keepNext w:val="0"/>
              <w:keepLines w:val="0"/>
              <w:pageBreakBefore w:val="0"/>
              <w:widowControl w:val="0"/>
              <w:kinsoku/>
              <w:wordWrap/>
              <w:overflowPunct/>
              <w:topLinePunct w:val="0"/>
              <w:autoSpaceDE/>
              <w:autoSpaceDN/>
              <w:bidi w:val="0"/>
              <w:adjustRightInd/>
              <w:snapToGrid/>
              <w:spacing w:before="90" w:line="360" w:lineRule="exact"/>
              <w:ind w:left="27" w:hanging="4"/>
              <w:textAlignment w:val="auto"/>
              <w:rPr>
                <w:rFonts w:hint="eastAsia"/>
                <w:color w:val="auto"/>
                <w:lang w:eastAsia="zh-CN"/>
              </w:rPr>
            </w:pPr>
            <w:r>
              <w:rPr>
                <w:rFonts w:hint="eastAsia"/>
                <w:color w:val="auto"/>
                <w:spacing w:val="6"/>
                <w:lang w:eastAsia="zh-CN"/>
              </w:rPr>
              <w:t>《投影机能效限定值及能效等级》</w:t>
            </w:r>
            <w:r>
              <w:rPr>
                <w:rFonts w:hint="eastAsia"/>
                <w:color w:val="auto"/>
                <w:lang w:eastAsia="zh-CN"/>
              </w:rPr>
              <w:t xml:space="preserve"> （GB</w:t>
            </w:r>
            <w:r>
              <w:rPr>
                <w:rFonts w:hint="eastAsia"/>
                <w:color w:val="auto"/>
                <w:spacing w:val="22"/>
                <w:lang w:eastAsia="zh-CN"/>
              </w:rPr>
              <w:t xml:space="preserve"> </w:t>
            </w:r>
            <w:r>
              <w:rPr>
                <w:rFonts w:hint="eastAsia"/>
                <w:color w:val="auto"/>
                <w:lang w:eastAsia="zh-CN"/>
              </w:rPr>
              <w:t>32028）</w:t>
            </w:r>
          </w:p>
        </w:tc>
      </w:tr>
      <w:tr w14:paraId="5D0822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noWrap w:val="0"/>
            <w:vAlign w:val="top"/>
          </w:tcPr>
          <w:p w14:paraId="5DE2CD9F">
            <w:pPr>
              <w:pStyle w:val="31"/>
              <w:keepNext w:val="0"/>
              <w:keepLines w:val="0"/>
              <w:pageBreakBefore w:val="0"/>
              <w:widowControl w:val="0"/>
              <w:kinsoku/>
              <w:wordWrap/>
              <w:overflowPunct/>
              <w:topLinePunct w:val="0"/>
              <w:autoSpaceDE/>
              <w:autoSpaceDN/>
              <w:bidi w:val="0"/>
              <w:adjustRightInd/>
              <w:snapToGrid/>
              <w:spacing w:before="289" w:line="360" w:lineRule="exact"/>
              <w:ind w:left="242"/>
              <w:textAlignment w:val="auto"/>
              <w:rPr>
                <w:rFonts w:hint="eastAsia"/>
                <w:color w:val="auto"/>
              </w:rPr>
            </w:pPr>
            <w:r>
              <w:rPr>
                <w:rFonts w:hint="eastAsia"/>
                <w:color w:val="auto"/>
                <w:position w:val="1"/>
              </w:rPr>
              <w:t>4</w:t>
            </w:r>
          </w:p>
        </w:tc>
        <w:tc>
          <w:tcPr>
            <w:tcW w:w="1166" w:type="dxa"/>
            <w:noWrap w:val="0"/>
            <w:vAlign w:val="top"/>
          </w:tcPr>
          <w:p w14:paraId="086940D8">
            <w:pPr>
              <w:pStyle w:val="31"/>
              <w:keepNext w:val="0"/>
              <w:keepLines w:val="0"/>
              <w:pageBreakBefore w:val="0"/>
              <w:widowControl w:val="0"/>
              <w:kinsoku/>
              <w:wordWrap/>
              <w:overflowPunct/>
              <w:topLinePunct w:val="0"/>
              <w:autoSpaceDE/>
              <w:autoSpaceDN/>
              <w:bidi w:val="0"/>
              <w:adjustRightInd/>
              <w:snapToGrid/>
              <w:spacing w:before="134" w:line="360" w:lineRule="exact"/>
              <w:ind w:left="9"/>
              <w:textAlignment w:val="auto"/>
              <w:rPr>
                <w:rFonts w:hint="eastAsia"/>
                <w:color w:val="auto"/>
              </w:rPr>
            </w:pPr>
            <w:r>
              <w:rPr>
                <w:rFonts w:hint="eastAsia"/>
                <w:color w:val="auto"/>
                <w:spacing w:val="4"/>
              </w:rPr>
              <w:t>A020204</w:t>
            </w:r>
            <w:r>
              <w:rPr>
                <w:rFonts w:hint="eastAsia"/>
                <w:color w:val="auto"/>
                <w:spacing w:val="-34"/>
              </w:rPr>
              <w:t xml:space="preserve"> </w:t>
            </w:r>
            <w:r>
              <w:rPr>
                <w:rFonts w:hint="eastAsia"/>
                <w:color w:val="auto"/>
                <w:spacing w:val="4"/>
              </w:rPr>
              <w:t>多功</w:t>
            </w:r>
          </w:p>
          <w:p w14:paraId="31363F0C">
            <w:pPr>
              <w:pStyle w:val="31"/>
              <w:keepNext w:val="0"/>
              <w:keepLines w:val="0"/>
              <w:pageBreakBefore w:val="0"/>
              <w:widowControl w:val="0"/>
              <w:kinsoku/>
              <w:wordWrap/>
              <w:overflowPunct/>
              <w:topLinePunct w:val="0"/>
              <w:autoSpaceDE/>
              <w:autoSpaceDN/>
              <w:bidi w:val="0"/>
              <w:adjustRightInd/>
              <w:snapToGrid/>
              <w:spacing w:before="75" w:line="360" w:lineRule="exact"/>
              <w:ind w:left="23"/>
              <w:textAlignment w:val="auto"/>
              <w:rPr>
                <w:rFonts w:hint="eastAsia"/>
                <w:color w:val="auto"/>
              </w:rPr>
            </w:pPr>
            <w:r>
              <w:rPr>
                <w:rFonts w:hint="eastAsia"/>
                <w:color w:val="auto"/>
                <w:spacing w:val="5"/>
              </w:rPr>
              <w:t>能一体机</w:t>
            </w:r>
          </w:p>
        </w:tc>
        <w:tc>
          <w:tcPr>
            <w:tcW w:w="1799" w:type="dxa"/>
            <w:noWrap w:val="0"/>
            <w:vAlign w:val="top"/>
          </w:tcPr>
          <w:p w14:paraId="6D54ABA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914" w:type="dxa"/>
            <w:noWrap w:val="0"/>
            <w:vAlign w:val="top"/>
          </w:tcPr>
          <w:p w14:paraId="57DB129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3957" w:type="dxa"/>
            <w:noWrap w:val="0"/>
            <w:vAlign w:val="top"/>
          </w:tcPr>
          <w:p w14:paraId="68171382">
            <w:pPr>
              <w:pStyle w:val="31"/>
              <w:keepNext w:val="0"/>
              <w:keepLines w:val="0"/>
              <w:pageBreakBefore w:val="0"/>
              <w:widowControl w:val="0"/>
              <w:kinsoku/>
              <w:wordWrap/>
              <w:overflowPunct/>
              <w:topLinePunct w:val="0"/>
              <w:autoSpaceDE/>
              <w:autoSpaceDN/>
              <w:bidi w:val="0"/>
              <w:adjustRightInd/>
              <w:snapToGrid/>
              <w:spacing w:before="133" w:line="360" w:lineRule="exact"/>
              <w:ind w:left="22" w:right="13"/>
              <w:textAlignment w:val="auto"/>
              <w:rPr>
                <w:rFonts w:hint="eastAsia"/>
                <w:color w:val="auto"/>
                <w:lang w:eastAsia="zh-CN"/>
              </w:rPr>
            </w:pPr>
            <w:r>
              <w:rPr>
                <w:rFonts w:hint="eastAsia"/>
                <w:color w:val="auto"/>
                <w:spacing w:val="5"/>
                <w:lang w:eastAsia="zh-CN"/>
              </w:rPr>
              <w:t>《复印机、打印机和传真机能效限</w:t>
            </w:r>
            <w:r>
              <w:rPr>
                <w:rFonts w:hint="eastAsia"/>
                <w:color w:val="auto"/>
                <w:lang w:eastAsia="zh-CN"/>
              </w:rPr>
              <w:t xml:space="preserve"> </w:t>
            </w:r>
            <w:r>
              <w:rPr>
                <w:rFonts w:hint="eastAsia"/>
                <w:color w:val="auto"/>
                <w:spacing w:val="7"/>
                <w:lang w:eastAsia="zh-CN"/>
              </w:rPr>
              <w:t>定值及能效等级》（</w:t>
            </w:r>
            <w:r>
              <w:rPr>
                <w:rFonts w:hint="eastAsia"/>
                <w:color w:val="auto"/>
                <w:lang w:eastAsia="zh-CN"/>
              </w:rPr>
              <w:t>GB</w:t>
            </w:r>
            <w:r>
              <w:rPr>
                <w:rFonts w:hint="eastAsia"/>
                <w:color w:val="auto"/>
                <w:spacing w:val="7"/>
                <w:lang w:eastAsia="zh-CN"/>
              </w:rPr>
              <w:t xml:space="preserve"> 21521）</w:t>
            </w:r>
          </w:p>
        </w:tc>
      </w:tr>
      <w:tr w14:paraId="4AE7EE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noWrap w:val="0"/>
            <w:vAlign w:val="top"/>
          </w:tcPr>
          <w:p w14:paraId="1A93C682">
            <w:pPr>
              <w:pStyle w:val="31"/>
              <w:keepNext w:val="0"/>
              <w:keepLines w:val="0"/>
              <w:pageBreakBefore w:val="0"/>
              <w:widowControl w:val="0"/>
              <w:kinsoku/>
              <w:wordWrap/>
              <w:overflowPunct/>
              <w:topLinePunct w:val="0"/>
              <w:autoSpaceDE/>
              <w:autoSpaceDN/>
              <w:bidi w:val="0"/>
              <w:adjustRightInd/>
              <w:snapToGrid/>
              <w:spacing w:before="227" w:line="360" w:lineRule="exact"/>
              <w:ind w:left="246"/>
              <w:textAlignment w:val="auto"/>
              <w:rPr>
                <w:rFonts w:hint="eastAsia"/>
                <w:color w:val="auto"/>
              </w:rPr>
            </w:pPr>
            <w:r>
              <w:rPr>
                <w:rFonts w:hint="eastAsia"/>
                <w:color w:val="auto"/>
                <w:position w:val="1"/>
              </w:rPr>
              <w:t>5</w:t>
            </w:r>
          </w:p>
        </w:tc>
        <w:tc>
          <w:tcPr>
            <w:tcW w:w="1166" w:type="dxa"/>
            <w:noWrap w:val="0"/>
            <w:vAlign w:val="top"/>
          </w:tcPr>
          <w:p w14:paraId="07955075">
            <w:pPr>
              <w:pStyle w:val="31"/>
              <w:keepNext w:val="0"/>
              <w:keepLines w:val="0"/>
              <w:pageBreakBefore w:val="0"/>
              <w:widowControl w:val="0"/>
              <w:kinsoku/>
              <w:wordWrap/>
              <w:overflowPunct/>
              <w:topLinePunct w:val="0"/>
              <w:autoSpaceDE/>
              <w:autoSpaceDN/>
              <w:bidi w:val="0"/>
              <w:adjustRightInd/>
              <w:snapToGrid/>
              <w:spacing w:before="227" w:line="360" w:lineRule="exact"/>
              <w:ind w:left="9"/>
              <w:textAlignment w:val="auto"/>
              <w:rPr>
                <w:rFonts w:hint="eastAsia"/>
                <w:color w:val="auto"/>
              </w:rPr>
            </w:pPr>
            <w:r>
              <w:rPr>
                <w:rFonts w:hint="eastAsia"/>
                <w:color w:val="auto"/>
                <w:spacing w:val="4"/>
              </w:rPr>
              <w:t>A020519</w:t>
            </w:r>
            <w:r>
              <w:rPr>
                <w:rFonts w:hint="eastAsia"/>
                <w:color w:val="auto"/>
                <w:spacing w:val="-32"/>
              </w:rPr>
              <w:t xml:space="preserve"> </w:t>
            </w:r>
            <w:r>
              <w:rPr>
                <w:rFonts w:hint="eastAsia"/>
                <w:color w:val="auto"/>
                <w:spacing w:val="4"/>
              </w:rPr>
              <w:t>泵</w:t>
            </w:r>
          </w:p>
        </w:tc>
        <w:tc>
          <w:tcPr>
            <w:tcW w:w="1799" w:type="dxa"/>
            <w:noWrap w:val="0"/>
            <w:vAlign w:val="top"/>
          </w:tcPr>
          <w:p w14:paraId="00823157">
            <w:pPr>
              <w:pStyle w:val="31"/>
              <w:keepNext w:val="0"/>
              <w:keepLines w:val="0"/>
              <w:pageBreakBefore w:val="0"/>
              <w:widowControl w:val="0"/>
              <w:kinsoku/>
              <w:wordWrap/>
              <w:overflowPunct/>
              <w:topLinePunct w:val="0"/>
              <w:autoSpaceDE/>
              <w:autoSpaceDN/>
              <w:bidi w:val="0"/>
              <w:adjustRightInd/>
              <w:snapToGrid/>
              <w:spacing w:before="227" w:line="360" w:lineRule="exact"/>
              <w:ind w:left="9"/>
              <w:textAlignment w:val="auto"/>
              <w:rPr>
                <w:rFonts w:hint="eastAsia"/>
                <w:color w:val="auto"/>
              </w:rPr>
            </w:pPr>
            <w:r>
              <w:rPr>
                <w:rFonts w:hint="eastAsia"/>
                <w:color w:val="auto"/>
                <w:spacing w:val="5"/>
              </w:rPr>
              <w:t>A02051901</w:t>
            </w:r>
            <w:r>
              <w:rPr>
                <w:rFonts w:hint="eastAsia"/>
                <w:color w:val="auto"/>
                <w:spacing w:val="-33"/>
              </w:rPr>
              <w:t xml:space="preserve"> </w:t>
            </w:r>
            <w:r>
              <w:rPr>
                <w:rFonts w:hint="eastAsia"/>
                <w:color w:val="auto"/>
                <w:spacing w:val="5"/>
              </w:rPr>
              <w:t>离心泵</w:t>
            </w:r>
          </w:p>
        </w:tc>
        <w:tc>
          <w:tcPr>
            <w:tcW w:w="1914" w:type="dxa"/>
            <w:noWrap w:val="0"/>
            <w:vAlign w:val="top"/>
          </w:tcPr>
          <w:p w14:paraId="5039082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3957" w:type="dxa"/>
            <w:noWrap w:val="0"/>
            <w:vAlign w:val="top"/>
          </w:tcPr>
          <w:p w14:paraId="75C99277">
            <w:pPr>
              <w:pStyle w:val="31"/>
              <w:keepNext w:val="0"/>
              <w:keepLines w:val="0"/>
              <w:pageBreakBefore w:val="0"/>
              <w:widowControl w:val="0"/>
              <w:kinsoku/>
              <w:wordWrap/>
              <w:overflowPunct/>
              <w:topLinePunct w:val="0"/>
              <w:autoSpaceDE/>
              <w:autoSpaceDN/>
              <w:bidi w:val="0"/>
              <w:adjustRightInd/>
              <w:snapToGrid/>
              <w:spacing w:before="72" w:line="360" w:lineRule="exact"/>
              <w:ind w:left="17" w:right="11" w:firstLine="6"/>
              <w:textAlignment w:val="auto"/>
              <w:rPr>
                <w:rFonts w:hint="eastAsia"/>
                <w:color w:val="auto"/>
                <w:lang w:eastAsia="zh-CN"/>
              </w:rPr>
            </w:pPr>
            <w:r>
              <w:rPr>
                <w:rFonts w:hint="eastAsia"/>
                <w:color w:val="auto"/>
                <w:spacing w:val="19"/>
                <w:lang w:eastAsia="zh-CN"/>
              </w:rPr>
              <w:t>《清水离心泵能效限定值及节能</w:t>
            </w:r>
            <w:r>
              <w:rPr>
                <w:rFonts w:hint="eastAsia"/>
                <w:color w:val="auto"/>
                <w:spacing w:val="2"/>
                <w:lang w:eastAsia="zh-CN"/>
              </w:rPr>
              <w:t xml:space="preserve"> </w:t>
            </w:r>
            <w:r>
              <w:rPr>
                <w:rFonts w:hint="eastAsia"/>
                <w:color w:val="auto"/>
                <w:spacing w:val="4"/>
                <w:lang w:eastAsia="zh-CN"/>
              </w:rPr>
              <w:t>评价值》（</w:t>
            </w:r>
            <w:r>
              <w:rPr>
                <w:rFonts w:hint="eastAsia"/>
                <w:color w:val="auto"/>
                <w:lang w:eastAsia="zh-CN"/>
              </w:rPr>
              <w:t>GB</w:t>
            </w:r>
            <w:r>
              <w:rPr>
                <w:rFonts w:hint="eastAsia"/>
                <w:color w:val="auto"/>
                <w:spacing w:val="39"/>
                <w:lang w:eastAsia="zh-CN"/>
              </w:rPr>
              <w:t xml:space="preserve"> </w:t>
            </w:r>
            <w:r>
              <w:rPr>
                <w:rFonts w:hint="eastAsia"/>
                <w:color w:val="auto"/>
                <w:spacing w:val="4"/>
                <w:lang w:eastAsia="zh-CN"/>
              </w:rPr>
              <w:t>19762）</w:t>
            </w:r>
          </w:p>
        </w:tc>
      </w:tr>
      <w:tr w14:paraId="299C9C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restart"/>
            <w:tcBorders>
              <w:bottom w:val="nil"/>
            </w:tcBorders>
            <w:noWrap w:val="0"/>
            <w:vAlign w:val="top"/>
          </w:tcPr>
          <w:p w14:paraId="0491C78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5FF05B1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716105D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64E4E13E">
            <w:pPr>
              <w:pStyle w:val="31"/>
              <w:keepNext w:val="0"/>
              <w:keepLines w:val="0"/>
              <w:pageBreakBefore w:val="0"/>
              <w:widowControl w:val="0"/>
              <w:kinsoku/>
              <w:wordWrap/>
              <w:overflowPunct/>
              <w:topLinePunct w:val="0"/>
              <w:autoSpaceDE/>
              <w:autoSpaceDN/>
              <w:bidi w:val="0"/>
              <w:adjustRightInd/>
              <w:snapToGrid/>
              <w:spacing w:before="62" w:line="360" w:lineRule="exact"/>
              <w:ind w:left="244"/>
              <w:textAlignment w:val="auto"/>
              <w:rPr>
                <w:rFonts w:hint="eastAsia"/>
                <w:color w:val="auto"/>
              </w:rPr>
            </w:pPr>
            <w:r>
              <w:rPr>
                <w:rFonts w:hint="eastAsia"/>
                <w:color w:val="auto"/>
                <w:position w:val="1"/>
              </w:rPr>
              <w:t>6</w:t>
            </w:r>
          </w:p>
        </w:tc>
        <w:tc>
          <w:tcPr>
            <w:tcW w:w="1166" w:type="dxa"/>
            <w:vMerge w:val="restart"/>
            <w:tcBorders>
              <w:bottom w:val="nil"/>
            </w:tcBorders>
            <w:noWrap w:val="0"/>
            <w:vAlign w:val="top"/>
          </w:tcPr>
          <w:p w14:paraId="667C620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5A37282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404118D4">
            <w:pPr>
              <w:pStyle w:val="31"/>
              <w:keepNext w:val="0"/>
              <w:keepLines w:val="0"/>
              <w:pageBreakBefore w:val="0"/>
              <w:widowControl w:val="0"/>
              <w:kinsoku/>
              <w:wordWrap/>
              <w:overflowPunct/>
              <w:topLinePunct w:val="0"/>
              <w:autoSpaceDE/>
              <w:autoSpaceDN/>
              <w:bidi w:val="0"/>
              <w:adjustRightInd/>
              <w:snapToGrid/>
              <w:spacing w:before="61" w:line="360" w:lineRule="exact"/>
              <w:ind w:left="9"/>
              <w:textAlignment w:val="auto"/>
              <w:rPr>
                <w:rFonts w:hint="eastAsia"/>
                <w:color w:val="auto"/>
              </w:rPr>
            </w:pPr>
            <w:r>
              <w:rPr>
                <w:rFonts w:hint="eastAsia"/>
                <w:color w:val="auto"/>
                <w:spacing w:val="5"/>
              </w:rPr>
              <w:t>A020523</w:t>
            </w:r>
            <w:r>
              <w:rPr>
                <w:rFonts w:hint="eastAsia"/>
                <w:color w:val="auto"/>
                <w:spacing w:val="-43"/>
              </w:rPr>
              <w:t xml:space="preserve"> </w:t>
            </w:r>
            <w:r>
              <w:rPr>
                <w:rFonts w:hint="eastAsia"/>
                <w:color w:val="auto"/>
                <w:spacing w:val="5"/>
              </w:rPr>
              <w:t>制冷</w:t>
            </w:r>
          </w:p>
          <w:p w14:paraId="72A45A18">
            <w:pPr>
              <w:pStyle w:val="31"/>
              <w:keepNext w:val="0"/>
              <w:keepLines w:val="0"/>
              <w:pageBreakBefore w:val="0"/>
              <w:widowControl w:val="0"/>
              <w:kinsoku/>
              <w:wordWrap/>
              <w:overflowPunct/>
              <w:topLinePunct w:val="0"/>
              <w:autoSpaceDE/>
              <w:autoSpaceDN/>
              <w:bidi w:val="0"/>
              <w:adjustRightInd/>
              <w:snapToGrid/>
              <w:spacing w:before="75" w:line="360" w:lineRule="exact"/>
              <w:ind w:left="21"/>
              <w:textAlignment w:val="auto"/>
              <w:rPr>
                <w:rFonts w:hint="eastAsia"/>
                <w:color w:val="auto"/>
              </w:rPr>
            </w:pPr>
            <w:r>
              <w:rPr>
                <w:rFonts w:hint="eastAsia"/>
                <w:color w:val="auto"/>
                <w:spacing w:val="5"/>
              </w:rPr>
              <w:t>空调设备</w:t>
            </w:r>
          </w:p>
        </w:tc>
        <w:tc>
          <w:tcPr>
            <w:tcW w:w="1799" w:type="dxa"/>
            <w:vMerge w:val="restart"/>
            <w:tcBorders>
              <w:bottom w:val="nil"/>
            </w:tcBorders>
            <w:noWrap w:val="0"/>
            <w:vAlign w:val="top"/>
          </w:tcPr>
          <w:p w14:paraId="5AA79DC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7EDB48B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7B37E506">
            <w:pPr>
              <w:pStyle w:val="31"/>
              <w:keepNext w:val="0"/>
              <w:keepLines w:val="0"/>
              <w:pageBreakBefore w:val="0"/>
              <w:widowControl w:val="0"/>
              <w:kinsoku/>
              <w:wordWrap/>
              <w:overflowPunct/>
              <w:topLinePunct w:val="0"/>
              <w:autoSpaceDE/>
              <w:autoSpaceDN/>
              <w:bidi w:val="0"/>
              <w:adjustRightInd/>
              <w:snapToGrid/>
              <w:spacing w:before="62" w:line="360" w:lineRule="exact"/>
              <w:ind w:left="15" w:right="10" w:firstLine="3"/>
              <w:textAlignment w:val="auto"/>
              <w:rPr>
                <w:rFonts w:hint="eastAsia"/>
                <w:color w:val="auto"/>
              </w:rPr>
            </w:pPr>
            <w:r>
              <w:rPr>
                <w:rFonts w:hint="eastAsia"/>
                <w:color w:val="auto"/>
                <w:spacing w:val="3"/>
              </w:rPr>
              <w:t>★A02052301 制冷压</w:t>
            </w:r>
            <w:r>
              <w:rPr>
                <w:rFonts w:hint="eastAsia"/>
                <w:color w:val="auto"/>
                <w:spacing w:val="12"/>
              </w:rPr>
              <w:t xml:space="preserve"> </w:t>
            </w:r>
            <w:r>
              <w:rPr>
                <w:rFonts w:hint="eastAsia"/>
                <w:color w:val="auto"/>
                <w:spacing w:val="5"/>
              </w:rPr>
              <w:t>缩机</w:t>
            </w:r>
          </w:p>
        </w:tc>
        <w:tc>
          <w:tcPr>
            <w:tcW w:w="1914" w:type="dxa"/>
            <w:noWrap w:val="0"/>
            <w:vAlign w:val="top"/>
          </w:tcPr>
          <w:p w14:paraId="1B4E759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737ACB3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1155C258">
            <w:pPr>
              <w:pStyle w:val="31"/>
              <w:keepNext w:val="0"/>
              <w:keepLines w:val="0"/>
              <w:pageBreakBefore w:val="0"/>
              <w:widowControl w:val="0"/>
              <w:kinsoku/>
              <w:wordWrap/>
              <w:overflowPunct/>
              <w:topLinePunct w:val="0"/>
              <w:autoSpaceDE/>
              <w:autoSpaceDN/>
              <w:bidi w:val="0"/>
              <w:adjustRightInd/>
              <w:snapToGrid/>
              <w:spacing w:before="61" w:line="360" w:lineRule="exact"/>
              <w:ind w:left="18"/>
              <w:textAlignment w:val="auto"/>
              <w:rPr>
                <w:rFonts w:hint="eastAsia"/>
                <w:color w:val="auto"/>
              </w:rPr>
            </w:pPr>
            <w:r>
              <w:rPr>
                <w:rFonts w:hint="eastAsia"/>
                <w:color w:val="auto"/>
                <w:spacing w:val="6"/>
              </w:rPr>
              <w:t>冷水机组</w:t>
            </w:r>
          </w:p>
        </w:tc>
        <w:tc>
          <w:tcPr>
            <w:tcW w:w="3957" w:type="dxa"/>
            <w:noWrap w:val="0"/>
            <w:vAlign w:val="top"/>
          </w:tcPr>
          <w:p w14:paraId="2FEFB632">
            <w:pPr>
              <w:pStyle w:val="31"/>
              <w:keepNext w:val="0"/>
              <w:keepLines w:val="0"/>
              <w:pageBreakBefore w:val="0"/>
              <w:widowControl w:val="0"/>
              <w:kinsoku/>
              <w:wordWrap/>
              <w:overflowPunct/>
              <w:topLinePunct w:val="0"/>
              <w:autoSpaceDE/>
              <w:autoSpaceDN/>
              <w:bidi w:val="0"/>
              <w:adjustRightInd/>
              <w:snapToGrid/>
              <w:spacing w:before="96" w:line="360" w:lineRule="exact"/>
              <w:ind w:left="17" w:right="11" w:firstLine="5"/>
              <w:textAlignment w:val="auto"/>
              <w:rPr>
                <w:rFonts w:hint="eastAsia"/>
                <w:color w:val="auto"/>
                <w:lang w:eastAsia="zh-CN"/>
              </w:rPr>
            </w:pPr>
            <w:r>
              <w:rPr>
                <w:rFonts w:hint="eastAsia"/>
                <w:color w:val="auto"/>
                <w:spacing w:val="19"/>
                <w:lang w:eastAsia="zh-CN"/>
              </w:rPr>
              <w:t>《冷水机组能效限定值及能效等</w:t>
            </w:r>
            <w:r>
              <w:rPr>
                <w:rFonts w:hint="eastAsia"/>
                <w:color w:val="auto"/>
                <w:spacing w:val="2"/>
                <w:lang w:eastAsia="zh-CN"/>
              </w:rPr>
              <w:t xml:space="preserve"> </w:t>
            </w:r>
            <w:r>
              <w:rPr>
                <w:rFonts w:hint="eastAsia"/>
                <w:color w:val="auto"/>
                <w:spacing w:val="6"/>
                <w:lang w:eastAsia="zh-CN"/>
              </w:rPr>
              <w:t>级》（</w:t>
            </w:r>
            <w:r>
              <w:rPr>
                <w:rFonts w:hint="eastAsia"/>
                <w:color w:val="auto"/>
                <w:lang w:eastAsia="zh-CN"/>
              </w:rPr>
              <w:t>GB</w:t>
            </w:r>
            <w:r>
              <w:rPr>
                <w:rFonts w:hint="eastAsia"/>
                <w:color w:val="auto"/>
                <w:spacing w:val="-21"/>
                <w:lang w:eastAsia="zh-CN"/>
              </w:rPr>
              <w:t xml:space="preserve"> </w:t>
            </w:r>
            <w:r>
              <w:rPr>
                <w:rFonts w:hint="eastAsia"/>
                <w:color w:val="auto"/>
                <w:spacing w:val="6"/>
                <w:lang w:eastAsia="zh-CN"/>
              </w:rPr>
              <w:t>19577</w:t>
            </w:r>
            <w:r>
              <w:rPr>
                <w:rFonts w:hint="eastAsia"/>
                <w:color w:val="auto"/>
                <w:spacing w:val="9"/>
                <w:lang w:eastAsia="zh-CN"/>
              </w:rPr>
              <w:t>），</w:t>
            </w:r>
            <w:r>
              <w:rPr>
                <w:rFonts w:hint="eastAsia"/>
                <w:color w:val="auto"/>
                <w:spacing w:val="6"/>
                <w:lang w:eastAsia="zh-CN"/>
              </w:rPr>
              <w:t>《低环境温度</w:t>
            </w:r>
            <w:r>
              <w:rPr>
                <w:rFonts w:hint="eastAsia"/>
                <w:color w:val="auto"/>
                <w:lang w:eastAsia="zh-CN"/>
              </w:rPr>
              <w:t xml:space="preserve"> </w:t>
            </w:r>
            <w:r>
              <w:rPr>
                <w:rFonts w:hint="eastAsia"/>
                <w:color w:val="auto"/>
                <w:spacing w:val="5"/>
                <w:lang w:eastAsia="zh-CN"/>
              </w:rPr>
              <w:t>空气源热泵（冷水）机组能效限定</w:t>
            </w:r>
            <w:r>
              <w:rPr>
                <w:rFonts w:hint="eastAsia"/>
                <w:color w:val="auto"/>
                <w:spacing w:val="6"/>
                <w:lang w:eastAsia="zh-CN"/>
              </w:rPr>
              <w:t xml:space="preserve"> </w:t>
            </w:r>
            <w:r>
              <w:rPr>
                <w:rFonts w:hint="eastAsia"/>
                <w:color w:val="auto"/>
                <w:spacing w:val="7"/>
                <w:lang w:eastAsia="zh-CN"/>
              </w:rPr>
              <w:t>值及能效等级》（</w:t>
            </w:r>
            <w:r>
              <w:rPr>
                <w:rFonts w:hint="eastAsia"/>
                <w:color w:val="auto"/>
                <w:lang w:eastAsia="zh-CN"/>
              </w:rPr>
              <w:t>GB</w:t>
            </w:r>
            <w:r>
              <w:rPr>
                <w:rFonts w:hint="eastAsia"/>
                <w:color w:val="auto"/>
                <w:spacing w:val="7"/>
                <w:lang w:eastAsia="zh-CN"/>
              </w:rPr>
              <w:t xml:space="preserve"> 37480）</w:t>
            </w:r>
          </w:p>
        </w:tc>
      </w:tr>
      <w:tr w14:paraId="725C86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tcBorders>
            <w:noWrap w:val="0"/>
            <w:vAlign w:val="top"/>
          </w:tcPr>
          <w:p w14:paraId="67FAEE6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166" w:type="dxa"/>
            <w:vMerge w:val="continue"/>
            <w:tcBorders>
              <w:top w:val="nil"/>
            </w:tcBorders>
            <w:noWrap w:val="0"/>
            <w:vAlign w:val="top"/>
          </w:tcPr>
          <w:p w14:paraId="44DF3C1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799" w:type="dxa"/>
            <w:vMerge w:val="continue"/>
            <w:tcBorders>
              <w:top w:val="nil"/>
            </w:tcBorders>
            <w:noWrap w:val="0"/>
            <w:vAlign w:val="top"/>
          </w:tcPr>
          <w:p w14:paraId="4C5E2DB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914" w:type="dxa"/>
            <w:noWrap w:val="0"/>
            <w:vAlign w:val="top"/>
          </w:tcPr>
          <w:p w14:paraId="1884B579">
            <w:pPr>
              <w:pStyle w:val="31"/>
              <w:keepNext w:val="0"/>
              <w:keepLines w:val="0"/>
              <w:pageBreakBefore w:val="0"/>
              <w:widowControl w:val="0"/>
              <w:kinsoku/>
              <w:wordWrap/>
              <w:overflowPunct/>
              <w:topLinePunct w:val="0"/>
              <w:autoSpaceDE/>
              <w:autoSpaceDN/>
              <w:bidi w:val="0"/>
              <w:adjustRightInd/>
              <w:snapToGrid/>
              <w:spacing w:before="276" w:line="360" w:lineRule="exact"/>
              <w:ind w:left="19"/>
              <w:textAlignment w:val="auto"/>
              <w:rPr>
                <w:rFonts w:hint="eastAsia"/>
                <w:color w:val="auto"/>
              </w:rPr>
            </w:pPr>
            <w:r>
              <w:rPr>
                <w:rFonts w:hint="eastAsia"/>
                <w:color w:val="auto"/>
                <w:spacing w:val="7"/>
              </w:rPr>
              <w:t>水源热泵机组</w:t>
            </w:r>
          </w:p>
        </w:tc>
        <w:tc>
          <w:tcPr>
            <w:tcW w:w="3957" w:type="dxa"/>
            <w:noWrap w:val="0"/>
            <w:vAlign w:val="top"/>
          </w:tcPr>
          <w:p w14:paraId="78CEA976">
            <w:pPr>
              <w:pStyle w:val="31"/>
              <w:keepNext w:val="0"/>
              <w:keepLines w:val="0"/>
              <w:pageBreakBefore w:val="0"/>
              <w:widowControl w:val="0"/>
              <w:kinsoku/>
              <w:wordWrap/>
              <w:overflowPunct/>
              <w:topLinePunct w:val="0"/>
              <w:autoSpaceDE/>
              <w:autoSpaceDN/>
              <w:bidi w:val="0"/>
              <w:adjustRightInd/>
              <w:snapToGrid/>
              <w:spacing w:before="120" w:line="360" w:lineRule="exact"/>
              <w:ind w:left="17" w:right="13" w:firstLine="6"/>
              <w:textAlignment w:val="auto"/>
              <w:rPr>
                <w:rFonts w:hint="eastAsia"/>
                <w:color w:val="auto"/>
                <w:lang w:eastAsia="zh-CN"/>
              </w:rPr>
            </w:pPr>
            <w:r>
              <w:rPr>
                <w:rFonts w:hint="eastAsia"/>
                <w:color w:val="auto"/>
                <w:spacing w:val="5"/>
                <w:lang w:eastAsia="zh-CN"/>
              </w:rPr>
              <w:t>《水（地）源热泵机组能效限定值</w:t>
            </w:r>
            <w:r>
              <w:rPr>
                <w:rFonts w:hint="eastAsia"/>
                <w:color w:val="auto"/>
                <w:lang w:eastAsia="zh-CN"/>
              </w:rPr>
              <w:t xml:space="preserve"> </w:t>
            </w:r>
            <w:r>
              <w:rPr>
                <w:rFonts w:hint="eastAsia"/>
                <w:color w:val="auto"/>
                <w:spacing w:val="7"/>
                <w:lang w:eastAsia="zh-CN"/>
              </w:rPr>
              <w:t>及能效等级》（</w:t>
            </w:r>
            <w:r>
              <w:rPr>
                <w:rFonts w:hint="eastAsia"/>
                <w:color w:val="auto"/>
                <w:lang w:eastAsia="zh-CN"/>
              </w:rPr>
              <w:t>GB</w:t>
            </w:r>
            <w:r>
              <w:rPr>
                <w:rFonts w:hint="eastAsia"/>
                <w:color w:val="auto"/>
                <w:spacing w:val="7"/>
                <w:lang w:eastAsia="zh-CN"/>
              </w:rPr>
              <w:t xml:space="preserve"> 30721）</w:t>
            </w:r>
          </w:p>
        </w:tc>
      </w:tr>
      <w:tr w14:paraId="49DE20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restart"/>
            <w:tcBorders>
              <w:bottom w:val="nil"/>
            </w:tcBorders>
            <w:noWrap w:val="0"/>
            <w:vAlign w:val="top"/>
          </w:tcPr>
          <w:p w14:paraId="1E6A206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166" w:type="dxa"/>
            <w:vMerge w:val="restart"/>
            <w:tcBorders>
              <w:bottom w:val="nil"/>
            </w:tcBorders>
            <w:noWrap w:val="0"/>
            <w:vAlign w:val="top"/>
          </w:tcPr>
          <w:p w14:paraId="36650C7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799" w:type="dxa"/>
            <w:noWrap w:val="0"/>
            <w:vAlign w:val="top"/>
          </w:tcPr>
          <w:p w14:paraId="214DD89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914" w:type="dxa"/>
            <w:noWrap w:val="0"/>
            <w:vAlign w:val="top"/>
          </w:tcPr>
          <w:p w14:paraId="756BA999">
            <w:pPr>
              <w:pStyle w:val="31"/>
              <w:keepNext w:val="0"/>
              <w:keepLines w:val="0"/>
              <w:pageBreakBefore w:val="0"/>
              <w:widowControl w:val="0"/>
              <w:kinsoku/>
              <w:wordWrap/>
              <w:overflowPunct/>
              <w:topLinePunct w:val="0"/>
              <w:autoSpaceDE/>
              <w:autoSpaceDN/>
              <w:bidi w:val="0"/>
              <w:adjustRightInd/>
              <w:snapToGrid/>
              <w:spacing w:before="159" w:line="360" w:lineRule="exact"/>
              <w:ind w:left="19" w:right="11" w:firstLine="1"/>
              <w:textAlignment w:val="auto"/>
              <w:rPr>
                <w:rFonts w:hint="eastAsia"/>
                <w:color w:val="auto"/>
                <w:lang w:eastAsia="zh-CN"/>
              </w:rPr>
            </w:pPr>
            <w:r>
              <w:rPr>
                <w:rFonts w:hint="eastAsia"/>
                <w:color w:val="auto"/>
                <w:spacing w:val="18"/>
                <w:lang w:eastAsia="zh-CN"/>
              </w:rPr>
              <w:t>溴化锂吸收式冷水机</w:t>
            </w:r>
            <w:r>
              <w:rPr>
                <w:rFonts w:hint="eastAsia"/>
                <w:color w:val="auto"/>
                <w:lang w:eastAsia="zh-CN"/>
              </w:rPr>
              <w:t>组</w:t>
            </w:r>
          </w:p>
        </w:tc>
        <w:tc>
          <w:tcPr>
            <w:tcW w:w="3957" w:type="dxa"/>
            <w:noWrap w:val="0"/>
            <w:vAlign w:val="top"/>
          </w:tcPr>
          <w:p w14:paraId="1AA6761D">
            <w:pPr>
              <w:pStyle w:val="31"/>
              <w:keepNext w:val="0"/>
              <w:keepLines w:val="0"/>
              <w:pageBreakBefore w:val="0"/>
              <w:widowControl w:val="0"/>
              <w:kinsoku/>
              <w:wordWrap/>
              <w:overflowPunct/>
              <w:topLinePunct w:val="0"/>
              <w:autoSpaceDE/>
              <w:autoSpaceDN/>
              <w:bidi w:val="0"/>
              <w:adjustRightInd/>
              <w:snapToGrid/>
              <w:spacing w:before="160" w:line="360" w:lineRule="exact"/>
              <w:ind w:left="22" w:right="11"/>
              <w:textAlignment w:val="auto"/>
              <w:rPr>
                <w:rFonts w:hint="eastAsia"/>
                <w:color w:val="auto"/>
                <w:lang w:eastAsia="zh-CN"/>
              </w:rPr>
            </w:pPr>
            <w:r>
              <w:rPr>
                <w:rFonts w:hint="eastAsia"/>
                <w:color w:val="auto"/>
                <w:spacing w:val="19"/>
                <w:lang w:eastAsia="zh-CN"/>
              </w:rPr>
              <w:t>《溴化锂吸收式冷水机组能效限</w:t>
            </w:r>
            <w:r>
              <w:rPr>
                <w:rFonts w:hint="eastAsia"/>
                <w:color w:val="auto"/>
                <w:spacing w:val="2"/>
                <w:lang w:eastAsia="zh-CN"/>
              </w:rPr>
              <w:t xml:space="preserve"> </w:t>
            </w:r>
            <w:r>
              <w:rPr>
                <w:rFonts w:hint="eastAsia"/>
                <w:color w:val="auto"/>
                <w:spacing w:val="7"/>
                <w:lang w:eastAsia="zh-CN"/>
              </w:rPr>
              <w:t>定值及能效等级》（</w:t>
            </w:r>
            <w:r>
              <w:rPr>
                <w:rFonts w:hint="eastAsia"/>
                <w:color w:val="auto"/>
                <w:lang w:eastAsia="zh-CN"/>
              </w:rPr>
              <w:t>GB</w:t>
            </w:r>
            <w:r>
              <w:rPr>
                <w:rFonts w:hint="eastAsia"/>
                <w:color w:val="auto"/>
                <w:spacing w:val="7"/>
                <w:lang w:eastAsia="zh-CN"/>
              </w:rPr>
              <w:t xml:space="preserve"> 29540）</w:t>
            </w:r>
          </w:p>
        </w:tc>
      </w:tr>
      <w:tr w14:paraId="7FE262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14:paraId="7BB259A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166" w:type="dxa"/>
            <w:vMerge w:val="continue"/>
            <w:tcBorders>
              <w:top w:val="nil"/>
              <w:bottom w:val="nil"/>
            </w:tcBorders>
            <w:noWrap w:val="0"/>
            <w:vAlign w:val="top"/>
          </w:tcPr>
          <w:p w14:paraId="2896BEC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799" w:type="dxa"/>
            <w:vMerge w:val="restart"/>
            <w:tcBorders>
              <w:bottom w:val="nil"/>
            </w:tcBorders>
            <w:noWrap w:val="0"/>
            <w:vAlign w:val="top"/>
          </w:tcPr>
          <w:p w14:paraId="427CDD6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164D39D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6523168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0F425894">
            <w:pPr>
              <w:pStyle w:val="31"/>
              <w:keepNext w:val="0"/>
              <w:keepLines w:val="0"/>
              <w:pageBreakBefore w:val="0"/>
              <w:widowControl w:val="0"/>
              <w:kinsoku/>
              <w:wordWrap/>
              <w:overflowPunct/>
              <w:topLinePunct w:val="0"/>
              <w:autoSpaceDE/>
              <w:autoSpaceDN/>
              <w:bidi w:val="0"/>
              <w:adjustRightInd/>
              <w:snapToGrid/>
              <w:spacing w:before="62" w:line="360" w:lineRule="exact"/>
              <w:ind w:left="17" w:right="10"/>
              <w:textAlignment w:val="auto"/>
              <w:rPr>
                <w:rFonts w:hint="eastAsia"/>
                <w:color w:val="auto"/>
              </w:rPr>
            </w:pPr>
            <w:r>
              <w:rPr>
                <w:rFonts w:hint="eastAsia"/>
                <w:color w:val="auto"/>
                <w:spacing w:val="3"/>
              </w:rPr>
              <w:t>★A02052305 空调机</w:t>
            </w:r>
            <w:r>
              <w:rPr>
                <w:rFonts w:hint="eastAsia"/>
                <w:color w:val="auto"/>
                <w:spacing w:val="12"/>
              </w:rPr>
              <w:t xml:space="preserve"> </w:t>
            </w:r>
            <w:r>
              <w:rPr>
                <w:rFonts w:hint="eastAsia"/>
                <w:color w:val="auto"/>
              </w:rPr>
              <w:t>组</w:t>
            </w:r>
          </w:p>
        </w:tc>
        <w:tc>
          <w:tcPr>
            <w:tcW w:w="1914" w:type="dxa"/>
            <w:noWrap w:val="0"/>
            <w:vAlign w:val="top"/>
          </w:tcPr>
          <w:p w14:paraId="0E87F5E1">
            <w:pPr>
              <w:pStyle w:val="31"/>
              <w:keepNext w:val="0"/>
              <w:keepLines w:val="0"/>
              <w:pageBreakBefore w:val="0"/>
              <w:widowControl w:val="0"/>
              <w:kinsoku/>
              <w:wordWrap/>
              <w:overflowPunct/>
              <w:topLinePunct w:val="0"/>
              <w:autoSpaceDE/>
              <w:autoSpaceDN/>
              <w:bidi w:val="0"/>
              <w:adjustRightInd/>
              <w:snapToGrid/>
              <w:spacing w:before="65" w:line="360" w:lineRule="exact"/>
              <w:ind w:left="15" w:right="11" w:firstLine="10"/>
              <w:textAlignment w:val="auto"/>
              <w:rPr>
                <w:rFonts w:hint="eastAsia"/>
                <w:color w:val="auto"/>
                <w:lang w:eastAsia="zh-CN"/>
              </w:rPr>
            </w:pPr>
            <w:r>
              <w:rPr>
                <w:rFonts w:hint="eastAsia"/>
                <w:color w:val="auto"/>
                <w:spacing w:val="15"/>
                <w:lang w:eastAsia="zh-CN"/>
              </w:rPr>
              <w:t>多联式空调（热泵）</w:t>
            </w:r>
            <w:r>
              <w:rPr>
                <w:rFonts w:hint="eastAsia"/>
                <w:color w:val="auto"/>
                <w:spacing w:val="7"/>
                <w:lang w:eastAsia="zh-CN"/>
              </w:rPr>
              <w:t xml:space="preserve"> </w:t>
            </w:r>
            <w:r>
              <w:rPr>
                <w:rFonts w:hint="eastAsia"/>
                <w:color w:val="auto"/>
                <w:spacing w:val="-8"/>
                <w:lang w:eastAsia="zh-CN"/>
              </w:rPr>
              <w:t>机组(制冷</w:t>
            </w:r>
            <w:r>
              <w:rPr>
                <w:rFonts w:hint="eastAsia"/>
                <w:color w:val="auto"/>
                <w:spacing w:val="5"/>
                <w:lang w:eastAsia="zh-CN"/>
              </w:rPr>
              <w:t>量&gt;14000W)</w:t>
            </w:r>
          </w:p>
        </w:tc>
        <w:tc>
          <w:tcPr>
            <w:tcW w:w="3957" w:type="dxa"/>
            <w:noWrap w:val="0"/>
            <w:vAlign w:val="top"/>
          </w:tcPr>
          <w:p w14:paraId="70D62111">
            <w:pPr>
              <w:pStyle w:val="31"/>
              <w:keepNext w:val="0"/>
              <w:keepLines w:val="0"/>
              <w:pageBreakBefore w:val="0"/>
              <w:widowControl w:val="0"/>
              <w:kinsoku/>
              <w:wordWrap/>
              <w:overflowPunct/>
              <w:topLinePunct w:val="0"/>
              <w:autoSpaceDE/>
              <w:autoSpaceDN/>
              <w:bidi w:val="0"/>
              <w:adjustRightInd/>
              <w:snapToGrid/>
              <w:spacing w:before="221" w:line="360" w:lineRule="exact"/>
              <w:ind w:left="22"/>
              <w:textAlignment w:val="auto"/>
              <w:rPr>
                <w:rFonts w:hint="eastAsia"/>
                <w:color w:val="auto"/>
                <w:lang w:eastAsia="zh-CN"/>
              </w:rPr>
            </w:pPr>
            <w:r>
              <w:rPr>
                <w:rFonts w:hint="eastAsia"/>
                <w:color w:val="auto"/>
                <w:lang w:eastAsia="zh-CN"/>
              </w:rPr>
              <w:t>《多联式空调（热泵）机组能效限</w:t>
            </w:r>
            <w:r>
              <w:rPr>
                <w:rFonts w:hint="eastAsia"/>
                <w:color w:val="auto"/>
                <w:spacing w:val="2"/>
                <w:lang w:eastAsia="zh-CN"/>
              </w:rPr>
              <w:t xml:space="preserve">  </w:t>
            </w:r>
            <w:r>
              <w:rPr>
                <w:rFonts w:hint="eastAsia"/>
                <w:color w:val="auto"/>
                <w:spacing w:val="-4"/>
                <w:lang w:eastAsia="zh-CN"/>
              </w:rPr>
              <w:t>定值及能源效率等级》（GB</w:t>
            </w:r>
            <w:r>
              <w:rPr>
                <w:rFonts w:hint="eastAsia"/>
                <w:color w:val="auto"/>
                <w:spacing w:val="-24"/>
                <w:lang w:eastAsia="zh-CN"/>
              </w:rPr>
              <w:t xml:space="preserve"> </w:t>
            </w:r>
            <w:r>
              <w:rPr>
                <w:rFonts w:hint="eastAsia"/>
                <w:color w:val="auto"/>
                <w:spacing w:val="-4"/>
                <w:lang w:eastAsia="zh-CN"/>
              </w:rPr>
              <w:t>21454）</w:t>
            </w:r>
          </w:p>
        </w:tc>
      </w:tr>
      <w:tr w14:paraId="4458DA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14:paraId="06486E4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166" w:type="dxa"/>
            <w:vMerge w:val="continue"/>
            <w:tcBorders>
              <w:top w:val="nil"/>
              <w:bottom w:val="nil"/>
            </w:tcBorders>
            <w:noWrap w:val="0"/>
            <w:vAlign w:val="top"/>
          </w:tcPr>
          <w:p w14:paraId="5E49110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799" w:type="dxa"/>
            <w:vMerge w:val="continue"/>
            <w:tcBorders>
              <w:top w:val="nil"/>
            </w:tcBorders>
            <w:noWrap w:val="0"/>
            <w:vAlign w:val="top"/>
          </w:tcPr>
          <w:p w14:paraId="24A9CC9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914" w:type="dxa"/>
            <w:noWrap w:val="0"/>
            <w:vAlign w:val="top"/>
          </w:tcPr>
          <w:p w14:paraId="18E5BA74">
            <w:pPr>
              <w:pStyle w:val="31"/>
              <w:keepNext w:val="0"/>
              <w:keepLines w:val="0"/>
              <w:pageBreakBefore w:val="0"/>
              <w:widowControl w:val="0"/>
              <w:kinsoku/>
              <w:wordWrap/>
              <w:overflowPunct/>
              <w:topLinePunct w:val="0"/>
              <w:autoSpaceDE/>
              <w:autoSpaceDN/>
              <w:bidi w:val="0"/>
              <w:adjustRightInd/>
              <w:snapToGrid/>
              <w:spacing w:before="62" w:line="360" w:lineRule="exact"/>
              <w:ind w:right="11"/>
              <w:textAlignment w:val="auto"/>
              <w:rPr>
                <w:rFonts w:hint="eastAsia"/>
                <w:color w:val="auto"/>
                <w:lang w:eastAsia="zh-CN"/>
              </w:rPr>
            </w:pPr>
            <w:r>
              <w:rPr>
                <w:rFonts w:hint="eastAsia"/>
                <w:color w:val="auto"/>
                <w:spacing w:val="44"/>
                <w:lang w:eastAsia="zh-CN"/>
              </w:rPr>
              <w:t>单元式空气调节机</w:t>
            </w:r>
            <w:r>
              <w:rPr>
                <w:rFonts w:hint="eastAsia"/>
                <w:color w:val="auto"/>
                <w:spacing w:val="2"/>
                <w:lang w:eastAsia="zh-CN"/>
              </w:rPr>
              <w:t>(制冷量&gt;14000W)</w:t>
            </w:r>
          </w:p>
        </w:tc>
        <w:tc>
          <w:tcPr>
            <w:tcW w:w="3957" w:type="dxa"/>
            <w:noWrap w:val="0"/>
            <w:vAlign w:val="top"/>
          </w:tcPr>
          <w:p w14:paraId="33DEF9D1">
            <w:pPr>
              <w:pStyle w:val="31"/>
              <w:keepNext w:val="0"/>
              <w:keepLines w:val="0"/>
              <w:pageBreakBefore w:val="0"/>
              <w:widowControl w:val="0"/>
              <w:kinsoku/>
              <w:wordWrap/>
              <w:overflowPunct/>
              <w:topLinePunct w:val="0"/>
              <w:autoSpaceDE/>
              <w:autoSpaceDN/>
              <w:bidi w:val="0"/>
              <w:adjustRightInd/>
              <w:snapToGrid/>
              <w:spacing w:before="72" w:line="360" w:lineRule="exact"/>
              <w:ind w:left="16" w:right="11" w:firstLine="6"/>
              <w:textAlignment w:val="auto"/>
              <w:rPr>
                <w:rFonts w:hint="eastAsia"/>
                <w:color w:val="auto"/>
                <w:lang w:eastAsia="zh-CN"/>
              </w:rPr>
            </w:pPr>
            <w:r>
              <w:rPr>
                <w:rFonts w:hint="eastAsia"/>
                <w:color w:val="auto"/>
                <w:spacing w:val="19"/>
                <w:lang w:eastAsia="zh-CN"/>
              </w:rPr>
              <w:t>《单元式空气调节机能效限定值</w:t>
            </w:r>
            <w:r>
              <w:rPr>
                <w:rFonts w:hint="eastAsia"/>
                <w:color w:val="auto"/>
                <w:spacing w:val="2"/>
                <w:lang w:eastAsia="zh-CN"/>
              </w:rPr>
              <w:t xml:space="preserve"> </w:t>
            </w:r>
            <w:r>
              <w:rPr>
                <w:rFonts w:hint="eastAsia"/>
                <w:color w:val="auto"/>
                <w:spacing w:val="6"/>
                <w:lang w:eastAsia="zh-CN"/>
              </w:rPr>
              <w:t>及能效等级》（</w:t>
            </w:r>
            <w:r>
              <w:rPr>
                <w:rFonts w:hint="eastAsia"/>
                <w:color w:val="auto"/>
                <w:lang w:eastAsia="zh-CN"/>
              </w:rPr>
              <w:t>GB</w:t>
            </w:r>
            <w:r>
              <w:rPr>
                <w:rFonts w:hint="eastAsia"/>
                <w:color w:val="auto"/>
                <w:spacing w:val="-13"/>
                <w:lang w:eastAsia="zh-CN"/>
              </w:rPr>
              <w:t xml:space="preserve"> </w:t>
            </w:r>
            <w:r>
              <w:rPr>
                <w:rFonts w:hint="eastAsia"/>
                <w:color w:val="auto"/>
                <w:spacing w:val="6"/>
                <w:lang w:eastAsia="zh-CN"/>
              </w:rPr>
              <w:t>19576）《风管</w:t>
            </w:r>
            <w:r>
              <w:rPr>
                <w:rFonts w:hint="eastAsia"/>
                <w:color w:val="auto"/>
                <w:lang w:eastAsia="zh-CN"/>
              </w:rPr>
              <w:t xml:space="preserve"> </w:t>
            </w:r>
            <w:r>
              <w:rPr>
                <w:rFonts w:hint="eastAsia"/>
                <w:color w:val="auto"/>
                <w:spacing w:val="19"/>
                <w:lang w:eastAsia="zh-CN"/>
              </w:rPr>
              <w:t>送风式空调机组能效限定值及能</w:t>
            </w:r>
            <w:r>
              <w:rPr>
                <w:rFonts w:hint="eastAsia"/>
                <w:color w:val="auto"/>
                <w:spacing w:val="9"/>
                <w:lang w:eastAsia="zh-CN"/>
              </w:rPr>
              <w:t xml:space="preserve"> </w:t>
            </w:r>
            <w:r>
              <w:rPr>
                <w:rFonts w:hint="eastAsia"/>
                <w:color w:val="auto"/>
                <w:spacing w:val="7"/>
                <w:lang w:eastAsia="zh-CN"/>
              </w:rPr>
              <w:t>效等级》（</w:t>
            </w:r>
            <w:r>
              <w:rPr>
                <w:rFonts w:hint="eastAsia"/>
                <w:color w:val="auto"/>
                <w:lang w:eastAsia="zh-CN"/>
              </w:rPr>
              <w:t>GB</w:t>
            </w:r>
            <w:r>
              <w:rPr>
                <w:rFonts w:hint="eastAsia"/>
                <w:color w:val="auto"/>
                <w:spacing w:val="7"/>
                <w:lang w:eastAsia="zh-CN"/>
              </w:rPr>
              <w:t xml:space="preserve"> 37479）</w:t>
            </w:r>
          </w:p>
        </w:tc>
      </w:tr>
      <w:tr w14:paraId="1C3C7D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14:paraId="55CF2AD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166" w:type="dxa"/>
            <w:vMerge w:val="continue"/>
            <w:tcBorders>
              <w:top w:val="nil"/>
              <w:bottom w:val="nil"/>
            </w:tcBorders>
            <w:noWrap w:val="0"/>
            <w:vAlign w:val="top"/>
          </w:tcPr>
          <w:p w14:paraId="4E094B0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799" w:type="dxa"/>
            <w:noWrap w:val="0"/>
            <w:vAlign w:val="top"/>
          </w:tcPr>
          <w:p w14:paraId="0CA6487D">
            <w:pPr>
              <w:pStyle w:val="31"/>
              <w:keepNext w:val="0"/>
              <w:keepLines w:val="0"/>
              <w:pageBreakBefore w:val="0"/>
              <w:widowControl w:val="0"/>
              <w:kinsoku/>
              <w:wordWrap/>
              <w:overflowPunct/>
              <w:topLinePunct w:val="0"/>
              <w:autoSpaceDE/>
              <w:autoSpaceDN/>
              <w:bidi w:val="0"/>
              <w:adjustRightInd/>
              <w:snapToGrid/>
              <w:spacing w:before="146" w:line="360" w:lineRule="exact"/>
              <w:ind w:left="17" w:right="10" w:firstLine="1"/>
              <w:textAlignment w:val="auto"/>
              <w:rPr>
                <w:rFonts w:hint="eastAsia"/>
                <w:color w:val="auto"/>
                <w:lang w:eastAsia="zh-CN"/>
              </w:rPr>
            </w:pPr>
            <w:r>
              <w:rPr>
                <w:rFonts w:hint="eastAsia"/>
                <w:color w:val="auto"/>
                <w:spacing w:val="3"/>
                <w:lang w:eastAsia="zh-CN"/>
              </w:rPr>
              <w:t>★A02052309 专用制</w:t>
            </w:r>
            <w:r>
              <w:rPr>
                <w:rFonts w:hint="eastAsia"/>
                <w:color w:val="auto"/>
                <w:spacing w:val="12"/>
                <w:lang w:eastAsia="zh-CN"/>
              </w:rPr>
              <w:t xml:space="preserve"> </w:t>
            </w:r>
            <w:r>
              <w:rPr>
                <w:rFonts w:hint="eastAsia"/>
                <w:color w:val="auto"/>
                <w:spacing w:val="8"/>
                <w:lang w:eastAsia="zh-CN"/>
              </w:rPr>
              <w:t>冷、空调设备</w:t>
            </w:r>
          </w:p>
        </w:tc>
        <w:tc>
          <w:tcPr>
            <w:tcW w:w="1914" w:type="dxa"/>
            <w:noWrap w:val="0"/>
            <w:vAlign w:val="top"/>
          </w:tcPr>
          <w:p w14:paraId="4F083C39">
            <w:pPr>
              <w:pStyle w:val="31"/>
              <w:keepNext w:val="0"/>
              <w:keepLines w:val="0"/>
              <w:pageBreakBefore w:val="0"/>
              <w:widowControl w:val="0"/>
              <w:kinsoku/>
              <w:wordWrap/>
              <w:overflowPunct/>
              <w:topLinePunct w:val="0"/>
              <w:autoSpaceDE/>
              <w:autoSpaceDN/>
              <w:bidi w:val="0"/>
              <w:adjustRightInd/>
              <w:snapToGrid/>
              <w:spacing w:before="300" w:line="360" w:lineRule="exact"/>
              <w:ind w:left="15"/>
              <w:textAlignment w:val="auto"/>
              <w:rPr>
                <w:rFonts w:hint="eastAsia"/>
                <w:color w:val="auto"/>
              </w:rPr>
            </w:pPr>
            <w:r>
              <w:rPr>
                <w:rFonts w:hint="eastAsia"/>
                <w:color w:val="auto"/>
                <w:spacing w:val="7"/>
              </w:rPr>
              <w:t>机房空调</w:t>
            </w:r>
          </w:p>
        </w:tc>
        <w:tc>
          <w:tcPr>
            <w:tcW w:w="3957" w:type="dxa"/>
            <w:noWrap w:val="0"/>
            <w:vAlign w:val="top"/>
          </w:tcPr>
          <w:p w14:paraId="321C5832">
            <w:pPr>
              <w:pStyle w:val="31"/>
              <w:keepNext w:val="0"/>
              <w:keepLines w:val="0"/>
              <w:pageBreakBefore w:val="0"/>
              <w:widowControl w:val="0"/>
              <w:kinsoku/>
              <w:wordWrap/>
              <w:overflowPunct/>
              <w:topLinePunct w:val="0"/>
              <w:autoSpaceDE/>
              <w:autoSpaceDN/>
              <w:bidi w:val="0"/>
              <w:adjustRightInd/>
              <w:snapToGrid/>
              <w:spacing w:before="146" w:line="360" w:lineRule="exact"/>
              <w:ind w:left="17" w:right="11" w:firstLine="6"/>
              <w:textAlignment w:val="auto"/>
              <w:rPr>
                <w:rFonts w:hint="eastAsia"/>
                <w:color w:val="auto"/>
                <w:lang w:eastAsia="zh-CN"/>
              </w:rPr>
            </w:pPr>
            <w:r>
              <w:rPr>
                <w:rFonts w:hint="eastAsia"/>
                <w:color w:val="auto"/>
                <w:spacing w:val="19"/>
                <w:lang w:eastAsia="zh-CN"/>
              </w:rPr>
              <w:t>《单元式空气调节机能效限定值</w:t>
            </w:r>
            <w:r>
              <w:rPr>
                <w:rFonts w:hint="eastAsia"/>
                <w:color w:val="auto"/>
                <w:spacing w:val="2"/>
                <w:lang w:eastAsia="zh-CN"/>
              </w:rPr>
              <w:t xml:space="preserve"> </w:t>
            </w:r>
            <w:r>
              <w:rPr>
                <w:rFonts w:hint="eastAsia"/>
                <w:color w:val="auto"/>
                <w:spacing w:val="5"/>
                <w:lang w:eastAsia="zh-CN"/>
              </w:rPr>
              <w:t>及能效等级》（</w:t>
            </w:r>
            <w:r>
              <w:rPr>
                <w:rFonts w:hint="eastAsia"/>
                <w:color w:val="auto"/>
                <w:lang w:eastAsia="zh-CN"/>
              </w:rPr>
              <w:t>GB</w:t>
            </w:r>
            <w:r>
              <w:rPr>
                <w:rFonts w:hint="eastAsia"/>
                <w:color w:val="auto"/>
                <w:spacing w:val="39"/>
                <w:lang w:eastAsia="zh-CN"/>
              </w:rPr>
              <w:t xml:space="preserve"> </w:t>
            </w:r>
            <w:r>
              <w:rPr>
                <w:rFonts w:hint="eastAsia"/>
                <w:color w:val="auto"/>
                <w:spacing w:val="5"/>
                <w:lang w:eastAsia="zh-CN"/>
              </w:rPr>
              <w:t>19576）</w:t>
            </w:r>
          </w:p>
        </w:tc>
      </w:tr>
      <w:tr w14:paraId="725B6B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tcBorders>
            <w:noWrap w:val="0"/>
            <w:vAlign w:val="top"/>
          </w:tcPr>
          <w:p w14:paraId="65F72B9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166" w:type="dxa"/>
            <w:vMerge w:val="continue"/>
            <w:tcBorders>
              <w:top w:val="nil"/>
            </w:tcBorders>
            <w:noWrap w:val="0"/>
            <w:vAlign w:val="top"/>
          </w:tcPr>
          <w:p w14:paraId="24C6253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799" w:type="dxa"/>
            <w:noWrap w:val="0"/>
            <w:vAlign w:val="top"/>
          </w:tcPr>
          <w:p w14:paraId="545699D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29E2254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39D5C9CF">
            <w:pPr>
              <w:pStyle w:val="31"/>
              <w:keepNext w:val="0"/>
              <w:keepLines w:val="0"/>
              <w:pageBreakBefore w:val="0"/>
              <w:widowControl w:val="0"/>
              <w:kinsoku/>
              <w:wordWrap/>
              <w:overflowPunct/>
              <w:topLinePunct w:val="0"/>
              <w:autoSpaceDE/>
              <w:autoSpaceDN/>
              <w:bidi w:val="0"/>
              <w:adjustRightInd/>
              <w:snapToGrid/>
              <w:spacing w:before="62" w:line="360" w:lineRule="exact"/>
              <w:ind w:left="9"/>
              <w:textAlignment w:val="auto"/>
              <w:rPr>
                <w:rFonts w:hint="eastAsia"/>
                <w:color w:val="auto"/>
              </w:rPr>
            </w:pPr>
            <w:r>
              <w:rPr>
                <w:rFonts w:hint="eastAsia"/>
                <w:color w:val="auto"/>
                <w:spacing w:val="4"/>
              </w:rPr>
              <w:t>A02052399 其他制冷</w:t>
            </w:r>
          </w:p>
          <w:p w14:paraId="1A0F6072">
            <w:pPr>
              <w:pStyle w:val="31"/>
              <w:keepNext w:val="0"/>
              <w:keepLines w:val="0"/>
              <w:pageBreakBefore w:val="0"/>
              <w:widowControl w:val="0"/>
              <w:kinsoku/>
              <w:wordWrap/>
              <w:overflowPunct/>
              <w:topLinePunct w:val="0"/>
              <w:autoSpaceDE/>
              <w:autoSpaceDN/>
              <w:bidi w:val="0"/>
              <w:adjustRightInd/>
              <w:snapToGrid/>
              <w:spacing w:before="75" w:line="360" w:lineRule="exact"/>
              <w:ind w:left="21"/>
              <w:textAlignment w:val="auto"/>
              <w:rPr>
                <w:rFonts w:hint="eastAsia"/>
                <w:color w:val="auto"/>
              </w:rPr>
            </w:pPr>
            <w:r>
              <w:rPr>
                <w:rFonts w:hint="eastAsia"/>
                <w:color w:val="auto"/>
                <w:spacing w:val="5"/>
              </w:rPr>
              <w:t>空调设备</w:t>
            </w:r>
          </w:p>
        </w:tc>
        <w:tc>
          <w:tcPr>
            <w:tcW w:w="1914" w:type="dxa"/>
            <w:noWrap w:val="0"/>
            <w:vAlign w:val="top"/>
          </w:tcPr>
          <w:p w14:paraId="1C5F9F8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4CFDE1C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6580BE65">
            <w:pPr>
              <w:pStyle w:val="31"/>
              <w:keepNext w:val="0"/>
              <w:keepLines w:val="0"/>
              <w:pageBreakBefore w:val="0"/>
              <w:widowControl w:val="0"/>
              <w:kinsoku/>
              <w:wordWrap/>
              <w:overflowPunct/>
              <w:topLinePunct w:val="0"/>
              <w:autoSpaceDE/>
              <w:autoSpaceDN/>
              <w:bidi w:val="0"/>
              <w:adjustRightInd/>
              <w:snapToGrid/>
              <w:spacing w:before="62" w:line="360" w:lineRule="exact"/>
              <w:ind w:left="18"/>
              <w:textAlignment w:val="auto"/>
              <w:rPr>
                <w:rFonts w:hint="eastAsia"/>
                <w:color w:val="auto"/>
              </w:rPr>
            </w:pPr>
            <w:r>
              <w:rPr>
                <w:rFonts w:hint="eastAsia"/>
                <w:color w:val="auto"/>
                <w:spacing w:val="6"/>
              </w:rPr>
              <w:t>冷却塔</w:t>
            </w:r>
          </w:p>
        </w:tc>
        <w:tc>
          <w:tcPr>
            <w:tcW w:w="3957" w:type="dxa"/>
            <w:noWrap w:val="0"/>
            <w:vAlign w:val="top"/>
          </w:tcPr>
          <w:p w14:paraId="3307C2FC">
            <w:pPr>
              <w:pStyle w:val="31"/>
              <w:keepNext w:val="0"/>
              <w:keepLines w:val="0"/>
              <w:pageBreakBefore w:val="0"/>
              <w:widowControl w:val="0"/>
              <w:kinsoku/>
              <w:wordWrap/>
              <w:overflowPunct/>
              <w:topLinePunct w:val="0"/>
              <w:autoSpaceDE/>
              <w:autoSpaceDN/>
              <w:bidi w:val="0"/>
              <w:adjustRightInd/>
              <w:snapToGrid/>
              <w:spacing w:before="284" w:line="360" w:lineRule="exact"/>
              <w:ind w:left="23"/>
              <w:textAlignment w:val="auto"/>
              <w:rPr>
                <w:rFonts w:hint="eastAsia"/>
                <w:color w:val="auto"/>
                <w:lang w:eastAsia="zh-CN"/>
              </w:rPr>
            </w:pPr>
            <w:r>
              <w:rPr>
                <w:rFonts w:hint="eastAsia"/>
                <w:color w:val="auto"/>
                <w:spacing w:val="2"/>
                <w:lang w:eastAsia="zh-CN"/>
              </w:rPr>
              <w:t>《机械通风冷却塔 第 1 部分：中</w:t>
            </w:r>
            <w:r>
              <w:rPr>
                <w:rFonts w:hint="eastAsia"/>
                <w:color w:val="auto"/>
                <w:spacing w:val="3"/>
                <w:lang w:eastAsia="zh-CN"/>
              </w:rPr>
              <w:t xml:space="preserve"> </w:t>
            </w:r>
            <w:r>
              <w:rPr>
                <w:rFonts w:hint="eastAsia"/>
                <w:color w:val="auto"/>
                <w:spacing w:val="-6"/>
                <w:lang w:eastAsia="zh-CN"/>
              </w:rPr>
              <w:t>小型开式冷却塔》（GB</w:t>
            </w:r>
            <w:r>
              <w:rPr>
                <w:rFonts w:hint="eastAsia"/>
                <w:color w:val="auto"/>
                <w:spacing w:val="-36"/>
                <w:lang w:eastAsia="zh-CN"/>
              </w:rPr>
              <w:t xml:space="preserve"> </w:t>
            </w:r>
            <w:r>
              <w:rPr>
                <w:rFonts w:hint="eastAsia"/>
                <w:color w:val="auto"/>
                <w:spacing w:val="-6"/>
                <w:lang w:eastAsia="zh-CN"/>
              </w:rPr>
              <w:t>/T</w:t>
            </w:r>
            <w:r>
              <w:rPr>
                <w:rFonts w:hint="eastAsia"/>
                <w:color w:val="auto"/>
                <w:spacing w:val="-31"/>
                <w:lang w:eastAsia="zh-CN"/>
              </w:rPr>
              <w:t xml:space="preserve"> </w:t>
            </w:r>
            <w:r>
              <w:rPr>
                <w:rFonts w:hint="eastAsia"/>
                <w:color w:val="auto"/>
                <w:spacing w:val="-6"/>
                <w:lang w:eastAsia="zh-CN"/>
              </w:rPr>
              <w:t>7190.1</w:t>
            </w:r>
            <w:r>
              <w:rPr>
                <w:rFonts w:hint="eastAsia"/>
                <w:color w:val="auto"/>
                <w:spacing w:val="-49"/>
                <w:w w:val="97"/>
                <w:lang w:eastAsia="zh-CN"/>
              </w:rPr>
              <w:t>）；</w:t>
            </w:r>
            <w:r>
              <w:rPr>
                <w:rFonts w:hint="eastAsia"/>
                <w:color w:val="auto"/>
                <w:lang w:eastAsia="zh-CN"/>
              </w:rPr>
              <w:t xml:space="preserve"> </w:t>
            </w:r>
            <w:r>
              <w:rPr>
                <w:rFonts w:hint="eastAsia"/>
                <w:color w:val="auto"/>
                <w:spacing w:val="2"/>
                <w:lang w:eastAsia="zh-CN"/>
              </w:rPr>
              <w:t>《机械通风冷却塔 第 2 部分：大</w:t>
            </w:r>
            <w:r>
              <w:rPr>
                <w:rFonts w:hint="eastAsia"/>
                <w:color w:val="auto"/>
                <w:spacing w:val="3"/>
                <w:lang w:eastAsia="zh-CN"/>
              </w:rPr>
              <w:t xml:space="preserve"> </w:t>
            </w:r>
            <w:r>
              <w:rPr>
                <w:rFonts w:hint="eastAsia"/>
                <w:color w:val="auto"/>
                <w:spacing w:val="4"/>
                <w:lang w:eastAsia="zh-CN"/>
              </w:rPr>
              <w:t>型开式冷却塔》（</w:t>
            </w:r>
            <w:r>
              <w:rPr>
                <w:rFonts w:hint="eastAsia"/>
                <w:color w:val="auto"/>
                <w:lang w:eastAsia="zh-CN"/>
              </w:rPr>
              <w:t>GB</w:t>
            </w:r>
            <w:r>
              <w:rPr>
                <w:rFonts w:hint="eastAsia"/>
                <w:color w:val="auto"/>
                <w:spacing w:val="4"/>
                <w:lang w:eastAsia="zh-CN"/>
              </w:rPr>
              <w:t xml:space="preserve"> /T 7190.2）</w:t>
            </w:r>
          </w:p>
        </w:tc>
      </w:tr>
      <w:tr w14:paraId="210298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noWrap w:val="0"/>
            <w:vAlign w:val="top"/>
          </w:tcPr>
          <w:p w14:paraId="682110C0">
            <w:pPr>
              <w:pStyle w:val="31"/>
              <w:keepNext w:val="0"/>
              <w:keepLines w:val="0"/>
              <w:pageBreakBefore w:val="0"/>
              <w:widowControl w:val="0"/>
              <w:kinsoku/>
              <w:wordWrap/>
              <w:overflowPunct/>
              <w:topLinePunct w:val="0"/>
              <w:autoSpaceDE/>
              <w:autoSpaceDN/>
              <w:bidi w:val="0"/>
              <w:adjustRightInd/>
              <w:snapToGrid/>
              <w:spacing w:before="272" w:line="360" w:lineRule="exact"/>
              <w:ind w:left="247"/>
              <w:textAlignment w:val="auto"/>
              <w:rPr>
                <w:rFonts w:hint="eastAsia"/>
                <w:color w:val="auto"/>
              </w:rPr>
            </w:pPr>
            <w:r>
              <w:rPr>
                <w:rFonts w:hint="eastAsia"/>
                <w:color w:val="auto"/>
                <w:position w:val="1"/>
              </w:rPr>
              <w:t>7</w:t>
            </w:r>
          </w:p>
        </w:tc>
        <w:tc>
          <w:tcPr>
            <w:tcW w:w="1166" w:type="dxa"/>
            <w:noWrap w:val="0"/>
            <w:vAlign w:val="top"/>
          </w:tcPr>
          <w:p w14:paraId="5AE173CC">
            <w:pPr>
              <w:pStyle w:val="31"/>
              <w:keepNext w:val="0"/>
              <w:keepLines w:val="0"/>
              <w:pageBreakBefore w:val="0"/>
              <w:widowControl w:val="0"/>
              <w:kinsoku/>
              <w:wordWrap/>
              <w:overflowPunct/>
              <w:topLinePunct w:val="0"/>
              <w:autoSpaceDE/>
              <w:autoSpaceDN/>
              <w:bidi w:val="0"/>
              <w:adjustRightInd/>
              <w:snapToGrid/>
              <w:spacing w:before="273" w:line="360" w:lineRule="exact"/>
              <w:ind w:left="9"/>
              <w:textAlignment w:val="auto"/>
              <w:rPr>
                <w:rFonts w:hint="eastAsia"/>
                <w:color w:val="auto"/>
              </w:rPr>
            </w:pPr>
            <w:r>
              <w:rPr>
                <w:rFonts w:hint="eastAsia"/>
                <w:color w:val="auto"/>
                <w:spacing w:val="3"/>
              </w:rPr>
              <w:t>A020601</w:t>
            </w:r>
            <w:r>
              <w:rPr>
                <w:rFonts w:hint="eastAsia"/>
                <w:color w:val="auto"/>
                <w:spacing w:val="-19"/>
              </w:rPr>
              <w:t xml:space="preserve"> </w:t>
            </w:r>
            <w:r>
              <w:rPr>
                <w:rFonts w:hint="eastAsia"/>
                <w:color w:val="auto"/>
                <w:spacing w:val="3"/>
              </w:rPr>
              <w:t>电机</w:t>
            </w:r>
          </w:p>
        </w:tc>
        <w:tc>
          <w:tcPr>
            <w:tcW w:w="1799" w:type="dxa"/>
            <w:noWrap w:val="0"/>
            <w:vAlign w:val="top"/>
          </w:tcPr>
          <w:p w14:paraId="5AAF621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914" w:type="dxa"/>
            <w:noWrap w:val="0"/>
            <w:vAlign w:val="top"/>
          </w:tcPr>
          <w:p w14:paraId="6D57E65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3957" w:type="dxa"/>
            <w:noWrap w:val="0"/>
            <w:vAlign w:val="top"/>
          </w:tcPr>
          <w:p w14:paraId="00F2BF6C">
            <w:pPr>
              <w:pStyle w:val="31"/>
              <w:keepNext w:val="0"/>
              <w:keepLines w:val="0"/>
              <w:pageBreakBefore w:val="0"/>
              <w:widowControl w:val="0"/>
              <w:kinsoku/>
              <w:wordWrap/>
              <w:overflowPunct/>
              <w:topLinePunct w:val="0"/>
              <w:autoSpaceDE/>
              <w:autoSpaceDN/>
              <w:bidi w:val="0"/>
              <w:adjustRightInd/>
              <w:snapToGrid/>
              <w:spacing w:before="116" w:line="360" w:lineRule="exact"/>
              <w:ind w:left="22" w:right="11"/>
              <w:textAlignment w:val="auto"/>
              <w:rPr>
                <w:rFonts w:hint="eastAsia"/>
                <w:color w:val="auto"/>
                <w:lang w:eastAsia="zh-CN"/>
              </w:rPr>
            </w:pPr>
            <w:r>
              <w:rPr>
                <w:rFonts w:hint="eastAsia"/>
                <w:color w:val="auto"/>
                <w:spacing w:val="19"/>
                <w:lang w:eastAsia="zh-CN"/>
              </w:rPr>
              <w:t>《中小型三相异步电动机能效限</w:t>
            </w:r>
            <w:r>
              <w:rPr>
                <w:rFonts w:hint="eastAsia"/>
                <w:color w:val="auto"/>
                <w:spacing w:val="2"/>
                <w:lang w:eastAsia="zh-CN"/>
              </w:rPr>
              <w:t xml:space="preserve"> </w:t>
            </w:r>
            <w:r>
              <w:rPr>
                <w:rFonts w:hint="eastAsia"/>
                <w:color w:val="auto"/>
                <w:spacing w:val="5"/>
                <w:lang w:eastAsia="zh-CN"/>
              </w:rPr>
              <w:t>定值及能效等级》（</w:t>
            </w:r>
            <w:r>
              <w:rPr>
                <w:rFonts w:hint="eastAsia"/>
                <w:color w:val="auto"/>
                <w:lang w:eastAsia="zh-CN"/>
              </w:rPr>
              <w:t>GB</w:t>
            </w:r>
            <w:r>
              <w:rPr>
                <w:rFonts w:hint="eastAsia"/>
                <w:color w:val="auto"/>
                <w:spacing w:val="42"/>
                <w:lang w:eastAsia="zh-CN"/>
              </w:rPr>
              <w:t xml:space="preserve"> </w:t>
            </w:r>
            <w:r>
              <w:rPr>
                <w:rFonts w:hint="eastAsia"/>
                <w:color w:val="auto"/>
                <w:spacing w:val="5"/>
                <w:lang w:eastAsia="zh-CN"/>
              </w:rPr>
              <w:t>18613）</w:t>
            </w:r>
          </w:p>
        </w:tc>
      </w:tr>
      <w:tr w14:paraId="11248D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noWrap w:val="0"/>
            <w:vAlign w:val="top"/>
          </w:tcPr>
          <w:p w14:paraId="54F2B9D2">
            <w:pPr>
              <w:pStyle w:val="31"/>
              <w:keepNext w:val="0"/>
              <w:keepLines w:val="0"/>
              <w:pageBreakBefore w:val="0"/>
              <w:widowControl w:val="0"/>
              <w:kinsoku/>
              <w:wordWrap/>
              <w:overflowPunct/>
              <w:topLinePunct w:val="0"/>
              <w:autoSpaceDE/>
              <w:autoSpaceDN/>
              <w:bidi w:val="0"/>
              <w:adjustRightInd/>
              <w:snapToGrid/>
              <w:spacing w:before="251" w:line="360" w:lineRule="exact"/>
              <w:ind w:left="243"/>
              <w:textAlignment w:val="auto"/>
              <w:rPr>
                <w:rFonts w:hint="eastAsia"/>
                <w:color w:val="auto"/>
              </w:rPr>
            </w:pPr>
            <w:r>
              <w:rPr>
                <w:rFonts w:hint="eastAsia"/>
                <w:color w:val="auto"/>
                <w:position w:val="1"/>
              </w:rPr>
              <w:t>8</w:t>
            </w:r>
          </w:p>
        </w:tc>
        <w:tc>
          <w:tcPr>
            <w:tcW w:w="1166" w:type="dxa"/>
            <w:noWrap w:val="0"/>
            <w:vAlign w:val="top"/>
          </w:tcPr>
          <w:p w14:paraId="728D0C09">
            <w:pPr>
              <w:pStyle w:val="31"/>
              <w:keepNext w:val="0"/>
              <w:keepLines w:val="0"/>
              <w:pageBreakBefore w:val="0"/>
              <w:widowControl w:val="0"/>
              <w:kinsoku/>
              <w:wordWrap/>
              <w:overflowPunct/>
              <w:topLinePunct w:val="0"/>
              <w:autoSpaceDE/>
              <w:autoSpaceDN/>
              <w:bidi w:val="0"/>
              <w:adjustRightInd/>
              <w:snapToGrid/>
              <w:spacing w:before="96" w:line="360" w:lineRule="exact"/>
              <w:ind w:left="15" w:right="8" w:hanging="6"/>
              <w:textAlignment w:val="auto"/>
              <w:rPr>
                <w:rFonts w:hint="eastAsia"/>
                <w:color w:val="auto"/>
              </w:rPr>
            </w:pPr>
            <w:r>
              <w:rPr>
                <w:rFonts w:hint="eastAsia"/>
                <w:color w:val="auto"/>
                <w:spacing w:val="5"/>
              </w:rPr>
              <w:t>A020602</w:t>
            </w:r>
            <w:r>
              <w:rPr>
                <w:rFonts w:hint="eastAsia"/>
                <w:color w:val="auto"/>
                <w:spacing w:val="-43"/>
              </w:rPr>
              <w:t xml:space="preserve"> </w:t>
            </w:r>
            <w:r>
              <w:rPr>
                <w:rFonts w:hint="eastAsia"/>
                <w:color w:val="auto"/>
                <w:spacing w:val="5"/>
              </w:rPr>
              <w:t>变压</w:t>
            </w:r>
            <w:r>
              <w:rPr>
                <w:rFonts w:hint="eastAsia"/>
                <w:color w:val="auto"/>
              </w:rPr>
              <w:t xml:space="preserve"> </w:t>
            </w:r>
            <w:r>
              <w:rPr>
                <w:rFonts w:hint="eastAsia"/>
                <w:color w:val="auto"/>
                <w:spacing w:val="1"/>
              </w:rPr>
              <w:t>器</w:t>
            </w:r>
          </w:p>
        </w:tc>
        <w:tc>
          <w:tcPr>
            <w:tcW w:w="1799" w:type="dxa"/>
            <w:noWrap w:val="0"/>
            <w:vAlign w:val="top"/>
          </w:tcPr>
          <w:p w14:paraId="06866FC0">
            <w:pPr>
              <w:pStyle w:val="31"/>
              <w:keepNext w:val="0"/>
              <w:keepLines w:val="0"/>
              <w:pageBreakBefore w:val="0"/>
              <w:widowControl w:val="0"/>
              <w:kinsoku/>
              <w:wordWrap/>
              <w:overflowPunct/>
              <w:topLinePunct w:val="0"/>
              <w:autoSpaceDE/>
              <w:autoSpaceDN/>
              <w:bidi w:val="0"/>
              <w:adjustRightInd/>
              <w:snapToGrid/>
              <w:spacing w:before="252" w:line="360" w:lineRule="exact"/>
              <w:ind w:left="15"/>
              <w:textAlignment w:val="auto"/>
              <w:rPr>
                <w:rFonts w:hint="eastAsia"/>
                <w:color w:val="auto"/>
              </w:rPr>
            </w:pPr>
            <w:r>
              <w:rPr>
                <w:rFonts w:hint="eastAsia"/>
                <w:color w:val="auto"/>
                <w:spacing w:val="8"/>
              </w:rPr>
              <w:t>配电变压器</w:t>
            </w:r>
          </w:p>
        </w:tc>
        <w:tc>
          <w:tcPr>
            <w:tcW w:w="1914" w:type="dxa"/>
            <w:noWrap w:val="0"/>
            <w:vAlign w:val="top"/>
          </w:tcPr>
          <w:p w14:paraId="3E1DE49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3957" w:type="dxa"/>
            <w:noWrap w:val="0"/>
            <w:vAlign w:val="top"/>
          </w:tcPr>
          <w:p w14:paraId="57139CB8">
            <w:pPr>
              <w:pStyle w:val="31"/>
              <w:keepNext w:val="0"/>
              <w:keepLines w:val="0"/>
              <w:pageBreakBefore w:val="0"/>
              <w:widowControl w:val="0"/>
              <w:kinsoku/>
              <w:wordWrap/>
              <w:overflowPunct/>
              <w:topLinePunct w:val="0"/>
              <w:autoSpaceDE/>
              <w:autoSpaceDN/>
              <w:bidi w:val="0"/>
              <w:adjustRightInd/>
              <w:snapToGrid/>
              <w:spacing w:before="96" w:line="360" w:lineRule="exact"/>
              <w:ind w:left="25" w:right="11" w:hanging="2"/>
              <w:textAlignment w:val="auto"/>
              <w:rPr>
                <w:rFonts w:hint="eastAsia"/>
                <w:color w:val="auto"/>
                <w:lang w:eastAsia="zh-CN"/>
              </w:rPr>
            </w:pPr>
            <w:r>
              <w:rPr>
                <w:rFonts w:hint="eastAsia"/>
                <w:color w:val="auto"/>
                <w:spacing w:val="19"/>
                <w:lang w:eastAsia="zh-CN"/>
              </w:rPr>
              <w:t>《三相配电变压器能效限定值及</w:t>
            </w:r>
            <w:r>
              <w:rPr>
                <w:rFonts w:hint="eastAsia"/>
                <w:color w:val="auto"/>
                <w:spacing w:val="2"/>
                <w:lang w:eastAsia="zh-CN"/>
              </w:rPr>
              <w:t xml:space="preserve"> </w:t>
            </w:r>
            <w:r>
              <w:rPr>
                <w:rFonts w:hint="eastAsia"/>
                <w:color w:val="auto"/>
                <w:spacing w:val="6"/>
                <w:lang w:eastAsia="zh-CN"/>
              </w:rPr>
              <w:t>能效等级》（</w:t>
            </w:r>
            <w:r>
              <w:rPr>
                <w:rFonts w:hint="eastAsia"/>
                <w:color w:val="auto"/>
                <w:lang w:eastAsia="zh-CN"/>
              </w:rPr>
              <w:t>GB</w:t>
            </w:r>
            <w:r>
              <w:rPr>
                <w:rFonts w:hint="eastAsia"/>
                <w:color w:val="auto"/>
                <w:spacing w:val="6"/>
                <w:lang w:eastAsia="zh-CN"/>
              </w:rPr>
              <w:t xml:space="preserve"> 20052）</w:t>
            </w:r>
          </w:p>
        </w:tc>
      </w:tr>
      <w:tr w14:paraId="6861F8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noWrap w:val="0"/>
            <w:vAlign w:val="top"/>
          </w:tcPr>
          <w:p w14:paraId="7B30ECC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2B686B25">
            <w:pPr>
              <w:pStyle w:val="31"/>
              <w:keepNext w:val="0"/>
              <w:keepLines w:val="0"/>
              <w:pageBreakBefore w:val="0"/>
              <w:widowControl w:val="0"/>
              <w:kinsoku/>
              <w:wordWrap/>
              <w:overflowPunct/>
              <w:topLinePunct w:val="0"/>
              <w:autoSpaceDE/>
              <w:autoSpaceDN/>
              <w:bidi w:val="0"/>
              <w:adjustRightInd/>
              <w:snapToGrid/>
              <w:spacing w:before="62" w:line="360" w:lineRule="exact"/>
              <w:ind w:left="243"/>
              <w:textAlignment w:val="auto"/>
              <w:rPr>
                <w:rFonts w:hint="eastAsia"/>
                <w:color w:val="auto"/>
              </w:rPr>
            </w:pPr>
            <w:r>
              <w:rPr>
                <w:rFonts w:hint="eastAsia"/>
                <w:color w:val="auto"/>
                <w:position w:val="1"/>
              </w:rPr>
              <w:t>9</w:t>
            </w:r>
          </w:p>
        </w:tc>
        <w:tc>
          <w:tcPr>
            <w:tcW w:w="1166" w:type="dxa"/>
            <w:noWrap w:val="0"/>
            <w:vAlign w:val="top"/>
          </w:tcPr>
          <w:p w14:paraId="18AC4E9F">
            <w:pPr>
              <w:pStyle w:val="31"/>
              <w:keepNext w:val="0"/>
              <w:keepLines w:val="0"/>
              <w:pageBreakBefore w:val="0"/>
              <w:widowControl w:val="0"/>
              <w:kinsoku/>
              <w:wordWrap/>
              <w:overflowPunct/>
              <w:topLinePunct w:val="0"/>
              <w:autoSpaceDE/>
              <w:autoSpaceDN/>
              <w:bidi w:val="0"/>
              <w:adjustRightInd/>
              <w:snapToGrid/>
              <w:spacing w:before="192" w:line="360" w:lineRule="exact"/>
              <w:ind w:left="16" w:right="8" w:firstLine="2"/>
              <w:textAlignment w:val="auto"/>
              <w:rPr>
                <w:rFonts w:hint="eastAsia"/>
                <w:color w:val="auto"/>
              </w:rPr>
            </w:pPr>
            <w:r>
              <w:rPr>
                <w:rFonts w:hint="eastAsia"/>
                <w:color w:val="auto"/>
                <w:spacing w:val="4"/>
              </w:rPr>
              <w:t>★A020609</w:t>
            </w:r>
            <w:r>
              <w:rPr>
                <w:rFonts w:hint="eastAsia"/>
                <w:color w:val="auto"/>
                <w:spacing w:val="-43"/>
              </w:rPr>
              <w:t xml:space="preserve"> </w:t>
            </w:r>
            <w:r>
              <w:rPr>
                <w:rFonts w:hint="eastAsia"/>
                <w:color w:val="auto"/>
                <w:spacing w:val="4"/>
              </w:rPr>
              <w:t>镇</w:t>
            </w:r>
            <w:r>
              <w:rPr>
                <w:rFonts w:hint="eastAsia"/>
                <w:color w:val="auto"/>
              </w:rPr>
              <w:t xml:space="preserve"> </w:t>
            </w:r>
            <w:r>
              <w:rPr>
                <w:rFonts w:hint="eastAsia"/>
                <w:color w:val="auto"/>
                <w:spacing w:val="4"/>
              </w:rPr>
              <w:t>流器</w:t>
            </w:r>
          </w:p>
        </w:tc>
        <w:tc>
          <w:tcPr>
            <w:tcW w:w="1799" w:type="dxa"/>
            <w:noWrap w:val="0"/>
            <w:vAlign w:val="top"/>
          </w:tcPr>
          <w:p w14:paraId="7C3DE21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5263CE06">
            <w:pPr>
              <w:pStyle w:val="31"/>
              <w:keepNext w:val="0"/>
              <w:keepLines w:val="0"/>
              <w:pageBreakBefore w:val="0"/>
              <w:widowControl w:val="0"/>
              <w:kinsoku/>
              <w:wordWrap/>
              <w:overflowPunct/>
              <w:topLinePunct w:val="0"/>
              <w:autoSpaceDE/>
              <w:autoSpaceDN/>
              <w:bidi w:val="0"/>
              <w:adjustRightInd/>
              <w:snapToGrid/>
              <w:spacing w:before="62" w:line="360" w:lineRule="exact"/>
              <w:ind w:left="19"/>
              <w:textAlignment w:val="auto"/>
              <w:rPr>
                <w:rFonts w:hint="eastAsia"/>
                <w:color w:val="auto"/>
              </w:rPr>
            </w:pPr>
            <w:r>
              <w:rPr>
                <w:rFonts w:hint="eastAsia"/>
                <w:color w:val="auto"/>
                <w:spacing w:val="8"/>
              </w:rPr>
              <w:t>管型荧光灯镇流器</w:t>
            </w:r>
          </w:p>
        </w:tc>
        <w:tc>
          <w:tcPr>
            <w:tcW w:w="1914" w:type="dxa"/>
            <w:noWrap w:val="0"/>
            <w:vAlign w:val="top"/>
          </w:tcPr>
          <w:p w14:paraId="7638F3B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3957" w:type="dxa"/>
            <w:noWrap w:val="0"/>
            <w:vAlign w:val="top"/>
          </w:tcPr>
          <w:p w14:paraId="03BB3D08">
            <w:pPr>
              <w:pStyle w:val="31"/>
              <w:keepNext w:val="0"/>
              <w:keepLines w:val="0"/>
              <w:pageBreakBefore w:val="0"/>
              <w:widowControl w:val="0"/>
              <w:kinsoku/>
              <w:wordWrap/>
              <w:overflowPunct/>
              <w:topLinePunct w:val="0"/>
              <w:autoSpaceDE/>
              <w:autoSpaceDN/>
              <w:bidi w:val="0"/>
              <w:adjustRightInd/>
              <w:snapToGrid/>
              <w:spacing w:before="192" w:line="360" w:lineRule="exact"/>
              <w:ind w:left="17" w:right="11" w:firstLine="6"/>
              <w:textAlignment w:val="auto"/>
              <w:rPr>
                <w:rFonts w:hint="eastAsia"/>
                <w:color w:val="auto"/>
                <w:lang w:eastAsia="zh-CN"/>
              </w:rPr>
            </w:pPr>
            <w:r>
              <w:rPr>
                <w:rFonts w:hint="eastAsia"/>
                <w:color w:val="auto"/>
                <w:spacing w:val="19"/>
                <w:lang w:eastAsia="zh-CN"/>
              </w:rPr>
              <w:t>《管形荧光灯镇流器能效限定值</w:t>
            </w:r>
            <w:r>
              <w:rPr>
                <w:rFonts w:hint="eastAsia"/>
                <w:color w:val="auto"/>
                <w:spacing w:val="2"/>
                <w:lang w:eastAsia="zh-CN"/>
              </w:rPr>
              <w:t xml:space="preserve"> </w:t>
            </w:r>
            <w:r>
              <w:rPr>
                <w:rFonts w:hint="eastAsia"/>
                <w:color w:val="auto"/>
                <w:spacing w:val="5"/>
                <w:lang w:eastAsia="zh-CN"/>
              </w:rPr>
              <w:t>及能效等级》（</w:t>
            </w:r>
            <w:r>
              <w:rPr>
                <w:rFonts w:hint="eastAsia"/>
                <w:color w:val="auto"/>
                <w:lang w:eastAsia="zh-CN"/>
              </w:rPr>
              <w:t>GB</w:t>
            </w:r>
            <w:r>
              <w:rPr>
                <w:rFonts w:hint="eastAsia"/>
                <w:color w:val="auto"/>
                <w:spacing w:val="39"/>
                <w:lang w:eastAsia="zh-CN"/>
              </w:rPr>
              <w:t xml:space="preserve"> </w:t>
            </w:r>
            <w:r>
              <w:rPr>
                <w:rFonts w:hint="eastAsia"/>
                <w:color w:val="auto"/>
                <w:spacing w:val="5"/>
                <w:lang w:eastAsia="zh-CN"/>
              </w:rPr>
              <w:t>17896）</w:t>
            </w:r>
          </w:p>
        </w:tc>
      </w:tr>
      <w:tr w14:paraId="6096C1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restart"/>
            <w:tcBorders>
              <w:bottom w:val="nil"/>
            </w:tcBorders>
            <w:noWrap w:val="0"/>
            <w:vAlign w:val="top"/>
          </w:tcPr>
          <w:p w14:paraId="166B6EB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1B07ED8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5EDCBE7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45516BD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4EE0CC4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374254B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3044C89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5B58AD0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1BFE1E3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3953F87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2C533C23">
            <w:pPr>
              <w:pStyle w:val="31"/>
              <w:keepNext w:val="0"/>
              <w:keepLines w:val="0"/>
              <w:pageBreakBefore w:val="0"/>
              <w:widowControl w:val="0"/>
              <w:kinsoku/>
              <w:wordWrap/>
              <w:overflowPunct/>
              <w:topLinePunct w:val="0"/>
              <w:autoSpaceDE/>
              <w:autoSpaceDN/>
              <w:bidi w:val="0"/>
              <w:adjustRightInd/>
              <w:snapToGrid/>
              <w:spacing w:before="62" w:line="360" w:lineRule="exact"/>
              <w:ind w:left="209"/>
              <w:textAlignment w:val="auto"/>
              <w:rPr>
                <w:rFonts w:hint="eastAsia"/>
                <w:color w:val="auto"/>
              </w:rPr>
            </w:pPr>
            <w:r>
              <w:rPr>
                <w:rFonts w:hint="eastAsia"/>
                <w:color w:val="auto"/>
                <w:spacing w:val="-7"/>
                <w:position w:val="1"/>
              </w:rPr>
              <w:t>10</w:t>
            </w:r>
          </w:p>
        </w:tc>
        <w:tc>
          <w:tcPr>
            <w:tcW w:w="1166" w:type="dxa"/>
            <w:vMerge w:val="restart"/>
            <w:tcBorders>
              <w:bottom w:val="nil"/>
            </w:tcBorders>
            <w:noWrap w:val="0"/>
            <w:vAlign w:val="top"/>
          </w:tcPr>
          <w:p w14:paraId="3F3FC8B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27F11E2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6BD5A8D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7285584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2C696BF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6EBCA38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6CB7290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48DA416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52EA5F2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673356C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1B3C2FB0">
            <w:pPr>
              <w:pStyle w:val="31"/>
              <w:keepNext w:val="0"/>
              <w:keepLines w:val="0"/>
              <w:pageBreakBefore w:val="0"/>
              <w:widowControl w:val="0"/>
              <w:kinsoku/>
              <w:wordWrap/>
              <w:overflowPunct/>
              <w:topLinePunct w:val="0"/>
              <w:autoSpaceDE/>
              <w:autoSpaceDN/>
              <w:bidi w:val="0"/>
              <w:adjustRightInd/>
              <w:snapToGrid/>
              <w:spacing w:before="62" w:line="360" w:lineRule="exact"/>
              <w:ind w:left="16" w:right="8" w:hanging="7"/>
              <w:textAlignment w:val="auto"/>
              <w:rPr>
                <w:rFonts w:hint="eastAsia"/>
                <w:color w:val="auto"/>
              </w:rPr>
            </w:pPr>
            <w:r>
              <w:rPr>
                <w:rFonts w:hint="eastAsia"/>
                <w:color w:val="auto"/>
                <w:spacing w:val="4"/>
              </w:rPr>
              <w:t>A020618</w:t>
            </w:r>
            <w:r>
              <w:rPr>
                <w:rFonts w:hint="eastAsia"/>
                <w:color w:val="auto"/>
                <w:spacing w:val="-34"/>
              </w:rPr>
              <w:t xml:space="preserve"> </w:t>
            </w:r>
            <w:r>
              <w:rPr>
                <w:rFonts w:hint="eastAsia"/>
                <w:color w:val="auto"/>
                <w:spacing w:val="4"/>
              </w:rPr>
              <w:t>生活</w:t>
            </w:r>
            <w:r>
              <w:rPr>
                <w:rFonts w:hint="eastAsia"/>
                <w:color w:val="auto"/>
              </w:rPr>
              <w:t xml:space="preserve"> </w:t>
            </w:r>
            <w:r>
              <w:rPr>
                <w:rFonts w:hint="eastAsia"/>
                <w:color w:val="auto"/>
                <w:spacing w:val="6"/>
              </w:rPr>
              <w:t>用电器</w:t>
            </w:r>
          </w:p>
        </w:tc>
        <w:tc>
          <w:tcPr>
            <w:tcW w:w="1799" w:type="dxa"/>
            <w:noWrap w:val="0"/>
            <w:vAlign w:val="top"/>
          </w:tcPr>
          <w:p w14:paraId="5B607B04">
            <w:pPr>
              <w:pStyle w:val="31"/>
              <w:keepNext w:val="0"/>
              <w:keepLines w:val="0"/>
              <w:pageBreakBefore w:val="0"/>
              <w:widowControl w:val="0"/>
              <w:kinsoku/>
              <w:wordWrap/>
              <w:overflowPunct/>
              <w:topLinePunct w:val="0"/>
              <w:autoSpaceDE/>
              <w:autoSpaceDN/>
              <w:bidi w:val="0"/>
              <w:adjustRightInd/>
              <w:snapToGrid/>
              <w:spacing w:before="276" w:line="360" w:lineRule="exact"/>
              <w:ind w:left="9"/>
              <w:textAlignment w:val="auto"/>
              <w:rPr>
                <w:rFonts w:hint="eastAsia"/>
                <w:color w:val="auto"/>
              </w:rPr>
            </w:pPr>
            <w:r>
              <w:rPr>
                <w:rFonts w:hint="eastAsia"/>
                <w:color w:val="auto"/>
                <w:spacing w:val="3"/>
              </w:rPr>
              <w:t>A0206180101</w:t>
            </w:r>
            <w:r>
              <w:rPr>
                <w:rFonts w:hint="eastAsia"/>
                <w:color w:val="auto"/>
                <w:spacing w:val="-4"/>
              </w:rPr>
              <w:t xml:space="preserve"> </w:t>
            </w:r>
            <w:r>
              <w:rPr>
                <w:rFonts w:hint="eastAsia"/>
                <w:color w:val="auto"/>
                <w:spacing w:val="3"/>
              </w:rPr>
              <w:t>电冰箱</w:t>
            </w:r>
          </w:p>
        </w:tc>
        <w:tc>
          <w:tcPr>
            <w:tcW w:w="1914" w:type="dxa"/>
            <w:noWrap w:val="0"/>
            <w:vAlign w:val="top"/>
          </w:tcPr>
          <w:p w14:paraId="44BE4CA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3957" w:type="dxa"/>
            <w:noWrap w:val="0"/>
            <w:vAlign w:val="top"/>
          </w:tcPr>
          <w:p w14:paraId="4BA728DE">
            <w:pPr>
              <w:pStyle w:val="31"/>
              <w:keepNext w:val="0"/>
              <w:keepLines w:val="0"/>
              <w:pageBreakBefore w:val="0"/>
              <w:widowControl w:val="0"/>
              <w:kinsoku/>
              <w:wordWrap/>
              <w:overflowPunct/>
              <w:topLinePunct w:val="0"/>
              <w:autoSpaceDE/>
              <w:autoSpaceDN/>
              <w:bidi w:val="0"/>
              <w:adjustRightInd/>
              <w:snapToGrid/>
              <w:spacing w:before="119" w:line="360" w:lineRule="exact"/>
              <w:ind w:left="22" w:right="11"/>
              <w:textAlignment w:val="auto"/>
              <w:rPr>
                <w:rFonts w:hint="eastAsia"/>
                <w:color w:val="auto"/>
                <w:lang w:eastAsia="zh-CN"/>
              </w:rPr>
            </w:pPr>
            <w:r>
              <w:rPr>
                <w:rFonts w:hint="eastAsia"/>
                <w:color w:val="auto"/>
                <w:spacing w:val="19"/>
                <w:lang w:eastAsia="zh-CN"/>
              </w:rPr>
              <w:t>《家用电冰箱耗电量限定值及能</w:t>
            </w:r>
            <w:r>
              <w:rPr>
                <w:rFonts w:hint="eastAsia"/>
                <w:color w:val="auto"/>
                <w:spacing w:val="2"/>
                <w:lang w:eastAsia="zh-CN"/>
              </w:rPr>
              <w:t xml:space="preserve"> </w:t>
            </w:r>
            <w:r>
              <w:rPr>
                <w:rFonts w:hint="eastAsia"/>
                <w:color w:val="auto"/>
                <w:spacing w:val="4"/>
                <w:lang w:eastAsia="zh-CN"/>
              </w:rPr>
              <w:t>效等级》（</w:t>
            </w:r>
            <w:r>
              <w:rPr>
                <w:rFonts w:hint="eastAsia"/>
                <w:color w:val="auto"/>
                <w:lang w:eastAsia="zh-CN"/>
              </w:rPr>
              <w:t>GB</w:t>
            </w:r>
            <w:r>
              <w:rPr>
                <w:rFonts w:hint="eastAsia"/>
                <w:color w:val="auto"/>
                <w:spacing w:val="20"/>
                <w:lang w:eastAsia="zh-CN"/>
              </w:rPr>
              <w:t xml:space="preserve">  </w:t>
            </w:r>
            <w:r>
              <w:rPr>
                <w:rFonts w:hint="eastAsia"/>
                <w:color w:val="auto"/>
                <w:spacing w:val="4"/>
                <w:lang w:eastAsia="zh-CN"/>
              </w:rPr>
              <w:t>12021.2）</w:t>
            </w:r>
          </w:p>
        </w:tc>
      </w:tr>
      <w:tr w14:paraId="683CB4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14:paraId="69C4D0F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166" w:type="dxa"/>
            <w:vMerge w:val="continue"/>
            <w:tcBorders>
              <w:top w:val="nil"/>
              <w:bottom w:val="nil"/>
            </w:tcBorders>
            <w:noWrap w:val="0"/>
            <w:vAlign w:val="top"/>
          </w:tcPr>
          <w:p w14:paraId="5694928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799" w:type="dxa"/>
            <w:vMerge w:val="restart"/>
            <w:tcBorders>
              <w:bottom w:val="nil"/>
            </w:tcBorders>
            <w:noWrap w:val="0"/>
            <w:vAlign w:val="top"/>
          </w:tcPr>
          <w:p w14:paraId="53BF1EA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2108471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0C3DA83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26BECC5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550CABF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1FE3BAA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2587D3E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50E929FA">
            <w:pPr>
              <w:pStyle w:val="31"/>
              <w:keepNext w:val="0"/>
              <w:keepLines w:val="0"/>
              <w:pageBreakBefore w:val="0"/>
              <w:widowControl w:val="0"/>
              <w:kinsoku/>
              <w:wordWrap/>
              <w:overflowPunct/>
              <w:topLinePunct w:val="0"/>
              <w:autoSpaceDE/>
              <w:autoSpaceDN/>
              <w:bidi w:val="0"/>
              <w:adjustRightInd/>
              <w:snapToGrid/>
              <w:spacing w:before="62" w:line="360" w:lineRule="exact"/>
              <w:ind w:left="14" w:right="10" w:firstLine="3"/>
              <w:textAlignment w:val="auto"/>
              <w:rPr>
                <w:rFonts w:hint="eastAsia"/>
                <w:color w:val="auto"/>
              </w:rPr>
            </w:pPr>
            <w:r>
              <w:rPr>
                <w:rFonts w:hint="eastAsia"/>
                <w:color w:val="auto"/>
                <w:spacing w:val="3"/>
              </w:rPr>
              <w:t>★A0206180203 空调</w:t>
            </w:r>
            <w:r>
              <w:rPr>
                <w:rFonts w:hint="eastAsia"/>
                <w:color w:val="auto"/>
                <w:spacing w:val="9"/>
              </w:rPr>
              <w:t xml:space="preserve"> </w:t>
            </w:r>
            <w:r>
              <w:rPr>
                <w:rFonts w:hint="eastAsia"/>
                <w:color w:val="auto"/>
                <w:spacing w:val="2"/>
              </w:rPr>
              <w:t>机</w:t>
            </w:r>
          </w:p>
        </w:tc>
        <w:tc>
          <w:tcPr>
            <w:tcW w:w="1914" w:type="dxa"/>
            <w:noWrap w:val="0"/>
            <w:vAlign w:val="top"/>
          </w:tcPr>
          <w:p w14:paraId="301169E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2B20167D">
            <w:pPr>
              <w:pStyle w:val="31"/>
              <w:keepNext w:val="0"/>
              <w:keepLines w:val="0"/>
              <w:pageBreakBefore w:val="0"/>
              <w:widowControl w:val="0"/>
              <w:kinsoku/>
              <w:wordWrap/>
              <w:overflowPunct/>
              <w:topLinePunct w:val="0"/>
              <w:autoSpaceDE/>
              <w:autoSpaceDN/>
              <w:bidi w:val="0"/>
              <w:adjustRightInd/>
              <w:snapToGrid/>
              <w:spacing w:before="62" w:line="360" w:lineRule="exact"/>
              <w:textAlignment w:val="auto"/>
              <w:rPr>
                <w:rFonts w:hint="eastAsia"/>
                <w:color w:val="auto"/>
              </w:rPr>
            </w:pPr>
            <w:r>
              <w:rPr>
                <w:rFonts w:hint="eastAsia"/>
                <w:color w:val="auto"/>
                <w:spacing w:val="8"/>
              </w:rPr>
              <w:t>房间空气调节器</w:t>
            </w:r>
          </w:p>
        </w:tc>
        <w:tc>
          <w:tcPr>
            <w:tcW w:w="3957" w:type="dxa"/>
            <w:noWrap w:val="0"/>
            <w:vAlign w:val="top"/>
          </w:tcPr>
          <w:p w14:paraId="1330812D">
            <w:pPr>
              <w:pStyle w:val="31"/>
              <w:keepNext w:val="0"/>
              <w:keepLines w:val="0"/>
              <w:pageBreakBefore w:val="0"/>
              <w:widowControl w:val="0"/>
              <w:kinsoku/>
              <w:wordWrap/>
              <w:overflowPunct/>
              <w:topLinePunct w:val="0"/>
              <w:autoSpaceDE/>
              <w:autoSpaceDN/>
              <w:bidi w:val="0"/>
              <w:adjustRightInd/>
              <w:snapToGrid/>
              <w:spacing w:before="68" w:line="360" w:lineRule="exact"/>
              <w:ind w:left="17" w:firstLine="5"/>
              <w:textAlignment w:val="auto"/>
              <w:rPr>
                <w:rFonts w:hint="eastAsia"/>
                <w:color w:val="auto"/>
                <w:lang w:eastAsia="zh-CN"/>
              </w:rPr>
            </w:pPr>
            <w:r>
              <w:rPr>
                <w:rFonts w:hint="eastAsia"/>
                <w:color w:val="auto"/>
                <w:spacing w:val="14"/>
                <w:lang w:eastAsia="zh-CN"/>
              </w:rPr>
              <w:t>《转速可控型房间空气调节器能</w:t>
            </w:r>
            <w:r>
              <w:rPr>
                <w:rFonts w:hint="eastAsia"/>
                <w:color w:val="auto"/>
                <w:lang w:eastAsia="zh-CN"/>
              </w:rPr>
              <w:t xml:space="preserve">  </w:t>
            </w:r>
            <w:r>
              <w:rPr>
                <w:rFonts w:hint="eastAsia"/>
                <w:color w:val="auto"/>
                <w:spacing w:val="-9"/>
                <w:lang w:eastAsia="zh-CN"/>
              </w:rPr>
              <w:t>效</w:t>
            </w:r>
            <w:r>
              <w:rPr>
                <w:rFonts w:hint="eastAsia"/>
                <w:color w:val="auto"/>
                <w:spacing w:val="-19"/>
                <w:lang w:eastAsia="zh-CN"/>
              </w:rPr>
              <w:t xml:space="preserve"> </w:t>
            </w:r>
            <w:r>
              <w:rPr>
                <w:rFonts w:hint="eastAsia"/>
                <w:color w:val="auto"/>
                <w:spacing w:val="-9"/>
                <w:lang w:eastAsia="zh-CN"/>
              </w:rPr>
              <w:t>限</w:t>
            </w:r>
            <w:r>
              <w:rPr>
                <w:rFonts w:hint="eastAsia"/>
                <w:color w:val="auto"/>
                <w:spacing w:val="-33"/>
                <w:lang w:eastAsia="zh-CN"/>
              </w:rPr>
              <w:t xml:space="preserve"> </w:t>
            </w:r>
            <w:r>
              <w:rPr>
                <w:rFonts w:hint="eastAsia"/>
                <w:color w:val="auto"/>
                <w:spacing w:val="-9"/>
                <w:lang w:eastAsia="zh-CN"/>
              </w:rPr>
              <w:t>定</w:t>
            </w:r>
            <w:r>
              <w:rPr>
                <w:rFonts w:hint="eastAsia"/>
                <w:color w:val="auto"/>
                <w:spacing w:val="-38"/>
                <w:lang w:eastAsia="zh-CN"/>
              </w:rPr>
              <w:t xml:space="preserve"> </w:t>
            </w:r>
            <w:r>
              <w:rPr>
                <w:rFonts w:hint="eastAsia"/>
                <w:color w:val="auto"/>
                <w:spacing w:val="-9"/>
                <w:lang w:eastAsia="zh-CN"/>
              </w:rPr>
              <w:t>值</w:t>
            </w:r>
            <w:r>
              <w:rPr>
                <w:rFonts w:hint="eastAsia"/>
                <w:color w:val="auto"/>
                <w:spacing w:val="-39"/>
                <w:lang w:eastAsia="zh-CN"/>
              </w:rPr>
              <w:t xml:space="preserve"> </w:t>
            </w:r>
            <w:r>
              <w:rPr>
                <w:rFonts w:hint="eastAsia"/>
                <w:color w:val="auto"/>
                <w:spacing w:val="-9"/>
                <w:lang w:eastAsia="zh-CN"/>
              </w:rPr>
              <w:t>及</w:t>
            </w:r>
            <w:r>
              <w:rPr>
                <w:rFonts w:hint="eastAsia"/>
                <w:color w:val="auto"/>
                <w:spacing w:val="-31"/>
                <w:lang w:eastAsia="zh-CN"/>
              </w:rPr>
              <w:t xml:space="preserve"> </w:t>
            </w:r>
            <w:r>
              <w:rPr>
                <w:rFonts w:hint="eastAsia"/>
                <w:color w:val="auto"/>
                <w:spacing w:val="-9"/>
                <w:lang w:eastAsia="zh-CN"/>
              </w:rPr>
              <w:t>能</w:t>
            </w:r>
            <w:r>
              <w:rPr>
                <w:rFonts w:hint="eastAsia"/>
                <w:color w:val="auto"/>
                <w:spacing w:val="-34"/>
                <w:lang w:eastAsia="zh-CN"/>
              </w:rPr>
              <w:t xml:space="preserve"> </w:t>
            </w:r>
            <w:r>
              <w:rPr>
                <w:rFonts w:hint="eastAsia"/>
                <w:color w:val="auto"/>
                <w:spacing w:val="-9"/>
                <w:lang w:eastAsia="zh-CN"/>
              </w:rPr>
              <w:t>效</w:t>
            </w:r>
            <w:r>
              <w:rPr>
                <w:rFonts w:hint="eastAsia"/>
                <w:color w:val="auto"/>
                <w:spacing w:val="-36"/>
                <w:lang w:eastAsia="zh-CN"/>
              </w:rPr>
              <w:t xml:space="preserve"> </w:t>
            </w:r>
            <w:r>
              <w:rPr>
                <w:rFonts w:hint="eastAsia"/>
                <w:color w:val="auto"/>
                <w:spacing w:val="-9"/>
                <w:lang w:eastAsia="zh-CN"/>
              </w:rPr>
              <w:t>等</w:t>
            </w:r>
            <w:r>
              <w:rPr>
                <w:rFonts w:hint="eastAsia"/>
                <w:color w:val="auto"/>
                <w:spacing w:val="-36"/>
                <w:lang w:eastAsia="zh-CN"/>
              </w:rPr>
              <w:t xml:space="preserve"> </w:t>
            </w:r>
            <w:r>
              <w:rPr>
                <w:rFonts w:hint="eastAsia"/>
                <w:color w:val="auto"/>
                <w:spacing w:val="-9"/>
                <w:lang w:eastAsia="zh-CN"/>
              </w:rPr>
              <w:t>级</w:t>
            </w:r>
            <w:r>
              <w:rPr>
                <w:rFonts w:hint="eastAsia"/>
                <w:color w:val="auto"/>
                <w:spacing w:val="-29"/>
                <w:lang w:eastAsia="zh-CN"/>
              </w:rPr>
              <w:t xml:space="preserve"> </w:t>
            </w:r>
            <w:r>
              <w:rPr>
                <w:rFonts w:hint="eastAsia"/>
                <w:color w:val="auto"/>
                <w:spacing w:val="-9"/>
                <w:lang w:eastAsia="zh-CN"/>
              </w:rPr>
              <w:t>》</w:t>
            </w:r>
            <w:r>
              <w:rPr>
                <w:rFonts w:hint="eastAsia"/>
                <w:color w:val="auto"/>
                <w:spacing w:val="-41"/>
                <w:lang w:eastAsia="zh-CN"/>
              </w:rPr>
              <w:t xml:space="preserve"> </w:t>
            </w:r>
            <w:r>
              <w:rPr>
                <w:rFonts w:hint="eastAsia"/>
                <w:color w:val="auto"/>
                <w:spacing w:val="-9"/>
                <w:lang w:eastAsia="zh-CN"/>
              </w:rPr>
              <w:t>（ GB</w:t>
            </w:r>
            <w:r>
              <w:rPr>
                <w:rFonts w:hint="eastAsia"/>
                <w:color w:val="auto"/>
                <w:lang w:eastAsia="zh-CN"/>
              </w:rPr>
              <w:t xml:space="preserve">  21455-2013</w:t>
            </w:r>
            <w:r>
              <w:rPr>
                <w:rFonts w:hint="eastAsia"/>
                <w:color w:val="auto"/>
                <w:spacing w:val="12"/>
                <w:lang w:eastAsia="zh-CN"/>
              </w:rPr>
              <w:t>），</w:t>
            </w:r>
            <w:r>
              <w:rPr>
                <w:rFonts w:hint="eastAsia"/>
                <w:color w:val="auto"/>
                <w:lang w:eastAsia="zh-CN"/>
              </w:rPr>
              <w:t>待 2019</w:t>
            </w:r>
            <w:r>
              <w:rPr>
                <w:rFonts w:hint="eastAsia"/>
                <w:color w:val="auto"/>
                <w:spacing w:val="-15"/>
                <w:lang w:eastAsia="zh-CN"/>
              </w:rPr>
              <w:t xml:space="preserve"> </w:t>
            </w:r>
            <w:r>
              <w:rPr>
                <w:rFonts w:hint="eastAsia"/>
                <w:color w:val="auto"/>
                <w:lang w:eastAsia="zh-CN"/>
              </w:rPr>
              <w:t>年修订发  布后，按《房间空气调节器能效限</w:t>
            </w:r>
            <w:r>
              <w:rPr>
                <w:rFonts w:hint="eastAsia"/>
                <w:color w:val="auto"/>
                <w:spacing w:val="4"/>
                <w:lang w:eastAsia="zh-CN"/>
              </w:rPr>
              <w:t xml:space="preserve">  </w:t>
            </w:r>
            <w:r>
              <w:rPr>
                <w:rFonts w:hint="eastAsia"/>
                <w:color w:val="auto"/>
                <w:spacing w:val="-5"/>
                <w:lang w:eastAsia="zh-CN"/>
              </w:rPr>
              <w:t>定值及能效等级》（GB21455-2019）</w:t>
            </w:r>
            <w:r>
              <w:rPr>
                <w:rFonts w:hint="eastAsia"/>
                <w:color w:val="auto"/>
                <w:spacing w:val="15"/>
                <w:lang w:eastAsia="zh-CN"/>
              </w:rPr>
              <w:t xml:space="preserve"> </w:t>
            </w:r>
            <w:r>
              <w:rPr>
                <w:rFonts w:hint="eastAsia"/>
                <w:color w:val="auto"/>
                <w:lang w:eastAsia="zh-CN"/>
              </w:rPr>
              <w:t>实施。</w:t>
            </w:r>
          </w:p>
        </w:tc>
      </w:tr>
      <w:tr w14:paraId="3A4C7A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14:paraId="3CB6FDC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166" w:type="dxa"/>
            <w:vMerge w:val="continue"/>
            <w:tcBorders>
              <w:top w:val="nil"/>
              <w:bottom w:val="nil"/>
            </w:tcBorders>
            <w:noWrap w:val="0"/>
            <w:vAlign w:val="top"/>
          </w:tcPr>
          <w:p w14:paraId="55DE3DF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799" w:type="dxa"/>
            <w:vMerge w:val="continue"/>
            <w:tcBorders>
              <w:top w:val="nil"/>
              <w:bottom w:val="nil"/>
            </w:tcBorders>
            <w:noWrap w:val="0"/>
            <w:vAlign w:val="top"/>
          </w:tcPr>
          <w:p w14:paraId="16501FE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914" w:type="dxa"/>
            <w:noWrap w:val="0"/>
            <w:vAlign w:val="top"/>
          </w:tcPr>
          <w:p w14:paraId="71815BCB">
            <w:pPr>
              <w:pStyle w:val="31"/>
              <w:keepNext w:val="0"/>
              <w:keepLines w:val="0"/>
              <w:pageBreakBefore w:val="0"/>
              <w:widowControl w:val="0"/>
              <w:kinsoku/>
              <w:wordWrap/>
              <w:overflowPunct/>
              <w:topLinePunct w:val="0"/>
              <w:autoSpaceDE/>
              <w:autoSpaceDN/>
              <w:bidi w:val="0"/>
              <w:adjustRightInd/>
              <w:snapToGrid/>
              <w:spacing w:before="71" w:line="360" w:lineRule="exact"/>
              <w:ind w:left="15" w:right="11" w:firstLine="10"/>
              <w:textAlignment w:val="auto"/>
              <w:rPr>
                <w:rFonts w:hint="eastAsia"/>
                <w:color w:val="auto"/>
                <w:lang w:eastAsia="zh-CN"/>
              </w:rPr>
            </w:pPr>
            <w:r>
              <w:rPr>
                <w:rFonts w:hint="eastAsia"/>
                <w:color w:val="auto"/>
                <w:spacing w:val="15"/>
                <w:lang w:eastAsia="zh-CN"/>
              </w:rPr>
              <w:t>多联式空调（热泵）</w:t>
            </w:r>
            <w:r>
              <w:rPr>
                <w:rFonts w:hint="eastAsia"/>
                <w:color w:val="auto"/>
                <w:spacing w:val="7"/>
                <w:lang w:eastAsia="zh-CN"/>
              </w:rPr>
              <w:t xml:space="preserve"> </w:t>
            </w:r>
            <w:r>
              <w:rPr>
                <w:rFonts w:hint="eastAsia"/>
                <w:color w:val="auto"/>
                <w:spacing w:val="-4"/>
                <w:lang w:eastAsia="zh-CN"/>
              </w:rPr>
              <w:t>机 组 （</w:t>
            </w:r>
            <w:r>
              <w:rPr>
                <w:rFonts w:hint="eastAsia"/>
                <w:color w:val="auto"/>
                <w:spacing w:val="28"/>
                <w:lang w:eastAsia="zh-CN"/>
              </w:rPr>
              <w:t xml:space="preserve"> </w:t>
            </w:r>
            <w:r>
              <w:rPr>
                <w:rFonts w:hint="eastAsia"/>
                <w:color w:val="auto"/>
                <w:spacing w:val="-4"/>
                <w:lang w:eastAsia="zh-CN"/>
              </w:rPr>
              <w:t>制 冷 量 ≤</w:t>
            </w:r>
            <w:r>
              <w:rPr>
                <w:rFonts w:hint="eastAsia"/>
                <w:color w:val="auto"/>
                <w:lang w:eastAsia="zh-CN"/>
              </w:rPr>
              <w:t xml:space="preserve"> </w:t>
            </w:r>
            <w:r>
              <w:rPr>
                <w:rFonts w:hint="eastAsia"/>
                <w:color w:val="auto"/>
                <w:spacing w:val="3"/>
                <w:lang w:eastAsia="zh-CN"/>
              </w:rPr>
              <w:t>14000W）</w:t>
            </w:r>
          </w:p>
        </w:tc>
        <w:tc>
          <w:tcPr>
            <w:tcW w:w="3957" w:type="dxa"/>
            <w:noWrap w:val="0"/>
            <w:vAlign w:val="top"/>
          </w:tcPr>
          <w:p w14:paraId="32AC0264">
            <w:pPr>
              <w:pStyle w:val="31"/>
              <w:keepNext w:val="0"/>
              <w:keepLines w:val="0"/>
              <w:pageBreakBefore w:val="0"/>
              <w:widowControl w:val="0"/>
              <w:kinsoku/>
              <w:wordWrap/>
              <w:overflowPunct/>
              <w:topLinePunct w:val="0"/>
              <w:autoSpaceDE/>
              <w:autoSpaceDN/>
              <w:bidi w:val="0"/>
              <w:adjustRightInd/>
              <w:snapToGrid/>
              <w:spacing w:before="225" w:line="360" w:lineRule="exact"/>
              <w:ind w:left="22"/>
              <w:textAlignment w:val="auto"/>
              <w:rPr>
                <w:rFonts w:hint="eastAsia"/>
                <w:color w:val="auto"/>
                <w:lang w:eastAsia="zh-CN"/>
              </w:rPr>
            </w:pPr>
            <w:r>
              <w:rPr>
                <w:rFonts w:hint="eastAsia"/>
                <w:color w:val="auto"/>
                <w:lang w:eastAsia="zh-CN"/>
              </w:rPr>
              <w:t>《多联式空调（热泵）机组能效限</w:t>
            </w:r>
            <w:r>
              <w:rPr>
                <w:rFonts w:hint="eastAsia"/>
                <w:color w:val="auto"/>
                <w:spacing w:val="2"/>
                <w:lang w:eastAsia="zh-CN"/>
              </w:rPr>
              <w:t xml:space="preserve">  </w:t>
            </w:r>
            <w:r>
              <w:rPr>
                <w:rFonts w:hint="eastAsia"/>
                <w:color w:val="auto"/>
                <w:spacing w:val="-4"/>
                <w:lang w:eastAsia="zh-CN"/>
              </w:rPr>
              <w:t>定值及能源效率等级》（GB</w:t>
            </w:r>
            <w:r>
              <w:rPr>
                <w:rFonts w:hint="eastAsia"/>
                <w:color w:val="auto"/>
                <w:spacing w:val="-24"/>
                <w:lang w:eastAsia="zh-CN"/>
              </w:rPr>
              <w:t xml:space="preserve"> </w:t>
            </w:r>
            <w:r>
              <w:rPr>
                <w:rFonts w:hint="eastAsia"/>
                <w:color w:val="auto"/>
                <w:spacing w:val="-4"/>
                <w:lang w:eastAsia="zh-CN"/>
              </w:rPr>
              <w:t>21454）</w:t>
            </w:r>
          </w:p>
        </w:tc>
      </w:tr>
      <w:tr w14:paraId="505E87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14:paraId="65A006D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166" w:type="dxa"/>
            <w:vMerge w:val="continue"/>
            <w:tcBorders>
              <w:top w:val="nil"/>
              <w:bottom w:val="nil"/>
            </w:tcBorders>
            <w:noWrap w:val="0"/>
            <w:vAlign w:val="top"/>
          </w:tcPr>
          <w:p w14:paraId="0C0539C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799" w:type="dxa"/>
            <w:vMerge w:val="continue"/>
            <w:tcBorders>
              <w:top w:val="nil"/>
            </w:tcBorders>
            <w:noWrap w:val="0"/>
            <w:vAlign w:val="top"/>
          </w:tcPr>
          <w:p w14:paraId="032C3A9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914" w:type="dxa"/>
            <w:noWrap w:val="0"/>
            <w:vAlign w:val="top"/>
          </w:tcPr>
          <w:p w14:paraId="7D8641B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02BF48C2">
            <w:pPr>
              <w:pStyle w:val="31"/>
              <w:keepNext w:val="0"/>
              <w:keepLines w:val="0"/>
              <w:pageBreakBefore w:val="0"/>
              <w:widowControl w:val="0"/>
              <w:kinsoku/>
              <w:wordWrap/>
              <w:overflowPunct/>
              <w:topLinePunct w:val="0"/>
              <w:autoSpaceDE/>
              <w:autoSpaceDN/>
              <w:bidi w:val="0"/>
              <w:adjustRightInd/>
              <w:snapToGrid/>
              <w:spacing w:before="61" w:line="360" w:lineRule="exact"/>
              <w:ind w:left="51" w:right="11" w:hanging="33"/>
              <w:textAlignment w:val="auto"/>
              <w:rPr>
                <w:rFonts w:hint="eastAsia"/>
                <w:color w:val="auto"/>
                <w:lang w:eastAsia="zh-CN"/>
              </w:rPr>
            </w:pPr>
            <w:r>
              <w:rPr>
                <w:rFonts w:hint="eastAsia"/>
                <w:color w:val="auto"/>
                <w:spacing w:val="44"/>
                <w:lang w:eastAsia="zh-CN"/>
              </w:rPr>
              <w:t>单元式空气调节机</w:t>
            </w:r>
            <w:r>
              <w:rPr>
                <w:rFonts w:hint="eastAsia"/>
                <w:color w:val="auto"/>
                <w:spacing w:val="6"/>
                <w:lang w:eastAsia="zh-CN"/>
              </w:rPr>
              <w:t xml:space="preserve"> </w:t>
            </w:r>
            <w:r>
              <w:rPr>
                <w:rFonts w:hint="eastAsia"/>
                <w:color w:val="auto"/>
                <w:spacing w:val="3"/>
                <w:lang w:eastAsia="zh-CN"/>
              </w:rPr>
              <w:t>(制冷量≤14000W)</w:t>
            </w:r>
          </w:p>
        </w:tc>
        <w:tc>
          <w:tcPr>
            <w:tcW w:w="3957" w:type="dxa"/>
            <w:noWrap w:val="0"/>
            <w:vAlign w:val="top"/>
          </w:tcPr>
          <w:p w14:paraId="408238D6">
            <w:pPr>
              <w:pStyle w:val="31"/>
              <w:keepNext w:val="0"/>
              <w:keepLines w:val="0"/>
              <w:pageBreakBefore w:val="0"/>
              <w:widowControl w:val="0"/>
              <w:kinsoku/>
              <w:wordWrap/>
              <w:overflowPunct/>
              <w:topLinePunct w:val="0"/>
              <w:autoSpaceDE/>
              <w:autoSpaceDN/>
              <w:bidi w:val="0"/>
              <w:adjustRightInd/>
              <w:snapToGrid/>
              <w:spacing w:before="72" w:line="360" w:lineRule="exact"/>
              <w:ind w:left="17" w:right="11" w:firstLine="6"/>
              <w:textAlignment w:val="auto"/>
              <w:rPr>
                <w:rFonts w:hint="eastAsia"/>
                <w:color w:val="auto"/>
                <w:lang w:eastAsia="zh-CN"/>
              </w:rPr>
            </w:pPr>
            <w:r>
              <w:rPr>
                <w:rFonts w:hint="eastAsia"/>
                <w:color w:val="auto"/>
                <w:spacing w:val="19"/>
                <w:lang w:eastAsia="zh-CN"/>
              </w:rPr>
              <w:t>《单元式空气调节机能效限定值</w:t>
            </w:r>
            <w:r>
              <w:rPr>
                <w:rFonts w:hint="eastAsia"/>
                <w:color w:val="auto"/>
                <w:spacing w:val="2"/>
                <w:lang w:eastAsia="zh-CN"/>
              </w:rPr>
              <w:t xml:space="preserve"> </w:t>
            </w:r>
            <w:r>
              <w:rPr>
                <w:rFonts w:hint="eastAsia"/>
                <w:color w:val="auto"/>
                <w:spacing w:val="-5"/>
                <w:lang w:eastAsia="zh-CN"/>
              </w:rPr>
              <w:t>及能源效率等级》（GB</w:t>
            </w:r>
            <w:r>
              <w:rPr>
                <w:rFonts w:hint="eastAsia"/>
                <w:color w:val="auto"/>
                <w:spacing w:val="-13"/>
                <w:lang w:eastAsia="zh-CN"/>
              </w:rPr>
              <w:t xml:space="preserve"> </w:t>
            </w:r>
            <w:r>
              <w:rPr>
                <w:rFonts w:hint="eastAsia"/>
                <w:color w:val="auto"/>
                <w:spacing w:val="-5"/>
                <w:lang w:eastAsia="zh-CN"/>
              </w:rPr>
              <w:t>19576）《风</w:t>
            </w:r>
            <w:r>
              <w:rPr>
                <w:rFonts w:hint="eastAsia"/>
                <w:color w:val="auto"/>
                <w:lang w:eastAsia="zh-CN"/>
              </w:rPr>
              <w:t xml:space="preserve"> </w:t>
            </w:r>
            <w:r>
              <w:rPr>
                <w:rFonts w:hint="eastAsia"/>
                <w:color w:val="auto"/>
                <w:spacing w:val="19"/>
                <w:lang w:eastAsia="zh-CN"/>
              </w:rPr>
              <w:t>管送风式空调机组能效限定值及</w:t>
            </w:r>
            <w:r>
              <w:rPr>
                <w:rFonts w:hint="eastAsia"/>
                <w:color w:val="auto"/>
                <w:spacing w:val="8"/>
                <w:lang w:eastAsia="zh-CN"/>
              </w:rPr>
              <w:t xml:space="preserve"> </w:t>
            </w:r>
            <w:r>
              <w:rPr>
                <w:rFonts w:hint="eastAsia"/>
                <w:color w:val="auto"/>
                <w:spacing w:val="7"/>
                <w:lang w:eastAsia="zh-CN"/>
              </w:rPr>
              <w:t>能效等级》（</w:t>
            </w:r>
            <w:r>
              <w:rPr>
                <w:rFonts w:hint="eastAsia"/>
                <w:color w:val="auto"/>
                <w:lang w:eastAsia="zh-CN"/>
              </w:rPr>
              <w:t>GB</w:t>
            </w:r>
            <w:r>
              <w:rPr>
                <w:rFonts w:hint="eastAsia"/>
                <w:color w:val="auto"/>
                <w:spacing w:val="7"/>
                <w:lang w:eastAsia="zh-CN"/>
              </w:rPr>
              <w:t xml:space="preserve"> 37479）</w:t>
            </w:r>
          </w:p>
        </w:tc>
      </w:tr>
      <w:tr w14:paraId="3C29B6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tcBorders>
            <w:noWrap w:val="0"/>
            <w:vAlign w:val="top"/>
          </w:tcPr>
          <w:p w14:paraId="0FB6C8A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166" w:type="dxa"/>
            <w:vMerge w:val="continue"/>
            <w:tcBorders>
              <w:top w:val="nil"/>
            </w:tcBorders>
            <w:noWrap w:val="0"/>
            <w:vAlign w:val="top"/>
          </w:tcPr>
          <w:p w14:paraId="335BA2C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799" w:type="dxa"/>
            <w:noWrap w:val="0"/>
            <w:vAlign w:val="top"/>
          </w:tcPr>
          <w:p w14:paraId="64F6558D">
            <w:pPr>
              <w:pStyle w:val="31"/>
              <w:keepNext w:val="0"/>
              <w:keepLines w:val="0"/>
              <w:pageBreakBefore w:val="0"/>
              <w:widowControl w:val="0"/>
              <w:kinsoku/>
              <w:wordWrap/>
              <w:overflowPunct/>
              <w:topLinePunct w:val="0"/>
              <w:autoSpaceDE/>
              <w:autoSpaceDN/>
              <w:bidi w:val="0"/>
              <w:adjustRightInd/>
              <w:snapToGrid/>
              <w:spacing w:before="230" w:line="360" w:lineRule="exact"/>
              <w:ind w:left="9"/>
              <w:textAlignment w:val="auto"/>
              <w:rPr>
                <w:rFonts w:hint="eastAsia"/>
                <w:color w:val="auto"/>
              </w:rPr>
            </w:pPr>
            <w:r>
              <w:rPr>
                <w:rFonts w:hint="eastAsia"/>
                <w:color w:val="auto"/>
                <w:spacing w:val="5"/>
              </w:rPr>
              <w:t>A0206180301</w:t>
            </w:r>
            <w:r>
              <w:rPr>
                <w:rFonts w:hint="eastAsia"/>
                <w:color w:val="auto"/>
                <w:spacing w:val="-33"/>
              </w:rPr>
              <w:t xml:space="preserve"> </w:t>
            </w:r>
            <w:r>
              <w:rPr>
                <w:rFonts w:hint="eastAsia"/>
                <w:color w:val="auto"/>
                <w:spacing w:val="5"/>
              </w:rPr>
              <w:t>洗衣机</w:t>
            </w:r>
          </w:p>
        </w:tc>
        <w:tc>
          <w:tcPr>
            <w:tcW w:w="1914" w:type="dxa"/>
            <w:noWrap w:val="0"/>
            <w:vAlign w:val="top"/>
          </w:tcPr>
          <w:p w14:paraId="7D4AE7B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3957" w:type="dxa"/>
            <w:noWrap w:val="0"/>
            <w:vAlign w:val="top"/>
          </w:tcPr>
          <w:p w14:paraId="26B66FFF">
            <w:pPr>
              <w:pStyle w:val="31"/>
              <w:keepNext w:val="0"/>
              <w:keepLines w:val="0"/>
              <w:pageBreakBefore w:val="0"/>
              <w:widowControl w:val="0"/>
              <w:kinsoku/>
              <w:wordWrap/>
              <w:overflowPunct/>
              <w:topLinePunct w:val="0"/>
              <w:autoSpaceDE/>
              <w:autoSpaceDN/>
              <w:bidi w:val="0"/>
              <w:adjustRightInd/>
              <w:snapToGrid/>
              <w:spacing w:before="74" w:line="360" w:lineRule="exact"/>
              <w:ind w:left="19" w:right="11" w:firstLine="3"/>
              <w:textAlignment w:val="auto"/>
              <w:rPr>
                <w:rFonts w:hint="eastAsia"/>
                <w:color w:val="auto"/>
                <w:lang w:eastAsia="zh-CN"/>
              </w:rPr>
            </w:pPr>
            <w:r>
              <w:rPr>
                <w:rFonts w:hint="eastAsia"/>
                <w:color w:val="auto"/>
                <w:spacing w:val="19"/>
                <w:lang w:eastAsia="zh-CN"/>
              </w:rPr>
              <w:t>《电动洗衣机能效水效限定值及</w:t>
            </w:r>
            <w:r>
              <w:rPr>
                <w:rFonts w:hint="eastAsia"/>
                <w:color w:val="auto"/>
                <w:spacing w:val="2"/>
                <w:lang w:eastAsia="zh-CN"/>
              </w:rPr>
              <w:t xml:space="preserve"> </w:t>
            </w:r>
            <w:r>
              <w:rPr>
                <w:rFonts w:hint="eastAsia"/>
                <w:color w:val="auto"/>
                <w:spacing w:val="4"/>
                <w:lang w:eastAsia="zh-CN"/>
              </w:rPr>
              <w:t>等级》（</w:t>
            </w:r>
            <w:r>
              <w:rPr>
                <w:rFonts w:hint="eastAsia"/>
                <w:color w:val="auto"/>
                <w:lang w:eastAsia="zh-CN"/>
              </w:rPr>
              <w:t>GB</w:t>
            </w:r>
            <w:r>
              <w:rPr>
                <w:rFonts w:hint="eastAsia"/>
                <w:color w:val="auto"/>
                <w:spacing w:val="33"/>
                <w:lang w:eastAsia="zh-CN"/>
              </w:rPr>
              <w:t xml:space="preserve"> </w:t>
            </w:r>
            <w:r>
              <w:rPr>
                <w:rFonts w:hint="eastAsia"/>
                <w:color w:val="auto"/>
                <w:spacing w:val="4"/>
                <w:lang w:eastAsia="zh-CN"/>
              </w:rPr>
              <w:t>12021.4）</w:t>
            </w:r>
          </w:p>
        </w:tc>
      </w:tr>
      <w:tr w14:paraId="414D2B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restart"/>
            <w:tcBorders>
              <w:bottom w:val="nil"/>
            </w:tcBorders>
            <w:noWrap w:val="0"/>
            <w:vAlign w:val="top"/>
          </w:tcPr>
          <w:p w14:paraId="772C2AD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166" w:type="dxa"/>
            <w:vMerge w:val="restart"/>
            <w:tcBorders>
              <w:bottom w:val="nil"/>
            </w:tcBorders>
            <w:noWrap w:val="0"/>
            <w:vAlign w:val="top"/>
          </w:tcPr>
          <w:p w14:paraId="19BD1ED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799" w:type="dxa"/>
            <w:vMerge w:val="restart"/>
            <w:tcBorders>
              <w:bottom w:val="nil"/>
            </w:tcBorders>
            <w:noWrap w:val="0"/>
            <w:vAlign w:val="top"/>
          </w:tcPr>
          <w:p w14:paraId="624FBBB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1686B33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48A7142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1CA7126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3DB4D62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30956BD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49F03454">
            <w:pPr>
              <w:pStyle w:val="31"/>
              <w:keepNext w:val="0"/>
              <w:keepLines w:val="0"/>
              <w:pageBreakBefore w:val="0"/>
              <w:widowControl w:val="0"/>
              <w:kinsoku/>
              <w:wordWrap/>
              <w:overflowPunct/>
              <w:topLinePunct w:val="0"/>
              <w:autoSpaceDE/>
              <w:autoSpaceDN/>
              <w:bidi w:val="0"/>
              <w:adjustRightInd/>
              <w:snapToGrid/>
              <w:spacing w:before="62" w:line="360" w:lineRule="exact"/>
              <w:ind w:left="9"/>
              <w:textAlignment w:val="auto"/>
              <w:rPr>
                <w:rFonts w:hint="eastAsia"/>
                <w:color w:val="auto"/>
              </w:rPr>
            </w:pPr>
            <w:r>
              <w:rPr>
                <w:rFonts w:hint="eastAsia"/>
                <w:color w:val="auto"/>
                <w:spacing w:val="5"/>
              </w:rPr>
              <w:t>A02061808</w:t>
            </w:r>
            <w:r>
              <w:rPr>
                <w:rFonts w:hint="eastAsia"/>
                <w:color w:val="auto"/>
                <w:spacing w:val="-32"/>
              </w:rPr>
              <w:t xml:space="preserve"> </w:t>
            </w:r>
            <w:r>
              <w:rPr>
                <w:rFonts w:hint="eastAsia"/>
                <w:color w:val="auto"/>
                <w:spacing w:val="5"/>
              </w:rPr>
              <w:t>热水器</w:t>
            </w:r>
          </w:p>
        </w:tc>
        <w:tc>
          <w:tcPr>
            <w:tcW w:w="1914" w:type="dxa"/>
            <w:noWrap w:val="0"/>
            <w:vAlign w:val="top"/>
          </w:tcPr>
          <w:p w14:paraId="71C7FF6E">
            <w:pPr>
              <w:pStyle w:val="31"/>
              <w:keepNext w:val="0"/>
              <w:keepLines w:val="0"/>
              <w:pageBreakBefore w:val="0"/>
              <w:widowControl w:val="0"/>
              <w:kinsoku/>
              <w:wordWrap/>
              <w:overflowPunct/>
              <w:topLinePunct w:val="0"/>
              <w:autoSpaceDE/>
              <w:autoSpaceDN/>
              <w:bidi w:val="0"/>
              <w:adjustRightInd/>
              <w:snapToGrid/>
              <w:spacing w:before="275" w:line="360" w:lineRule="exact"/>
              <w:ind w:left="19"/>
              <w:textAlignment w:val="auto"/>
              <w:rPr>
                <w:rFonts w:hint="eastAsia"/>
                <w:color w:val="auto"/>
              </w:rPr>
            </w:pPr>
            <w:r>
              <w:rPr>
                <w:rFonts w:hint="eastAsia"/>
                <w:color w:val="auto"/>
                <w:spacing w:val="7"/>
              </w:rPr>
              <w:t>★电热水器</w:t>
            </w:r>
          </w:p>
        </w:tc>
        <w:tc>
          <w:tcPr>
            <w:tcW w:w="3957" w:type="dxa"/>
            <w:noWrap w:val="0"/>
            <w:vAlign w:val="top"/>
          </w:tcPr>
          <w:p w14:paraId="3A7BE668">
            <w:pPr>
              <w:pStyle w:val="31"/>
              <w:keepNext w:val="0"/>
              <w:keepLines w:val="0"/>
              <w:pageBreakBefore w:val="0"/>
              <w:widowControl w:val="0"/>
              <w:kinsoku/>
              <w:wordWrap/>
              <w:overflowPunct/>
              <w:topLinePunct w:val="0"/>
              <w:autoSpaceDE/>
              <w:autoSpaceDN/>
              <w:bidi w:val="0"/>
              <w:adjustRightInd/>
              <w:snapToGrid/>
              <w:spacing w:before="119" w:line="360" w:lineRule="exact"/>
              <w:ind w:left="25" w:right="11" w:hanging="2"/>
              <w:textAlignment w:val="auto"/>
              <w:rPr>
                <w:rFonts w:hint="eastAsia"/>
                <w:color w:val="auto"/>
                <w:lang w:eastAsia="zh-CN"/>
              </w:rPr>
            </w:pPr>
            <w:r>
              <w:rPr>
                <w:rFonts w:hint="eastAsia"/>
                <w:color w:val="auto"/>
                <w:spacing w:val="19"/>
                <w:lang w:eastAsia="zh-CN"/>
              </w:rPr>
              <w:t>《储水式电热水器能效限定值及</w:t>
            </w:r>
            <w:r>
              <w:rPr>
                <w:rFonts w:hint="eastAsia"/>
                <w:color w:val="auto"/>
                <w:spacing w:val="2"/>
                <w:lang w:eastAsia="zh-CN"/>
              </w:rPr>
              <w:t xml:space="preserve"> </w:t>
            </w:r>
            <w:r>
              <w:rPr>
                <w:rFonts w:hint="eastAsia"/>
                <w:color w:val="auto"/>
                <w:spacing w:val="6"/>
                <w:lang w:eastAsia="zh-CN"/>
              </w:rPr>
              <w:t>能效等级》（</w:t>
            </w:r>
            <w:r>
              <w:rPr>
                <w:rFonts w:hint="eastAsia"/>
                <w:color w:val="auto"/>
                <w:lang w:eastAsia="zh-CN"/>
              </w:rPr>
              <w:t>GB</w:t>
            </w:r>
            <w:r>
              <w:rPr>
                <w:rFonts w:hint="eastAsia"/>
                <w:color w:val="auto"/>
                <w:spacing w:val="6"/>
                <w:lang w:eastAsia="zh-CN"/>
              </w:rPr>
              <w:t xml:space="preserve">  21519）</w:t>
            </w:r>
          </w:p>
        </w:tc>
      </w:tr>
      <w:tr w14:paraId="3B4A2D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14:paraId="7716943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166" w:type="dxa"/>
            <w:vMerge w:val="continue"/>
            <w:tcBorders>
              <w:top w:val="nil"/>
              <w:bottom w:val="nil"/>
            </w:tcBorders>
            <w:noWrap w:val="0"/>
            <w:vAlign w:val="top"/>
          </w:tcPr>
          <w:p w14:paraId="3446089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799" w:type="dxa"/>
            <w:vMerge w:val="continue"/>
            <w:tcBorders>
              <w:top w:val="nil"/>
              <w:bottom w:val="nil"/>
            </w:tcBorders>
            <w:noWrap w:val="0"/>
            <w:vAlign w:val="top"/>
          </w:tcPr>
          <w:p w14:paraId="2F0757F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914" w:type="dxa"/>
            <w:noWrap w:val="0"/>
            <w:vAlign w:val="top"/>
          </w:tcPr>
          <w:p w14:paraId="5259E5E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34EA4FB2">
            <w:pPr>
              <w:pStyle w:val="31"/>
              <w:keepNext w:val="0"/>
              <w:keepLines w:val="0"/>
              <w:pageBreakBefore w:val="0"/>
              <w:widowControl w:val="0"/>
              <w:kinsoku/>
              <w:wordWrap/>
              <w:overflowPunct/>
              <w:topLinePunct w:val="0"/>
              <w:autoSpaceDE/>
              <w:autoSpaceDN/>
              <w:bidi w:val="0"/>
              <w:adjustRightInd/>
              <w:snapToGrid/>
              <w:spacing w:before="61" w:line="360" w:lineRule="exact"/>
              <w:ind w:left="15"/>
              <w:textAlignment w:val="auto"/>
              <w:rPr>
                <w:rFonts w:hint="eastAsia"/>
                <w:color w:val="auto"/>
              </w:rPr>
            </w:pPr>
            <w:r>
              <w:rPr>
                <w:rFonts w:hint="eastAsia"/>
                <w:color w:val="auto"/>
                <w:spacing w:val="8"/>
              </w:rPr>
              <w:t>燃气热水器</w:t>
            </w:r>
          </w:p>
        </w:tc>
        <w:tc>
          <w:tcPr>
            <w:tcW w:w="3957" w:type="dxa"/>
            <w:noWrap w:val="0"/>
            <w:vAlign w:val="top"/>
          </w:tcPr>
          <w:p w14:paraId="5E3DEEF5">
            <w:pPr>
              <w:pStyle w:val="31"/>
              <w:keepNext w:val="0"/>
              <w:keepLines w:val="0"/>
              <w:pageBreakBefore w:val="0"/>
              <w:widowControl w:val="0"/>
              <w:kinsoku/>
              <w:wordWrap/>
              <w:overflowPunct/>
              <w:topLinePunct w:val="0"/>
              <w:autoSpaceDE/>
              <w:autoSpaceDN/>
              <w:bidi w:val="0"/>
              <w:adjustRightInd/>
              <w:snapToGrid/>
              <w:spacing w:before="68" w:line="360" w:lineRule="exact"/>
              <w:ind w:left="25" w:hanging="2"/>
              <w:textAlignment w:val="auto"/>
              <w:rPr>
                <w:rFonts w:hint="eastAsia"/>
                <w:color w:val="auto"/>
                <w:lang w:eastAsia="zh-CN"/>
              </w:rPr>
            </w:pPr>
            <w:r>
              <w:rPr>
                <w:rFonts w:hint="eastAsia"/>
                <w:color w:val="auto"/>
                <w:spacing w:val="17"/>
                <w:lang w:eastAsia="zh-CN"/>
              </w:rPr>
              <w:t>《家用燃气快速热水器和燃气采</w:t>
            </w:r>
            <w:r>
              <w:rPr>
                <w:rFonts w:hint="eastAsia"/>
                <w:color w:val="auto"/>
                <w:lang w:eastAsia="zh-CN"/>
              </w:rPr>
              <w:t xml:space="preserve"> </w:t>
            </w:r>
            <w:r>
              <w:rPr>
                <w:rFonts w:hint="eastAsia"/>
                <w:color w:val="auto"/>
                <w:spacing w:val="5"/>
                <w:lang w:eastAsia="zh-CN"/>
              </w:rPr>
              <w:t>暖热水炉能效限定值及能效等级》</w:t>
            </w:r>
            <w:r>
              <w:rPr>
                <w:rFonts w:hint="eastAsia"/>
                <w:color w:val="auto"/>
                <w:spacing w:val="12"/>
                <w:lang w:eastAsia="zh-CN"/>
              </w:rPr>
              <w:t xml:space="preserve"> </w:t>
            </w:r>
            <w:r>
              <w:rPr>
                <w:rFonts w:hint="eastAsia"/>
                <w:color w:val="auto"/>
                <w:spacing w:val="1"/>
                <w:lang w:eastAsia="zh-CN"/>
              </w:rPr>
              <w:t>（</w:t>
            </w:r>
            <w:r>
              <w:rPr>
                <w:rFonts w:hint="eastAsia"/>
                <w:color w:val="auto"/>
                <w:lang w:eastAsia="zh-CN"/>
              </w:rPr>
              <w:t>GB</w:t>
            </w:r>
            <w:r>
              <w:rPr>
                <w:rFonts w:hint="eastAsia"/>
                <w:color w:val="auto"/>
                <w:spacing w:val="18"/>
                <w:lang w:eastAsia="zh-CN"/>
              </w:rPr>
              <w:t xml:space="preserve"> </w:t>
            </w:r>
            <w:r>
              <w:rPr>
                <w:rFonts w:hint="eastAsia"/>
                <w:color w:val="auto"/>
                <w:spacing w:val="1"/>
                <w:lang w:eastAsia="zh-CN"/>
              </w:rPr>
              <w:t>20665）</w:t>
            </w:r>
          </w:p>
        </w:tc>
      </w:tr>
      <w:tr w14:paraId="3A3215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14:paraId="2087B6B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166" w:type="dxa"/>
            <w:vMerge w:val="continue"/>
            <w:tcBorders>
              <w:top w:val="nil"/>
              <w:bottom w:val="nil"/>
            </w:tcBorders>
            <w:noWrap w:val="0"/>
            <w:vAlign w:val="top"/>
          </w:tcPr>
          <w:p w14:paraId="32BD30A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799" w:type="dxa"/>
            <w:vMerge w:val="continue"/>
            <w:tcBorders>
              <w:top w:val="nil"/>
              <w:bottom w:val="nil"/>
            </w:tcBorders>
            <w:noWrap w:val="0"/>
            <w:vAlign w:val="top"/>
          </w:tcPr>
          <w:p w14:paraId="5AE767D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914" w:type="dxa"/>
            <w:noWrap w:val="0"/>
            <w:vAlign w:val="top"/>
          </w:tcPr>
          <w:p w14:paraId="4B29801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6CF51234">
            <w:pPr>
              <w:pStyle w:val="31"/>
              <w:keepNext w:val="0"/>
              <w:keepLines w:val="0"/>
              <w:pageBreakBefore w:val="0"/>
              <w:widowControl w:val="0"/>
              <w:kinsoku/>
              <w:wordWrap/>
              <w:overflowPunct/>
              <w:topLinePunct w:val="0"/>
              <w:autoSpaceDE/>
              <w:autoSpaceDN/>
              <w:bidi w:val="0"/>
              <w:adjustRightInd/>
              <w:snapToGrid/>
              <w:spacing w:before="62" w:line="360" w:lineRule="exact"/>
              <w:ind w:left="20"/>
              <w:textAlignment w:val="auto"/>
              <w:rPr>
                <w:rFonts w:hint="eastAsia"/>
                <w:color w:val="auto"/>
              </w:rPr>
            </w:pPr>
            <w:r>
              <w:rPr>
                <w:rFonts w:hint="eastAsia"/>
                <w:color w:val="auto"/>
                <w:spacing w:val="7"/>
              </w:rPr>
              <w:t>热泵热水器</w:t>
            </w:r>
          </w:p>
        </w:tc>
        <w:tc>
          <w:tcPr>
            <w:tcW w:w="3957" w:type="dxa"/>
            <w:noWrap w:val="0"/>
            <w:vAlign w:val="top"/>
          </w:tcPr>
          <w:p w14:paraId="5501F57F">
            <w:pPr>
              <w:pStyle w:val="31"/>
              <w:keepNext w:val="0"/>
              <w:keepLines w:val="0"/>
              <w:pageBreakBefore w:val="0"/>
              <w:widowControl w:val="0"/>
              <w:kinsoku/>
              <w:wordWrap/>
              <w:overflowPunct/>
              <w:topLinePunct w:val="0"/>
              <w:autoSpaceDE/>
              <w:autoSpaceDN/>
              <w:bidi w:val="0"/>
              <w:adjustRightInd/>
              <w:snapToGrid/>
              <w:spacing w:before="156" w:line="360" w:lineRule="exact"/>
              <w:ind w:left="25" w:right="13" w:hanging="2"/>
              <w:textAlignment w:val="auto"/>
              <w:rPr>
                <w:rFonts w:hint="eastAsia"/>
                <w:color w:val="auto"/>
                <w:lang w:eastAsia="zh-CN"/>
              </w:rPr>
            </w:pPr>
            <w:r>
              <w:rPr>
                <w:rFonts w:hint="eastAsia"/>
                <w:color w:val="auto"/>
                <w:spacing w:val="5"/>
                <w:lang w:eastAsia="zh-CN"/>
              </w:rPr>
              <w:t>《热泵热水机（器）能效限定值及</w:t>
            </w:r>
            <w:r>
              <w:rPr>
                <w:rFonts w:hint="eastAsia"/>
                <w:color w:val="auto"/>
                <w:spacing w:val="1"/>
                <w:lang w:eastAsia="zh-CN"/>
              </w:rPr>
              <w:t xml:space="preserve"> </w:t>
            </w:r>
            <w:r>
              <w:rPr>
                <w:rFonts w:hint="eastAsia"/>
                <w:color w:val="auto"/>
                <w:spacing w:val="6"/>
                <w:lang w:eastAsia="zh-CN"/>
              </w:rPr>
              <w:t>能效等级》（</w:t>
            </w:r>
            <w:r>
              <w:rPr>
                <w:rFonts w:hint="eastAsia"/>
                <w:color w:val="auto"/>
                <w:lang w:eastAsia="zh-CN"/>
              </w:rPr>
              <w:t>GB</w:t>
            </w:r>
            <w:r>
              <w:rPr>
                <w:rFonts w:hint="eastAsia"/>
                <w:color w:val="auto"/>
                <w:spacing w:val="6"/>
                <w:lang w:eastAsia="zh-CN"/>
              </w:rPr>
              <w:t xml:space="preserve"> 29541）</w:t>
            </w:r>
          </w:p>
        </w:tc>
      </w:tr>
      <w:tr w14:paraId="2971B9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tcBorders>
            <w:noWrap w:val="0"/>
            <w:vAlign w:val="top"/>
          </w:tcPr>
          <w:p w14:paraId="27C89CB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166" w:type="dxa"/>
            <w:vMerge w:val="continue"/>
            <w:tcBorders>
              <w:top w:val="nil"/>
            </w:tcBorders>
            <w:noWrap w:val="0"/>
            <w:vAlign w:val="top"/>
          </w:tcPr>
          <w:p w14:paraId="0EE2112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799" w:type="dxa"/>
            <w:vMerge w:val="continue"/>
            <w:tcBorders>
              <w:top w:val="nil"/>
            </w:tcBorders>
            <w:noWrap w:val="0"/>
            <w:vAlign w:val="top"/>
          </w:tcPr>
          <w:p w14:paraId="124DDAF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914" w:type="dxa"/>
            <w:noWrap w:val="0"/>
            <w:vAlign w:val="top"/>
          </w:tcPr>
          <w:p w14:paraId="66C644CF">
            <w:pPr>
              <w:pStyle w:val="31"/>
              <w:keepNext w:val="0"/>
              <w:keepLines w:val="0"/>
              <w:pageBreakBefore w:val="0"/>
              <w:widowControl w:val="0"/>
              <w:kinsoku/>
              <w:wordWrap/>
              <w:overflowPunct/>
              <w:topLinePunct w:val="0"/>
              <w:autoSpaceDE/>
              <w:autoSpaceDN/>
              <w:bidi w:val="0"/>
              <w:adjustRightInd/>
              <w:snapToGrid/>
              <w:spacing w:before="271" w:line="360" w:lineRule="exact"/>
              <w:ind w:left="16"/>
              <w:textAlignment w:val="auto"/>
              <w:rPr>
                <w:rFonts w:hint="eastAsia"/>
                <w:color w:val="auto"/>
              </w:rPr>
            </w:pPr>
            <w:r>
              <w:rPr>
                <w:rFonts w:hint="eastAsia"/>
                <w:color w:val="auto"/>
                <w:spacing w:val="8"/>
              </w:rPr>
              <w:t>太阳能热水系统</w:t>
            </w:r>
          </w:p>
        </w:tc>
        <w:tc>
          <w:tcPr>
            <w:tcW w:w="3957" w:type="dxa"/>
            <w:noWrap w:val="0"/>
            <w:vAlign w:val="top"/>
          </w:tcPr>
          <w:p w14:paraId="58FD3B06">
            <w:pPr>
              <w:pStyle w:val="31"/>
              <w:keepNext w:val="0"/>
              <w:keepLines w:val="0"/>
              <w:pageBreakBefore w:val="0"/>
              <w:widowControl w:val="0"/>
              <w:kinsoku/>
              <w:wordWrap/>
              <w:overflowPunct/>
              <w:topLinePunct w:val="0"/>
              <w:autoSpaceDE/>
              <w:autoSpaceDN/>
              <w:bidi w:val="0"/>
              <w:adjustRightInd/>
              <w:snapToGrid/>
              <w:spacing w:before="114" w:line="360" w:lineRule="exact"/>
              <w:ind w:left="17" w:right="11" w:firstLine="5"/>
              <w:textAlignment w:val="auto"/>
              <w:rPr>
                <w:rFonts w:hint="eastAsia"/>
                <w:color w:val="auto"/>
                <w:lang w:eastAsia="zh-CN"/>
              </w:rPr>
            </w:pPr>
            <w:r>
              <w:rPr>
                <w:rFonts w:hint="eastAsia"/>
                <w:color w:val="auto"/>
                <w:spacing w:val="19"/>
                <w:lang w:eastAsia="zh-CN"/>
              </w:rPr>
              <w:t>《家用太阳能热水系统能效限定</w:t>
            </w:r>
            <w:r>
              <w:rPr>
                <w:rFonts w:hint="eastAsia"/>
                <w:color w:val="auto"/>
                <w:spacing w:val="2"/>
                <w:lang w:eastAsia="zh-CN"/>
              </w:rPr>
              <w:t xml:space="preserve"> </w:t>
            </w:r>
            <w:r>
              <w:rPr>
                <w:rFonts w:hint="eastAsia"/>
                <w:color w:val="auto"/>
                <w:spacing w:val="7"/>
                <w:lang w:eastAsia="zh-CN"/>
              </w:rPr>
              <w:t>值及能效等级》（</w:t>
            </w:r>
            <w:r>
              <w:rPr>
                <w:rFonts w:hint="eastAsia"/>
                <w:color w:val="auto"/>
                <w:lang w:eastAsia="zh-CN"/>
              </w:rPr>
              <w:t>GB</w:t>
            </w:r>
            <w:r>
              <w:rPr>
                <w:rFonts w:hint="eastAsia"/>
                <w:color w:val="auto"/>
                <w:spacing w:val="7"/>
                <w:lang w:eastAsia="zh-CN"/>
              </w:rPr>
              <w:t xml:space="preserve"> 26969）</w:t>
            </w:r>
          </w:p>
        </w:tc>
      </w:tr>
      <w:tr w14:paraId="523E3B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restart"/>
            <w:tcBorders>
              <w:bottom w:val="nil"/>
            </w:tcBorders>
            <w:noWrap w:val="0"/>
            <w:vAlign w:val="top"/>
          </w:tcPr>
          <w:p w14:paraId="33D394A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0E07F60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65EC17C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4006066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32F6106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47AE174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4CB6DD56">
            <w:pPr>
              <w:pStyle w:val="31"/>
              <w:keepNext w:val="0"/>
              <w:keepLines w:val="0"/>
              <w:pageBreakBefore w:val="0"/>
              <w:widowControl w:val="0"/>
              <w:kinsoku/>
              <w:wordWrap/>
              <w:overflowPunct/>
              <w:topLinePunct w:val="0"/>
              <w:autoSpaceDE/>
              <w:autoSpaceDN/>
              <w:bidi w:val="0"/>
              <w:adjustRightInd/>
              <w:snapToGrid/>
              <w:spacing w:before="61" w:line="360" w:lineRule="exact"/>
              <w:ind w:left="209"/>
              <w:textAlignment w:val="auto"/>
              <w:rPr>
                <w:rFonts w:hint="eastAsia"/>
                <w:color w:val="auto"/>
              </w:rPr>
            </w:pPr>
            <w:r>
              <w:rPr>
                <w:rFonts w:hint="eastAsia"/>
                <w:color w:val="auto"/>
                <w:spacing w:val="-7"/>
                <w:position w:val="1"/>
              </w:rPr>
              <w:t>11</w:t>
            </w:r>
          </w:p>
        </w:tc>
        <w:tc>
          <w:tcPr>
            <w:tcW w:w="1166" w:type="dxa"/>
            <w:vMerge w:val="restart"/>
            <w:tcBorders>
              <w:bottom w:val="nil"/>
            </w:tcBorders>
            <w:noWrap w:val="0"/>
            <w:vAlign w:val="top"/>
          </w:tcPr>
          <w:p w14:paraId="4FD4B16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643E889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08B0AE1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368D287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5A43126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4E7872D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40AF53C7">
            <w:pPr>
              <w:pStyle w:val="31"/>
              <w:keepNext w:val="0"/>
              <w:keepLines w:val="0"/>
              <w:pageBreakBefore w:val="0"/>
              <w:widowControl w:val="0"/>
              <w:kinsoku/>
              <w:wordWrap/>
              <w:overflowPunct/>
              <w:topLinePunct w:val="0"/>
              <w:autoSpaceDE/>
              <w:autoSpaceDN/>
              <w:bidi w:val="0"/>
              <w:adjustRightInd/>
              <w:snapToGrid/>
              <w:spacing w:before="61" w:line="360" w:lineRule="exact"/>
              <w:ind w:left="18" w:right="8" w:hanging="9"/>
              <w:textAlignment w:val="auto"/>
              <w:rPr>
                <w:rFonts w:hint="eastAsia"/>
                <w:color w:val="auto"/>
              </w:rPr>
            </w:pPr>
            <w:r>
              <w:rPr>
                <w:rFonts w:hint="eastAsia"/>
                <w:color w:val="auto"/>
                <w:spacing w:val="5"/>
              </w:rPr>
              <w:t>A020619</w:t>
            </w:r>
            <w:r>
              <w:rPr>
                <w:rFonts w:hint="eastAsia"/>
                <w:color w:val="auto"/>
                <w:spacing w:val="-43"/>
              </w:rPr>
              <w:t xml:space="preserve"> </w:t>
            </w:r>
            <w:r>
              <w:rPr>
                <w:rFonts w:hint="eastAsia"/>
                <w:color w:val="auto"/>
                <w:spacing w:val="5"/>
              </w:rPr>
              <w:t>照明</w:t>
            </w:r>
            <w:r>
              <w:rPr>
                <w:rFonts w:hint="eastAsia"/>
                <w:color w:val="auto"/>
              </w:rPr>
              <w:t xml:space="preserve"> </w:t>
            </w:r>
            <w:r>
              <w:rPr>
                <w:rFonts w:hint="eastAsia"/>
                <w:color w:val="auto"/>
                <w:spacing w:val="3"/>
              </w:rPr>
              <w:t>设备</w:t>
            </w:r>
          </w:p>
        </w:tc>
        <w:tc>
          <w:tcPr>
            <w:tcW w:w="1799" w:type="dxa"/>
            <w:noWrap w:val="0"/>
            <w:vAlign w:val="top"/>
          </w:tcPr>
          <w:p w14:paraId="122BFC11">
            <w:pPr>
              <w:pStyle w:val="31"/>
              <w:keepNext w:val="0"/>
              <w:keepLines w:val="0"/>
              <w:pageBreakBefore w:val="0"/>
              <w:widowControl w:val="0"/>
              <w:kinsoku/>
              <w:wordWrap/>
              <w:overflowPunct/>
              <w:topLinePunct w:val="0"/>
              <w:autoSpaceDE/>
              <w:autoSpaceDN/>
              <w:bidi w:val="0"/>
              <w:adjustRightInd/>
              <w:snapToGrid/>
              <w:spacing w:before="198" w:line="360" w:lineRule="exact"/>
              <w:ind w:left="20" w:right="12" w:hanging="2"/>
              <w:textAlignment w:val="auto"/>
              <w:rPr>
                <w:rFonts w:hint="eastAsia"/>
                <w:color w:val="auto"/>
                <w:lang w:eastAsia="zh-CN"/>
              </w:rPr>
            </w:pPr>
            <w:r>
              <w:rPr>
                <w:rFonts w:hint="eastAsia"/>
                <w:color w:val="auto"/>
                <w:spacing w:val="19"/>
                <w:lang w:eastAsia="zh-CN"/>
              </w:rPr>
              <w:t>★</w:t>
            </w:r>
            <w:r>
              <w:rPr>
                <w:rFonts w:hint="eastAsia"/>
                <w:color w:val="auto"/>
                <w:spacing w:val="-59"/>
                <w:lang w:eastAsia="zh-CN"/>
              </w:rPr>
              <w:t xml:space="preserve"> </w:t>
            </w:r>
            <w:r>
              <w:rPr>
                <w:rFonts w:hint="eastAsia"/>
                <w:color w:val="auto"/>
                <w:spacing w:val="19"/>
                <w:lang w:eastAsia="zh-CN"/>
              </w:rPr>
              <w:t>普通照</w:t>
            </w:r>
            <w:r>
              <w:rPr>
                <w:rFonts w:hint="eastAsia"/>
                <w:color w:val="auto"/>
                <w:spacing w:val="-42"/>
                <w:lang w:eastAsia="zh-CN"/>
              </w:rPr>
              <w:t xml:space="preserve"> </w:t>
            </w:r>
            <w:r>
              <w:rPr>
                <w:rFonts w:hint="eastAsia"/>
                <w:color w:val="auto"/>
                <w:spacing w:val="19"/>
                <w:lang w:eastAsia="zh-CN"/>
              </w:rPr>
              <w:t>明用双端</w:t>
            </w:r>
            <w:r>
              <w:rPr>
                <w:rFonts w:hint="eastAsia"/>
                <w:color w:val="auto"/>
                <w:lang w:eastAsia="zh-CN"/>
              </w:rPr>
              <w:t xml:space="preserve"> </w:t>
            </w:r>
            <w:r>
              <w:rPr>
                <w:rFonts w:hint="eastAsia"/>
                <w:color w:val="auto"/>
                <w:spacing w:val="4"/>
                <w:lang w:eastAsia="zh-CN"/>
              </w:rPr>
              <w:t>荧光灯</w:t>
            </w:r>
          </w:p>
        </w:tc>
        <w:tc>
          <w:tcPr>
            <w:tcW w:w="1914" w:type="dxa"/>
            <w:noWrap w:val="0"/>
            <w:vAlign w:val="top"/>
          </w:tcPr>
          <w:p w14:paraId="7B16894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3957" w:type="dxa"/>
            <w:noWrap w:val="0"/>
            <w:vAlign w:val="top"/>
          </w:tcPr>
          <w:p w14:paraId="7C5DE4B9">
            <w:pPr>
              <w:pStyle w:val="31"/>
              <w:keepNext w:val="0"/>
              <w:keepLines w:val="0"/>
              <w:pageBreakBefore w:val="0"/>
              <w:widowControl w:val="0"/>
              <w:kinsoku/>
              <w:wordWrap/>
              <w:overflowPunct/>
              <w:topLinePunct w:val="0"/>
              <w:autoSpaceDE/>
              <w:autoSpaceDN/>
              <w:bidi w:val="0"/>
              <w:adjustRightInd/>
              <w:snapToGrid/>
              <w:spacing w:before="198" w:line="360" w:lineRule="exact"/>
              <w:ind w:left="22" w:right="11"/>
              <w:textAlignment w:val="auto"/>
              <w:rPr>
                <w:rFonts w:hint="eastAsia"/>
                <w:color w:val="auto"/>
                <w:lang w:eastAsia="zh-CN"/>
              </w:rPr>
            </w:pPr>
            <w:r>
              <w:rPr>
                <w:rFonts w:hint="eastAsia"/>
                <w:color w:val="auto"/>
                <w:spacing w:val="19"/>
                <w:lang w:eastAsia="zh-CN"/>
              </w:rPr>
              <w:t>《普通照明用双端荧光灯能效限</w:t>
            </w:r>
            <w:r>
              <w:rPr>
                <w:rFonts w:hint="eastAsia"/>
                <w:color w:val="auto"/>
                <w:spacing w:val="2"/>
                <w:lang w:eastAsia="zh-CN"/>
              </w:rPr>
              <w:t xml:space="preserve"> </w:t>
            </w:r>
            <w:r>
              <w:rPr>
                <w:rFonts w:hint="eastAsia"/>
                <w:color w:val="auto"/>
                <w:spacing w:val="5"/>
                <w:lang w:eastAsia="zh-CN"/>
              </w:rPr>
              <w:t>定值及能效等级》（</w:t>
            </w:r>
            <w:r>
              <w:rPr>
                <w:rFonts w:hint="eastAsia"/>
                <w:color w:val="auto"/>
                <w:lang w:eastAsia="zh-CN"/>
              </w:rPr>
              <w:t>GB</w:t>
            </w:r>
            <w:r>
              <w:rPr>
                <w:rFonts w:hint="eastAsia"/>
                <w:color w:val="auto"/>
                <w:spacing w:val="42"/>
                <w:lang w:eastAsia="zh-CN"/>
              </w:rPr>
              <w:t xml:space="preserve"> </w:t>
            </w:r>
            <w:r>
              <w:rPr>
                <w:rFonts w:hint="eastAsia"/>
                <w:color w:val="auto"/>
                <w:spacing w:val="5"/>
                <w:lang w:eastAsia="zh-CN"/>
              </w:rPr>
              <w:t>19043）</w:t>
            </w:r>
          </w:p>
        </w:tc>
      </w:tr>
      <w:tr w14:paraId="1CC910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14:paraId="57080DB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166" w:type="dxa"/>
            <w:vMerge w:val="continue"/>
            <w:tcBorders>
              <w:top w:val="nil"/>
              <w:bottom w:val="nil"/>
            </w:tcBorders>
            <w:noWrap w:val="0"/>
            <w:vAlign w:val="top"/>
          </w:tcPr>
          <w:p w14:paraId="6425423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799" w:type="dxa"/>
            <w:noWrap w:val="0"/>
            <w:vAlign w:val="top"/>
          </w:tcPr>
          <w:p w14:paraId="65D39F60">
            <w:pPr>
              <w:pStyle w:val="31"/>
              <w:keepNext w:val="0"/>
              <w:keepLines w:val="0"/>
              <w:pageBreakBefore w:val="0"/>
              <w:widowControl w:val="0"/>
              <w:kinsoku/>
              <w:wordWrap/>
              <w:overflowPunct/>
              <w:topLinePunct w:val="0"/>
              <w:autoSpaceDE/>
              <w:autoSpaceDN/>
              <w:bidi w:val="0"/>
              <w:adjustRightInd/>
              <w:snapToGrid/>
              <w:spacing w:before="156" w:line="360" w:lineRule="exact"/>
              <w:ind w:left="14" w:right="7" w:hanging="1"/>
              <w:textAlignment w:val="auto"/>
              <w:rPr>
                <w:rFonts w:hint="eastAsia"/>
                <w:color w:val="auto"/>
              </w:rPr>
            </w:pPr>
            <w:r>
              <w:rPr>
                <w:rFonts w:hint="eastAsia"/>
                <w:color w:val="auto"/>
              </w:rPr>
              <w:t>LED</w:t>
            </w:r>
            <w:r>
              <w:rPr>
                <w:rFonts w:hint="eastAsia"/>
                <w:color w:val="auto"/>
                <w:spacing w:val="23"/>
              </w:rPr>
              <w:t xml:space="preserve"> </w:t>
            </w:r>
            <w:r>
              <w:rPr>
                <w:rFonts w:hint="eastAsia"/>
                <w:color w:val="auto"/>
                <w:spacing w:val="19"/>
              </w:rPr>
              <w:t>道路/隧道照明</w:t>
            </w:r>
            <w:r>
              <w:rPr>
                <w:rFonts w:hint="eastAsia"/>
                <w:color w:val="auto"/>
              </w:rPr>
              <w:t xml:space="preserve"> </w:t>
            </w:r>
            <w:r>
              <w:rPr>
                <w:rFonts w:hint="eastAsia"/>
                <w:color w:val="auto"/>
                <w:spacing w:val="5"/>
              </w:rPr>
              <w:t>产品</w:t>
            </w:r>
          </w:p>
        </w:tc>
        <w:tc>
          <w:tcPr>
            <w:tcW w:w="1914" w:type="dxa"/>
            <w:noWrap w:val="0"/>
            <w:vAlign w:val="top"/>
          </w:tcPr>
          <w:p w14:paraId="5AF9D99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3957" w:type="dxa"/>
            <w:noWrap w:val="0"/>
            <w:vAlign w:val="top"/>
          </w:tcPr>
          <w:p w14:paraId="2A8E72E9">
            <w:pPr>
              <w:pStyle w:val="31"/>
              <w:keepNext w:val="0"/>
              <w:keepLines w:val="0"/>
              <w:pageBreakBefore w:val="0"/>
              <w:widowControl w:val="0"/>
              <w:kinsoku/>
              <w:wordWrap/>
              <w:overflowPunct/>
              <w:topLinePunct w:val="0"/>
              <w:autoSpaceDE/>
              <w:autoSpaceDN/>
              <w:bidi w:val="0"/>
              <w:adjustRightInd/>
              <w:snapToGrid/>
              <w:spacing w:before="156" w:line="360" w:lineRule="exact"/>
              <w:ind w:left="22"/>
              <w:textAlignment w:val="auto"/>
              <w:rPr>
                <w:rFonts w:hint="eastAsia"/>
                <w:color w:val="auto"/>
              </w:rPr>
            </w:pPr>
            <w:r>
              <w:rPr>
                <w:rFonts w:hint="eastAsia"/>
                <w:color w:val="auto"/>
                <w:spacing w:val="7"/>
              </w:rPr>
              <w:t xml:space="preserve">《道路和隧道照明用 </w:t>
            </w:r>
            <w:r>
              <w:rPr>
                <w:rFonts w:hint="eastAsia"/>
                <w:color w:val="auto"/>
              </w:rPr>
              <w:t>LED</w:t>
            </w:r>
            <w:r>
              <w:rPr>
                <w:rFonts w:hint="eastAsia"/>
                <w:color w:val="auto"/>
                <w:spacing w:val="7"/>
              </w:rPr>
              <w:t xml:space="preserve"> 灯具能</w:t>
            </w:r>
            <w:r>
              <w:rPr>
                <w:rFonts w:hint="eastAsia"/>
                <w:color w:val="auto"/>
              </w:rPr>
              <w:t xml:space="preserve">  </w:t>
            </w:r>
            <w:r>
              <w:rPr>
                <w:rFonts w:hint="eastAsia"/>
                <w:color w:val="auto"/>
                <w:spacing w:val="-4"/>
              </w:rPr>
              <w:t>效限定值及能效等级》（GB</w:t>
            </w:r>
            <w:r>
              <w:rPr>
                <w:rFonts w:hint="eastAsia"/>
                <w:color w:val="auto"/>
                <w:spacing w:val="-24"/>
              </w:rPr>
              <w:t xml:space="preserve"> </w:t>
            </w:r>
            <w:r>
              <w:rPr>
                <w:rFonts w:hint="eastAsia"/>
                <w:color w:val="auto"/>
                <w:spacing w:val="-4"/>
              </w:rPr>
              <w:t>37478）</w:t>
            </w:r>
          </w:p>
        </w:tc>
      </w:tr>
      <w:tr w14:paraId="18B81D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14:paraId="4A17E89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166" w:type="dxa"/>
            <w:vMerge w:val="continue"/>
            <w:tcBorders>
              <w:top w:val="nil"/>
              <w:bottom w:val="nil"/>
            </w:tcBorders>
            <w:noWrap w:val="0"/>
            <w:vAlign w:val="top"/>
          </w:tcPr>
          <w:p w14:paraId="3D600FB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799" w:type="dxa"/>
            <w:noWrap w:val="0"/>
            <w:vAlign w:val="top"/>
          </w:tcPr>
          <w:p w14:paraId="2ED1059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08FD8800">
            <w:pPr>
              <w:pStyle w:val="31"/>
              <w:keepNext w:val="0"/>
              <w:keepLines w:val="0"/>
              <w:pageBreakBefore w:val="0"/>
              <w:widowControl w:val="0"/>
              <w:kinsoku/>
              <w:wordWrap/>
              <w:overflowPunct/>
              <w:topLinePunct w:val="0"/>
              <w:autoSpaceDE/>
              <w:autoSpaceDN/>
              <w:bidi w:val="0"/>
              <w:adjustRightInd/>
              <w:snapToGrid/>
              <w:spacing w:before="62" w:line="360" w:lineRule="exact"/>
              <w:ind w:left="13"/>
              <w:textAlignment w:val="auto"/>
              <w:rPr>
                <w:rFonts w:hint="eastAsia"/>
                <w:color w:val="auto"/>
              </w:rPr>
            </w:pPr>
            <w:r>
              <w:rPr>
                <w:rFonts w:hint="eastAsia"/>
                <w:color w:val="auto"/>
              </w:rPr>
              <w:t>LED</w:t>
            </w:r>
            <w:r>
              <w:rPr>
                <w:rFonts w:hint="eastAsia"/>
                <w:color w:val="auto"/>
                <w:spacing w:val="-32"/>
              </w:rPr>
              <w:t xml:space="preserve"> </w:t>
            </w:r>
            <w:r>
              <w:rPr>
                <w:rFonts w:hint="eastAsia"/>
                <w:color w:val="auto"/>
                <w:spacing w:val="8"/>
              </w:rPr>
              <w:t>筒灯</w:t>
            </w:r>
          </w:p>
        </w:tc>
        <w:tc>
          <w:tcPr>
            <w:tcW w:w="1914" w:type="dxa"/>
            <w:noWrap w:val="0"/>
            <w:vAlign w:val="top"/>
          </w:tcPr>
          <w:p w14:paraId="17E62BB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3957" w:type="dxa"/>
            <w:noWrap w:val="0"/>
            <w:vAlign w:val="top"/>
          </w:tcPr>
          <w:p w14:paraId="59A119D0">
            <w:pPr>
              <w:pStyle w:val="31"/>
              <w:keepNext w:val="0"/>
              <w:keepLines w:val="0"/>
              <w:pageBreakBefore w:val="0"/>
              <w:widowControl w:val="0"/>
              <w:kinsoku/>
              <w:wordWrap/>
              <w:overflowPunct/>
              <w:topLinePunct w:val="0"/>
              <w:autoSpaceDE/>
              <w:autoSpaceDN/>
              <w:bidi w:val="0"/>
              <w:adjustRightInd/>
              <w:snapToGrid/>
              <w:spacing w:before="148" w:line="360" w:lineRule="exact"/>
              <w:ind w:left="17" w:right="13" w:firstLine="5"/>
              <w:textAlignment w:val="auto"/>
              <w:rPr>
                <w:rFonts w:hint="eastAsia"/>
                <w:color w:val="auto"/>
              </w:rPr>
            </w:pPr>
            <w:r>
              <w:rPr>
                <w:rFonts w:hint="eastAsia"/>
                <w:color w:val="auto"/>
                <w:spacing w:val="12"/>
              </w:rPr>
              <w:t xml:space="preserve">《室内照明用 </w:t>
            </w:r>
            <w:r>
              <w:rPr>
                <w:rFonts w:hint="eastAsia"/>
                <w:color w:val="auto"/>
              </w:rPr>
              <w:t>LED</w:t>
            </w:r>
            <w:r>
              <w:rPr>
                <w:rFonts w:hint="eastAsia"/>
                <w:color w:val="auto"/>
                <w:spacing w:val="12"/>
              </w:rPr>
              <w:t xml:space="preserve"> 产品能效限定</w:t>
            </w:r>
            <w:r>
              <w:rPr>
                <w:rFonts w:hint="eastAsia"/>
                <w:color w:val="auto"/>
                <w:spacing w:val="2"/>
              </w:rPr>
              <w:t xml:space="preserve"> </w:t>
            </w:r>
            <w:r>
              <w:rPr>
                <w:rFonts w:hint="eastAsia"/>
                <w:color w:val="auto"/>
                <w:spacing w:val="7"/>
              </w:rPr>
              <w:t>值及能效等级》（</w:t>
            </w:r>
            <w:r>
              <w:rPr>
                <w:rFonts w:hint="eastAsia"/>
                <w:color w:val="auto"/>
              </w:rPr>
              <w:t>GB</w:t>
            </w:r>
            <w:r>
              <w:rPr>
                <w:rFonts w:hint="eastAsia"/>
                <w:color w:val="auto"/>
                <w:spacing w:val="7"/>
              </w:rPr>
              <w:t xml:space="preserve"> 30255）</w:t>
            </w:r>
          </w:p>
        </w:tc>
      </w:tr>
      <w:tr w14:paraId="50E027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tcBorders>
            <w:noWrap w:val="0"/>
            <w:vAlign w:val="top"/>
          </w:tcPr>
          <w:p w14:paraId="2D46EEB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166" w:type="dxa"/>
            <w:vMerge w:val="continue"/>
            <w:tcBorders>
              <w:top w:val="nil"/>
            </w:tcBorders>
            <w:noWrap w:val="0"/>
            <w:vAlign w:val="top"/>
          </w:tcPr>
          <w:p w14:paraId="524A86A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799" w:type="dxa"/>
            <w:noWrap w:val="0"/>
            <w:vAlign w:val="top"/>
          </w:tcPr>
          <w:p w14:paraId="0B148C88">
            <w:pPr>
              <w:pStyle w:val="31"/>
              <w:keepNext w:val="0"/>
              <w:keepLines w:val="0"/>
              <w:pageBreakBefore w:val="0"/>
              <w:widowControl w:val="0"/>
              <w:kinsoku/>
              <w:wordWrap/>
              <w:overflowPunct/>
              <w:topLinePunct w:val="0"/>
              <w:autoSpaceDE/>
              <w:autoSpaceDN/>
              <w:bidi w:val="0"/>
              <w:adjustRightInd/>
              <w:snapToGrid/>
              <w:spacing w:before="265" w:line="360" w:lineRule="exact"/>
              <w:ind w:left="47" w:right="12" w:hanging="33"/>
              <w:textAlignment w:val="auto"/>
              <w:rPr>
                <w:rFonts w:hint="eastAsia"/>
                <w:color w:val="auto"/>
              </w:rPr>
            </w:pPr>
            <w:r>
              <w:rPr>
                <w:rFonts w:hint="eastAsia"/>
                <w:color w:val="auto"/>
                <w:spacing w:val="30"/>
              </w:rPr>
              <w:t>普通照明用非定向</w:t>
            </w:r>
            <w:r>
              <w:rPr>
                <w:rFonts w:hint="eastAsia"/>
                <w:color w:val="auto"/>
                <w:spacing w:val="5"/>
              </w:rPr>
              <w:t xml:space="preserve"> </w:t>
            </w:r>
            <w:r>
              <w:rPr>
                <w:rFonts w:hint="eastAsia"/>
                <w:color w:val="auto"/>
                <w:spacing w:val="-1"/>
              </w:rPr>
              <w:t>自镇流</w:t>
            </w:r>
            <w:r>
              <w:rPr>
                <w:rFonts w:hint="eastAsia"/>
                <w:color w:val="auto"/>
                <w:spacing w:val="-33"/>
              </w:rPr>
              <w:t xml:space="preserve"> </w:t>
            </w:r>
            <w:r>
              <w:rPr>
                <w:rFonts w:hint="eastAsia"/>
                <w:color w:val="auto"/>
                <w:spacing w:val="-1"/>
              </w:rPr>
              <w:t>LED</w:t>
            </w:r>
            <w:r>
              <w:rPr>
                <w:rFonts w:hint="eastAsia"/>
                <w:color w:val="auto"/>
                <w:spacing w:val="-37"/>
              </w:rPr>
              <w:t xml:space="preserve"> </w:t>
            </w:r>
            <w:r>
              <w:rPr>
                <w:rFonts w:hint="eastAsia"/>
                <w:color w:val="auto"/>
                <w:spacing w:val="-1"/>
              </w:rPr>
              <w:t>灯</w:t>
            </w:r>
          </w:p>
        </w:tc>
        <w:tc>
          <w:tcPr>
            <w:tcW w:w="1914" w:type="dxa"/>
            <w:noWrap w:val="0"/>
            <w:vAlign w:val="top"/>
          </w:tcPr>
          <w:p w14:paraId="6FB54DC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3957" w:type="dxa"/>
            <w:noWrap w:val="0"/>
            <w:vAlign w:val="top"/>
          </w:tcPr>
          <w:p w14:paraId="04DDB8FF">
            <w:pPr>
              <w:pStyle w:val="31"/>
              <w:keepNext w:val="0"/>
              <w:keepLines w:val="0"/>
              <w:pageBreakBefore w:val="0"/>
              <w:widowControl w:val="0"/>
              <w:kinsoku/>
              <w:wordWrap/>
              <w:overflowPunct/>
              <w:topLinePunct w:val="0"/>
              <w:autoSpaceDE/>
              <w:autoSpaceDN/>
              <w:bidi w:val="0"/>
              <w:adjustRightInd/>
              <w:snapToGrid/>
              <w:spacing w:before="265" w:line="360" w:lineRule="exact"/>
              <w:ind w:left="17" w:right="13" w:firstLine="5"/>
              <w:textAlignment w:val="auto"/>
              <w:rPr>
                <w:rFonts w:hint="eastAsia"/>
                <w:color w:val="auto"/>
              </w:rPr>
            </w:pPr>
            <w:r>
              <w:rPr>
                <w:rFonts w:hint="eastAsia"/>
                <w:color w:val="auto"/>
                <w:spacing w:val="12"/>
              </w:rPr>
              <w:t xml:space="preserve">《室内照明用 </w:t>
            </w:r>
            <w:r>
              <w:rPr>
                <w:rFonts w:hint="eastAsia"/>
                <w:color w:val="auto"/>
              </w:rPr>
              <w:t>LED</w:t>
            </w:r>
            <w:r>
              <w:rPr>
                <w:rFonts w:hint="eastAsia"/>
                <w:color w:val="auto"/>
                <w:spacing w:val="12"/>
              </w:rPr>
              <w:t xml:space="preserve"> 产品能效限定</w:t>
            </w:r>
            <w:r>
              <w:rPr>
                <w:rFonts w:hint="eastAsia"/>
                <w:color w:val="auto"/>
                <w:spacing w:val="2"/>
              </w:rPr>
              <w:t xml:space="preserve"> </w:t>
            </w:r>
            <w:r>
              <w:rPr>
                <w:rFonts w:hint="eastAsia"/>
                <w:color w:val="auto"/>
                <w:spacing w:val="7"/>
              </w:rPr>
              <w:t>值及能效等级》（</w:t>
            </w:r>
            <w:r>
              <w:rPr>
                <w:rFonts w:hint="eastAsia"/>
                <w:color w:val="auto"/>
              </w:rPr>
              <w:t>GB</w:t>
            </w:r>
            <w:r>
              <w:rPr>
                <w:rFonts w:hint="eastAsia"/>
                <w:color w:val="auto"/>
                <w:spacing w:val="7"/>
              </w:rPr>
              <w:t xml:space="preserve"> 30255）</w:t>
            </w:r>
          </w:p>
        </w:tc>
      </w:tr>
      <w:tr w14:paraId="1EA53A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noWrap w:val="0"/>
            <w:vAlign w:val="top"/>
          </w:tcPr>
          <w:p w14:paraId="048306AA">
            <w:pPr>
              <w:pStyle w:val="31"/>
              <w:keepNext w:val="0"/>
              <w:keepLines w:val="0"/>
              <w:pageBreakBefore w:val="0"/>
              <w:widowControl w:val="0"/>
              <w:kinsoku/>
              <w:wordWrap/>
              <w:overflowPunct/>
              <w:topLinePunct w:val="0"/>
              <w:autoSpaceDE/>
              <w:autoSpaceDN/>
              <w:bidi w:val="0"/>
              <w:adjustRightInd/>
              <w:snapToGrid/>
              <w:spacing w:before="301" w:line="360" w:lineRule="exact"/>
              <w:ind w:left="209"/>
              <w:textAlignment w:val="auto"/>
              <w:rPr>
                <w:rFonts w:hint="eastAsia"/>
                <w:color w:val="auto"/>
              </w:rPr>
            </w:pPr>
            <w:r>
              <w:rPr>
                <w:rFonts w:hint="eastAsia"/>
                <w:color w:val="auto"/>
                <w:spacing w:val="-7"/>
                <w:position w:val="1"/>
              </w:rPr>
              <w:t>12</w:t>
            </w:r>
          </w:p>
        </w:tc>
        <w:tc>
          <w:tcPr>
            <w:tcW w:w="1166" w:type="dxa"/>
            <w:noWrap w:val="0"/>
            <w:vAlign w:val="top"/>
          </w:tcPr>
          <w:p w14:paraId="765BE092">
            <w:pPr>
              <w:pStyle w:val="31"/>
              <w:keepNext w:val="0"/>
              <w:keepLines w:val="0"/>
              <w:pageBreakBefore w:val="0"/>
              <w:widowControl w:val="0"/>
              <w:kinsoku/>
              <w:wordWrap/>
              <w:overflowPunct/>
              <w:topLinePunct w:val="0"/>
              <w:autoSpaceDE/>
              <w:autoSpaceDN/>
              <w:bidi w:val="0"/>
              <w:adjustRightInd/>
              <w:snapToGrid/>
              <w:spacing w:before="145" w:line="360" w:lineRule="exact"/>
              <w:ind w:left="14" w:right="8" w:firstLine="3"/>
              <w:textAlignment w:val="auto"/>
              <w:rPr>
                <w:rFonts w:hint="eastAsia"/>
                <w:color w:val="auto"/>
              </w:rPr>
            </w:pPr>
            <w:r>
              <w:rPr>
                <w:rFonts w:hint="eastAsia"/>
                <w:color w:val="auto"/>
                <w:spacing w:val="1"/>
              </w:rPr>
              <w:t>★A020910</w:t>
            </w:r>
            <w:r>
              <w:rPr>
                <w:rFonts w:hint="eastAsia"/>
                <w:color w:val="auto"/>
                <w:spacing w:val="-17"/>
              </w:rPr>
              <w:t xml:space="preserve"> </w:t>
            </w:r>
            <w:r>
              <w:rPr>
                <w:rFonts w:hint="eastAsia"/>
                <w:color w:val="auto"/>
                <w:spacing w:val="1"/>
              </w:rPr>
              <w:t>电</w:t>
            </w:r>
            <w:r>
              <w:rPr>
                <w:rFonts w:hint="eastAsia"/>
                <w:color w:val="auto"/>
              </w:rPr>
              <w:t xml:space="preserve"> </w:t>
            </w:r>
            <w:r>
              <w:rPr>
                <w:rFonts w:hint="eastAsia"/>
                <w:color w:val="auto"/>
                <w:spacing w:val="6"/>
              </w:rPr>
              <w:t>视设备</w:t>
            </w:r>
          </w:p>
        </w:tc>
        <w:tc>
          <w:tcPr>
            <w:tcW w:w="1799" w:type="dxa"/>
            <w:noWrap w:val="0"/>
            <w:vAlign w:val="top"/>
          </w:tcPr>
          <w:p w14:paraId="6A76F11C">
            <w:pPr>
              <w:pStyle w:val="31"/>
              <w:keepNext w:val="0"/>
              <w:keepLines w:val="0"/>
              <w:pageBreakBefore w:val="0"/>
              <w:widowControl w:val="0"/>
              <w:kinsoku/>
              <w:wordWrap/>
              <w:overflowPunct/>
              <w:topLinePunct w:val="0"/>
              <w:autoSpaceDE/>
              <w:autoSpaceDN/>
              <w:bidi w:val="0"/>
              <w:adjustRightInd/>
              <w:snapToGrid/>
              <w:spacing w:before="145" w:line="360" w:lineRule="exact"/>
              <w:ind w:left="18" w:right="10" w:hanging="9"/>
              <w:textAlignment w:val="auto"/>
              <w:rPr>
                <w:rFonts w:hint="eastAsia"/>
                <w:color w:val="auto"/>
                <w:lang w:eastAsia="zh-CN"/>
              </w:rPr>
            </w:pPr>
            <w:r>
              <w:rPr>
                <w:rFonts w:hint="eastAsia"/>
                <w:color w:val="auto"/>
                <w:spacing w:val="4"/>
                <w:lang w:eastAsia="zh-CN"/>
              </w:rPr>
              <w:t>A02091001 普通电视</w:t>
            </w:r>
            <w:r>
              <w:rPr>
                <w:rFonts w:hint="eastAsia"/>
                <w:color w:val="auto"/>
                <w:spacing w:val="7"/>
                <w:lang w:eastAsia="zh-CN"/>
              </w:rPr>
              <w:t xml:space="preserve"> </w:t>
            </w:r>
            <w:r>
              <w:rPr>
                <w:rFonts w:hint="eastAsia"/>
                <w:color w:val="auto"/>
                <w:spacing w:val="6"/>
                <w:lang w:eastAsia="zh-CN"/>
              </w:rPr>
              <w:t>设备（电视机）</w:t>
            </w:r>
          </w:p>
        </w:tc>
        <w:tc>
          <w:tcPr>
            <w:tcW w:w="1914" w:type="dxa"/>
            <w:noWrap w:val="0"/>
            <w:vAlign w:val="top"/>
          </w:tcPr>
          <w:p w14:paraId="626D11F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3957" w:type="dxa"/>
            <w:noWrap w:val="0"/>
            <w:vAlign w:val="top"/>
          </w:tcPr>
          <w:p w14:paraId="5625EF76">
            <w:pPr>
              <w:pStyle w:val="31"/>
              <w:keepNext w:val="0"/>
              <w:keepLines w:val="0"/>
              <w:pageBreakBefore w:val="0"/>
              <w:widowControl w:val="0"/>
              <w:kinsoku/>
              <w:wordWrap/>
              <w:overflowPunct/>
              <w:topLinePunct w:val="0"/>
              <w:autoSpaceDE/>
              <w:autoSpaceDN/>
              <w:bidi w:val="0"/>
              <w:adjustRightInd/>
              <w:snapToGrid/>
              <w:spacing w:before="146" w:line="360" w:lineRule="exact"/>
              <w:ind w:left="21" w:right="11" w:firstLine="2"/>
              <w:textAlignment w:val="auto"/>
              <w:rPr>
                <w:rFonts w:hint="eastAsia"/>
                <w:color w:val="auto"/>
                <w:lang w:eastAsia="zh-CN"/>
              </w:rPr>
            </w:pPr>
            <w:r>
              <w:rPr>
                <w:rFonts w:hint="eastAsia"/>
                <w:color w:val="auto"/>
                <w:spacing w:val="19"/>
                <w:lang w:eastAsia="zh-CN"/>
              </w:rPr>
              <w:t>《平板电视能效限定值及能效等</w:t>
            </w:r>
            <w:r>
              <w:rPr>
                <w:rFonts w:hint="eastAsia"/>
                <w:color w:val="auto"/>
                <w:spacing w:val="2"/>
                <w:lang w:eastAsia="zh-CN"/>
              </w:rPr>
              <w:t xml:space="preserve"> </w:t>
            </w:r>
            <w:r>
              <w:rPr>
                <w:rFonts w:hint="eastAsia"/>
                <w:color w:val="auto"/>
                <w:spacing w:val="4"/>
                <w:lang w:eastAsia="zh-CN"/>
              </w:rPr>
              <w:t>级》（</w:t>
            </w:r>
            <w:r>
              <w:rPr>
                <w:rFonts w:hint="eastAsia"/>
                <w:color w:val="auto"/>
                <w:lang w:eastAsia="zh-CN"/>
              </w:rPr>
              <w:t>GB</w:t>
            </w:r>
            <w:r>
              <w:rPr>
                <w:rFonts w:hint="eastAsia"/>
                <w:color w:val="auto"/>
                <w:spacing w:val="23"/>
                <w:lang w:eastAsia="zh-CN"/>
              </w:rPr>
              <w:t xml:space="preserve"> </w:t>
            </w:r>
            <w:r>
              <w:rPr>
                <w:rFonts w:hint="eastAsia"/>
                <w:color w:val="auto"/>
                <w:spacing w:val="4"/>
                <w:lang w:eastAsia="zh-CN"/>
              </w:rPr>
              <w:t>24850）</w:t>
            </w:r>
          </w:p>
        </w:tc>
      </w:tr>
      <w:tr w14:paraId="19EE9A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noWrap w:val="0"/>
            <w:vAlign w:val="top"/>
          </w:tcPr>
          <w:p w14:paraId="353A5E2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4C75E16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071F877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7AACDA16">
            <w:pPr>
              <w:pStyle w:val="31"/>
              <w:keepNext w:val="0"/>
              <w:keepLines w:val="0"/>
              <w:pageBreakBefore w:val="0"/>
              <w:widowControl w:val="0"/>
              <w:kinsoku/>
              <w:wordWrap/>
              <w:overflowPunct/>
              <w:topLinePunct w:val="0"/>
              <w:autoSpaceDE/>
              <w:autoSpaceDN/>
              <w:bidi w:val="0"/>
              <w:adjustRightInd/>
              <w:snapToGrid/>
              <w:spacing w:before="62" w:line="360" w:lineRule="exact"/>
              <w:ind w:left="209"/>
              <w:textAlignment w:val="auto"/>
              <w:rPr>
                <w:rFonts w:hint="eastAsia"/>
                <w:color w:val="auto"/>
              </w:rPr>
            </w:pPr>
            <w:r>
              <w:rPr>
                <w:rFonts w:hint="eastAsia"/>
                <w:color w:val="auto"/>
                <w:spacing w:val="-7"/>
                <w:position w:val="1"/>
              </w:rPr>
              <w:t>13</w:t>
            </w:r>
          </w:p>
        </w:tc>
        <w:tc>
          <w:tcPr>
            <w:tcW w:w="1166" w:type="dxa"/>
            <w:noWrap w:val="0"/>
            <w:vAlign w:val="top"/>
          </w:tcPr>
          <w:p w14:paraId="33785D1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009F847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0718C276">
            <w:pPr>
              <w:pStyle w:val="31"/>
              <w:keepNext w:val="0"/>
              <w:keepLines w:val="0"/>
              <w:pageBreakBefore w:val="0"/>
              <w:widowControl w:val="0"/>
              <w:kinsoku/>
              <w:wordWrap/>
              <w:overflowPunct/>
              <w:topLinePunct w:val="0"/>
              <w:autoSpaceDE/>
              <w:autoSpaceDN/>
              <w:bidi w:val="0"/>
              <w:adjustRightInd/>
              <w:snapToGrid/>
              <w:spacing w:before="62" w:line="360" w:lineRule="exact"/>
              <w:ind w:left="16" w:right="8" w:firstLine="2"/>
              <w:textAlignment w:val="auto"/>
              <w:rPr>
                <w:rFonts w:hint="eastAsia"/>
                <w:color w:val="auto"/>
              </w:rPr>
            </w:pPr>
            <w:r>
              <w:rPr>
                <w:rFonts w:hint="eastAsia"/>
                <w:color w:val="auto"/>
                <w:spacing w:val="4"/>
              </w:rPr>
              <w:t>★A020911</w:t>
            </w:r>
            <w:r>
              <w:rPr>
                <w:rFonts w:hint="eastAsia"/>
                <w:color w:val="auto"/>
                <w:spacing w:val="-44"/>
              </w:rPr>
              <w:t xml:space="preserve"> </w:t>
            </w:r>
            <w:r>
              <w:rPr>
                <w:rFonts w:hint="eastAsia"/>
                <w:color w:val="auto"/>
                <w:spacing w:val="4"/>
              </w:rPr>
              <w:t>视</w:t>
            </w:r>
            <w:r>
              <w:rPr>
                <w:rFonts w:hint="eastAsia"/>
                <w:color w:val="auto"/>
              </w:rPr>
              <w:t xml:space="preserve"> </w:t>
            </w:r>
            <w:r>
              <w:rPr>
                <w:rFonts w:hint="eastAsia"/>
                <w:color w:val="auto"/>
                <w:spacing w:val="6"/>
              </w:rPr>
              <w:t>频设备</w:t>
            </w:r>
          </w:p>
        </w:tc>
        <w:tc>
          <w:tcPr>
            <w:tcW w:w="1799" w:type="dxa"/>
            <w:noWrap w:val="0"/>
            <w:vAlign w:val="top"/>
          </w:tcPr>
          <w:p w14:paraId="73B81F5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02127FB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3BEFBD54">
            <w:pPr>
              <w:pStyle w:val="31"/>
              <w:keepNext w:val="0"/>
              <w:keepLines w:val="0"/>
              <w:pageBreakBefore w:val="0"/>
              <w:widowControl w:val="0"/>
              <w:kinsoku/>
              <w:wordWrap/>
              <w:overflowPunct/>
              <w:topLinePunct w:val="0"/>
              <w:autoSpaceDE/>
              <w:autoSpaceDN/>
              <w:bidi w:val="0"/>
              <w:adjustRightInd/>
              <w:snapToGrid/>
              <w:spacing w:before="62" w:line="360" w:lineRule="exact"/>
              <w:ind w:left="18" w:right="10" w:hanging="9"/>
              <w:textAlignment w:val="auto"/>
              <w:rPr>
                <w:rFonts w:hint="eastAsia"/>
                <w:color w:val="auto"/>
              </w:rPr>
            </w:pPr>
            <w:r>
              <w:rPr>
                <w:rFonts w:hint="eastAsia"/>
                <w:color w:val="auto"/>
                <w:spacing w:val="4"/>
              </w:rPr>
              <w:t>A02091107 视频监控</w:t>
            </w:r>
            <w:r>
              <w:rPr>
                <w:rFonts w:hint="eastAsia"/>
                <w:color w:val="auto"/>
                <w:spacing w:val="7"/>
              </w:rPr>
              <w:t xml:space="preserve"> </w:t>
            </w:r>
            <w:r>
              <w:rPr>
                <w:rFonts w:hint="eastAsia"/>
                <w:color w:val="auto"/>
                <w:spacing w:val="3"/>
              </w:rPr>
              <w:t>设备</w:t>
            </w:r>
          </w:p>
        </w:tc>
        <w:tc>
          <w:tcPr>
            <w:tcW w:w="1914" w:type="dxa"/>
            <w:noWrap w:val="0"/>
            <w:vAlign w:val="top"/>
          </w:tcPr>
          <w:p w14:paraId="2858D8B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43F475A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21300A7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607D8B8F">
            <w:pPr>
              <w:pStyle w:val="31"/>
              <w:keepNext w:val="0"/>
              <w:keepLines w:val="0"/>
              <w:pageBreakBefore w:val="0"/>
              <w:widowControl w:val="0"/>
              <w:kinsoku/>
              <w:wordWrap/>
              <w:overflowPunct/>
              <w:topLinePunct w:val="0"/>
              <w:autoSpaceDE/>
              <w:autoSpaceDN/>
              <w:bidi w:val="0"/>
              <w:adjustRightInd/>
              <w:snapToGrid/>
              <w:spacing w:before="62" w:line="360" w:lineRule="exact"/>
              <w:ind w:left="17"/>
              <w:textAlignment w:val="auto"/>
              <w:rPr>
                <w:rFonts w:hint="eastAsia"/>
                <w:color w:val="auto"/>
              </w:rPr>
            </w:pPr>
            <w:r>
              <w:rPr>
                <w:rFonts w:hint="eastAsia"/>
                <w:color w:val="auto"/>
                <w:spacing w:val="6"/>
              </w:rPr>
              <w:t>监视器</w:t>
            </w:r>
          </w:p>
        </w:tc>
        <w:tc>
          <w:tcPr>
            <w:tcW w:w="3957" w:type="dxa"/>
            <w:noWrap w:val="0"/>
            <w:vAlign w:val="top"/>
          </w:tcPr>
          <w:p w14:paraId="6DA5A99A">
            <w:pPr>
              <w:pStyle w:val="31"/>
              <w:keepNext w:val="0"/>
              <w:keepLines w:val="0"/>
              <w:pageBreakBefore w:val="0"/>
              <w:widowControl w:val="0"/>
              <w:kinsoku/>
              <w:wordWrap/>
              <w:overflowPunct/>
              <w:topLinePunct w:val="0"/>
              <w:autoSpaceDE/>
              <w:autoSpaceDN/>
              <w:bidi w:val="0"/>
              <w:adjustRightInd/>
              <w:snapToGrid/>
              <w:spacing w:before="93" w:line="360" w:lineRule="exact"/>
              <w:ind w:left="17" w:right="11" w:firstLine="23"/>
              <w:textAlignment w:val="auto"/>
              <w:rPr>
                <w:rFonts w:hint="eastAsia"/>
                <w:color w:val="auto"/>
                <w:lang w:eastAsia="zh-CN"/>
              </w:rPr>
            </w:pPr>
            <w:r>
              <w:rPr>
                <w:rFonts w:hint="eastAsia"/>
                <w:color w:val="auto"/>
                <w:spacing w:val="18"/>
                <w:lang w:eastAsia="zh-CN"/>
              </w:rPr>
              <w:t>以射频信号为主要信号输入的监</w:t>
            </w:r>
            <w:r>
              <w:rPr>
                <w:rFonts w:hint="eastAsia"/>
                <w:color w:val="auto"/>
                <w:lang w:eastAsia="zh-CN"/>
              </w:rPr>
              <w:t xml:space="preserve"> </w:t>
            </w:r>
            <w:r>
              <w:rPr>
                <w:rFonts w:hint="eastAsia"/>
                <w:color w:val="auto"/>
                <w:spacing w:val="5"/>
                <w:lang w:eastAsia="zh-CN"/>
              </w:rPr>
              <w:t>视器应符合《平板电视能效限定值</w:t>
            </w:r>
            <w:r>
              <w:rPr>
                <w:rFonts w:hint="eastAsia"/>
                <w:color w:val="auto"/>
                <w:spacing w:val="7"/>
                <w:lang w:eastAsia="zh-CN"/>
              </w:rPr>
              <w:t xml:space="preserve"> </w:t>
            </w:r>
            <w:r>
              <w:rPr>
                <w:rFonts w:hint="eastAsia"/>
                <w:color w:val="auto"/>
                <w:spacing w:val="8"/>
                <w:lang w:eastAsia="zh-CN"/>
              </w:rPr>
              <w:t>及能效等级》（</w:t>
            </w:r>
            <w:r>
              <w:rPr>
                <w:rFonts w:hint="eastAsia"/>
                <w:color w:val="auto"/>
                <w:lang w:eastAsia="zh-CN"/>
              </w:rPr>
              <w:t>GB</w:t>
            </w:r>
            <w:r>
              <w:rPr>
                <w:rFonts w:hint="eastAsia"/>
                <w:color w:val="auto"/>
                <w:spacing w:val="8"/>
                <w:lang w:eastAsia="zh-CN"/>
              </w:rPr>
              <w:t xml:space="preserve"> 24850</w:t>
            </w:r>
            <w:r>
              <w:rPr>
                <w:rFonts w:hint="eastAsia"/>
                <w:color w:val="auto"/>
                <w:lang w:eastAsia="zh-CN"/>
              </w:rPr>
              <w:t>），</w:t>
            </w:r>
          </w:p>
          <w:p w14:paraId="06EA6327">
            <w:pPr>
              <w:pStyle w:val="31"/>
              <w:keepNext w:val="0"/>
              <w:keepLines w:val="0"/>
              <w:pageBreakBefore w:val="0"/>
              <w:widowControl w:val="0"/>
              <w:kinsoku/>
              <w:wordWrap/>
              <w:overflowPunct/>
              <w:topLinePunct w:val="0"/>
              <w:autoSpaceDE/>
              <w:autoSpaceDN/>
              <w:bidi w:val="0"/>
              <w:adjustRightInd/>
              <w:snapToGrid/>
              <w:spacing w:before="1" w:line="360" w:lineRule="exact"/>
              <w:ind w:left="17" w:right="11" w:firstLine="23"/>
              <w:textAlignment w:val="auto"/>
              <w:rPr>
                <w:rFonts w:hint="eastAsia"/>
                <w:color w:val="auto"/>
                <w:lang w:eastAsia="zh-CN"/>
              </w:rPr>
            </w:pPr>
            <w:r>
              <w:rPr>
                <w:rFonts w:hint="eastAsia"/>
                <w:color w:val="auto"/>
                <w:spacing w:val="18"/>
                <w:lang w:eastAsia="zh-CN"/>
              </w:rPr>
              <w:t>以数字信号为主要信号输入的监</w:t>
            </w:r>
            <w:r>
              <w:rPr>
                <w:rFonts w:hint="eastAsia"/>
                <w:color w:val="auto"/>
                <w:lang w:eastAsia="zh-CN"/>
              </w:rPr>
              <w:t xml:space="preserve"> </w:t>
            </w:r>
            <w:r>
              <w:rPr>
                <w:rFonts w:hint="eastAsia"/>
                <w:color w:val="auto"/>
                <w:spacing w:val="5"/>
                <w:lang w:eastAsia="zh-CN"/>
              </w:rPr>
              <w:t>视器应符合《计算机显示器能效限</w:t>
            </w:r>
            <w:r>
              <w:rPr>
                <w:rFonts w:hint="eastAsia"/>
                <w:color w:val="auto"/>
                <w:spacing w:val="7"/>
                <w:lang w:eastAsia="zh-CN"/>
              </w:rPr>
              <w:t xml:space="preserve"> 定值及能效等级》（</w:t>
            </w:r>
            <w:r>
              <w:rPr>
                <w:rFonts w:hint="eastAsia"/>
                <w:color w:val="auto"/>
                <w:lang w:eastAsia="zh-CN"/>
              </w:rPr>
              <w:t>GB</w:t>
            </w:r>
            <w:r>
              <w:rPr>
                <w:rFonts w:hint="eastAsia"/>
                <w:color w:val="auto"/>
                <w:spacing w:val="7"/>
                <w:lang w:eastAsia="zh-CN"/>
              </w:rPr>
              <w:t xml:space="preserve"> 21520）</w:t>
            </w:r>
          </w:p>
        </w:tc>
      </w:tr>
      <w:tr w14:paraId="7DF4C9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noWrap w:val="0"/>
            <w:vAlign w:val="top"/>
          </w:tcPr>
          <w:p w14:paraId="0ACA60CC">
            <w:pPr>
              <w:pStyle w:val="31"/>
              <w:keepNext w:val="0"/>
              <w:keepLines w:val="0"/>
              <w:pageBreakBefore w:val="0"/>
              <w:widowControl w:val="0"/>
              <w:kinsoku/>
              <w:wordWrap/>
              <w:overflowPunct/>
              <w:topLinePunct w:val="0"/>
              <w:autoSpaceDE/>
              <w:autoSpaceDN/>
              <w:bidi w:val="0"/>
              <w:adjustRightInd/>
              <w:snapToGrid/>
              <w:spacing w:before="298" w:line="360" w:lineRule="exact"/>
              <w:ind w:left="209"/>
              <w:textAlignment w:val="auto"/>
              <w:rPr>
                <w:rFonts w:hint="eastAsia"/>
                <w:color w:val="auto"/>
              </w:rPr>
            </w:pPr>
            <w:r>
              <w:rPr>
                <w:rFonts w:hint="eastAsia"/>
                <w:color w:val="auto"/>
                <w:spacing w:val="-7"/>
                <w:position w:val="1"/>
              </w:rPr>
              <w:t>14</w:t>
            </w:r>
          </w:p>
        </w:tc>
        <w:tc>
          <w:tcPr>
            <w:tcW w:w="1166" w:type="dxa"/>
            <w:noWrap w:val="0"/>
            <w:vAlign w:val="top"/>
          </w:tcPr>
          <w:p w14:paraId="7051A824">
            <w:pPr>
              <w:pStyle w:val="31"/>
              <w:keepNext w:val="0"/>
              <w:keepLines w:val="0"/>
              <w:pageBreakBefore w:val="0"/>
              <w:widowControl w:val="0"/>
              <w:kinsoku/>
              <w:wordWrap/>
              <w:overflowPunct/>
              <w:topLinePunct w:val="0"/>
              <w:autoSpaceDE/>
              <w:autoSpaceDN/>
              <w:bidi w:val="0"/>
              <w:adjustRightInd/>
              <w:snapToGrid/>
              <w:spacing w:before="142" w:line="360" w:lineRule="exact"/>
              <w:ind w:left="15" w:right="8" w:hanging="6"/>
              <w:textAlignment w:val="auto"/>
              <w:rPr>
                <w:rFonts w:hint="eastAsia"/>
                <w:color w:val="auto"/>
              </w:rPr>
            </w:pPr>
            <w:r>
              <w:rPr>
                <w:rFonts w:hint="eastAsia"/>
                <w:color w:val="auto"/>
                <w:spacing w:val="5"/>
              </w:rPr>
              <w:t>A031210</w:t>
            </w:r>
            <w:r>
              <w:rPr>
                <w:rFonts w:hint="eastAsia"/>
                <w:color w:val="auto"/>
                <w:spacing w:val="-43"/>
              </w:rPr>
              <w:t xml:space="preserve"> </w:t>
            </w:r>
            <w:r>
              <w:rPr>
                <w:rFonts w:hint="eastAsia"/>
                <w:color w:val="auto"/>
                <w:spacing w:val="5"/>
              </w:rPr>
              <w:t>饮食</w:t>
            </w:r>
            <w:r>
              <w:rPr>
                <w:rFonts w:hint="eastAsia"/>
                <w:color w:val="auto"/>
              </w:rPr>
              <w:t xml:space="preserve"> </w:t>
            </w:r>
            <w:r>
              <w:rPr>
                <w:rFonts w:hint="eastAsia"/>
                <w:color w:val="auto"/>
                <w:spacing w:val="7"/>
              </w:rPr>
              <w:t>炊事机械</w:t>
            </w:r>
          </w:p>
        </w:tc>
        <w:tc>
          <w:tcPr>
            <w:tcW w:w="1799" w:type="dxa"/>
            <w:noWrap w:val="0"/>
            <w:vAlign w:val="top"/>
          </w:tcPr>
          <w:p w14:paraId="3F246EAC">
            <w:pPr>
              <w:pStyle w:val="31"/>
              <w:keepNext w:val="0"/>
              <w:keepLines w:val="0"/>
              <w:pageBreakBefore w:val="0"/>
              <w:widowControl w:val="0"/>
              <w:kinsoku/>
              <w:wordWrap/>
              <w:overflowPunct/>
              <w:topLinePunct w:val="0"/>
              <w:autoSpaceDE/>
              <w:autoSpaceDN/>
              <w:bidi w:val="0"/>
              <w:adjustRightInd/>
              <w:snapToGrid/>
              <w:spacing w:before="297" w:line="360" w:lineRule="exact"/>
              <w:ind w:left="19"/>
              <w:textAlignment w:val="auto"/>
              <w:rPr>
                <w:rFonts w:hint="eastAsia"/>
                <w:color w:val="auto"/>
              </w:rPr>
            </w:pPr>
            <w:r>
              <w:rPr>
                <w:rFonts w:hint="eastAsia"/>
                <w:color w:val="auto"/>
                <w:spacing w:val="7"/>
              </w:rPr>
              <w:t>商用燃气灶具</w:t>
            </w:r>
          </w:p>
        </w:tc>
        <w:tc>
          <w:tcPr>
            <w:tcW w:w="1914" w:type="dxa"/>
            <w:noWrap w:val="0"/>
            <w:vAlign w:val="top"/>
          </w:tcPr>
          <w:p w14:paraId="4F7A885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3957" w:type="dxa"/>
            <w:noWrap w:val="0"/>
            <w:vAlign w:val="top"/>
          </w:tcPr>
          <w:p w14:paraId="4418A7B8">
            <w:pPr>
              <w:pStyle w:val="31"/>
              <w:keepNext w:val="0"/>
              <w:keepLines w:val="0"/>
              <w:pageBreakBefore w:val="0"/>
              <w:widowControl w:val="0"/>
              <w:kinsoku/>
              <w:wordWrap/>
              <w:overflowPunct/>
              <w:topLinePunct w:val="0"/>
              <w:autoSpaceDE/>
              <w:autoSpaceDN/>
              <w:bidi w:val="0"/>
              <w:adjustRightInd/>
              <w:snapToGrid/>
              <w:spacing w:before="142" w:line="360" w:lineRule="exact"/>
              <w:ind w:left="22" w:right="11"/>
              <w:textAlignment w:val="auto"/>
              <w:rPr>
                <w:rFonts w:hint="eastAsia"/>
                <w:color w:val="auto"/>
                <w:lang w:eastAsia="zh-CN"/>
              </w:rPr>
            </w:pPr>
            <w:r>
              <w:rPr>
                <w:rFonts w:hint="eastAsia"/>
                <w:color w:val="auto"/>
                <w:spacing w:val="19"/>
                <w:lang w:eastAsia="zh-CN"/>
              </w:rPr>
              <w:t>《商用燃气灶具能效限定值及能</w:t>
            </w:r>
            <w:r>
              <w:rPr>
                <w:rFonts w:hint="eastAsia"/>
                <w:color w:val="auto"/>
                <w:spacing w:val="2"/>
                <w:lang w:eastAsia="zh-CN"/>
              </w:rPr>
              <w:t xml:space="preserve"> </w:t>
            </w:r>
            <w:r>
              <w:rPr>
                <w:rFonts w:hint="eastAsia"/>
                <w:color w:val="auto"/>
                <w:spacing w:val="6"/>
                <w:lang w:eastAsia="zh-CN"/>
              </w:rPr>
              <w:t>效等级》（</w:t>
            </w:r>
            <w:r>
              <w:rPr>
                <w:rFonts w:hint="eastAsia"/>
                <w:color w:val="auto"/>
                <w:lang w:eastAsia="zh-CN"/>
              </w:rPr>
              <w:t>GB</w:t>
            </w:r>
            <w:r>
              <w:rPr>
                <w:rFonts w:hint="eastAsia"/>
                <w:color w:val="auto"/>
                <w:spacing w:val="6"/>
                <w:lang w:eastAsia="zh-CN"/>
              </w:rPr>
              <w:t xml:space="preserve"> 30531）</w:t>
            </w:r>
          </w:p>
        </w:tc>
      </w:tr>
      <w:tr w14:paraId="3F30B7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restart"/>
            <w:tcBorders>
              <w:bottom w:val="nil"/>
            </w:tcBorders>
            <w:noWrap w:val="0"/>
            <w:vAlign w:val="top"/>
          </w:tcPr>
          <w:p w14:paraId="5D6C1F2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34A2F37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491CAE4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14E393A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280744D2">
            <w:pPr>
              <w:pStyle w:val="31"/>
              <w:keepNext w:val="0"/>
              <w:keepLines w:val="0"/>
              <w:pageBreakBefore w:val="0"/>
              <w:widowControl w:val="0"/>
              <w:kinsoku/>
              <w:wordWrap/>
              <w:overflowPunct/>
              <w:topLinePunct w:val="0"/>
              <w:autoSpaceDE/>
              <w:autoSpaceDN/>
              <w:bidi w:val="0"/>
              <w:adjustRightInd/>
              <w:snapToGrid/>
              <w:spacing w:before="62" w:line="360" w:lineRule="exact"/>
              <w:ind w:left="209"/>
              <w:textAlignment w:val="auto"/>
              <w:rPr>
                <w:rFonts w:hint="eastAsia"/>
                <w:color w:val="auto"/>
              </w:rPr>
            </w:pPr>
            <w:r>
              <w:rPr>
                <w:rFonts w:hint="eastAsia"/>
                <w:color w:val="auto"/>
                <w:spacing w:val="-7"/>
                <w:position w:val="1"/>
              </w:rPr>
              <w:t>15</w:t>
            </w:r>
          </w:p>
        </w:tc>
        <w:tc>
          <w:tcPr>
            <w:tcW w:w="1166" w:type="dxa"/>
            <w:vMerge w:val="restart"/>
            <w:tcBorders>
              <w:bottom w:val="nil"/>
            </w:tcBorders>
            <w:noWrap w:val="0"/>
            <w:vAlign w:val="top"/>
          </w:tcPr>
          <w:p w14:paraId="58AC4CB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2E57932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328EA37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489825F2">
            <w:pPr>
              <w:pStyle w:val="31"/>
              <w:keepNext w:val="0"/>
              <w:keepLines w:val="0"/>
              <w:pageBreakBefore w:val="0"/>
              <w:widowControl w:val="0"/>
              <w:kinsoku/>
              <w:wordWrap/>
              <w:overflowPunct/>
              <w:topLinePunct w:val="0"/>
              <w:autoSpaceDE/>
              <w:autoSpaceDN/>
              <w:bidi w:val="0"/>
              <w:adjustRightInd/>
              <w:snapToGrid/>
              <w:spacing w:before="62" w:line="360" w:lineRule="exact"/>
              <w:ind w:left="15" w:right="8" w:firstLine="3"/>
              <w:textAlignment w:val="auto"/>
              <w:rPr>
                <w:rFonts w:hint="eastAsia"/>
                <w:color w:val="auto"/>
              </w:rPr>
            </w:pPr>
            <w:r>
              <w:rPr>
                <w:rFonts w:hint="eastAsia"/>
                <w:color w:val="auto"/>
                <w:spacing w:val="3"/>
              </w:rPr>
              <w:t>★A060805</w:t>
            </w:r>
            <w:r>
              <w:rPr>
                <w:rFonts w:hint="eastAsia"/>
                <w:color w:val="auto"/>
                <w:spacing w:val="-35"/>
              </w:rPr>
              <w:t xml:space="preserve"> </w:t>
            </w:r>
            <w:r>
              <w:rPr>
                <w:rFonts w:hint="eastAsia"/>
                <w:color w:val="auto"/>
                <w:spacing w:val="3"/>
              </w:rPr>
              <w:t>便</w:t>
            </w:r>
            <w:r>
              <w:rPr>
                <w:rFonts w:hint="eastAsia"/>
                <w:color w:val="auto"/>
              </w:rPr>
              <w:t xml:space="preserve"> </w:t>
            </w:r>
            <w:r>
              <w:rPr>
                <w:rFonts w:hint="eastAsia"/>
                <w:color w:val="auto"/>
                <w:spacing w:val="1"/>
              </w:rPr>
              <w:t>器</w:t>
            </w:r>
          </w:p>
        </w:tc>
        <w:tc>
          <w:tcPr>
            <w:tcW w:w="1799" w:type="dxa"/>
            <w:noWrap w:val="0"/>
            <w:vAlign w:val="top"/>
          </w:tcPr>
          <w:p w14:paraId="3BC9CE3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57136ACE">
            <w:pPr>
              <w:pStyle w:val="31"/>
              <w:keepNext w:val="0"/>
              <w:keepLines w:val="0"/>
              <w:pageBreakBefore w:val="0"/>
              <w:widowControl w:val="0"/>
              <w:kinsoku/>
              <w:wordWrap/>
              <w:overflowPunct/>
              <w:topLinePunct w:val="0"/>
              <w:autoSpaceDE/>
              <w:autoSpaceDN/>
              <w:bidi w:val="0"/>
              <w:adjustRightInd/>
              <w:snapToGrid/>
              <w:spacing w:before="62" w:line="360" w:lineRule="exact"/>
              <w:ind w:left="16"/>
              <w:textAlignment w:val="auto"/>
              <w:rPr>
                <w:rFonts w:hint="eastAsia"/>
                <w:color w:val="auto"/>
              </w:rPr>
            </w:pPr>
            <w:r>
              <w:rPr>
                <w:rFonts w:hint="eastAsia"/>
                <w:color w:val="auto"/>
                <w:spacing w:val="6"/>
              </w:rPr>
              <w:t>坐便器</w:t>
            </w:r>
          </w:p>
        </w:tc>
        <w:tc>
          <w:tcPr>
            <w:tcW w:w="1914" w:type="dxa"/>
            <w:noWrap w:val="0"/>
            <w:vAlign w:val="top"/>
          </w:tcPr>
          <w:p w14:paraId="6667BAA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3957" w:type="dxa"/>
            <w:noWrap w:val="0"/>
            <w:vAlign w:val="top"/>
          </w:tcPr>
          <w:p w14:paraId="1EA922E8">
            <w:pPr>
              <w:pStyle w:val="31"/>
              <w:keepNext w:val="0"/>
              <w:keepLines w:val="0"/>
              <w:pageBreakBefore w:val="0"/>
              <w:widowControl w:val="0"/>
              <w:kinsoku/>
              <w:wordWrap/>
              <w:overflowPunct/>
              <w:topLinePunct w:val="0"/>
              <w:autoSpaceDE/>
              <w:autoSpaceDN/>
              <w:bidi w:val="0"/>
              <w:adjustRightInd/>
              <w:snapToGrid/>
              <w:spacing w:before="189" w:line="360" w:lineRule="exact"/>
              <w:ind w:left="27" w:hanging="4"/>
              <w:textAlignment w:val="auto"/>
              <w:rPr>
                <w:rFonts w:hint="eastAsia"/>
                <w:color w:val="auto"/>
                <w:lang w:eastAsia="zh-CN"/>
              </w:rPr>
            </w:pPr>
            <w:r>
              <w:rPr>
                <w:rFonts w:hint="eastAsia"/>
                <w:color w:val="auto"/>
                <w:spacing w:val="6"/>
                <w:lang w:eastAsia="zh-CN"/>
              </w:rPr>
              <w:t>《坐便器水效限定值及水效等级》</w:t>
            </w:r>
            <w:r>
              <w:rPr>
                <w:rFonts w:hint="eastAsia"/>
                <w:color w:val="auto"/>
                <w:lang w:eastAsia="zh-CN"/>
              </w:rPr>
              <w:t xml:space="preserve"> </w:t>
            </w:r>
            <w:r>
              <w:rPr>
                <w:rFonts w:hint="eastAsia"/>
                <w:color w:val="auto"/>
                <w:spacing w:val="1"/>
                <w:lang w:eastAsia="zh-CN"/>
              </w:rPr>
              <w:t>（</w:t>
            </w:r>
            <w:r>
              <w:rPr>
                <w:rFonts w:hint="eastAsia"/>
                <w:color w:val="auto"/>
                <w:lang w:eastAsia="zh-CN"/>
              </w:rPr>
              <w:t>GB</w:t>
            </w:r>
            <w:r>
              <w:rPr>
                <w:rFonts w:hint="eastAsia"/>
                <w:color w:val="auto"/>
                <w:spacing w:val="15"/>
                <w:lang w:eastAsia="zh-CN"/>
              </w:rPr>
              <w:t xml:space="preserve"> </w:t>
            </w:r>
            <w:r>
              <w:rPr>
                <w:rFonts w:hint="eastAsia"/>
                <w:color w:val="auto"/>
                <w:spacing w:val="1"/>
                <w:lang w:eastAsia="zh-CN"/>
              </w:rPr>
              <w:t>25502）</w:t>
            </w:r>
          </w:p>
        </w:tc>
      </w:tr>
      <w:tr w14:paraId="07C6FC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14:paraId="17D7ECA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166" w:type="dxa"/>
            <w:vMerge w:val="continue"/>
            <w:tcBorders>
              <w:top w:val="nil"/>
              <w:bottom w:val="nil"/>
            </w:tcBorders>
            <w:noWrap w:val="0"/>
            <w:vAlign w:val="top"/>
          </w:tcPr>
          <w:p w14:paraId="713CD1C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799" w:type="dxa"/>
            <w:noWrap w:val="0"/>
            <w:vAlign w:val="top"/>
          </w:tcPr>
          <w:p w14:paraId="2CD8175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1CEC0861">
            <w:pPr>
              <w:pStyle w:val="31"/>
              <w:keepNext w:val="0"/>
              <w:keepLines w:val="0"/>
              <w:pageBreakBefore w:val="0"/>
              <w:widowControl w:val="0"/>
              <w:kinsoku/>
              <w:wordWrap/>
              <w:overflowPunct/>
              <w:topLinePunct w:val="0"/>
              <w:autoSpaceDE/>
              <w:autoSpaceDN/>
              <w:bidi w:val="0"/>
              <w:adjustRightInd/>
              <w:snapToGrid/>
              <w:spacing w:before="62" w:line="360" w:lineRule="exact"/>
              <w:ind w:left="14"/>
              <w:textAlignment w:val="auto"/>
              <w:rPr>
                <w:rFonts w:hint="eastAsia"/>
                <w:color w:val="auto"/>
              </w:rPr>
            </w:pPr>
            <w:r>
              <w:rPr>
                <w:rFonts w:hint="eastAsia"/>
                <w:color w:val="auto"/>
                <w:spacing w:val="6"/>
              </w:rPr>
              <w:t>蹲便器</w:t>
            </w:r>
          </w:p>
        </w:tc>
        <w:tc>
          <w:tcPr>
            <w:tcW w:w="1914" w:type="dxa"/>
            <w:noWrap w:val="0"/>
            <w:vAlign w:val="top"/>
          </w:tcPr>
          <w:p w14:paraId="36BDB7B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3957" w:type="dxa"/>
            <w:noWrap w:val="0"/>
            <w:vAlign w:val="top"/>
          </w:tcPr>
          <w:p w14:paraId="23C141D1">
            <w:pPr>
              <w:pStyle w:val="31"/>
              <w:keepNext w:val="0"/>
              <w:keepLines w:val="0"/>
              <w:pageBreakBefore w:val="0"/>
              <w:widowControl w:val="0"/>
              <w:kinsoku/>
              <w:wordWrap/>
              <w:overflowPunct/>
              <w:topLinePunct w:val="0"/>
              <w:autoSpaceDE/>
              <w:autoSpaceDN/>
              <w:bidi w:val="0"/>
              <w:adjustRightInd/>
              <w:snapToGrid/>
              <w:spacing w:before="191" w:line="360" w:lineRule="exact"/>
              <w:ind w:left="22" w:right="11"/>
              <w:textAlignment w:val="auto"/>
              <w:rPr>
                <w:rFonts w:hint="eastAsia"/>
                <w:color w:val="auto"/>
                <w:lang w:eastAsia="zh-CN"/>
              </w:rPr>
            </w:pPr>
            <w:r>
              <w:rPr>
                <w:rFonts w:hint="eastAsia"/>
                <w:color w:val="auto"/>
                <w:spacing w:val="19"/>
                <w:lang w:eastAsia="zh-CN"/>
              </w:rPr>
              <w:t>《蹲便器用水效率限定值及用水</w:t>
            </w:r>
            <w:r>
              <w:rPr>
                <w:rFonts w:hint="eastAsia"/>
                <w:color w:val="auto"/>
                <w:spacing w:val="2"/>
                <w:lang w:eastAsia="zh-CN"/>
              </w:rPr>
              <w:t xml:space="preserve"> </w:t>
            </w:r>
            <w:r>
              <w:rPr>
                <w:rFonts w:hint="eastAsia"/>
                <w:color w:val="auto"/>
                <w:spacing w:val="6"/>
                <w:lang w:eastAsia="zh-CN"/>
              </w:rPr>
              <w:t>效率等级》（</w:t>
            </w:r>
            <w:r>
              <w:rPr>
                <w:rFonts w:hint="eastAsia"/>
                <w:color w:val="auto"/>
                <w:lang w:eastAsia="zh-CN"/>
              </w:rPr>
              <w:t>GB</w:t>
            </w:r>
            <w:r>
              <w:rPr>
                <w:rFonts w:hint="eastAsia"/>
                <w:color w:val="auto"/>
                <w:spacing w:val="6"/>
                <w:lang w:eastAsia="zh-CN"/>
              </w:rPr>
              <w:t xml:space="preserve"> 30717）</w:t>
            </w:r>
          </w:p>
        </w:tc>
      </w:tr>
      <w:tr w14:paraId="154B10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vMerge w:val="continue"/>
            <w:tcBorders>
              <w:top w:val="nil"/>
            </w:tcBorders>
            <w:noWrap w:val="0"/>
            <w:vAlign w:val="top"/>
          </w:tcPr>
          <w:p w14:paraId="170B42A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166" w:type="dxa"/>
            <w:vMerge w:val="continue"/>
            <w:tcBorders>
              <w:top w:val="nil"/>
            </w:tcBorders>
            <w:noWrap w:val="0"/>
            <w:vAlign w:val="top"/>
          </w:tcPr>
          <w:p w14:paraId="76666AA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1799" w:type="dxa"/>
            <w:noWrap w:val="0"/>
            <w:vAlign w:val="top"/>
          </w:tcPr>
          <w:p w14:paraId="13AE56B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p w14:paraId="6D6879F0">
            <w:pPr>
              <w:pStyle w:val="31"/>
              <w:keepNext w:val="0"/>
              <w:keepLines w:val="0"/>
              <w:pageBreakBefore w:val="0"/>
              <w:widowControl w:val="0"/>
              <w:kinsoku/>
              <w:wordWrap/>
              <w:overflowPunct/>
              <w:topLinePunct w:val="0"/>
              <w:autoSpaceDE/>
              <w:autoSpaceDN/>
              <w:bidi w:val="0"/>
              <w:adjustRightInd/>
              <w:snapToGrid/>
              <w:spacing w:before="61" w:line="360" w:lineRule="exact"/>
              <w:ind w:left="20"/>
              <w:textAlignment w:val="auto"/>
              <w:rPr>
                <w:rFonts w:hint="eastAsia"/>
                <w:color w:val="auto"/>
              </w:rPr>
            </w:pPr>
            <w:r>
              <w:rPr>
                <w:rFonts w:hint="eastAsia"/>
                <w:color w:val="auto"/>
                <w:spacing w:val="4"/>
              </w:rPr>
              <w:t>小便器</w:t>
            </w:r>
          </w:p>
        </w:tc>
        <w:tc>
          <w:tcPr>
            <w:tcW w:w="1914" w:type="dxa"/>
            <w:noWrap w:val="0"/>
            <w:vAlign w:val="top"/>
          </w:tcPr>
          <w:p w14:paraId="0EF4AC5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color w:val="auto"/>
              </w:rPr>
            </w:pPr>
          </w:p>
        </w:tc>
        <w:tc>
          <w:tcPr>
            <w:tcW w:w="3957" w:type="dxa"/>
            <w:noWrap w:val="0"/>
            <w:vAlign w:val="top"/>
          </w:tcPr>
          <w:p w14:paraId="70FF9E8D">
            <w:pPr>
              <w:pStyle w:val="31"/>
              <w:keepNext w:val="0"/>
              <w:keepLines w:val="0"/>
              <w:pageBreakBefore w:val="0"/>
              <w:widowControl w:val="0"/>
              <w:kinsoku/>
              <w:wordWrap/>
              <w:overflowPunct/>
              <w:topLinePunct w:val="0"/>
              <w:autoSpaceDE/>
              <w:autoSpaceDN/>
              <w:bidi w:val="0"/>
              <w:adjustRightInd/>
              <w:snapToGrid/>
              <w:spacing w:before="192" w:line="360" w:lineRule="exact"/>
              <w:ind w:left="22" w:right="11"/>
              <w:textAlignment w:val="auto"/>
              <w:rPr>
                <w:rFonts w:hint="eastAsia"/>
                <w:color w:val="auto"/>
                <w:lang w:eastAsia="zh-CN"/>
              </w:rPr>
            </w:pPr>
            <w:r>
              <w:rPr>
                <w:rFonts w:hint="eastAsia"/>
                <w:color w:val="auto"/>
                <w:spacing w:val="19"/>
                <w:lang w:eastAsia="zh-CN"/>
              </w:rPr>
              <w:t>《小便器用水效率限定值及用水</w:t>
            </w:r>
            <w:r>
              <w:rPr>
                <w:rFonts w:hint="eastAsia"/>
                <w:color w:val="auto"/>
                <w:spacing w:val="2"/>
                <w:lang w:eastAsia="zh-CN"/>
              </w:rPr>
              <w:t xml:space="preserve"> </w:t>
            </w:r>
            <w:r>
              <w:rPr>
                <w:rFonts w:hint="eastAsia"/>
                <w:color w:val="auto"/>
                <w:spacing w:val="6"/>
                <w:lang w:eastAsia="zh-CN"/>
              </w:rPr>
              <w:t>效率等级》（</w:t>
            </w:r>
            <w:r>
              <w:rPr>
                <w:rFonts w:hint="eastAsia"/>
                <w:color w:val="auto"/>
                <w:lang w:eastAsia="zh-CN"/>
              </w:rPr>
              <w:t>GB</w:t>
            </w:r>
            <w:r>
              <w:rPr>
                <w:rFonts w:hint="eastAsia"/>
                <w:color w:val="auto"/>
                <w:spacing w:val="6"/>
                <w:lang w:eastAsia="zh-CN"/>
              </w:rPr>
              <w:t xml:space="preserve"> 28377）</w:t>
            </w:r>
          </w:p>
        </w:tc>
      </w:tr>
      <w:tr w14:paraId="77E2A3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noWrap w:val="0"/>
            <w:vAlign w:val="top"/>
          </w:tcPr>
          <w:p w14:paraId="0DBFC63E">
            <w:pPr>
              <w:spacing w:line="312" w:lineRule="auto"/>
              <w:rPr>
                <w:rFonts w:hint="eastAsia" w:ascii="宋体" w:hAnsi="宋体" w:cs="宋体"/>
                <w:color w:val="auto"/>
              </w:rPr>
            </w:pPr>
          </w:p>
          <w:p w14:paraId="69775EE4">
            <w:pPr>
              <w:pStyle w:val="31"/>
              <w:spacing w:before="61" w:line="257" w:lineRule="exact"/>
              <w:ind w:left="209"/>
              <w:rPr>
                <w:rFonts w:hint="eastAsia"/>
                <w:color w:val="auto"/>
              </w:rPr>
            </w:pPr>
            <w:r>
              <w:rPr>
                <w:rFonts w:hint="eastAsia"/>
                <w:color w:val="auto"/>
                <w:spacing w:val="-7"/>
                <w:position w:val="1"/>
              </w:rPr>
              <w:t>16</w:t>
            </w:r>
          </w:p>
        </w:tc>
        <w:tc>
          <w:tcPr>
            <w:tcW w:w="1166" w:type="dxa"/>
            <w:noWrap w:val="0"/>
            <w:vAlign w:val="top"/>
          </w:tcPr>
          <w:p w14:paraId="1903D796">
            <w:pPr>
              <w:pStyle w:val="31"/>
              <w:spacing w:before="220" w:line="304" w:lineRule="auto"/>
              <w:ind w:left="22" w:right="8" w:hanging="4"/>
              <w:rPr>
                <w:rFonts w:hint="eastAsia"/>
                <w:color w:val="auto"/>
              </w:rPr>
            </w:pPr>
            <w:r>
              <w:rPr>
                <w:rFonts w:hint="eastAsia"/>
                <w:color w:val="auto"/>
                <w:spacing w:val="3"/>
              </w:rPr>
              <w:t>★A060806</w:t>
            </w:r>
            <w:r>
              <w:rPr>
                <w:rFonts w:hint="eastAsia"/>
                <w:color w:val="auto"/>
                <w:spacing w:val="-35"/>
              </w:rPr>
              <w:t xml:space="preserve"> </w:t>
            </w:r>
            <w:r>
              <w:rPr>
                <w:rFonts w:hint="eastAsia"/>
                <w:color w:val="auto"/>
                <w:spacing w:val="3"/>
              </w:rPr>
              <w:t>水</w:t>
            </w:r>
            <w:r>
              <w:rPr>
                <w:rFonts w:hint="eastAsia"/>
                <w:color w:val="auto"/>
              </w:rPr>
              <w:t xml:space="preserve"> 嘴</w:t>
            </w:r>
          </w:p>
        </w:tc>
        <w:tc>
          <w:tcPr>
            <w:tcW w:w="1799" w:type="dxa"/>
            <w:noWrap w:val="0"/>
            <w:vAlign w:val="top"/>
          </w:tcPr>
          <w:p w14:paraId="569D5B91">
            <w:pPr>
              <w:rPr>
                <w:rFonts w:hint="eastAsia" w:ascii="宋体" w:hAnsi="宋体" w:cs="宋体"/>
                <w:color w:val="auto"/>
              </w:rPr>
            </w:pPr>
          </w:p>
        </w:tc>
        <w:tc>
          <w:tcPr>
            <w:tcW w:w="1914" w:type="dxa"/>
            <w:noWrap w:val="0"/>
            <w:vAlign w:val="top"/>
          </w:tcPr>
          <w:p w14:paraId="2125EC93">
            <w:pPr>
              <w:rPr>
                <w:rFonts w:hint="eastAsia" w:ascii="宋体" w:hAnsi="宋体" w:cs="宋体"/>
                <w:color w:val="auto"/>
              </w:rPr>
            </w:pPr>
          </w:p>
        </w:tc>
        <w:tc>
          <w:tcPr>
            <w:tcW w:w="3957" w:type="dxa"/>
            <w:noWrap w:val="0"/>
            <w:vAlign w:val="top"/>
          </w:tcPr>
          <w:p w14:paraId="7656C751">
            <w:pPr>
              <w:pStyle w:val="31"/>
              <w:spacing w:before="220" w:line="304" w:lineRule="auto"/>
              <w:ind w:left="19" w:right="11" w:firstLine="3"/>
              <w:rPr>
                <w:rFonts w:hint="eastAsia"/>
                <w:color w:val="auto"/>
                <w:lang w:eastAsia="zh-CN"/>
              </w:rPr>
            </w:pPr>
            <w:r>
              <w:rPr>
                <w:rFonts w:hint="eastAsia"/>
                <w:color w:val="auto"/>
                <w:spacing w:val="19"/>
                <w:lang w:eastAsia="zh-CN"/>
              </w:rPr>
              <w:t>《水嘴用水效率限定值及用水效</w:t>
            </w:r>
            <w:r>
              <w:rPr>
                <w:rFonts w:hint="eastAsia"/>
                <w:color w:val="auto"/>
                <w:spacing w:val="2"/>
                <w:lang w:eastAsia="zh-CN"/>
              </w:rPr>
              <w:t xml:space="preserve"> </w:t>
            </w:r>
            <w:r>
              <w:rPr>
                <w:rFonts w:hint="eastAsia"/>
                <w:color w:val="auto"/>
                <w:spacing w:val="6"/>
                <w:lang w:eastAsia="zh-CN"/>
              </w:rPr>
              <w:t>率等级》（</w:t>
            </w:r>
            <w:r>
              <w:rPr>
                <w:rFonts w:hint="eastAsia"/>
                <w:color w:val="auto"/>
                <w:lang w:eastAsia="zh-CN"/>
              </w:rPr>
              <w:t>GB</w:t>
            </w:r>
            <w:r>
              <w:rPr>
                <w:rFonts w:hint="eastAsia"/>
                <w:color w:val="auto"/>
                <w:spacing w:val="6"/>
                <w:lang w:eastAsia="zh-CN"/>
              </w:rPr>
              <w:t xml:space="preserve"> 25501）</w:t>
            </w:r>
          </w:p>
        </w:tc>
      </w:tr>
      <w:tr w14:paraId="755598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noWrap w:val="0"/>
            <w:vAlign w:val="top"/>
          </w:tcPr>
          <w:p w14:paraId="24E38CAE">
            <w:pPr>
              <w:spacing w:line="268" w:lineRule="auto"/>
              <w:rPr>
                <w:rFonts w:hint="eastAsia" w:ascii="宋体" w:hAnsi="宋体" w:cs="宋体"/>
                <w:color w:val="auto"/>
              </w:rPr>
            </w:pPr>
          </w:p>
          <w:p w14:paraId="2F658BD4">
            <w:pPr>
              <w:pStyle w:val="31"/>
              <w:spacing w:before="62" w:line="257" w:lineRule="exact"/>
              <w:ind w:left="209"/>
              <w:rPr>
                <w:rFonts w:hint="eastAsia"/>
                <w:color w:val="auto"/>
              </w:rPr>
            </w:pPr>
            <w:r>
              <w:rPr>
                <w:rFonts w:hint="eastAsia"/>
                <w:color w:val="auto"/>
                <w:spacing w:val="-7"/>
                <w:position w:val="1"/>
              </w:rPr>
              <w:t>17</w:t>
            </w:r>
          </w:p>
        </w:tc>
        <w:tc>
          <w:tcPr>
            <w:tcW w:w="1166" w:type="dxa"/>
            <w:noWrap w:val="0"/>
            <w:vAlign w:val="top"/>
          </w:tcPr>
          <w:p w14:paraId="60ACC5DA">
            <w:pPr>
              <w:pStyle w:val="31"/>
              <w:spacing w:before="176" w:line="305" w:lineRule="auto"/>
              <w:ind w:left="15" w:right="8" w:hanging="6"/>
              <w:rPr>
                <w:rFonts w:hint="eastAsia"/>
                <w:color w:val="auto"/>
              </w:rPr>
            </w:pPr>
            <w:r>
              <w:rPr>
                <w:rFonts w:hint="eastAsia"/>
                <w:color w:val="auto"/>
                <w:spacing w:val="5"/>
              </w:rPr>
              <w:t>A060807</w:t>
            </w:r>
            <w:r>
              <w:rPr>
                <w:rFonts w:hint="eastAsia"/>
                <w:color w:val="auto"/>
                <w:spacing w:val="-43"/>
              </w:rPr>
              <w:t xml:space="preserve"> </w:t>
            </w:r>
            <w:r>
              <w:rPr>
                <w:rFonts w:hint="eastAsia"/>
                <w:color w:val="auto"/>
                <w:spacing w:val="5"/>
              </w:rPr>
              <w:t>便器</w:t>
            </w:r>
            <w:r>
              <w:rPr>
                <w:rFonts w:hint="eastAsia"/>
                <w:color w:val="auto"/>
              </w:rPr>
              <w:t xml:space="preserve"> </w:t>
            </w:r>
            <w:r>
              <w:rPr>
                <w:rFonts w:hint="eastAsia"/>
                <w:color w:val="auto"/>
                <w:spacing w:val="6"/>
              </w:rPr>
              <w:t>冲洗阀</w:t>
            </w:r>
          </w:p>
        </w:tc>
        <w:tc>
          <w:tcPr>
            <w:tcW w:w="1799" w:type="dxa"/>
            <w:noWrap w:val="0"/>
            <w:vAlign w:val="top"/>
          </w:tcPr>
          <w:p w14:paraId="0E711D0B">
            <w:pPr>
              <w:rPr>
                <w:rFonts w:hint="eastAsia" w:ascii="宋体" w:hAnsi="宋体" w:cs="宋体"/>
                <w:color w:val="auto"/>
              </w:rPr>
            </w:pPr>
          </w:p>
        </w:tc>
        <w:tc>
          <w:tcPr>
            <w:tcW w:w="1914" w:type="dxa"/>
            <w:noWrap w:val="0"/>
            <w:vAlign w:val="top"/>
          </w:tcPr>
          <w:p w14:paraId="64C22D0F">
            <w:pPr>
              <w:rPr>
                <w:rFonts w:hint="eastAsia" w:ascii="宋体" w:hAnsi="宋体" w:cs="宋体"/>
                <w:color w:val="auto"/>
              </w:rPr>
            </w:pPr>
          </w:p>
        </w:tc>
        <w:tc>
          <w:tcPr>
            <w:tcW w:w="3957" w:type="dxa"/>
            <w:noWrap w:val="0"/>
            <w:vAlign w:val="top"/>
          </w:tcPr>
          <w:p w14:paraId="073CBCAD">
            <w:pPr>
              <w:pStyle w:val="31"/>
              <w:spacing w:before="177" w:line="304" w:lineRule="auto"/>
              <w:ind w:left="19" w:right="11" w:firstLine="3"/>
              <w:rPr>
                <w:rFonts w:hint="eastAsia"/>
                <w:color w:val="auto"/>
                <w:lang w:eastAsia="zh-CN"/>
              </w:rPr>
            </w:pPr>
            <w:r>
              <w:rPr>
                <w:rFonts w:hint="eastAsia"/>
                <w:color w:val="auto"/>
                <w:spacing w:val="19"/>
                <w:lang w:eastAsia="zh-CN"/>
              </w:rPr>
              <w:t>《便器冲洗阀用水效率限定值及</w:t>
            </w:r>
            <w:r>
              <w:rPr>
                <w:rFonts w:hint="eastAsia"/>
                <w:color w:val="auto"/>
                <w:spacing w:val="2"/>
                <w:lang w:eastAsia="zh-CN"/>
              </w:rPr>
              <w:t xml:space="preserve"> </w:t>
            </w:r>
            <w:r>
              <w:rPr>
                <w:rFonts w:hint="eastAsia"/>
                <w:color w:val="auto"/>
                <w:spacing w:val="7"/>
                <w:lang w:eastAsia="zh-CN"/>
              </w:rPr>
              <w:t>用水效率等级》（</w:t>
            </w:r>
            <w:r>
              <w:rPr>
                <w:rFonts w:hint="eastAsia"/>
                <w:color w:val="auto"/>
                <w:lang w:eastAsia="zh-CN"/>
              </w:rPr>
              <w:t>GB</w:t>
            </w:r>
            <w:r>
              <w:rPr>
                <w:rFonts w:hint="eastAsia"/>
                <w:color w:val="auto"/>
                <w:spacing w:val="7"/>
                <w:lang w:eastAsia="zh-CN"/>
              </w:rPr>
              <w:t xml:space="preserve"> 28379）</w:t>
            </w:r>
          </w:p>
        </w:tc>
      </w:tr>
      <w:tr w14:paraId="580B05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578" w:type="dxa"/>
            <w:noWrap w:val="0"/>
            <w:vAlign w:val="top"/>
          </w:tcPr>
          <w:p w14:paraId="069723A3">
            <w:pPr>
              <w:spacing w:line="289" w:lineRule="auto"/>
              <w:rPr>
                <w:rFonts w:hint="eastAsia" w:ascii="宋体" w:hAnsi="宋体" w:cs="宋体"/>
                <w:color w:val="auto"/>
              </w:rPr>
            </w:pPr>
          </w:p>
          <w:p w14:paraId="5A533F4F">
            <w:pPr>
              <w:pStyle w:val="31"/>
              <w:spacing w:before="62" w:line="256" w:lineRule="exact"/>
              <w:ind w:left="209"/>
              <w:rPr>
                <w:rFonts w:hint="eastAsia"/>
                <w:color w:val="auto"/>
              </w:rPr>
            </w:pPr>
            <w:r>
              <w:rPr>
                <w:rFonts w:hint="eastAsia"/>
                <w:color w:val="auto"/>
                <w:spacing w:val="-7"/>
                <w:position w:val="1"/>
              </w:rPr>
              <w:t>18</w:t>
            </w:r>
          </w:p>
        </w:tc>
        <w:tc>
          <w:tcPr>
            <w:tcW w:w="1166" w:type="dxa"/>
            <w:noWrap w:val="0"/>
            <w:vAlign w:val="top"/>
          </w:tcPr>
          <w:p w14:paraId="7931E6DA">
            <w:pPr>
              <w:pStyle w:val="31"/>
              <w:spacing w:before="196" w:line="307" w:lineRule="auto"/>
              <w:ind w:left="15" w:right="8" w:hanging="6"/>
              <w:rPr>
                <w:rFonts w:hint="eastAsia"/>
                <w:color w:val="auto"/>
              </w:rPr>
            </w:pPr>
            <w:r>
              <w:rPr>
                <w:rFonts w:hint="eastAsia"/>
                <w:color w:val="auto"/>
                <w:spacing w:val="4"/>
              </w:rPr>
              <w:t>A060810</w:t>
            </w:r>
            <w:r>
              <w:rPr>
                <w:rFonts w:hint="eastAsia"/>
                <w:color w:val="auto"/>
                <w:spacing w:val="-34"/>
              </w:rPr>
              <w:t xml:space="preserve"> </w:t>
            </w:r>
            <w:r>
              <w:rPr>
                <w:rFonts w:hint="eastAsia"/>
                <w:color w:val="auto"/>
                <w:spacing w:val="4"/>
              </w:rPr>
              <w:t>淋浴</w:t>
            </w:r>
            <w:r>
              <w:rPr>
                <w:rFonts w:hint="eastAsia"/>
                <w:color w:val="auto"/>
              </w:rPr>
              <w:t xml:space="preserve"> </w:t>
            </w:r>
            <w:r>
              <w:rPr>
                <w:rFonts w:hint="eastAsia"/>
                <w:color w:val="auto"/>
                <w:spacing w:val="1"/>
              </w:rPr>
              <w:t>器</w:t>
            </w:r>
          </w:p>
        </w:tc>
        <w:tc>
          <w:tcPr>
            <w:tcW w:w="1799" w:type="dxa"/>
            <w:noWrap w:val="0"/>
            <w:vAlign w:val="top"/>
          </w:tcPr>
          <w:p w14:paraId="1351EE5E">
            <w:pPr>
              <w:rPr>
                <w:rFonts w:hint="eastAsia" w:ascii="宋体" w:hAnsi="宋体" w:cs="宋体"/>
                <w:color w:val="auto"/>
              </w:rPr>
            </w:pPr>
          </w:p>
        </w:tc>
        <w:tc>
          <w:tcPr>
            <w:tcW w:w="1914" w:type="dxa"/>
            <w:noWrap w:val="0"/>
            <w:vAlign w:val="top"/>
          </w:tcPr>
          <w:p w14:paraId="45D5E7B4">
            <w:pPr>
              <w:rPr>
                <w:rFonts w:hint="eastAsia" w:ascii="宋体" w:hAnsi="宋体" w:cs="宋体"/>
                <w:color w:val="auto"/>
              </w:rPr>
            </w:pPr>
          </w:p>
        </w:tc>
        <w:tc>
          <w:tcPr>
            <w:tcW w:w="3957" w:type="dxa"/>
            <w:noWrap w:val="0"/>
            <w:vAlign w:val="top"/>
          </w:tcPr>
          <w:p w14:paraId="6C6D983B">
            <w:pPr>
              <w:pStyle w:val="31"/>
              <w:spacing w:before="197" w:line="304" w:lineRule="auto"/>
              <w:ind w:left="22" w:right="11"/>
              <w:rPr>
                <w:rFonts w:hint="eastAsia"/>
                <w:color w:val="auto"/>
                <w:lang w:eastAsia="zh-CN"/>
              </w:rPr>
            </w:pPr>
            <w:r>
              <w:rPr>
                <w:rFonts w:hint="eastAsia"/>
                <w:color w:val="auto"/>
                <w:spacing w:val="19"/>
                <w:lang w:eastAsia="zh-CN"/>
              </w:rPr>
              <w:t>《淋浴器用水效率限定值及用水</w:t>
            </w:r>
            <w:r>
              <w:rPr>
                <w:rFonts w:hint="eastAsia"/>
                <w:color w:val="auto"/>
                <w:spacing w:val="2"/>
                <w:lang w:eastAsia="zh-CN"/>
              </w:rPr>
              <w:t xml:space="preserve"> </w:t>
            </w:r>
            <w:r>
              <w:rPr>
                <w:rFonts w:hint="eastAsia"/>
                <w:color w:val="auto"/>
                <w:spacing w:val="6"/>
                <w:lang w:eastAsia="zh-CN"/>
              </w:rPr>
              <w:t>效率等级》（</w:t>
            </w:r>
            <w:r>
              <w:rPr>
                <w:rFonts w:hint="eastAsia"/>
                <w:color w:val="auto"/>
                <w:lang w:eastAsia="zh-CN"/>
              </w:rPr>
              <w:t>GB</w:t>
            </w:r>
            <w:r>
              <w:rPr>
                <w:rFonts w:hint="eastAsia"/>
                <w:color w:val="auto"/>
                <w:spacing w:val="6"/>
                <w:lang w:eastAsia="zh-CN"/>
              </w:rPr>
              <w:t xml:space="preserve"> 28378）</w:t>
            </w:r>
          </w:p>
        </w:tc>
      </w:tr>
    </w:tbl>
    <w:p w14:paraId="1D5F5395">
      <w:pPr>
        <w:pStyle w:val="11"/>
        <w:spacing w:before="57" w:line="262" w:lineRule="auto"/>
        <w:ind w:left="27" w:hanging="2"/>
        <w:rPr>
          <w:rFonts w:hint="eastAsia" w:ascii="宋体" w:hAnsi="宋体" w:cs="宋体"/>
          <w:color w:val="auto"/>
        </w:rPr>
      </w:pPr>
      <w:r>
        <w:rPr>
          <w:rFonts w:hint="eastAsia" w:ascii="宋体" w:hAnsi="宋体" w:cs="宋体"/>
          <w:color w:val="auto"/>
          <w:spacing w:val="-2"/>
        </w:rPr>
        <w:t>注：1.节能产品认证应依据相关国家标准的最新版</w:t>
      </w:r>
      <w:r>
        <w:rPr>
          <w:rFonts w:hint="eastAsia" w:ascii="宋体" w:hAnsi="宋体" w:cs="宋体"/>
          <w:color w:val="auto"/>
          <w:spacing w:val="-3"/>
        </w:rPr>
        <w:t>本，依据国家标准中二级能效（水效）</w:t>
      </w:r>
      <w:r>
        <w:rPr>
          <w:rFonts w:hint="eastAsia" w:ascii="宋体" w:hAnsi="宋体" w:cs="宋体"/>
          <w:color w:val="auto"/>
        </w:rPr>
        <w:t xml:space="preserve"> </w:t>
      </w:r>
      <w:r>
        <w:rPr>
          <w:rFonts w:hint="eastAsia" w:ascii="宋体" w:hAnsi="宋体" w:cs="宋体"/>
          <w:color w:val="auto"/>
          <w:spacing w:val="-4"/>
        </w:rPr>
        <w:t>指标。</w:t>
      </w:r>
    </w:p>
    <w:p w14:paraId="207B9522">
      <w:pPr>
        <w:pStyle w:val="11"/>
        <w:spacing w:before="2"/>
        <w:ind w:left="25" w:right="97" w:firstLine="444"/>
        <w:rPr>
          <w:rFonts w:hint="eastAsia" w:ascii="宋体" w:hAnsi="宋体" w:cs="宋体"/>
          <w:color w:val="auto"/>
        </w:rPr>
      </w:pPr>
      <w:r>
        <w:rPr>
          <w:rFonts w:hint="eastAsia" w:ascii="宋体" w:hAnsi="宋体" w:cs="宋体"/>
          <w:color w:val="auto"/>
          <w:spacing w:val="1"/>
        </w:rPr>
        <w:t>2.上述产品中认证标准发生变更的，依据原认</w:t>
      </w:r>
      <w:r>
        <w:rPr>
          <w:rFonts w:hint="eastAsia" w:ascii="宋体" w:hAnsi="宋体" w:cs="宋体"/>
          <w:color w:val="auto"/>
        </w:rPr>
        <w:t xml:space="preserve">证标准获得的、仍在有效期内的认证 </w:t>
      </w:r>
      <w:r>
        <w:rPr>
          <w:rFonts w:hint="eastAsia" w:ascii="宋体" w:hAnsi="宋体" w:cs="宋体"/>
          <w:color w:val="auto"/>
          <w:spacing w:val="-8"/>
        </w:rPr>
        <w:t>证书可使用至</w:t>
      </w:r>
      <w:r>
        <w:rPr>
          <w:rFonts w:hint="eastAsia" w:ascii="宋体" w:hAnsi="宋体" w:cs="宋体"/>
          <w:color w:val="auto"/>
          <w:spacing w:val="-37"/>
        </w:rPr>
        <w:t xml:space="preserve"> </w:t>
      </w:r>
      <w:r>
        <w:rPr>
          <w:rFonts w:hint="eastAsia" w:ascii="宋体" w:hAnsi="宋体" w:cs="宋体"/>
          <w:color w:val="auto"/>
          <w:spacing w:val="-8"/>
        </w:rPr>
        <w:t>2019</w:t>
      </w:r>
      <w:r>
        <w:rPr>
          <w:rFonts w:hint="eastAsia" w:ascii="宋体" w:hAnsi="宋体" w:cs="宋体"/>
          <w:color w:val="auto"/>
          <w:spacing w:val="-46"/>
        </w:rPr>
        <w:t xml:space="preserve"> </w:t>
      </w:r>
      <w:r>
        <w:rPr>
          <w:rFonts w:hint="eastAsia" w:ascii="宋体" w:hAnsi="宋体" w:cs="宋体"/>
          <w:color w:val="auto"/>
          <w:spacing w:val="-8"/>
        </w:rPr>
        <w:t>年</w:t>
      </w:r>
      <w:r>
        <w:rPr>
          <w:rFonts w:hint="eastAsia" w:ascii="宋体" w:hAnsi="宋体" w:cs="宋体"/>
          <w:color w:val="auto"/>
          <w:spacing w:val="-44"/>
        </w:rPr>
        <w:t xml:space="preserve"> </w:t>
      </w:r>
      <w:r>
        <w:rPr>
          <w:rFonts w:hint="eastAsia" w:ascii="宋体" w:hAnsi="宋体" w:cs="宋体"/>
          <w:color w:val="auto"/>
          <w:spacing w:val="-8"/>
        </w:rPr>
        <w:t>6</w:t>
      </w:r>
      <w:r>
        <w:rPr>
          <w:rFonts w:hint="eastAsia" w:ascii="宋体" w:hAnsi="宋体" w:cs="宋体"/>
          <w:color w:val="auto"/>
          <w:spacing w:val="-44"/>
        </w:rPr>
        <w:t xml:space="preserve"> </w:t>
      </w:r>
      <w:r>
        <w:rPr>
          <w:rFonts w:hint="eastAsia" w:ascii="宋体" w:hAnsi="宋体" w:cs="宋体"/>
          <w:color w:val="auto"/>
          <w:spacing w:val="-8"/>
        </w:rPr>
        <w:t>月</w:t>
      </w:r>
      <w:r>
        <w:rPr>
          <w:rFonts w:hint="eastAsia" w:ascii="宋体" w:hAnsi="宋体" w:cs="宋体"/>
          <w:color w:val="auto"/>
          <w:spacing w:val="-29"/>
        </w:rPr>
        <w:t xml:space="preserve"> </w:t>
      </w:r>
      <w:r>
        <w:rPr>
          <w:rFonts w:hint="eastAsia" w:ascii="宋体" w:hAnsi="宋体" w:cs="宋体"/>
          <w:color w:val="auto"/>
          <w:spacing w:val="-8"/>
        </w:rPr>
        <w:t>1 日。</w:t>
      </w:r>
    </w:p>
    <w:p w14:paraId="6EEB672C">
      <w:pPr>
        <w:rPr>
          <w:rFonts w:hint="eastAsia" w:ascii="宋体" w:hAnsi="宋体" w:cs="宋体"/>
          <w:color w:val="auto"/>
          <w:spacing w:val="-3"/>
        </w:rPr>
      </w:pPr>
      <w:r>
        <w:rPr>
          <w:rFonts w:hint="eastAsia" w:ascii="宋体" w:hAnsi="宋体" w:cs="宋体"/>
          <w:color w:val="auto"/>
          <w:spacing w:val="-3"/>
        </w:rPr>
        <w:t>3.以“★</w:t>
      </w:r>
      <w:r>
        <w:rPr>
          <w:rFonts w:hint="eastAsia" w:ascii="宋体" w:hAnsi="宋体" w:cs="宋体"/>
          <w:color w:val="auto"/>
          <w:spacing w:val="-68"/>
        </w:rPr>
        <w:t xml:space="preserve"> </w:t>
      </w:r>
      <w:r>
        <w:rPr>
          <w:rFonts w:hint="eastAsia" w:ascii="宋体" w:hAnsi="宋体" w:cs="宋体"/>
          <w:color w:val="auto"/>
          <w:spacing w:val="-3"/>
        </w:rPr>
        <w:t>”标注的为政府强制采购产品。</w:t>
      </w:r>
    </w:p>
    <w:p w14:paraId="6911B7BC">
      <w:pPr>
        <w:rPr>
          <w:rFonts w:hint="eastAsia" w:ascii="宋体" w:hAnsi="宋体" w:cs="宋体"/>
          <w:color w:val="auto"/>
          <w:spacing w:val="-3"/>
        </w:rPr>
      </w:pPr>
      <w:r>
        <w:rPr>
          <w:rFonts w:hint="eastAsia" w:ascii="宋体" w:hAnsi="宋体" w:cs="宋体"/>
          <w:color w:val="auto"/>
          <w:spacing w:val="-3"/>
        </w:rPr>
        <w:br w:type="page"/>
      </w:r>
    </w:p>
    <w:p w14:paraId="200E8A79">
      <w:pPr>
        <w:pStyle w:val="2"/>
        <w:pageBreakBefore w:val="0"/>
        <w:numPr>
          <w:ilvl w:val="0"/>
          <w:numId w:val="0"/>
        </w:numPr>
        <w:tabs>
          <w:tab w:val="left" w:pos="0"/>
          <w:tab w:val="left" w:pos="3165"/>
          <w:tab w:val="center" w:pos="4153"/>
        </w:tabs>
        <w:kinsoku/>
        <w:overflowPunct/>
        <w:topLinePunct w:val="0"/>
        <w:autoSpaceDE w:val="0"/>
        <w:autoSpaceDN w:val="0"/>
        <w:bidi w:val="0"/>
        <w:adjustRightInd w:val="0"/>
        <w:spacing w:before="0" w:after="0" w:line="240" w:lineRule="auto"/>
        <w:jc w:val="center"/>
        <w:rPr>
          <w:rFonts w:hint="eastAsia" w:ascii="宋体" w:hAnsi="宋体" w:eastAsia="宋体" w:cs="宋体"/>
          <w:color w:val="auto"/>
          <w:sz w:val="40"/>
          <w:szCs w:val="40"/>
          <w:highlight w:val="none"/>
          <w:lang w:val="en-US" w:eastAsia="zh-CN"/>
        </w:rPr>
      </w:pPr>
      <w:bookmarkStart w:id="148" w:name="_Toc17248"/>
      <w:bookmarkStart w:id="149" w:name="_Toc9297"/>
      <w:bookmarkStart w:id="150" w:name="_Toc2191"/>
      <w:r>
        <w:rPr>
          <w:rFonts w:hint="eastAsia" w:ascii="宋体" w:hAnsi="宋体" w:eastAsia="宋体" w:cs="宋体"/>
          <w:b/>
          <w:bCs/>
          <w:color w:val="auto"/>
          <w:kern w:val="44"/>
          <w:sz w:val="40"/>
          <w:szCs w:val="40"/>
          <w:lang w:val="en-US" w:eastAsia="zh-CN" w:bidi="ar-SA"/>
        </w:rPr>
        <w:t xml:space="preserve">第四章 </w:t>
      </w:r>
      <w:r>
        <w:rPr>
          <w:rFonts w:hint="eastAsia" w:ascii="宋体" w:hAnsi="宋体" w:eastAsia="宋体" w:cs="宋体"/>
          <w:color w:val="auto"/>
          <w:sz w:val="40"/>
          <w:szCs w:val="40"/>
          <w:highlight w:val="none"/>
          <w:lang w:val="en-US" w:eastAsia="zh-CN"/>
        </w:rPr>
        <w:t>评标方法及评标标准</w:t>
      </w:r>
      <w:bookmarkEnd w:id="148"/>
      <w:bookmarkEnd w:id="149"/>
      <w:bookmarkEnd w:id="150"/>
    </w:p>
    <w:p w14:paraId="45BE18CE">
      <w:pPr>
        <w:pStyle w:val="4"/>
        <w:keepNext/>
        <w:keepLines/>
        <w:pageBreakBefore w:val="0"/>
        <w:widowControl w:val="0"/>
        <w:kinsoku/>
        <w:wordWrap/>
        <w:overflowPunct/>
        <w:topLinePunct w:val="0"/>
        <w:autoSpaceDE/>
        <w:autoSpaceDN/>
        <w:bidi w:val="0"/>
        <w:adjustRightInd/>
        <w:snapToGrid/>
        <w:spacing w:before="240" w:after="240"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一、评标方法</w:t>
      </w:r>
    </w:p>
    <w:p w14:paraId="7FEAFF00">
      <w:pPr>
        <w:pStyle w:val="14"/>
        <w:pageBreakBefore w:val="0"/>
        <w:widowControl w:val="0"/>
        <w:kinsoku/>
        <w:wordWrap/>
        <w:overflowPunct/>
        <w:topLinePunct w:val="0"/>
        <w:autoSpaceDE/>
        <w:autoSpaceDN/>
        <w:bidi w:val="0"/>
        <w:adjustRightInd/>
        <w:spacing w:line="240" w:lineRule="auto"/>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综合评分法，是指投标文件满足</w:t>
      </w:r>
      <w:r>
        <w:rPr>
          <w:rFonts w:hint="eastAsia" w:hAnsi="宋体" w:cs="宋体"/>
          <w:color w:val="auto"/>
          <w:sz w:val="21"/>
          <w:szCs w:val="21"/>
          <w:highlight w:val="none"/>
          <w:lang w:eastAsia="zh-CN"/>
        </w:rPr>
        <w:t>采购</w:t>
      </w:r>
      <w:r>
        <w:rPr>
          <w:rFonts w:hint="eastAsia" w:ascii="宋体" w:hAnsi="宋体" w:eastAsia="宋体" w:cs="宋体"/>
          <w:color w:val="auto"/>
          <w:sz w:val="21"/>
          <w:szCs w:val="21"/>
          <w:highlight w:val="none"/>
        </w:rPr>
        <w:t>文件全部实质性要求，且按照评审因素的量化指标评审得分最高的投标人为中标候选人的评标方法。</w:t>
      </w:r>
    </w:p>
    <w:p w14:paraId="6C7FC19B">
      <w:pPr>
        <w:pStyle w:val="14"/>
        <w:pageBreakBefore w:val="0"/>
        <w:widowControl w:val="0"/>
        <w:kinsoku/>
        <w:wordWrap/>
        <w:overflowPunct/>
        <w:topLinePunct w:val="0"/>
        <w:autoSpaceDE/>
        <w:autoSpaceDN/>
        <w:bidi w:val="0"/>
        <w:adjustRightInd/>
        <w:spacing w:line="240" w:lineRule="auto"/>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最低评标价法，是指投标文件满足</w:t>
      </w:r>
      <w:r>
        <w:rPr>
          <w:rFonts w:hint="eastAsia" w:hAnsi="宋体" w:cs="宋体"/>
          <w:color w:val="auto"/>
          <w:sz w:val="21"/>
          <w:szCs w:val="21"/>
          <w:highlight w:val="none"/>
          <w:lang w:eastAsia="zh-CN"/>
        </w:rPr>
        <w:t>采购</w:t>
      </w:r>
      <w:r>
        <w:rPr>
          <w:rFonts w:hint="eastAsia" w:ascii="宋体" w:hAnsi="宋体" w:eastAsia="宋体" w:cs="宋体"/>
          <w:color w:val="auto"/>
          <w:sz w:val="21"/>
          <w:szCs w:val="21"/>
          <w:highlight w:val="none"/>
        </w:rPr>
        <w:t>文件全部实质性要求，且投标报价最低的投标人为中标候选人的评标方法。</w:t>
      </w:r>
    </w:p>
    <w:p w14:paraId="47B09863">
      <w:pPr>
        <w:pStyle w:val="4"/>
        <w:keepNext/>
        <w:keepLines/>
        <w:pageBreakBefore w:val="0"/>
        <w:widowControl w:val="0"/>
        <w:kinsoku/>
        <w:wordWrap/>
        <w:overflowPunct/>
        <w:topLinePunct w:val="0"/>
        <w:autoSpaceDE/>
        <w:autoSpaceDN/>
        <w:bidi w:val="0"/>
        <w:adjustRightInd/>
        <w:snapToGrid/>
        <w:spacing w:before="240" w:after="240"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二、评标程序</w:t>
      </w:r>
    </w:p>
    <w:p w14:paraId="1ED697EE">
      <w:pPr>
        <w:pStyle w:val="6"/>
        <w:pageBreakBefore w:val="0"/>
        <w:widowControl w:val="0"/>
        <w:kinsoku/>
        <w:wordWrap/>
        <w:overflowPunct/>
        <w:topLinePunct w:val="0"/>
        <w:autoSpaceDE/>
        <w:autoSpaceDN/>
        <w:bidi w:val="0"/>
        <w:adjustRightInd/>
        <w:spacing w:before="0" w:after="0" w:line="240" w:lineRule="auto"/>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1.符合性审查</w:t>
      </w:r>
    </w:p>
    <w:p w14:paraId="4FEE0B14">
      <w:pPr>
        <w:pStyle w:val="14"/>
        <w:pageBreakBefore w:val="0"/>
        <w:widowControl w:val="0"/>
        <w:kinsoku/>
        <w:wordWrap/>
        <w:overflowPunct/>
        <w:topLinePunct w:val="0"/>
        <w:autoSpaceDE/>
        <w:autoSpaceDN/>
        <w:bidi w:val="0"/>
        <w:adjustRightInd/>
        <w:snapToGrid w:val="0"/>
        <w:spacing w:line="240" w:lineRule="auto"/>
        <w:ind w:left="1" w:firstLine="420"/>
        <w:textAlignment w:val="auto"/>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评标委员会应当对符合资格的投标人的投标文件进行投标报价、商务、技术等实质性内容符合性审查，以确定其是否满足</w:t>
      </w:r>
      <w:r>
        <w:rPr>
          <w:rFonts w:hint="eastAsia" w:hAnsi="宋体" w:cs="宋体"/>
          <w:b/>
          <w:color w:val="auto"/>
          <w:kern w:val="2"/>
          <w:sz w:val="21"/>
          <w:szCs w:val="21"/>
          <w:highlight w:val="none"/>
          <w:lang w:eastAsia="zh-CN"/>
        </w:rPr>
        <w:t>采购</w:t>
      </w:r>
      <w:r>
        <w:rPr>
          <w:rFonts w:hint="eastAsia" w:ascii="宋体" w:hAnsi="宋体" w:eastAsia="宋体" w:cs="宋体"/>
          <w:b/>
          <w:color w:val="auto"/>
          <w:kern w:val="2"/>
          <w:sz w:val="21"/>
          <w:szCs w:val="21"/>
          <w:highlight w:val="none"/>
        </w:rPr>
        <w:t>文件的实质性要求。</w:t>
      </w:r>
    </w:p>
    <w:p w14:paraId="412F66C0">
      <w:pPr>
        <w:pStyle w:val="6"/>
        <w:pageBreakBefore w:val="0"/>
        <w:widowControl w:val="0"/>
        <w:kinsoku/>
        <w:wordWrap/>
        <w:overflowPunct/>
        <w:topLinePunct w:val="0"/>
        <w:autoSpaceDE/>
        <w:autoSpaceDN/>
        <w:bidi w:val="0"/>
        <w:adjustRightInd/>
        <w:spacing w:before="0" w:after="0" w:line="240" w:lineRule="auto"/>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2.符合性审查不通过而导致投标无效的情形</w:t>
      </w:r>
    </w:p>
    <w:p w14:paraId="7D09085F">
      <w:pPr>
        <w:pageBreakBefore w:val="0"/>
        <w:widowControl w:val="0"/>
        <w:kinsoku/>
        <w:wordWrap/>
        <w:overflowPunct/>
        <w:topLinePunct w:val="0"/>
        <w:autoSpaceDE/>
        <w:autoSpaceDN/>
        <w:bidi w:val="0"/>
        <w:adjustRightInd/>
        <w:snapToGrid w:val="0"/>
        <w:spacing w:line="240" w:lineRule="auto"/>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投标人的投标文件中存在对</w:t>
      </w:r>
      <w:r>
        <w:rPr>
          <w:rFonts w:hint="eastAsia" w:ascii="宋体" w:hAnsi="宋体" w:cs="宋体"/>
          <w:b/>
          <w:color w:val="auto"/>
          <w:sz w:val="21"/>
          <w:szCs w:val="21"/>
          <w:highlight w:val="none"/>
          <w:lang w:eastAsia="zh-CN"/>
        </w:rPr>
        <w:t>采购</w:t>
      </w:r>
      <w:r>
        <w:rPr>
          <w:rFonts w:hint="eastAsia" w:ascii="宋体" w:hAnsi="宋体" w:eastAsia="宋体" w:cs="宋体"/>
          <w:b/>
          <w:color w:val="auto"/>
          <w:sz w:val="21"/>
          <w:szCs w:val="21"/>
          <w:highlight w:val="none"/>
        </w:rPr>
        <w:t>文件的任何实质性要求和条件的负偏离，将被视为投标无效。</w:t>
      </w:r>
    </w:p>
    <w:p w14:paraId="434A7559">
      <w:pPr>
        <w:pStyle w:val="6"/>
        <w:pageBreakBefore w:val="0"/>
        <w:widowControl w:val="0"/>
        <w:kinsoku/>
        <w:wordWrap/>
        <w:overflowPunct/>
        <w:topLinePunct w:val="0"/>
        <w:autoSpaceDE/>
        <w:autoSpaceDN/>
        <w:bidi w:val="0"/>
        <w:adjustRightInd/>
        <w:spacing w:before="0" w:after="0" w:line="240" w:lineRule="auto"/>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2.1在报价评审时，如发现下列情形之一的，将被视为投标无效：</w:t>
      </w:r>
    </w:p>
    <w:p w14:paraId="75EC7200">
      <w:pPr>
        <w:pStyle w:val="7"/>
        <w:pageBreakBefore w:val="0"/>
        <w:widowControl w:val="0"/>
        <w:numPr>
          <w:ilvl w:val="0"/>
          <w:numId w:val="10"/>
        </w:numPr>
        <w:kinsoku/>
        <w:wordWrap/>
        <w:overflowPunct/>
        <w:topLinePunct w:val="0"/>
        <w:autoSpaceDE/>
        <w:autoSpaceDN/>
        <w:bidi w:val="0"/>
        <w:adjustRightInd/>
        <w:spacing w:line="240" w:lineRule="auto"/>
        <w:ind w:firstLine="422"/>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pacing w:val="-6"/>
          <w:sz w:val="21"/>
          <w:szCs w:val="21"/>
          <w:highlight w:val="none"/>
        </w:rPr>
        <w:t>报价文件</w:t>
      </w:r>
      <w:r>
        <w:rPr>
          <w:rFonts w:hint="eastAsia" w:ascii="宋体" w:hAnsi="宋体" w:eastAsia="宋体" w:cs="宋体"/>
          <w:b/>
          <w:color w:val="auto"/>
          <w:sz w:val="21"/>
          <w:szCs w:val="21"/>
          <w:highlight w:val="none"/>
        </w:rPr>
        <w:t>未提供“投标人须知前附表”第13.1条规定中“必须提供”的文件资料的；</w:t>
      </w:r>
    </w:p>
    <w:p w14:paraId="0453707F">
      <w:pPr>
        <w:pStyle w:val="7"/>
        <w:pageBreakBefore w:val="0"/>
        <w:widowControl w:val="0"/>
        <w:numPr>
          <w:ilvl w:val="0"/>
          <w:numId w:val="10"/>
        </w:numPr>
        <w:kinsoku/>
        <w:wordWrap/>
        <w:overflowPunct/>
        <w:topLinePunct w:val="0"/>
        <w:autoSpaceDE/>
        <w:autoSpaceDN/>
        <w:bidi w:val="0"/>
        <w:adjustRightInd/>
        <w:spacing w:line="240" w:lineRule="auto"/>
        <w:ind w:firstLine="422"/>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未采用人民币报价或者未按照</w:t>
      </w:r>
      <w:r>
        <w:rPr>
          <w:rFonts w:hint="eastAsia" w:ascii="宋体" w:hAnsi="宋体" w:cs="宋体"/>
          <w:b/>
          <w:color w:val="auto"/>
          <w:sz w:val="21"/>
          <w:szCs w:val="21"/>
          <w:highlight w:val="none"/>
          <w:lang w:eastAsia="zh-CN"/>
        </w:rPr>
        <w:t>采购</w:t>
      </w:r>
      <w:r>
        <w:rPr>
          <w:rFonts w:hint="eastAsia" w:ascii="宋体" w:hAnsi="宋体" w:eastAsia="宋体" w:cs="宋体"/>
          <w:b/>
          <w:color w:val="auto"/>
          <w:sz w:val="21"/>
          <w:szCs w:val="21"/>
          <w:highlight w:val="none"/>
        </w:rPr>
        <w:t>文件标明的币种报价的；</w:t>
      </w:r>
    </w:p>
    <w:p w14:paraId="166CEA69">
      <w:pPr>
        <w:pStyle w:val="7"/>
        <w:pageBreakBefore w:val="0"/>
        <w:widowControl w:val="0"/>
        <w:numPr>
          <w:ilvl w:val="0"/>
          <w:numId w:val="10"/>
        </w:numPr>
        <w:kinsoku/>
        <w:wordWrap/>
        <w:overflowPunct/>
        <w:topLinePunct w:val="0"/>
        <w:autoSpaceDE/>
        <w:autoSpaceDN/>
        <w:bidi w:val="0"/>
        <w:adjustRightInd/>
        <w:spacing w:line="240" w:lineRule="auto"/>
        <w:ind w:firstLine="422"/>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各分标报价超出</w:t>
      </w:r>
      <w:r>
        <w:rPr>
          <w:rFonts w:hint="eastAsia" w:ascii="宋体" w:hAnsi="宋体" w:cs="宋体"/>
          <w:b/>
          <w:color w:val="auto"/>
          <w:sz w:val="21"/>
          <w:szCs w:val="21"/>
          <w:highlight w:val="none"/>
          <w:lang w:eastAsia="zh-CN"/>
        </w:rPr>
        <w:t>采购</w:t>
      </w:r>
      <w:r>
        <w:rPr>
          <w:rFonts w:hint="eastAsia" w:ascii="宋体" w:hAnsi="宋体" w:eastAsia="宋体" w:cs="宋体"/>
          <w:b/>
          <w:color w:val="auto"/>
          <w:sz w:val="21"/>
          <w:szCs w:val="21"/>
          <w:highlight w:val="none"/>
        </w:rPr>
        <w:t>文件相应分标规定最高限价，或者超出相应分标采购预算金额的；</w:t>
      </w:r>
    </w:p>
    <w:p w14:paraId="76BA1FAE">
      <w:pPr>
        <w:pStyle w:val="7"/>
        <w:pageBreakBefore w:val="0"/>
        <w:widowControl w:val="0"/>
        <w:numPr>
          <w:ilvl w:val="0"/>
          <w:numId w:val="10"/>
        </w:numPr>
        <w:kinsoku/>
        <w:wordWrap/>
        <w:overflowPunct/>
        <w:topLinePunct w:val="0"/>
        <w:autoSpaceDE/>
        <w:autoSpaceDN/>
        <w:bidi w:val="0"/>
        <w:adjustRightInd/>
        <w:spacing w:line="240" w:lineRule="auto"/>
        <w:ind w:firstLine="422"/>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投标人未就所投分标进行报价或者存在漏项报价；投标人未就所投分标的单项内容作唯一报价；投标人未就所投分标的全部内容作完整唯一总价报价；存在有选择、有条件报价的（</w:t>
      </w:r>
      <w:r>
        <w:rPr>
          <w:rFonts w:hint="eastAsia" w:ascii="宋体" w:hAnsi="宋体" w:cs="宋体"/>
          <w:b/>
          <w:color w:val="auto"/>
          <w:sz w:val="21"/>
          <w:szCs w:val="21"/>
          <w:highlight w:val="none"/>
          <w:lang w:eastAsia="zh-CN"/>
        </w:rPr>
        <w:t>采购</w:t>
      </w:r>
      <w:r>
        <w:rPr>
          <w:rFonts w:hint="eastAsia" w:ascii="宋体" w:hAnsi="宋体" w:eastAsia="宋体" w:cs="宋体"/>
          <w:b/>
          <w:color w:val="auto"/>
          <w:sz w:val="21"/>
          <w:szCs w:val="21"/>
          <w:highlight w:val="none"/>
        </w:rPr>
        <w:t>文件允许有备选方案或者其他约定的除外）；</w:t>
      </w:r>
    </w:p>
    <w:p w14:paraId="1F1B4568">
      <w:pPr>
        <w:pStyle w:val="7"/>
        <w:pageBreakBefore w:val="0"/>
        <w:widowControl w:val="0"/>
        <w:numPr>
          <w:ilvl w:val="0"/>
          <w:numId w:val="10"/>
        </w:numPr>
        <w:kinsoku/>
        <w:wordWrap/>
        <w:overflowPunct/>
        <w:topLinePunct w:val="0"/>
        <w:autoSpaceDE/>
        <w:autoSpaceDN/>
        <w:bidi w:val="0"/>
        <w:adjustRightInd/>
        <w:spacing w:line="240" w:lineRule="auto"/>
        <w:ind w:firstLine="422"/>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修正后的报价，投标人不确认的；</w:t>
      </w:r>
    </w:p>
    <w:p w14:paraId="71B1DEA7">
      <w:pPr>
        <w:pStyle w:val="7"/>
        <w:pageBreakBefore w:val="0"/>
        <w:widowControl w:val="0"/>
        <w:numPr>
          <w:ilvl w:val="0"/>
          <w:numId w:val="10"/>
        </w:numPr>
        <w:kinsoku/>
        <w:wordWrap/>
        <w:overflowPunct/>
        <w:topLinePunct w:val="0"/>
        <w:autoSpaceDE/>
        <w:autoSpaceDN/>
        <w:bidi w:val="0"/>
        <w:adjustRightInd/>
        <w:spacing w:line="240" w:lineRule="auto"/>
        <w:ind w:firstLine="422"/>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投标人属于本章第5.1条（2）或者第5.2条（2）项情形的；</w:t>
      </w:r>
    </w:p>
    <w:p w14:paraId="785F8317">
      <w:pPr>
        <w:pStyle w:val="7"/>
        <w:pageBreakBefore w:val="0"/>
        <w:widowControl w:val="0"/>
        <w:numPr>
          <w:ilvl w:val="0"/>
          <w:numId w:val="10"/>
        </w:numPr>
        <w:kinsoku/>
        <w:wordWrap/>
        <w:overflowPunct/>
        <w:topLinePunct w:val="0"/>
        <w:autoSpaceDE/>
        <w:autoSpaceDN/>
        <w:bidi w:val="0"/>
        <w:adjustRightInd/>
        <w:spacing w:line="240" w:lineRule="auto"/>
        <w:ind w:firstLine="422"/>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pacing w:val="-6"/>
          <w:sz w:val="21"/>
          <w:szCs w:val="21"/>
          <w:highlight w:val="none"/>
        </w:rPr>
        <w:t>报价文件</w:t>
      </w:r>
      <w:r>
        <w:rPr>
          <w:rFonts w:hint="eastAsia" w:ascii="宋体" w:hAnsi="宋体" w:eastAsia="宋体" w:cs="宋体"/>
          <w:b/>
          <w:color w:val="auto"/>
          <w:sz w:val="21"/>
          <w:szCs w:val="21"/>
          <w:highlight w:val="none"/>
        </w:rPr>
        <w:t>响应的标的数量及单位与</w:t>
      </w:r>
      <w:r>
        <w:rPr>
          <w:rFonts w:hint="eastAsia" w:ascii="宋体" w:hAnsi="宋体" w:cs="宋体"/>
          <w:b/>
          <w:color w:val="auto"/>
          <w:sz w:val="21"/>
          <w:szCs w:val="21"/>
          <w:highlight w:val="none"/>
          <w:lang w:eastAsia="zh-CN"/>
        </w:rPr>
        <w:t>采购</w:t>
      </w:r>
      <w:r>
        <w:rPr>
          <w:rFonts w:hint="eastAsia" w:ascii="宋体" w:hAnsi="宋体" w:eastAsia="宋体" w:cs="宋体"/>
          <w:b/>
          <w:color w:val="auto"/>
          <w:sz w:val="21"/>
          <w:szCs w:val="21"/>
          <w:highlight w:val="none"/>
        </w:rPr>
        <w:t>文件要求实质性不一致的。</w:t>
      </w:r>
    </w:p>
    <w:p w14:paraId="02851184">
      <w:pPr>
        <w:pStyle w:val="7"/>
        <w:pageBreakBefore w:val="0"/>
        <w:widowControl w:val="0"/>
        <w:numPr>
          <w:ilvl w:val="0"/>
          <w:numId w:val="0"/>
        </w:numPr>
        <w:kinsoku/>
        <w:wordWrap/>
        <w:overflowPunct/>
        <w:topLinePunct w:val="0"/>
        <w:autoSpaceDE/>
        <w:autoSpaceDN/>
        <w:bidi w:val="0"/>
        <w:adjustRightInd/>
        <w:spacing w:line="240" w:lineRule="auto"/>
        <w:ind w:leftChars="200"/>
        <w:textAlignment w:val="auto"/>
        <w:rPr>
          <w:rFonts w:hint="eastAsia" w:ascii="宋体" w:hAnsi="宋体" w:eastAsia="宋体" w:cs="宋体"/>
          <w:b/>
          <w:color w:val="auto"/>
          <w:sz w:val="21"/>
          <w:szCs w:val="21"/>
          <w:highlight w:val="none"/>
          <w:lang w:val="en-US" w:eastAsia="zh-CN"/>
        </w:rPr>
      </w:pPr>
      <w:r>
        <w:rPr>
          <w:rFonts w:hint="eastAsia" w:ascii="宋体" w:hAnsi="宋体" w:cs="宋体"/>
          <w:b/>
          <w:color w:val="auto"/>
          <w:sz w:val="21"/>
          <w:szCs w:val="21"/>
          <w:highlight w:val="none"/>
          <w:lang w:val="en-US" w:eastAsia="zh-CN"/>
        </w:rPr>
        <w:t>注：本项目异常低价审查情形见“第三章 投标人须知”规定。</w:t>
      </w:r>
    </w:p>
    <w:p w14:paraId="3401A4A8">
      <w:pPr>
        <w:pStyle w:val="6"/>
        <w:pageBreakBefore w:val="0"/>
        <w:widowControl w:val="0"/>
        <w:kinsoku/>
        <w:wordWrap/>
        <w:overflowPunct/>
        <w:topLinePunct w:val="0"/>
        <w:autoSpaceDE/>
        <w:autoSpaceDN/>
        <w:bidi w:val="0"/>
        <w:adjustRightInd/>
        <w:spacing w:before="0" w:after="0" w:line="240" w:lineRule="auto"/>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2.2在商务评审时，如发现下列情形之一的，将被视为投标无效：</w:t>
      </w:r>
    </w:p>
    <w:p w14:paraId="21E11B60">
      <w:pPr>
        <w:pageBreakBefore w:val="0"/>
        <w:widowControl w:val="0"/>
        <w:numPr>
          <w:ilvl w:val="0"/>
          <w:numId w:val="11"/>
        </w:numPr>
        <w:kinsoku/>
        <w:wordWrap/>
        <w:overflowPunct/>
        <w:topLinePunct w:val="0"/>
        <w:autoSpaceDE/>
        <w:autoSpaceDN/>
        <w:bidi w:val="0"/>
        <w:adjustRightInd/>
        <w:snapToGrid w:val="0"/>
        <w:spacing w:line="240" w:lineRule="auto"/>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投标文件未按</w:t>
      </w:r>
      <w:r>
        <w:rPr>
          <w:rFonts w:hint="eastAsia" w:ascii="宋体" w:hAnsi="宋体" w:cs="宋体"/>
          <w:b/>
          <w:color w:val="auto"/>
          <w:sz w:val="21"/>
          <w:szCs w:val="21"/>
          <w:highlight w:val="none"/>
          <w:lang w:eastAsia="zh-CN"/>
        </w:rPr>
        <w:t>采购</w:t>
      </w:r>
      <w:r>
        <w:rPr>
          <w:rFonts w:hint="eastAsia" w:ascii="宋体" w:hAnsi="宋体" w:eastAsia="宋体" w:cs="宋体"/>
          <w:b/>
          <w:color w:val="auto"/>
          <w:sz w:val="21"/>
          <w:szCs w:val="21"/>
          <w:highlight w:val="none"/>
        </w:rPr>
        <w:t>文件要求签署、盖章的；</w:t>
      </w:r>
    </w:p>
    <w:p w14:paraId="30D68C2C">
      <w:pPr>
        <w:pageBreakBefore w:val="0"/>
        <w:widowControl w:val="0"/>
        <w:numPr>
          <w:ilvl w:val="0"/>
          <w:numId w:val="11"/>
        </w:numPr>
        <w:kinsoku/>
        <w:wordWrap/>
        <w:overflowPunct/>
        <w:topLinePunct w:val="0"/>
        <w:autoSpaceDE/>
        <w:autoSpaceDN/>
        <w:bidi w:val="0"/>
        <w:adjustRightInd/>
        <w:snapToGrid w:val="0"/>
        <w:spacing w:line="240" w:lineRule="auto"/>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委托代理人未能出具有效身份证或者出具的身份证与授权委托书中的信息不符的；</w:t>
      </w:r>
    </w:p>
    <w:p w14:paraId="0BEA295D">
      <w:pPr>
        <w:pageBreakBefore w:val="0"/>
        <w:widowControl w:val="0"/>
        <w:numPr>
          <w:ilvl w:val="0"/>
          <w:numId w:val="11"/>
        </w:numPr>
        <w:kinsoku/>
        <w:wordWrap/>
        <w:overflowPunct/>
        <w:topLinePunct w:val="0"/>
        <w:autoSpaceDE/>
        <w:autoSpaceDN/>
        <w:bidi w:val="0"/>
        <w:adjustRightInd/>
        <w:snapToGrid w:val="0"/>
        <w:spacing w:line="240" w:lineRule="auto"/>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投标文件未提供“投标人须知前附表”第13.1条规定中“必须提供”或者“委托时必须提供”的文件资料的；</w:t>
      </w:r>
    </w:p>
    <w:p w14:paraId="568BDCE3">
      <w:pPr>
        <w:pageBreakBefore w:val="0"/>
        <w:widowControl w:val="0"/>
        <w:numPr>
          <w:ilvl w:val="0"/>
          <w:numId w:val="11"/>
        </w:numPr>
        <w:kinsoku/>
        <w:wordWrap/>
        <w:overflowPunct/>
        <w:topLinePunct w:val="0"/>
        <w:autoSpaceDE/>
        <w:autoSpaceDN/>
        <w:bidi w:val="0"/>
        <w:adjustRightInd/>
        <w:snapToGrid w:val="0"/>
        <w:spacing w:line="240" w:lineRule="auto"/>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商务要求评审允许负偏离的条款数超过“投标人须知前附表”规定项数的；</w:t>
      </w:r>
    </w:p>
    <w:p w14:paraId="536EEA86">
      <w:pPr>
        <w:pageBreakBefore w:val="0"/>
        <w:widowControl w:val="0"/>
        <w:numPr>
          <w:ilvl w:val="0"/>
          <w:numId w:val="11"/>
        </w:numPr>
        <w:kinsoku/>
        <w:wordWrap/>
        <w:overflowPunct/>
        <w:topLinePunct w:val="0"/>
        <w:autoSpaceDE/>
        <w:autoSpaceDN/>
        <w:bidi w:val="0"/>
        <w:adjustRightInd/>
        <w:snapToGrid w:val="0"/>
        <w:spacing w:line="240" w:lineRule="auto"/>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投标文件的实质性内容未使用中文表述、使用计量单位不符合</w:t>
      </w:r>
      <w:r>
        <w:rPr>
          <w:rFonts w:hint="eastAsia" w:ascii="宋体" w:hAnsi="宋体" w:cs="宋体"/>
          <w:b/>
          <w:color w:val="auto"/>
          <w:sz w:val="21"/>
          <w:szCs w:val="21"/>
          <w:highlight w:val="none"/>
          <w:lang w:eastAsia="zh-CN"/>
        </w:rPr>
        <w:t>采购</w:t>
      </w:r>
      <w:r>
        <w:rPr>
          <w:rFonts w:hint="eastAsia" w:ascii="宋体" w:hAnsi="宋体" w:eastAsia="宋体" w:cs="宋体"/>
          <w:b/>
          <w:color w:val="auto"/>
          <w:sz w:val="21"/>
          <w:szCs w:val="21"/>
          <w:highlight w:val="none"/>
        </w:rPr>
        <w:t>文件要求的；</w:t>
      </w:r>
    </w:p>
    <w:p w14:paraId="2AFB868D">
      <w:pPr>
        <w:pageBreakBefore w:val="0"/>
        <w:widowControl w:val="0"/>
        <w:numPr>
          <w:ilvl w:val="0"/>
          <w:numId w:val="11"/>
        </w:numPr>
        <w:kinsoku/>
        <w:wordWrap/>
        <w:overflowPunct/>
        <w:topLinePunct w:val="0"/>
        <w:autoSpaceDE/>
        <w:autoSpaceDN/>
        <w:bidi w:val="0"/>
        <w:adjustRightInd/>
        <w:snapToGrid w:val="0"/>
        <w:spacing w:line="240" w:lineRule="auto"/>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投标文件中的文件资料因填写不齐全或者内容虚假或者出现其他情形而导致被评标委员会认定无效的；</w:t>
      </w:r>
    </w:p>
    <w:p w14:paraId="059B41B1">
      <w:pPr>
        <w:pageBreakBefore w:val="0"/>
        <w:widowControl w:val="0"/>
        <w:numPr>
          <w:ilvl w:val="0"/>
          <w:numId w:val="11"/>
        </w:numPr>
        <w:kinsoku/>
        <w:wordWrap/>
        <w:overflowPunct/>
        <w:topLinePunct w:val="0"/>
        <w:autoSpaceDE/>
        <w:autoSpaceDN/>
        <w:bidi w:val="0"/>
        <w:adjustRightInd/>
        <w:snapToGrid w:val="0"/>
        <w:spacing w:line="240" w:lineRule="auto"/>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投标文件含有采购人不能接受的附加条件的；</w:t>
      </w:r>
    </w:p>
    <w:p w14:paraId="499FEBF5">
      <w:pPr>
        <w:pageBreakBefore w:val="0"/>
        <w:widowControl w:val="0"/>
        <w:numPr>
          <w:ilvl w:val="0"/>
          <w:numId w:val="11"/>
        </w:numPr>
        <w:kinsoku/>
        <w:wordWrap/>
        <w:overflowPunct/>
        <w:topLinePunct w:val="0"/>
        <w:autoSpaceDE/>
        <w:autoSpaceDN/>
        <w:bidi w:val="0"/>
        <w:adjustRightInd/>
        <w:snapToGrid w:val="0"/>
        <w:spacing w:line="240" w:lineRule="auto"/>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属于投标人须知正文第9.2条情形的；</w:t>
      </w:r>
    </w:p>
    <w:p w14:paraId="75A09700">
      <w:pPr>
        <w:pageBreakBefore w:val="0"/>
        <w:widowControl w:val="0"/>
        <w:numPr>
          <w:ilvl w:val="0"/>
          <w:numId w:val="11"/>
        </w:numPr>
        <w:kinsoku/>
        <w:wordWrap/>
        <w:overflowPunct/>
        <w:topLinePunct w:val="0"/>
        <w:autoSpaceDE/>
        <w:autoSpaceDN/>
        <w:bidi w:val="0"/>
        <w:adjustRightInd/>
        <w:snapToGrid w:val="0"/>
        <w:spacing w:line="240" w:lineRule="auto"/>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投标文件标注的项目名称或者项目编号与</w:t>
      </w:r>
      <w:r>
        <w:rPr>
          <w:rFonts w:hint="eastAsia" w:ascii="宋体" w:hAnsi="宋体" w:cs="宋体"/>
          <w:b/>
          <w:color w:val="auto"/>
          <w:sz w:val="21"/>
          <w:szCs w:val="21"/>
          <w:highlight w:val="none"/>
          <w:lang w:eastAsia="zh-CN"/>
        </w:rPr>
        <w:t>采购</w:t>
      </w:r>
      <w:r>
        <w:rPr>
          <w:rFonts w:hint="eastAsia" w:ascii="宋体" w:hAnsi="宋体" w:eastAsia="宋体" w:cs="宋体"/>
          <w:b/>
          <w:color w:val="auto"/>
          <w:sz w:val="21"/>
          <w:szCs w:val="21"/>
          <w:highlight w:val="none"/>
        </w:rPr>
        <w:t>文件标注的项目名称或者项目编号不一致的；</w:t>
      </w:r>
    </w:p>
    <w:p w14:paraId="5E1049A3">
      <w:pPr>
        <w:pageBreakBefore w:val="0"/>
        <w:widowControl w:val="0"/>
        <w:numPr>
          <w:ilvl w:val="0"/>
          <w:numId w:val="11"/>
        </w:numPr>
        <w:kinsoku/>
        <w:wordWrap/>
        <w:overflowPunct/>
        <w:topLinePunct w:val="0"/>
        <w:autoSpaceDE/>
        <w:autoSpaceDN/>
        <w:bidi w:val="0"/>
        <w:adjustRightInd/>
        <w:snapToGrid w:val="0"/>
        <w:spacing w:line="240" w:lineRule="auto"/>
        <w:ind w:firstLine="422" w:firstLineChars="200"/>
        <w:textAlignment w:val="auto"/>
        <w:rPr>
          <w:rFonts w:hint="eastAsia" w:ascii="宋体" w:hAnsi="宋体" w:eastAsia="宋体" w:cs="宋体"/>
          <w:b/>
          <w:color w:val="auto"/>
          <w:sz w:val="21"/>
          <w:szCs w:val="21"/>
          <w:highlight w:val="none"/>
        </w:rPr>
      </w:pPr>
      <w:r>
        <w:rPr>
          <w:rFonts w:hint="eastAsia" w:ascii="宋体" w:hAnsi="宋体" w:cs="宋体"/>
          <w:b/>
          <w:color w:val="auto"/>
          <w:sz w:val="21"/>
          <w:szCs w:val="21"/>
          <w:highlight w:val="none"/>
          <w:lang w:eastAsia="zh-CN"/>
        </w:rPr>
        <w:t>采购</w:t>
      </w:r>
      <w:r>
        <w:rPr>
          <w:rFonts w:hint="eastAsia" w:ascii="宋体" w:hAnsi="宋体" w:eastAsia="宋体" w:cs="宋体"/>
          <w:b/>
          <w:color w:val="auto"/>
          <w:sz w:val="21"/>
          <w:szCs w:val="21"/>
          <w:highlight w:val="none"/>
        </w:rPr>
        <w:t>文件明确不允许分包，投标文件拟分包的；</w:t>
      </w:r>
    </w:p>
    <w:p w14:paraId="1A4D4F00">
      <w:pPr>
        <w:pageBreakBefore w:val="0"/>
        <w:widowControl w:val="0"/>
        <w:numPr>
          <w:ilvl w:val="0"/>
          <w:numId w:val="11"/>
        </w:numPr>
        <w:kinsoku/>
        <w:wordWrap/>
        <w:overflowPunct/>
        <w:topLinePunct w:val="0"/>
        <w:autoSpaceDE/>
        <w:autoSpaceDN/>
        <w:bidi w:val="0"/>
        <w:adjustRightInd/>
        <w:snapToGrid w:val="0"/>
        <w:spacing w:line="240" w:lineRule="auto"/>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未响应</w:t>
      </w:r>
      <w:r>
        <w:rPr>
          <w:rFonts w:hint="eastAsia" w:ascii="宋体" w:hAnsi="宋体" w:cs="宋体"/>
          <w:b/>
          <w:color w:val="auto"/>
          <w:sz w:val="21"/>
          <w:szCs w:val="21"/>
          <w:highlight w:val="none"/>
          <w:lang w:eastAsia="zh-CN"/>
        </w:rPr>
        <w:t>采购</w:t>
      </w:r>
      <w:r>
        <w:rPr>
          <w:rFonts w:hint="eastAsia" w:ascii="宋体" w:hAnsi="宋体" w:eastAsia="宋体" w:cs="宋体"/>
          <w:b/>
          <w:color w:val="auto"/>
          <w:sz w:val="21"/>
          <w:szCs w:val="21"/>
          <w:highlight w:val="none"/>
        </w:rPr>
        <w:t>文件实质性要求的；</w:t>
      </w:r>
    </w:p>
    <w:p w14:paraId="01FAD2E7">
      <w:pPr>
        <w:pageBreakBefore w:val="0"/>
        <w:widowControl w:val="0"/>
        <w:numPr>
          <w:ilvl w:val="0"/>
          <w:numId w:val="11"/>
        </w:numPr>
        <w:kinsoku/>
        <w:wordWrap/>
        <w:overflowPunct/>
        <w:topLinePunct w:val="0"/>
        <w:autoSpaceDE/>
        <w:autoSpaceDN/>
        <w:bidi w:val="0"/>
        <w:adjustRightInd/>
        <w:snapToGrid w:val="0"/>
        <w:spacing w:line="240" w:lineRule="auto"/>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法律、法规和</w:t>
      </w:r>
      <w:r>
        <w:rPr>
          <w:rFonts w:hint="eastAsia" w:ascii="宋体" w:hAnsi="宋体" w:cs="宋体"/>
          <w:b/>
          <w:color w:val="auto"/>
          <w:sz w:val="21"/>
          <w:szCs w:val="21"/>
          <w:highlight w:val="none"/>
          <w:lang w:eastAsia="zh-CN"/>
        </w:rPr>
        <w:t>采购</w:t>
      </w:r>
      <w:r>
        <w:rPr>
          <w:rFonts w:hint="eastAsia" w:ascii="宋体" w:hAnsi="宋体" w:eastAsia="宋体" w:cs="宋体"/>
          <w:b/>
          <w:color w:val="auto"/>
          <w:sz w:val="21"/>
          <w:szCs w:val="21"/>
          <w:highlight w:val="none"/>
        </w:rPr>
        <w:t>文件规定的其他无效情形。</w:t>
      </w:r>
    </w:p>
    <w:p w14:paraId="4AD8D74A">
      <w:pPr>
        <w:pStyle w:val="6"/>
        <w:pageBreakBefore w:val="0"/>
        <w:widowControl w:val="0"/>
        <w:kinsoku/>
        <w:wordWrap/>
        <w:overflowPunct/>
        <w:topLinePunct w:val="0"/>
        <w:autoSpaceDE/>
        <w:autoSpaceDN/>
        <w:bidi w:val="0"/>
        <w:adjustRightInd/>
        <w:spacing w:before="0" w:after="0" w:line="240" w:lineRule="auto"/>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2.3在技术评审时，如发现下列情形之一的，将被视为投标无效：</w:t>
      </w:r>
    </w:p>
    <w:p w14:paraId="1441E3F1">
      <w:pPr>
        <w:pStyle w:val="13"/>
        <w:pageBreakBefore w:val="0"/>
        <w:widowControl w:val="0"/>
        <w:kinsoku/>
        <w:wordWrap/>
        <w:overflowPunct/>
        <w:topLinePunct w:val="0"/>
        <w:autoSpaceDE/>
        <w:autoSpaceDN/>
        <w:bidi w:val="0"/>
        <w:adjustRightInd/>
        <w:snapToGrid w:val="0"/>
        <w:spacing w:line="240" w:lineRule="auto"/>
        <w:ind w:firstLine="413" w:firstLineChars="196"/>
        <w:textAlignment w:val="auto"/>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（1）技术要求评审允许负偏离的条款数超过“投标人须知前附表”规定项数的；</w:t>
      </w:r>
    </w:p>
    <w:p w14:paraId="408B35EC">
      <w:pPr>
        <w:pStyle w:val="13"/>
        <w:pageBreakBefore w:val="0"/>
        <w:widowControl w:val="0"/>
        <w:kinsoku/>
        <w:wordWrap/>
        <w:overflowPunct/>
        <w:topLinePunct w:val="0"/>
        <w:autoSpaceDE/>
        <w:autoSpaceDN/>
        <w:bidi w:val="0"/>
        <w:adjustRightInd/>
        <w:snapToGrid w:val="0"/>
        <w:spacing w:line="240" w:lineRule="auto"/>
        <w:ind w:firstLine="413" w:firstLineChars="196"/>
        <w:textAlignment w:val="auto"/>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（2）投标文件未提供“投标人须知前附表”第13.1条规定中“必须提供”的文件资料的；</w:t>
      </w:r>
    </w:p>
    <w:p w14:paraId="26051F68">
      <w:pPr>
        <w:pStyle w:val="13"/>
        <w:pageBreakBefore w:val="0"/>
        <w:widowControl w:val="0"/>
        <w:kinsoku/>
        <w:wordWrap/>
        <w:overflowPunct/>
        <w:topLinePunct w:val="0"/>
        <w:autoSpaceDE/>
        <w:autoSpaceDN/>
        <w:bidi w:val="0"/>
        <w:adjustRightInd/>
        <w:snapToGrid w:val="0"/>
        <w:spacing w:line="240" w:lineRule="auto"/>
        <w:ind w:firstLine="413" w:firstLineChars="196"/>
        <w:textAlignment w:val="auto"/>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（3）虚假投标，或者出现其他情形而导致被评标委员会认定无效的；</w:t>
      </w:r>
    </w:p>
    <w:p w14:paraId="0C6EF951">
      <w:pPr>
        <w:pStyle w:val="13"/>
        <w:pageBreakBefore w:val="0"/>
        <w:widowControl w:val="0"/>
        <w:kinsoku/>
        <w:wordWrap/>
        <w:overflowPunct/>
        <w:topLinePunct w:val="0"/>
        <w:autoSpaceDE/>
        <w:autoSpaceDN/>
        <w:bidi w:val="0"/>
        <w:adjustRightInd/>
        <w:snapToGrid w:val="0"/>
        <w:spacing w:line="240" w:lineRule="auto"/>
        <w:ind w:firstLine="413" w:firstLineChars="196"/>
        <w:textAlignment w:val="auto"/>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（4）</w:t>
      </w:r>
      <w:bookmarkStart w:id="151" w:name="_Hlk71706244"/>
      <w:r>
        <w:rPr>
          <w:rFonts w:hint="eastAsia" w:ascii="宋体" w:hAnsi="宋体" w:eastAsia="宋体" w:cs="宋体"/>
          <w:b/>
          <w:color w:val="auto"/>
          <w:kern w:val="2"/>
          <w:sz w:val="21"/>
          <w:szCs w:val="21"/>
          <w:highlight w:val="none"/>
          <w:lang w:eastAsia="zh-CN"/>
        </w:rPr>
        <w:t>采购</w:t>
      </w:r>
      <w:r>
        <w:rPr>
          <w:rFonts w:hint="eastAsia" w:ascii="宋体" w:hAnsi="宋体" w:eastAsia="宋体" w:cs="宋体"/>
          <w:b/>
          <w:color w:val="auto"/>
          <w:kern w:val="2"/>
          <w:sz w:val="21"/>
          <w:szCs w:val="21"/>
          <w:highlight w:val="none"/>
        </w:rPr>
        <w:t>文件未载明允许提供备选（替代）投标方案或明确不允许提供备选（替代）投标方案时，投标人提供了备选（替代）投标方案的；</w:t>
      </w:r>
      <w:bookmarkEnd w:id="151"/>
    </w:p>
    <w:p w14:paraId="29442381">
      <w:pPr>
        <w:pStyle w:val="13"/>
        <w:pageBreakBefore w:val="0"/>
        <w:widowControl w:val="0"/>
        <w:kinsoku/>
        <w:wordWrap/>
        <w:overflowPunct/>
        <w:topLinePunct w:val="0"/>
        <w:autoSpaceDE/>
        <w:autoSpaceDN/>
        <w:bidi w:val="0"/>
        <w:adjustRightInd/>
        <w:snapToGrid w:val="0"/>
        <w:spacing w:line="240" w:lineRule="auto"/>
        <w:ind w:firstLine="413" w:firstLineChars="196"/>
        <w:textAlignment w:val="auto"/>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（5）未响应</w:t>
      </w:r>
      <w:r>
        <w:rPr>
          <w:rFonts w:hint="eastAsia" w:ascii="宋体" w:hAnsi="宋体" w:eastAsia="宋体" w:cs="宋体"/>
          <w:b/>
          <w:color w:val="auto"/>
          <w:kern w:val="2"/>
          <w:sz w:val="21"/>
          <w:szCs w:val="21"/>
          <w:highlight w:val="none"/>
          <w:lang w:eastAsia="zh-CN"/>
        </w:rPr>
        <w:t>采购</w:t>
      </w:r>
      <w:r>
        <w:rPr>
          <w:rFonts w:hint="eastAsia" w:ascii="宋体" w:hAnsi="宋体" w:eastAsia="宋体" w:cs="宋体"/>
          <w:b/>
          <w:color w:val="auto"/>
          <w:kern w:val="2"/>
          <w:sz w:val="21"/>
          <w:szCs w:val="21"/>
          <w:highlight w:val="none"/>
        </w:rPr>
        <w:t>文件实质性要求的。</w:t>
      </w:r>
    </w:p>
    <w:p w14:paraId="4F26A65F">
      <w:pPr>
        <w:pStyle w:val="6"/>
        <w:pageBreakBefore w:val="0"/>
        <w:widowControl w:val="0"/>
        <w:kinsoku/>
        <w:wordWrap/>
        <w:overflowPunct/>
        <w:topLinePunct w:val="0"/>
        <w:autoSpaceDE/>
        <w:autoSpaceDN/>
        <w:bidi w:val="0"/>
        <w:adjustRightInd/>
        <w:spacing w:before="0" w:after="0" w:line="240" w:lineRule="auto"/>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3.澄清补正</w:t>
      </w:r>
    </w:p>
    <w:p w14:paraId="33DFA33C">
      <w:pPr>
        <w:pageBreakBefore w:val="0"/>
        <w:widowControl w:val="0"/>
        <w:kinsoku/>
        <w:wordWrap/>
        <w:overflowPunct/>
        <w:topLinePunct w:val="0"/>
        <w:autoSpaceDE/>
        <w:autoSpaceDN/>
        <w:bidi w:val="0"/>
        <w:adjustRightInd/>
        <w:spacing w:line="240" w:lineRule="auto"/>
        <w:ind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对投标文件中含义不明确、同类问题表述不一致或者有明显文字和计算错误的内容，评标委员会应在</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发布电子澄清函，要求投标人在规定时间内作出必要的澄清、说明或者补正。投标人在</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29E96818">
      <w:pPr>
        <w:pageBreakBefore w:val="0"/>
        <w:widowControl w:val="0"/>
        <w:kinsoku/>
        <w:wordWrap/>
        <w:overflowPunct/>
        <w:topLinePunct w:val="0"/>
        <w:autoSpaceDE/>
        <w:autoSpaceDN/>
        <w:bidi w:val="0"/>
        <w:adjustRightInd/>
        <w:spacing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6C00C228">
      <w:pPr>
        <w:pageBreakBefore w:val="0"/>
        <w:widowControl w:val="0"/>
        <w:kinsoku/>
        <w:wordWrap/>
        <w:overflowPunct/>
        <w:topLinePunct w:val="0"/>
        <w:autoSpaceDE/>
        <w:autoSpaceDN/>
        <w:bidi w:val="0"/>
        <w:adjustRightInd/>
        <w:spacing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未按评标委员会的要求作出明确澄清、说明或者更正的投标人的投标文件将按照有利于采购人的原则由评标委员会进行判定。</w:t>
      </w:r>
    </w:p>
    <w:p w14:paraId="77EB82B0">
      <w:pPr>
        <w:pStyle w:val="6"/>
        <w:pageBreakBefore w:val="0"/>
        <w:widowControl w:val="0"/>
        <w:kinsoku/>
        <w:wordWrap/>
        <w:overflowPunct/>
        <w:topLinePunct w:val="0"/>
        <w:autoSpaceDE/>
        <w:autoSpaceDN/>
        <w:bidi w:val="0"/>
        <w:adjustRightInd/>
        <w:spacing w:before="0" w:after="0" w:line="240" w:lineRule="auto"/>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4.投标文件修正</w:t>
      </w:r>
    </w:p>
    <w:p w14:paraId="10245DFF">
      <w:pPr>
        <w:pStyle w:val="6"/>
        <w:pageBreakBefore w:val="0"/>
        <w:widowControl w:val="0"/>
        <w:kinsoku/>
        <w:wordWrap/>
        <w:overflowPunct/>
        <w:topLinePunct w:val="0"/>
        <w:autoSpaceDE/>
        <w:autoSpaceDN/>
        <w:bidi w:val="0"/>
        <w:adjustRightInd/>
        <w:spacing w:before="0" w:after="0" w:line="240" w:lineRule="auto"/>
        <w:ind w:left="420" w:leftChars="20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4.1投标文件报价出现前后不一致的，按照下列规定修正：</w:t>
      </w:r>
    </w:p>
    <w:p w14:paraId="1B207EE6">
      <w:pPr>
        <w:pStyle w:val="14"/>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（1）投标文件中开标一览表（报价表）内容与投标文件中相应内容不一致的，以开标一览表（报价表）为准；</w:t>
      </w:r>
    </w:p>
    <w:p w14:paraId="0BD08D9D">
      <w:pPr>
        <w:pStyle w:val="14"/>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（2）大写金额和小写金额不一致的，以大写金额为准；</w:t>
      </w:r>
    </w:p>
    <w:p w14:paraId="342C13F2">
      <w:pPr>
        <w:pStyle w:val="14"/>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（3）单价金额小数点或者百分比有明显错位的，以开标一览表的总价为准，并修改单价；</w:t>
      </w:r>
    </w:p>
    <w:p w14:paraId="5F13AF00">
      <w:pPr>
        <w:pStyle w:val="14"/>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（4）总价金额与按单价汇总金额不一致的，以单价金额计算结果为准。</w:t>
      </w:r>
    </w:p>
    <w:p w14:paraId="6E298CDB">
      <w:pPr>
        <w:pStyle w:val="14"/>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同时出现两种以上不一致的，按照以上（1）-（4）规定的顺序修正。修正后的报价经投标人确认后产生约束力，投标人不确认的，</w:t>
      </w:r>
      <w:r>
        <w:rPr>
          <w:rFonts w:hint="eastAsia" w:ascii="宋体" w:hAnsi="宋体" w:eastAsia="宋体" w:cs="宋体"/>
          <w:b/>
          <w:color w:val="auto"/>
          <w:kern w:val="2"/>
          <w:sz w:val="21"/>
          <w:szCs w:val="21"/>
          <w:highlight w:val="none"/>
        </w:rPr>
        <w:t>其投标无效</w:t>
      </w:r>
      <w:r>
        <w:rPr>
          <w:rFonts w:hint="eastAsia" w:ascii="宋体" w:hAnsi="宋体" w:eastAsia="宋体" w:cs="宋体"/>
          <w:color w:val="auto"/>
          <w:sz w:val="21"/>
          <w:szCs w:val="21"/>
          <w:highlight w:val="none"/>
        </w:rPr>
        <w:t>。</w:t>
      </w:r>
    </w:p>
    <w:p w14:paraId="2C1646EA">
      <w:pPr>
        <w:pStyle w:val="6"/>
        <w:pageBreakBefore w:val="0"/>
        <w:widowControl w:val="0"/>
        <w:kinsoku/>
        <w:wordWrap/>
        <w:overflowPunct/>
        <w:topLinePunct w:val="0"/>
        <w:autoSpaceDE/>
        <w:autoSpaceDN/>
        <w:bidi w:val="0"/>
        <w:adjustRightInd/>
        <w:spacing w:before="0" w:after="0" w:line="240" w:lineRule="auto"/>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4.2经投标人确认修正后的报价若超过采购预算金额或者最高限价，</w:t>
      </w:r>
      <w:r>
        <w:rPr>
          <w:rFonts w:hint="eastAsia" w:ascii="宋体" w:hAnsi="宋体" w:eastAsia="宋体" w:cs="宋体"/>
          <w:color w:val="auto"/>
          <w:sz w:val="21"/>
          <w:szCs w:val="21"/>
          <w:highlight w:val="none"/>
        </w:rPr>
        <w:t>投标人的投标文件作无效投标处理</w:t>
      </w:r>
      <w:r>
        <w:rPr>
          <w:rFonts w:hint="eastAsia" w:ascii="宋体" w:hAnsi="宋体" w:eastAsia="宋体" w:cs="宋体"/>
          <w:b w:val="0"/>
          <w:color w:val="auto"/>
          <w:sz w:val="21"/>
          <w:szCs w:val="21"/>
          <w:highlight w:val="none"/>
        </w:rPr>
        <w:t>。</w:t>
      </w:r>
    </w:p>
    <w:p w14:paraId="2C0DFCB9">
      <w:pPr>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4.3经投标人确认修正后的报价作为签订合同的依据，并以此报价计算价格分。</w:t>
      </w:r>
    </w:p>
    <w:p w14:paraId="23AED052">
      <w:pPr>
        <w:pStyle w:val="6"/>
        <w:pageBreakBefore w:val="0"/>
        <w:widowControl w:val="0"/>
        <w:kinsoku/>
        <w:wordWrap/>
        <w:overflowPunct/>
        <w:topLinePunct w:val="0"/>
        <w:autoSpaceDE/>
        <w:autoSpaceDN/>
        <w:bidi w:val="0"/>
        <w:adjustRightInd/>
        <w:spacing w:before="0" w:after="0" w:line="240" w:lineRule="auto"/>
        <w:ind w:left="420"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5.比较与评价</w:t>
      </w:r>
    </w:p>
    <w:p w14:paraId="3D1DBB35">
      <w:pPr>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5.1采用综合评分法的</w:t>
      </w:r>
    </w:p>
    <w:p w14:paraId="1CEB2C91">
      <w:pPr>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（1）评标委员会按照</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文件中规定的评标方法及评标标准，对符合性审查合格的投标文件进行商务和技术评估，综合比较与评价。</w:t>
      </w:r>
    </w:p>
    <w:p w14:paraId="59FA8014">
      <w:pPr>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（2）评标委员会独立对每个投标人的投标文件进行评价，并汇总每个投标人的得分。</w:t>
      </w:r>
    </w:p>
    <w:p w14:paraId="6B0F2CCF">
      <w:pPr>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w:t>
      </w:r>
      <w:r>
        <w:rPr>
          <w:rFonts w:hint="eastAsia" w:ascii="宋体" w:hAnsi="宋体" w:eastAsia="宋体" w:cs="宋体"/>
          <w:b/>
          <w:color w:val="auto"/>
          <w:sz w:val="21"/>
          <w:szCs w:val="21"/>
          <w:highlight w:val="none"/>
        </w:rPr>
        <w:t>投标人不能证明其报价合理性的，评标委员会将其作为无效投标处理</w:t>
      </w:r>
      <w:r>
        <w:rPr>
          <w:rFonts w:hint="eastAsia" w:ascii="宋体" w:hAnsi="宋体" w:eastAsia="宋体" w:cs="宋体"/>
          <w:color w:val="auto"/>
          <w:sz w:val="21"/>
          <w:szCs w:val="21"/>
          <w:highlight w:val="none"/>
        </w:rPr>
        <w:t>。</w:t>
      </w:r>
    </w:p>
    <w:p w14:paraId="1CDDCEE0">
      <w:pPr>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（3）评标委员会按照</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文件中规定的评标方法和标准计算各投标人的报价得分。在计算过程中，不得去掉最高报价或者最低报价。</w:t>
      </w:r>
    </w:p>
    <w:p w14:paraId="4A5F67F7">
      <w:pPr>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（4）各投标人的得分为所有评委的有效评分的算术平均数。</w:t>
      </w:r>
    </w:p>
    <w:p w14:paraId="5BA1FDC6">
      <w:pPr>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（5）评标委员会按照</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文件中的规定推荐中标候选人。</w:t>
      </w:r>
    </w:p>
    <w:p w14:paraId="5813107C">
      <w:pPr>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11C02380">
      <w:pPr>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5.2采用最低评标价法的</w:t>
      </w:r>
    </w:p>
    <w:p w14:paraId="63E65484">
      <w:pPr>
        <w:pageBreakBefore w:val="0"/>
        <w:widowControl w:val="0"/>
        <w:kinsoku/>
        <w:wordWrap/>
        <w:overflowPunct/>
        <w:topLinePunct w:val="0"/>
        <w:autoSpaceDE/>
        <w:autoSpaceDN/>
        <w:bidi w:val="0"/>
        <w:adjustRightInd/>
        <w:snapToGrid w:val="0"/>
        <w:spacing w:line="240" w:lineRule="auto"/>
        <w:ind w:firstLine="424" w:firstLineChars="202"/>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（1）评标委员会按照</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文件中规定的评标方法及评标标准，对符合性审查合格的投标文件报价进行比较。</w:t>
      </w:r>
    </w:p>
    <w:p w14:paraId="56894561">
      <w:pPr>
        <w:pageBreakBefore w:val="0"/>
        <w:widowControl w:val="0"/>
        <w:kinsoku/>
        <w:wordWrap/>
        <w:overflowPunct/>
        <w:topLinePunct w:val="0"/>
        <w:autoSpaceDE/>
        <w:autoSpaceDN/>
        <w:bidi w:val="0"/>
        <w:adjustRightInd/>
        <w:snapToGrid w:val="0"/>
        <w:spacing w:line="240" w:lineRule="auto"/>
        <w:ind w:firstLine="399" w:firstLineChars="202"/>
        <w:jc w:val="left"/>
        <w:textAlignment w:val="auto"/>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评标委员会认为投标人的报价明显高于其他通过符合性审查投标人的报价，有可能影响配送产品质量或者服务质量或者不能诚信履约的，应当要求其在评标现场合理的时间内提供书面说明，必要时提交相关证明材料；</w:t>
      </w:r>
      <w:r>
        <w:rPr>
          <w:rFonts w:hint="eastAsia" w:ascii="宋体" w:hAnsi="宋体" w:eastAsia="宋体" w:cs="宋体"/>
          <w:b/>
          <w:color w:val="auto"/>
          <w:spacing w:val="-6"/>
          <w:sz w:val="21"/>
          <w:szCs w:val="21"/>
          <w:highlight w:val="none"/>
        </w:rPr>
        <w:t>投标人不能证明其报价合理性的，评标委员会将其作为无效投标处理</w:t>
      </w:r>
      <w:r>
        <w:rPr>
          <w:rFonts w:hint="eastAsia" w:ascii="宋体" w:hAnsi="宋体" w:eastAsia="宋体" w:cs="宋体"/>
          <w:color w:val="auto"/>
          <w:spacing w:val="-6"/>
          <w:sz w:val="21"/>
          <w:szCs w:val="21"/>
          <w:highlight w:val="none"/>
        </w:rPr>
        <w:t>。</w:t>
      </w:r>
    </w:p>
    <w:p w14:paraId="3621D9E3">
      <w:pPr>
        <w:pageBreakBefore w:val="0"/>
        <w:widowControl w:val="0"/>
        <w:kinsoku/>
        <w:wordWrap/>
        <w:overflowPunct/>
        <w:topLinePunct w:val="0"/>
        <w:autoSpaceDE/>
        <w:autoSpaceDN/>
        <w:bidi w:val="0"/>
        <w:adjustRightInd/>
        <w:snapToGrid w:val="0"/>
        <w:spacing w:line="240" w:lineRule="auto"/>
        <w:ind w:firstLine="424" w:firstLineChars="202"/>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（3）评标委员会按照</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文件中的规定推荐中标候选人。</w:t>
      </w:r>
    </w:p>
    <w:p w14:paraId="53D6DD36">
      <w:pPr>
        <w:pageBreakBefore w:val="0"/>
        <w:widowControl w:val="0"/>
        <w:kinsoku/>
        <w:wordWrap/>
        <w:overflowPunct/>
        <w:topLinePunct w:val="0"/>
        <w:autoSpaceDE/>
        <w:autoSpaceDN/>
        <w:bidi w:val="0"/>
        <w:adjustRightInd/>
        <w:snapToGrid w:val="0"/>
        <w:spacing w:line="240" w:lineRule="auto"/>
        <w:ind w:firstLine="424" w:firstLineChars="202"/>
        <w:jc w:val="left"/>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4）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1FB7CB22">
      <w:pPr>
        <w:pStyle w:val="4"/>
        <w:keepNext/>
        <w:keepLines/>
        <w:pageBreakBefore w:val="0"/>
        <w:widowControl w:val="0"/>
        <w:kinsoku/>
        <w:wordWrap/>
        <w:overflowPunct/>
        <w:topLinePunct w:val="0"/>
        <w:autoSpaceDE/>
        <w:autoSpaceDN/>
        <w:bidi w:val="0"/>
        <w:adjustRightInd/>
        <w:snapToGrid/>
        <w:spacing w:before="240" w:after="240"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三、</w:t>
      </w:r>
      <w:r>
        <w:rPr>
          <w:rFonts w:hint="eastAsia" w:ascii="宋体" w:hAnsi="宋体" w:eastAsia="宋体" w:cs="宋体"/>
          <w:color w:val="auto"/>
          <w:sz w:val="21"/>
          <w:szCs w:val="21"/>
          <w:highlight w:val="none"/>
        </w:rPr>
        <w:t>评标标准</w:t>
      </w:r>
    </w:p>
    <w:p w14:paraId="703CBEC3">
      <w:pPr>
        <w:keepNext w:val="0"/>
        <w:keepLines w:val="0"/>
        <w:pageBreakBefore w:val="0"/>
        <w:widowControl w:val="0"/>
        <w:kinsoku/>
        <w:wordWrap/>
        <w:overflowPunct/>
        <w:topLinePunct w:val="0"/>
        <w:autoSpaceDE/>
        <w:autoSpaceDN/>
        <w:bidi w:val="0"/>
        <w:adjustRightInd/>
        <w:snapToGrid w:val="0"/>
        <w:spacing w:line="240" w:lineRule="auto"/>
        <w:ind w:firstLine="424" w:firstLineChars="202"/>
        <w:jc w:val="left"/>
        <w:textAlignment w:val="auto"/>
        <w:rPr>
          <w:rFonts w:hint="eastAsia" w:ascii="宋体" w:hAnsi="宋体" w:cs="宋体"/>
          <w:color w:val="auto"/>
          <w:szCs w:val="21"/>
        </w:rPr>
      </w:pPr>
      <w:r>
        <w:rPr>
          <w:rFonts w:hint="eastAsia" w:ascii="宋体" w:hAnsi="宋体" w:cs="宋体"/>
          <w:color w:val="auto"/>
          <w:szCs w:val="21"/>
        </w:rPr>
        <w:t>一、</w:t>
      </w:r>
      <w:r>
        <w:rPr>
          <w:rFonts w:hint="eastAsia" w:ascii="宋体" w:hAnsi="宋体" w:cs="宋体"/>
          <w:b/>
          <w:bCs/>
          <w:color w:val="auto"/>
          <w:szCs w:val="21"/>
        </w:rPr>
        <w:t>评标原则</w:t>
      </w:r>
    </w:p>
    <w:p w14:paraId="4512C4C6">
      <w:pPr>
        <w:keepNext w:val="0"/>
        <w:keepLines w:val="0"/>
        <w:pageBreakBefore w:val="0"/>
        <w:widowControl w:val="0"/>
        <w:kinsoku/>
        <w:wordWrap/>
        <w:overflowPunct/>
        <w:topLinePunct w:val="0"/>
        <w:autoSpaceDE/>
        <w:autoSpaceDN/>
        <w:bidi w:val="0"/>
        <w:adjustRightInd/>
        <w:snapToGrid w:val="0"/>
        <w:spacing w:line="240" w:lineRule="auto"/>
        <w:ind w:firstLine="424" w:firstLineChars="202"/>
        <w:jc w:val="left"/>
        <w:textAlignment w:val="auto"/>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一</w:t>
      </w:r>
      <w:r>
        <w:rPr>
          <w:rFonts w:hint="eastAsia" w:ascii="宋体" w:hAnsi="宋体" w:cs="宋体"/>
          <w:color w:val="auto"/>
          <w:szCs w:val="21"/>
          <w:highlight w:val="none"/>
          <w:lang w:eastAsia="zh-CN"/>
        </w:rPr>
        <w:t>）</w:t>
      </w:r>
      <w:r>
        <w:rPr>
          <w:rFonts w:hint="eastAsia" w:ascii="宋体" w:hAnsi="宋体" w:cs="宋体"/>
          <w:color w:val="auto"/>
          <w:szCs w:val="21"/>
          <w:highlight w:val="none"/>
        </w:rPr>
        <w:t>评委构成：本招标采购项目的评标委员会由采购人代表和有关技术、经济等方面的专家组成，成员人数应当为</w:t>
      </w:r>
      <w:r>
        <w:rPr>
          <w:rFonts w:hint="eastAsia" w:ascii="宋体" w:hAnsi="宋体" w:cs="宋体"/>
          <w:color w:val="auto"/>
          <w:szCs w:val="21"/>
          <w:highlight w:val="none"/>
          <w:lang w:val="en-US" w:eastAsia="zh-CN"/>
        </w:rPr>
        <w:t>七</w:t>
      </w:r>
      <w:r>
        <w:rPr>
          <w:rFonts w:hint="eastAsia" w:ascii="宋体" w:hAnsi="宋体" w:cs="宋体"/>
          <w:color w:val="auto"/>
          <w:szCs w:val="21"/>
          <w:highlight w:val="none"/>
        </w:rPr>
        <w:t>人以上单数。其中，技术、经济等方面的专家不得少于成员总数的三分之二。</w:t>
      </w:r>
    </w:p>
    <w:p w14:paraId="619639F4">
      <w:pPr>
        <w:keepNext w:val="0"/>
        <w:keepLines w:val="0"/>
        <w:pageBreakBefore w:val="0"/>
        <w:widowControl w:val="0"/>
        <w:kinsoku/>
        <w:wordWrap/>
        <w:overflowPunct/>
        <w:topLinePunct w:val="0"/>
        <w:autoSpaceDE/>
        <w:autoSpaceDN/>
        <w:bidi w:val="0"/>
        <w:adjustRightInd/>
        <w:snapToGrid w:val="0"/>
        <w:spacing w:line="240" w:lineRule="auto"/>
        <w:ind w:firstLine="424" w:firstLineChars="202"/>
        <w:jc w:val="left"/>
        <w:textAlignment w:val="auto"/>
        <w:rPr>
          <w:rFonts w:hint="eastAsia" w:ascii="宋体" w:hAnsi="宋体" w:cs="宋体"/>
          <w:color w:val="auto"/>
          <w:szCs w:val="21"/>
        </w:rPr>
      </w:pPr>
      <w:r>
        <w:rPr>
          <w:rFonts w:hint="eastAsia" w:ascii="宋体" w:hAnsi="宋体" w:cs="宋体"/>
          <w:color w:val="auto"/>
          <w:szCs w:val="21"/>
          <w:lang w:eastAsia="zh-CN"/>
        </w:rPr>
        <w:t>（</w:t>
      </w:r>
      <w:r>
        <w:rPr>
          <w:rFonts w:hint="eastAsia" w:ascii="宋体" w:hAnsi="宋体" w:cs="宋体"/>
          <w:color w:val="auto"/>
          <w:szCs w:val="21"/>
        </w:rPr>
        <w:t>二</w:t>
      </w:r>
      <w:r>
        <w:rPr>
          <w:rFonts w:hint="eastAsia" w:ascii="宋体" w:hAnsi="宋体" w:cs="宋体"/>
          <w:color w:val="auto"/>
          <w:szCs w:val="21"/>
          <w:lang w:eastAsia="zh-CN"/>
        </w:rPr>
        <w:t>）</w:t>
      </w:r>
      <w:r>
        <w:rPr>
          <w:rFonts w:hint="eastAsia" w:ascii="宋体" w:hAnsi="宋体" w:cs="宋体"/>
          <w:color w:val="auto"/>
          <w:szCs w:val="21"/>
        </w:rPr>
        <w:t>评标依据：评委将以招标文件为评标依据，对投标人的内容按百分制打分。</w:t>
      </w:r>
    </w:p>
    <w:p w14:paraId="430CC4D7">
      <w:pPr>
        <w:keepNext w:val="0"/>
        <w:keepLines w:val="0"/>
        <w:pageBreakBefore w:val="0"/>
        <w:widowControl w:val="0"/>
        <w:kinsoku/>
        <w:wordWrap/>
        <w:overflowPunct/>
        <w:topLinePunct w:val="0"/>
        <w:autoSpaceDE/>
        <w:autoSpaceDN/>
        <w:bidi w:val="0"/>
        <w:adjustRightInd/>
        <w:snapToGrid w:val="0"/>
        <w:spacing w:line="240" w:lineRule="auto"/>
        <w:ind w:firstLine="424" w:firstLineChars="202"/>
        <w:jc w:val="left"/>
        <w:textAlignment w:val="auto"/>
        <w:rPr>
          <w:rFonts w:hint="eastAsia" w:ascii="宋体" w:hAnsi="宋体" w:cs="宋体"/>
          <w:color w:val="auto"/>
          <w:szCs w:val="21"/>
        </w:rPr>
      </w:pPr>
      <w:r>
        <w:rPr>
          <w:rFonts w:hint="eastAsia" w:ascii="宋体" w:hAnsi="宋体" w:cs="宋体"/>
          <w:color w:val="auto"/>
          <w:szCs w:val="21"/>
          <w:lang w:eastAsia="zh-CN"/>
        </w:rPr>
        <w:t>（</w:t>
      </w:r>
      <w:r>
        <w:rPr>
          <w:rFonts w:hint="eastAsia" w:ascii="宋体" w:hAnsi="宋体" w:cs="宋体"/>
          <w:color w:val="auto"/>
          <w:szCs w:val="21"/>
        </w:rPr>
        <w:t>三</w:t>
      </w:r>
      <w:r>
        <w:rPr>
          <w:rFonts w:hint="eastAsia" w:ascii="宋体" w:hAnsi="宋体" w:cs="宋体"/>
          <w:color w:val="auto"/>
          <w:szCs w:val="21"/>
          <w:lang w:eastAsia="zh-CN"/>
        </w:rPr>
        <w:t>）</w:t>
      </w:r>
      <w:r>
        <w:rPr>
          <w:rFonts w:hint="eastAsia" w:ascii="宋体" w:hAnsi="宋体" w:cs="宋体"/>
          <w:color w:val="auto"/>
          <w:szCs w:val="21"/>
        </w:rPr>
        <w:t>评标方式：以封闭方式进行。</w:t>
      </w:r>
    </w:p>
    <w:p w14:paraId="731259D9">
      <w:pPr>
        <w:keepNext w:val="0"/>
        <w:keepLines w:val="0"/>
        <w:pageBreakBefore w:val="0"/>
        <w:widowControl w:val="0"/>
        <w:kinsoku/>
        <w:wordWrap/>
        <w:overflowPunct/>
        <w:topLinePunct w:val="0"/>
        <w:autoSpaceDE/>
        <w:autoSpaceDN/>
        <w:bidi w:val="0"/>
        <w:adjustRightInd/>
        <w:snapToGrid w:val="0"/>
        <w:spacing w:line="240" w:lineRule="auto"/>
        <w:ind w:firstLine="424" w:firstLineChars="202"/>
        <w:jc w:val="left"/>
        <w:textAlignment w:val="auto"/>
        <w:rPr>
          <w:rFonts w:hint="eastAsia" w:ascii="宋体" w:hAnsi="宋体" w:cs="宋体"/>
          <w:color w:val="auto"/>
          <w:szCs w:val="21"/>
        </w:rPr>
      </w:pPr>
      <w:r>
        <w:rPr>
          <w:rFonts w:hint="eastAsia" w:ascii="宋体" w:hAnsi="宋体" w:cs="宋体"/>
          <w:color w:val="auto"/>
          <w:szCs w:val="21"/>
        </w:rPr>
        <w:t>二、</w:t>
      </w:r>
      <w:r>
        <w:rPr>
          <w:rFonts w:hint="eastAsia" w:ascii="宋体" w:hAnsi="宋体" w:cs="宋体"/>
          <w:b/>
          <w:bCs/>
          <w:color w:val="auto"/>
          <w:szCs w:val="21"/>
        </w:rPr>
        <w:t>评标方法</w:t>
      </w:r>
    </w:p>
    <w:p w14:paraId="6EDD31C9">
      <w:pPr>
        <w:keepNext w:val="0"/>
        <w:keepLines w:val="0"/>
        <w:pageBreakBefore w:val="0"/>
        <w:widowControl w:val="0"/>
        <w:kinsoku/>
        <w:wordWrap/>
        <w:overflowPunct/>
        <w:topLinePunct w:val="0"/>
        <w:autoSpaceDE/>
        <w:autoSpaceDN/>
        <w:bidi w:val="0"/>
        <w:adjustRightInd/>
        <w:snapToGrid w:val="0"/>
        <w:spacing w:line="240" w:lineRule="auto"/>
        <w:ind w:firstLine="424" w:firstLineChars="202"/>
        <w:jc w:val="left"/>
        <w:textAlignment w:val="auto"/>
        <w:rPr>
          <w:rFonts w:hint="eastAsia" w:ascii="宋体" w:hAnsi="宋体" w:cs="宋体"/>
          <w:color w:val="auto"/>
          <w:szCs w:val="21"/>
        </w:rPr>
      </w:pPr>
      <w:r>
        <w:rPr>
          <w:rFonts w:hint="eastAsia" w:ascii="宋体" w:hAnsi="宋体" w:cs="宋体"/>
          <w:color w:val="auto"/>
          <w:szCs w:val="21"/>
        </w:rPr>
        <w:t>（一）对进入详评的，采用百分制综合评分法。</w:t>
      </w:r>
    </w:p>
    <w:p w14:paraId="6980CA71">
      <w:pPr>
        <w:keepNext w:val="0"/>
        <w:keepLines w:val="0"/>
        <w:pageBreakBefore w:val="0"/>
        <w:widowControl w:val="0"/>
        <w:kinsoku/>
        <w:wordWrap/>
        <w:overflowPunct/>
        <w:topLinePunct w:val="0"/>
        <w:autoSpaceDE/>
        <w:autoSpaceDN/>
        <w:bidi w:val="0"/>
        <w:adjustRightInd/>
        <w:snapToGrid w:val="0"/>
        <w:spacing w:line="240" w:lineRule="auto"/>
        <w:ind w:firstLine="424" w:firstLineChars="202"/>
        <w:jc w:val="left"/>
        <w:textAlignment w:val="auto"/>
        <w:rPr>
          <w:rFonts w:hint="eastAsia" w:ascii="宋体" w:hAnsi="宋体" w:cs="宋体"/>
          <w:color w:val="auto"/>
          <w:szCs w:val="21"/>
        </w:rPr>
      </w:pPr>
      <w:r>
        <w:rPr>
          <w:rFonts w:hint="eastAsia" w:ascii="宋体" w:hAnsi="宋体" w:cs="宋体"/>
          <w:color w:val="auto"/>
          <w:szCs w:val="21"/>
        </w:rPr>
        <w:t>（二）计分办法（按四舍五入取至百分位）：</w:t>
      </w:r>
    </w:p>
    <w:p w14:paraId="75BFEEC3">
      <w:pPr>
        <w:keepNext w:val="0"/>
        <w:keepLines w:val="0"/>
        <w:pageBreakBefore w:val="0"/>
        <w:widowControl w:val="0"/>
        <w:kinsoku/>
        <w:wordWrap/>
        <w:overflowPunct/>
        <w:topLinePunct w:val="0"/>
        <w:autoSpaceDE/>
        <w:autoSpaceDN/>
        <w:bidi w:val="0"/>
        <w:adjustRightInd/>
        <w:snapToGrid w:val="0"/>
        <w:spacing w:line="240" w:lineRule="auto"/>
        <w:ind w:firstLine="424" w:firstLineChars="202"/>
        <w:jc w:val="left"/>
        <w:textAlignment w:val="auto"/>
        <w:rPr>
          <w:rFonts w:hint="eastAsia" w:ascii="宋体" w:hAnsi="宋体" w:eastAsia="宋体" w:cs="宋体"/>
          <w:bCs/>
          <w:color w:val="auto"/>
          <w:sz w:val="21"/>
          <w:szCs w:val="21"/>
          <w:lang w:eastAsia="zh-CN"/>
        </w:rPr>
      </w:pPr>
      <w:r>
        <w:rPr>
          <w:rFonts w:hint="eastAsia" w:hAnsi="宋体" w:eastAsia="宋体" w:cs="宋体"/>
          <w:bCs/>
          <w:color w:val="auto"/>
          <w:sz w:val="21"/>
          <w:szCs w:val="21"/>
          <w:lang w:eastAsia="zh-CN"/>
        </w:rPr>
        <w:t>（</w:t>
      </w:r>
      <w:r>
        <w:rPr>
          <w:rFonts w:hint="eastAsia" w:ascii="宋体" w:hAnsi="宋体" w:eastAsia="宋体" w:cs="宋体"/>
          <w:bCs/>
          <w:color w:val="auto"/>
          <w:sz w:val="21"/>
          <w:szCs w:val="21"/>
        </w:rPr>
        <w:t>以下各项评审因素仅作为参考，制作招标文件时，评审因素应当与相应的商务条件和采购需求对应</w:t>
      </w:r>
      <w:r>
        <w:rPr>
          <w:rFonts w:hint="eastAsia" w:ascii="宋体" w:hAnsi="宋体" w:eastAsia="宋体" w:cs="宋体"/>
          <w:bCs/>
          <w:color w:val="auto"/>
          <w:sz w:val="21"/>
          <w:szCs w:val="21"/>
          <w:lang w:eastAsia="zh-CN"/>
        </w:rPr>
        <w:t>。</w:t>
      </w:r>
      <w:r>
        <w:rPr>
          <w:rFonts w:hint="eastAsia" w:hAnsi="宋体" w:eastAsia="宋体" w:cs="宋体"/>
          <w:bCs/>
          <w:color w:val="auto"/>
          <w:sz w:val="21"/>
          <w:szCs w:val="21"/>
          <w:lang w:eastAsia="zh-CN"/>
        </w:rPr>
        <w:t>）</w:t>
      </w:r>
    </w:p>
    <w:tbl>
      <w:tblPr>
        <w:tblStyle w:val="20"/>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1209"/>
        <w:gridCol w:w="6435"/>
        <w:gridCol w:w="736"/>
      </w:tblGrid>
      <w:tr w14:paraId="65D9D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val="0"/>
            <w:vAlign w:val="center"/>
          </w:tcPr>
          <w:p w14:paraId="1685C5F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仿宋" w:hAnsi="仿宋" w:eastAsia="仿宋" w:cs="仿宋"/>
                <w:b/>
                <w:bCs/>
                <w:color w:val="000000"/>
                <w:kern w:val="0"/>
                <w:sz w:val="21"/>
                <w:szCs w:val="21"/>
                <w:highlight w:val="none"/>
              </w:rPr>
            </w:pPr>
            <w:r>
              <w:rPr>
                <w:rFonts w:hint="eastAsia" w:ascii="仿宋" w:hAnsi="仿宋" w:eastAsia="仿宋" w:cs="仿宋"/>
                <w:b/>
                <w:bCs/>
                <w:color w:val="000000"/>
                <w:kern w:val="0"/>
                <w:sz w:val="21"/>
                <w:szCs w:val="21"/>
                <w:highlight w:val="none"/>
              </w:rPr>
              <w:t>序号</w:t>
            </w:r>
          </w:p>
        </w:tc>
        <w:tc>
          <w:tcPr>
            <w:tcW w:w="1209" w:type="dxa"/>
            <w:noWrap w:val="0"/>
            <w:vAlign w:val="center"/>
          </w:tcPr>
          <w:p w14:paraId="09F3DBF7">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auto"/>
              <w:rPr>
                <w:rFonts w:hint="eastAsia" w:ascii="仿宋" w:hAnsi="仿宋" w:eastAsia="仿宋" w:cs="仿宋"/>
                <w:b/>
                <w:bCs/>
                <w:color w:val="000000"/>
                <w:kern w:val="0"/>
                <w:sz w:val="21"/>
                <w:szCs w:val="21"/>
                <w:highlight w:val="none"/>
              </w:rPr>
            </w:pPr>
            <w:r>
              <w:rPr>
                <w:rFonts w:hint="eastAsia" w:ascii="仿宋" w:hAnsi="仿宋" w:eastAsia="仿宋" w:cs="仿宋"/>
                <w:b/>
                <w:bCs/>
                <w:color w:val="000000"/>
                <w:kern w:val="0"/>
                <w:sz w:val="21"/>
                <w:szCs w:val="21"/>
                <w:highlight w:val="none"/>
              </w:rPr>
              <w:t>评审类型</w:t>
            </w:r>
          </w:p>
        </w:tc>
        <w:tc>
          <w:tcPr>
            <w:tcW w:w="6435" w:type="dxa"/>
            <w:noWrap w:val="0"/>
            <w:vAlign w:val="center"/>
          </w:tcPr>
          <w:p w14:paraId="563E928A">
            <w:pPr>
              <w:keepNext w:val="0"/>
              <w:keepLines w:val="0"/>
              <w:pageBreakBefore w:val="0"/>
              <w:widowControl/>
              <w:kinsoku/>
              <w:wordWrap/>
              <w:overflowPunct/>
              <w:topLinePunct w:val="0"/>
              <w:autoSpaceDE/>
              <w:autoSpaceDN/>
              <w:bidi w:val="0"/>
              <w:adjustRightInd/>
              <w:snapToGrid/>
              <w:spacing w:line="360" w:lineRule="exact"/>
              <w:ind w:firstLine="422"/>
              <w:jc w:val="center"/>
              <w:textAlignment w:val="auto"/>
              <w:rPr>
                <w:rFonts w:hint="eastAsia" w:ascii="仿宋" w:hAnsi="仿宋" w:eastAsia="仿宋" w:cs="仿宋"/>
                <w:b/>
                <w:bCs/>
                <w:color w:val="000000"/>
                <w:kern w:val="0"/>
                <w:sz w:val="21"/>
                <w:szCs w:val="21"/>
                <w:highlight w:val="none"/>
              </w:rPr>
            </w:pPr>
            <w:r>
              <w:rPr>
                <w:rFonts w:hint="eastAsia" w:ascii="仿宋" w:hAnsi="仿宋" w:eastAsia="仿宋" w:cs="仿宋"/>
                <w:b/>
                <w:bCs/>
                <w:color w:val="000000"/>
                <w:kern w:val="0"/>
                <w:sz w:val="21"/>
                <w:szCs w:val="21"/>
                <w:highlight w:val="none"/>
              </w:rPr>
              <w:t>评分标准</w:t>
            </w:r>
          </w:p>
        </w:tc>
        <w:tc>
          <w:tcPr>
            <w:tcW w:w="736" w:type="dxa"/>
            <w:noWrap w:val="0"/>
            <w:vAlign w:val="center"/>
          </w:tcPr>
          <w:p w14:paraId="773E857A">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auto"/>
              <w:rPr>
                <w:rFonts w:hint="eastAsia" w:ascii="仿宋" w:hAnsi="仿宋" w:eastAsia="仿宋" w:cs="仿宋"/>
                <w:b/>
                <w:bCs/>
                <w:color w:val="000000"/>
                <w:kern w:val="0"/>
                <w:sz w:val="21"/>
                <w:szCs w:val="21"/>
                <w:highlight w:val="none"/>
              </w:rPr>
            </w:pPr>
            <w:r>
              <w:rPr>
                <w:rFonts w:hint="eastAsia" w:ascii="仿宋" w:hAnsi="仿宋" w:eastAsia="仿宋" w:cs="仿宋"/>
                <w:b/>
                <w:bCs/>
                <w:color w:val="000000"/>
                <w:kern w:val="0"/>
                <w:sz w:val="21"/>
                <w:szCs w:val="21"/>
                <w:highlight w:val="none"/>
              </w:rPr>
              <w:t>分值</w:t>
            </w:r>
          </w:p>
        </w:tc>
      </w:tr>
      <w:tr w14:paraId="46241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val="0"/>
            <w:vAlign w:val="center"/>
          </w:tcPr>
          <w:p w14:paraId="7FA6F4D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仿宋" w:hAnsi="仿宋" w:eastAsia="仿宋" w:cs="仿宋"/>
                <w:color w:val="000000"/>
                <w:kern w:val="0"/>
                <w:sz w:val="21"/>
                <w:szCs w:val="21"/>
                <w:highlight w:val="none"/>
              </w:rPr>
            </w:pPr>
            <w:r>
              <w:rPr>
                <w:rFonts w:hint="eastAsia" w:ascii="仿宋" w:hAnsi="仿宋" w:eastAsia="仿宋" w:cs="仿宋"/>
                <w:b/>
                <w:bCs/>
                <w:color w:val="000000"/>
                <w:kern w:val="0"/>
                <w:sz w:val="21"/>
                <w:szCs w:val="21"/>
                <w:highlight w:val="none"/>
              </w:rPr>
              <w:t>1</w:t>
            </w:r>
          </w:p>
        </w:tc>
        <w:tc>
          <w:tcPr>
            <w:tcW w:w="1209" w:type="dxa"/>
            <w:noWrap w:val="0"/>
            <w:vAlign w:val="center"/>
          </w:tcPr>
          <w:p w14:paraId="223516F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仿宋" w:hAnsi="仿宋" w:eastAsia="仿宋" w:cs="仿宋"/>
                <w:color w:val="000000"/>
                <w:kern w:val="0"/>
                <w:sz w:val="21"/>
                <w:szCs w:val="21"/>
                <w:highlight w:val="none"/>
              </w:rPr>
            </w:pPr>
            <w:r>
              <w:rPr>
                <w:rFonts w:hint="eastAsia" w:ascii="仿宋" w:hAnsi="仿宋" w:eastAsia="仿宋" w:cs="仿宋"/>
                <w:b/>
                <w:bCs/>
                <w:color w:val="000000"/>
                <w:kern w:val="0"/>
                <w:sz w:val="21"/>
                <w:szCs w:val="21"/>
                <w:highlight w:val="none"/>
              </w:rPr>
              <w:t>报价分</w:t>
            </w:r>
          </w:p>
        </w:tc>
        <w:tc>
          <w:tcPr>
            <w:tcW w:w="6435" w:type="dxa"/>
            <w:noWrap w:val="0"/>
            <w:vAlign w:val="top"/>
          </w:tcPr>
          <w:p w14:paraId="252F54A3">
            <w:pPr>
              <w:pStyle w:val="14"/>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000000"/>
                <w:sz w:val="21"/>
                <w:highlight w:val="none"/>
              </w:rPr>
            </w:pPr>
            <w:r>
              <w:rPr>
                <w:rFonts w:hint="eastAsia" w:ascii="仿宋" w:hAnsi="仿宋" w:eastAsia="仿宋" w:cs="仿宋"/>
                <w:color w:val="000000"/>
                <w:sz w:val="21"/>
                <w:highlight w:val="none"/>
              </w:rPr>
              <w:t>1.评审价为</w:t>
            </w:r>
            <w:r>
              <w:rPr>
                <w:rFonts w:hint="eastAsia" w:ascii="仿宋" w:hAnsi="仿宋" w:eastAsia="仿宋" w:cs="仿宋"/>
                <w:color w:val="000000"/>
                <w:sz w:val="21"/>
                <w:highlight w:val="none"/>
                <w:lang w:eastAsia="zh-CN"/>
              </w:rPr>
              <w:t>投标人</w:t>
            </w:r>
            <w:r>
              <w:rPr>
                <w:rFonts w:hint="eastAsia" w:ascii="仿宋" w:hAnsi="仿宋" w:eastAsia="仿宋" w:cs="仿宋"/>
                <w:color w:val="000000"/>
                <w:sz w:val="21"/>
                <w:highlight w:val="none"/>
              </w:rPr>
              <w:t>的最后报价进行政策性扣除后的价格，评审价只是作为评审时使用。最终成交</w:t>
            </w:r>
            <w:r>
              <w:rPr>
                <w:rFonts w:hint="eastAsia" w:ascii="仿宋" w:hAnsi="仿宋" w:eastAsia="仿宋" w:cs="仿宋"/>
                <w:color w:val="000000"/>
                <w:sz w:val="21"/>
                <w:highlight w:val="none"/>
                <w:lang w:eastAsia="zh-CN"/>
              </w:rPr>
              <w:t>投标人</w:t>
            </w:r>
            <w:r>
              <w:rPr>
                <w:rFonts w:hint="eastAsia" w:ascii="仿宋" w:hAnsi="仿宋" w:eastAsia="仿宋" w:cs="仿宋"/>
                <w:color w:val="000000"/>
                <w:sz w:val="21"/>
                <w:highlight w:val="none"/>
              </w:rPr>
              <w:t>的成交金额等于最后报价（如有修正，以确认修正后的最后报价为准）。</w:t>
            </w:r>
          </w:p>
          <w:p w14:paraId="2C1B1252">
            <w:pPr>
              <w:pStyle w:val="14"/>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000000"/>
                <w:sz w:val="21"/>
                <w:highlight w:val="none"/>
              </w:rPr>
            </w:pPr>
            <w:r>
              <w:rPr>
                <w:rFonts w:hint="eastAsia" w:ascii="仿宋" w:hAnsi="仿宋" w:eastAsia="仿宋" w:cs="仿宋"/>
                <w:color w:val="000000"/>
                <w:sz w:val="21"/>
                <w:highlight w:val="none"/>
              </w:rPr>
              <w:t>2.政府采购政策性扣除计算方法</w:t>
            </w:r>
          </w:p>
          <w:p w14:paraId="25575F13">
            <w:pPr>
              <w:pStyle w:val="14"/>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000000"/>
                <w:sz w:val="21"/>
                <w:highlight w:val="none"/>
              </w:rPr>
            </w:pPr>
            <w:r>
              <w:rPr>
                <w:rFonts w:hint="eastAsia" w:ascii="仿宋" w:hAnsi="仿宋" w:eastAsia="仿宋" w:cs="仿宋"/>
                <w:color w:val="000000"/>
                <w:sz w:val="21"/>
                <w:highlight w:val="none"/>
              </w:rPr>
              <w:t>（1）按照财库〔2020〕46号文件、财库〔2022〕19号文件及《广西壮族自治区财政厅 广西壮族自治区工业和信息化厅关于转发财政部 工业和信息化部政府采购促进中小企业发展管理办法的通知》（桂财采〔2021〕70号）等文件要求，响应文件中提供《中小企业声明函》，且服务全部由符合政策要求的小型、微型企业承接的，对其最后报价给予20%的扣除。</w:t>
            </w:r>
          </w:p>
          <w:p w14:paraId="1951BB60">
            <w:pPr>
              <w:pStyle w:val="14"/>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000000"/>
                <w:sz w:val="21"/>
                <w:highlight w:val="none"/>
              </w:rPr>
            </w:pPr>
            <w:r>
              <w:rPr>
                <w:rFonts w:hint="eastAsia" w:ascii="仿宋" w:hAnsi="仿宋" w:eastAsia="仿宋" w:cs="仿宋"/>
                <w:color w:val="000000"/>
                <w:sz w:val="21"/>
                <w:highlight w:val="none"/>
              </w:rPr>
              <w:t>（2）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33E989B7">
            <w:pPr>
              <w:pStyle w:val="14"/>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000000"/>
                <w:sz w:val="21"/>
                <w:highlight w:val="none"/>
              </w:rPr>
            </w:pPr>
            <w:r>
              <w:rPr>
                <w:rFonts w:hint="eastAsia" w:ascii="仿宋" w:hAnsi="仿宋" w:eastAsia="仿宋" w:cs="仿宋"/>
                <w:color w:val="000000"/>
                <w:sz w:val="21"/>
                <w:highlight w:val="none"/>
              </w:rPr>
              <w:t>（3）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4DF55356">
            <w:pPr>
              <w:pStyle w:val="14"/>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000000"/>
                <w:sz w:val="21"/>
                <w:highlight w:val="none"/>
              </w:rPr>
            </w:pPr>
            <w:r>
              <w:rPr>
                <w:rFonts w:hint="eastAsia" w:ascii="仿宋" w:hAnsi="仿宋" w:eastAsia="仿宋" w:cs="仿宋"/>
                <w:color w:val="000000"/>
                <w:sz w:val="21"/>
                <w:highlight w:val="none"/>
              </w:rPr>
              <w:t>（4）政策性扣除计算方法。</w:t>
            </w:r>
          </w:p>
          <w:p w14:paraId="781F9617">
            <w:pPr>
              <w:pStyle w:val="14"/>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000000"/>
                <w:sz w:val="21"/>
                <w:highlight w:val="none"/>
              </w:rPr>
            </w:pPr>
            <w:r>
              <w:rPr>
                <w:rFonts w:hint="eastAsia" w:ascii="仿宋" w:hAnsi="仿宋" w:eastAsia="仿宋" w:cs="仿宋"/>
                <w:color w:val="000000"/>
                <w:sz w:val="21"/>
                <w:highlight w:val="none"/>
                <w:lang w:eastAsia="zh-CN"/>
              </w:rPr>
              <w:t>投标人</w:t>
            </w:r>
            <w:r>
              <w:rPr>
                <w:rFonts w:hint="eastAsia" w:ascii="仿宋" w:hAnsi="仿宋" w:eastAsia="仿宋" w:cs="仿宋"/>
                <w:color w:val="000000"/>
                <w:sz w:val="21"/>
                <w:highlight w:val="none"/>
              </w:rPr>
              <w:t>被评定为监狱企业或者残疾人福利性单位或者其服务全部由符合政策要求的小型、微型企业承接的，该</w:t>
            </w:r>
            <w:r>
              <w:rPr>
                <w:rFonts w:hint="eastAsia" w:ascii="仿宋" w:hAnsi="仿宋" w:eastAsia="仿宋" w:cs="仿宋"/>
                <w:color w:val="000000"/>
                <w:sz w:val="21"/>
                <w:highlight w:val="none"/>
                <w:lang w:eastAsia="zh-CN"/>
              </w:rPr>
              <w:t>投标人</w:t>
            </w:r>
            <w:r>
              <w:rPr>
                <w:rFonts w:hint="eastAsia" w:ascii="仿宋" w:hAnsi="仿宋" w:eastAsia="仿宋" w:cs="仿宋"/>
                <w:color w:val="000000"/>
                <w:sz w:val="21"/>
                <w:highlight w:val="none"/>
              </w:rPr>
              <w:t>的最后报价给予20%的扣除，扣除后的价格为评审价，即评审价=最后报价×（1-20%）；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6%的扣除，用扣除后的价格参加评审，扣除后的价格为评审价，即评审价=最后报价×（1-6%）。</w:t>
            </w:r>
          </w:p>
          <w:p w14:paraId="58D3DD89">
            <w:pPr>
              <w:pStyle w:val="14"/>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000000"/>
                <w:sz w:val="21"/>
                <w:highlight w:val="none"/>
              </w:rPr>
            </w:pPr>
            <w:r>
              <w:rPr>
                <w:rFonts w:hint="eastAsia" w:ascii="仿宋" w:hAnsi="仿宋" w:eastAsia="仿宋" w:cs="仿宋"/>
                <w:color w:val="000000"/>
                <w:sz w:val="21"/>
                <w:highlight w:val="none"/>
              </w:rPr>
              <w:t>（5）除上述情况外，评审价＝最后报价。</w:t>
            </w:r>
          </w:p>
          <w:p w14:paraId="7D1A2948">
            <w:pPr>
              <w:pStyle w:val="14"/>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000000"/>
                <w:sz w:val="21"/>
                <w:highlight w:val="none"/>
              </w:rPr>
            </w:pPr>
            <w:r>
              <w:rPr>
                <w:rFonts w:hint="eastAsia" w:ascii="仿宋" w:hAnsi="仿宋" w:eastAsia="仿宋" w:cs="仿宋"/>
                <w:color w:val="000000"/>
                <w:sz w:val="21"/>
                <w:highlight w:val="none"/>
              </w:rPr>
              <w:t>（6）以进入比较与评价环节的最低的评审价为基准价，基准价得分为</w:t>
            </w:r>
            <w:r>
              <w:rPr>
                <w:rFonts w:hint="eastAsia" w:ascii="仿宋" w:hAnsi="仿宋" w:eastAsia="仿宋" w:cs="仿宋"/>
                <w:color w:val="000000"/>
                <w:sz w:val="21"/>
                <w:highlight w:val="none"/>
                <w:lang w:val="en-US" w:eastAsia="zh-CN"/>
              </w:rPr>
              <w:t>10</w:t>
            </w:r>
            <w:r>
              <w:rPr>
                <w:rFonts w:hint="eastAsia" w:ascii="仿宋" w:hAnsi="仿宋" w:eastAsia="仿宋" w:cs="仿宋"/>
                <w:color w:val="000000"/>
                <w:sz w:val="21"/>
                <w:highlight w:val="none"/>
              </w:rPr>
              <w:t>分。</w:t>
            </w:r>
          </w:p>
          <w:p w14:paraId="22458F26">
            <w:pPr>
              <w:pStyle w:val="14"/>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000000"/>
                <w:sz w:val="21"/>
                <w:highlight w:val="none"/>
                <w:lang w:eastAsia="zh-CN"/>
              </w:rPr>
            </w:pPr>
            <w:r>
              <w:rPr>
                <w:rFonts w:hint="eastAsia" w:ascii="仿宋" w:hAnsi="仿宋" w:eastAsia="仿宋" w:cs="仿宋"/>
                <w:color w:val="000000"/>
                <w:sz w:val="21"/>
                <w:highlight w:val="none"/>
              </w:rPr>
              <w:t>（7）价格分计算公式：报价得分=（基准价/评审价）×</w:t>
            </w:r>
            <w:r>
              <w:rPr>
                <w:rFonts w:hint="eastAsia" w:ascii="仿宋" w:hAnsi="仿宋" w:eastAsia="仿宋" w:cs="仿宋"/>
                <w:color w:val="000000"/>
                <w:sz w:val="21"/>
                <w:highlight w:val="none"/>
                <w:lang w:val="en-US" w:eastAsia="zh-CN"/>
              </w:rPr>
              <w:t>10</w:t>
            </w:r>
            <w:r>
              <w:rPr>
                <w:rFonts w:hint="eastAsia" w:ascii="仿宋" w:hAnsi="仿宋" w:eastAsia="仿宋" w:cs="仿宋"/>
                <w:color w:val="000000"/>
                <w:sz w:val="21"/>
                <w:highlight w:val="none"/>
              </w:rPr>
              <w:t>分</w:t>
            </w:r>
            <w:r>
              <w:rPr>
                <w:rFonts w:hint="eastAsia" w:ascii="仿宋" w:hAnsi="仿宋" w:eastAsia="仿宋" w:cs="仿宋"/>
                <w:color w:val="000000"/>
                <w:sz w:val="21"/>
                <w:highlight w:val="none"/>
                <w:lang w:eastAsia="zh-CN"/>
              </w:rPr>
              <w:t>。</w:t>
            </w:r>
          </w:p>
        </w:tc>
        <w:tc>
          <w:tcPr>
            <w:tcW w:w="736" w:type="dxa"/>
            <w:noWrap w:val="0"/>
            <w:vAlign w:val="center"/>
          </w:tcPr>
          <w:p w14:paraId="7B7034C4">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auto"/>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kern w:val="2"/>
                <w:sz w:val="21"/>
                <w:szCs w:val="21"/>
                <w:highlight w:val="none"/>
                <w:lang w:val="en-US" w:eastAsia="zh-CN" w:bidi="ar-SA"/>
              </w:rPr>
              <w:t>10分</w:t>
            </w:r>
          </w:p>
          <w:p w14:paraId="2D79957A">
            <w:pPr>
              <w:pStyle w:val="12"/>
              <w:rPr>
                <w:rFonts w:hint="eastAsia"/>
                <w:b w:val="0"/>
                <w:bCs w:val="0"/>
                <w:highlight w:val="none"/>
              </w:rPr>
            </w:pPr>
          </w:p>
        </w:tc>
      </w:tr>
      <w:tr w14:paraId="33E79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val="0"/>
            <w:vAlign w:val="center"/>
          </w:tcPr>
          <w:p w14:paraId="1C8B3A62">
            <w:pPr>
              <w:keepNext w:val="0"/>
              <w:keepLines w:val="0"/>
              <w:pageBreakBefore w:val="0"/>
              <w:widowControl/>
              <w:kinsoku/>
              <w:wordWrap/>
              <w:overflowPunct/>
              <w:topLinePunct w:val="0"/>
              <w:autoSpaceDE/>
              <w:autoSpaceDN/>
              <w:bidi w:val="0"/>
              <w:adjustRightInd/>
              <w:snapToGrid/>
              <w:spacing w:line="360" w:lineRule="exact"/>
              <w:ind w:firstLine="211" w:firstLineChars="100"/>
              <w:jc w:val="both"/>
              <w:textAlignment w:val="auto"/>
              <w:rPr>
                <w:rFonts w:hint="eastAsia" w:ascii="仿宋" w:hAnsi="仿宋" w:eastAsia="仿宋" w:cs="仿宋"/>
                <w:b/>
                <w:color w:val="000000"/>
                <w:kern w:val="0"/>
                <w:sz w:val="21"/>
                <w:szCs w:val="21"/>
                <w:highlight w:val="none"/>
              </w:rPr>
            </w:pPr>
            <w:r>
              <w:rPr>
                <w:rFonts w:hint="eastAsia" w:ascii="仿宋" w:hAnsi="仿宋" w:eastAsia="仿宋" w:cs="仿宋"/>
                <w:b/>
                <w:color w:val="000000"/>
                <w:kern w:val="0"/>
                <w:sz w:val="21"/>
                <w:szCs w:val="21"/>
                <w:highlight w:val="none"/>
              </w:rPr>
              <w:t>2</w:t>
            </w:r>
          </w:p>
        </w:tc>
        <w:tc>
          <w:tcPr>
            <w:tcW w:w="1209" w:type="dxa"/>
            <w:noWrap w:val="0"/>
            <w:vAlign w:val="center"/>
          </w:tcPr>
          <w:p w14:paraId="6AEBF8F7">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auto"/>
              <w:rPr>
                <w:rFonts w:hint="eastAsia" w:ascii="仿宋" w:hAnsi="仿宋" w:eastAsia="仿宋" w:cs="仿宋"/>
                <w:b/>
                <w:color w:val="000000"/>
                <w:kern w:val="0"/>
                <w:sz w:val="21"/>
                <w:szCs w:val="21"/>
                <w:highlight w:val="none"/>
              </w:rPr>
            </w:pPr>
            <w:r>
              <w:rPr>
                <w:rFonts w:hint="eastAsia" w:ascii="仿宋" w:hAnsi="仿宋" w:eastAsia="仿宋" w:cs="仿宋"/>
                <w:b/>
                <w:color w:val="000000"/>
                <w:kern w:val="0"/>
                <w:sz w:val="21"/>
                <w:szCs w:val="21"/>
                <w:highlight w:val="none"/>
              </w:rPr>
              <w:t>技术分</w:t>
            </w:r>
          </w:p>
        </w:tc>
        <w:tc>
          <w:tcPr>
            <w:tcW w:w="6435" w:type="dxa"/>
            <w:noWrap w:val="0"/>
            <w:vAlign w:val="center"/>
          </w:tcPr>
          <w:p w14:paraId="621B7BAA">
            <w:pPr>
              <w:pStyle w:val="14"/>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仿宋" w:hAnsi="仿宋" w:eastAsia="仿宋" w:cs="仿宋"/>
                <w:color w:val="000000"/>
                <w:sz w:val="21"/>
                <w:highlight w:val="none"/>
              </w:rPr>
            </w:pPr>
            <w:r>
              <w:rPr>
                <w:rFonts w:hint="eastAsia" w:ascii="仿宋" w:hAnsi="仿宋" w:eastAsia="仿宋" w:cs="仿宋"/>
                <w:color w:val="000000"/>
                <w:sz w:val="21"/>
                <w:highlight w:val="none"/>
              </w:rPr>
              <w:t>评审因素</w:t>
            </w:r>
          </w:p>
        </w:tc>
        <w:tc>
          <w:tcPr>
            <w:tcW w:w="736" w:type="dxa"/>
            <w:noWrap w:val="0"/>
            <w:vAlign w:val="center"/>
          </w:tcPr>
          <w:p w14:paraId="6F14F13D">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auto"/>
              <w:rPr>
                <w:rFonts w:hint="eastAsia" w:ascii="仿宋" w:hAnsi="仿宋" w:eastAsia="仿宋" w:cs="仿宋"/>
                <w:b/>
                <w:color w:val="000000"/>
                <w:sz w:val="21"/>
                <w:szCs w:val="21"/>
                <w:highlight w:val="none"/>
              </w:rPr>
            </w:pPr>
            <w:r>
              <w:rPr>
                <w:rFonts w:hint="eastAsia" w:ascii="仿宋" w:hAnsi="仿宋" w:eastAsia="仿宋" w:cs="仿宋"/>
                <w:b/>
                <w:color w:val="000000"/>
                <w:sz w:val="21"/>
                <w:szCs w:val="21"/>
                <w:highlight w:val="none"/>
                <w:lang w:val="en-US" w:eastAsia="zh-CN"/>
              </w:rPr>
              <w:t>78</w:t>
            </w:r>
            <w:r>
              <w:rPr>
                <w:rFonts w:hint="eastAsia" w:ascii="仿宋" w:hAnsi="仿宋" w:eastAsia="仿宋" w:cs="仿宋"/>
                <w:b/>
                <w:color w:val="000000"/>
                <w:sz w:val="21"/>
                <w:szCs w:val="21"/>
                <w:highlight w:val="none"/>
              </w:rPr>
              <w:t>分</w:t>
            </w:r>
          </w:p>
        </w:tc>
      </w:tr>
      <w:tr w14:paraId="7746C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val="0"/>
            <w:vAlign w:val="center"/>
          </w:tcPr>
          <w:p w14:paraId="60282169">
            <w:pPr>
              <w:pStyle w:val="14"/>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 w:hAnsi="仿宋" w:eastAsia="仿宋" w:cs="仿宋"/>
                <w:color w:val="000000"/>
                <w:sz w:val="21"/>
                <w:highlight w:val="none"/>
              </w:rPr>
            </w:pPr>
            <w:r>
              <w:rPr>
                <w:rFonts w:hint="eastAsia" w:ascii="仿宋" w:hAnsi="仿宋" w:eastAsia="仿宋" w:cs="仿宋"/>
                <w:color w:val="000000"/>
                <w:sz w:val="21"/>
                <w:highlight w:val="none"/>
              </w:rPr>
              <w:t>2.1</w:t>
            </w:r>
          </w:p>
        </w:tc>
        <w:tc>
          <w:tcPr>
            <w:tcW w:w="1209" w:type="dxa"/>
            <w:noWrap w:val="0"/>
            <w:vAlign w:val="center"/>
          </w:tcPr>
          <w:p w14:paraId="709D8644">
            <w:pPr>
              <w:pStyle w:val="14"/>
              <w:keepNext w:val="0"/>
              <w:keepLines w:val="0"/>
              <w:pageBreakBefore w:val="0"/>
              <w:kinsoku/>
              <w:wordWrap/>
              <w:overflowPunct/>
              <w:topLinePunct w:val="0"/>
              <w:autoSpaceDE/>
              <w:autoSpaceDN/>
              <w:bidi w:val="0"/>
              <w:adjustRightInd/>
              <w:snapToGrid/>
              <w:spacing w:line="360" w:lineRule="exact"/>
              <w:ind w:firstLine="0" w:firstLineChars="0"/>
              <w:textAlignment w:val="auto"/>
              <w:rPr>
                <w:rFonts w:ascii="仿宋" w:hAnsi="仿宋" w:eastAsia="仿宋" w:cs="仿宋"/>
                <w:color w:val="000000"/>
                <w:sz w:val="21"/>
                <w:highlight w:val="none"/>
              </w:rPr>
            </w:pPr>
            <w:r>
              <w:rPr>
                <w:rFonts w:hint="eastAsia" w:ascii="仿宋" w:hAnsi="仿宋" w:eastAsia="仿宋" w:cs="仿宋"/>
                <w:color w:val="000000"/>
                <w:sz w:val="21"/>
                <w:highlight w:val="none"/>
              </w:rPr>
              <w:t>云平台技术服务方案分</w:t>
            </w:r>
          </w:p>
        </w:tc>
        <w:tc>
          <w:tcPr>
            <w:tcW w:w="6435" w:type="dxa"/>
            <w:noWrap w:val="0"/>
            <w:vAlign w:val="center"/>
          </w:tcPr>
          <w:p w14:paraId="08E3FE58">
            <w:pPr>
              <w:pStyle w:val="14"/>
              <w:keepNext w:val="0"/>
              <w:keepLines w:val="0"/>
              <w:pageBreakBefore w:val="0"/>
              <w:kinsoku/>
              <w:wordWrap/>
              <w:overflowPunct/>
              <w:topLinePunct w:val="0"/>
              <w:autoSpaceDE/>
              <w:autoSpaceDN/>
              <w:bidi w:val="0"/>
              <w:adjustRightInd/>
              <w:snapToGrid/>
              <w:spacing w:line="360" w:lineRule="exact"/>
              <w:ind w:firstLine="420" w:firstLineChars="200"/>
              <w:jc w:val="left"/>
              <w:textAlignment w:val="auto"/>
              <w:rPr>
                <w:rFonts w:hint="eastAsia" w:ascii="仿宋" w:hAnsi="仿宋" w:eastAsia="仿宋" w:cs="仿宋"/>
                <w:color w:val="000000"/>
                <w:szCs w:val="24"/>
                <w:highlight w:val="none"/>
                <w:lang w:val="en-US" w:eastAsia="zh-CN"/>
              </w:rPr>
            </w:pPr>
            <w:r>
              <w:rPr>
                <w:rFonts w:hint="eastAsia" w:ascii="仿宋" w:hAnsi="仿宋" w:eastAsia="仿宋" w:cs="仿宋"/>
                <w:color w:val="000000"/>
                <w:szCs w:val="24"/>
                <w:highlight w:val="none"/>
                <w:lang w:val="en-US" w:eastAsia="zh-CN"/>
              </w:rPr>
              <w:t>投标人须提供云平台技术服务方案。根据方案的完整性、可行性、合理性进行综合评分。</w:t>
            </w:r>
          </w:p>
          <w:p w14:paraId="37CFD86B">
            <w:pPr>
              <w:pStyle w:val="14"/>
              <w:keepNext w:val="0"/>
              <w:keepLines w:val="0"/>
              <w:pageBreakBefore w:val="0"/>
              <w:kinsoku/>
              <w:wordWrap/>
              <w:overflowPunct/>
              <w:topLinePunct w:val="0"/>
              <w:autoSpaceDE/>
              <w:autoSpaceDN/>
              <w:bidi w:val="0"/>
              <w:adjustRightInd/>
              <w:snapToGrid/>
              <w:spacing w:line="360" w:lineRule="exact"/>
              <w:ind w:firstLine="420" w:firstLineChars="200"/>
              <w:jc w:val="left"/>
              <w:textAlignment w:val="auto"/>
              <w:rPr>
                <w:rFonts w:hint="eastAsia" w:ascii="仿宋" w:hAnsi="仿宋" w:eastAsia="仿宋" w:cs="仿宋"/>
                <w:color w:val="000000"/>
                <w:szCs w:val="24"/>
                <w:highlight w:val="none"/>
              </w:rPr>
            </w:pPr>
            <w:r>
              <w:rPr>
                <w:rFonts w:hint="eastAsia" w:ascii="仿宋" w:hAnsi="仿宋" w:eastAsia="仿宋" w:cs="仿宋"/>
                <w:color w:val="000000"/>
                <w:szCs w:val="24"/>
                <w:highlight w:val="none"/>
                <w:lang w:val="en-US" w:eastAsia="zh-CN"/>
              </w:rPr>
              <w:t>一</w:t>
            </w:r>
            <w:r>
              <w:rPr>
                <w:rFonts w:hint="eastAsia" w:ascii="仿宋" w:hAnsi="仿宋" w:eastAsia="仿宋" w:cs="仿宋"/>
                <w:color w:val="000000"/>
                <w:szCs w:val="24"/>
                <w:highlight w:val="none"/>
              </w:rPr>
              <w:t>档（0分）：未提供本项目云平台技术</w:t>
            </w:r>
            <w:r>
              <w:rPr>
                <w:rFonts w:hint="eastAsia" w:ascii="仿宋" w:hAnsi="仿宋" w:eastAsia="仿宋" w:cs="仿宋"/>
                <w:color w:val="000000"/>
                <w:szCs w:val="24"/>
                <w:highlight w:val="none"/>
                <w:lang w:val="en-US" w:eastAsia="zh-CN"/>
              </w:rPr>
              <w:t>服务</w:t>
            </w:r>
            <w:r>
              <w:rPr>
                <w:rFonts w:hint="eastAsia" w:ascii="仿宋" w:hAnsi="仿宋" w:eastAsia="仿宋" w:cs="仿宋"/>
                <w:color w:val="000000"/>
                <w:szCs w:val="24"/>
                <w:highlight w:val="none"/>
              </w:rPr>
              <w:t>方案。</w:t>
            </w:r>
          </w:p>
          <w:p w14:paraId="03A262A5">
            <w:pPr>
              <w:pStyle w:val="14"/>
              <w:keepNext w:val="0"/>
              <w:keepLines w:val="0"/>
              <w:pageBreakBefore w:val="0"/>
              <w:kinsoku/>
              <w:wordWrap/>
              <w:overflowPunct/>
              <w:topLinePunct w:val="0"/>
              <w:autoSpaceDE/>
              <w:autoSpaceDN/>
              <w:bidi w:val="0"/>
              <w:adjustRightInd/>
              <w:snapToGrid/>
              <w:spacing w:line="360" w:lineRule="exact"/>
              <w:ind w:firstLine="420" w:firstLineChars="200"/>
              <w:jc w:val="left"/>
              <w:textAlignment w:val="auto"/>
              <w:rPr>
                <w:rFonts w:hint="eastAsia" w:ascii="仿宋" w:hAnsi="仿宋" w:eastAsia="仿宋" w:cs="仿宋"/>
                <w:color w:val="000000"/>
                <w:szCs w:val="24"/>
                <w:highlight w:val="none"/>
              </w:rPr>
            </w:pPr>
            <w:r>
              <w:rPr>
                <w:rFonts w:hint="eastAsia" w:ascii="仿宋" w:hAnsi="仿宋" w:eastAsia="仿宋" w:cs="仿宋"/>
                <w:color w:val="000000"/>
                <w:szCs w:val="24"/>
                <w:highlight w:val="none"/>
              </w:rPr>
              <w:t>二档（</w:t>
            </w:r>
            <w:r>
              <w:rPr>
                <w:rFonts w:hint="eastAsia" w:ascii="仿宋" w:hAnsi="仿宋" w:eastAsia="仿宋" w:cs="仿宋"/>
                <w:color w:val="000000"/>
                <w:szCs w:val="24"/>
                <w:highlight w:val="none"/>
                <w:lang w:val="en-US" w:eastAsia="zh-CN"/>
              </w:rPr>
              <w:t>10</w:t>
            </w:r>
            <w:r>
              <w:rPr>
                <w:rFonts w:hint="eastAsia" w:ascii="仿宋" w:hAnsi="仿宋" w:eastAsia="仿宋" w:cs="仿宋"/>
                <w:color w:val="000000"/>
                <w:szCs w:val="24"/>
                <w:highlight w:val="none"/>
              </w:rPr>
              <w:t>分）：提供云平台技术</w:t>
            </w:r>
            <w:r>
              <w:rPr>
                <w:rFonts w:hint="eastAsia" w:ascii="仿宋" w:hAnsi="仿宋" w:eastAsia="仿宋" w:cs="仿宋"/>
                <w:color w:val="000000"/>
                <w:szCs w:val="24"/>
                <w:highlight w:val="none"/>
                <w:lang w:val="en-US" w:eastAsia="zh-CN"/>
              </w:rPr>
              <w:t>服务</w:t>
            </w:r>
            <w:r>
              <w:rPr>
                <w:rFonts w:hint="eastAsia" w:ascii="仿宋" w:hAnsi="仿宋" w:eastAsia="仿宋" w:cs="仿宋"/>
                <w:color w:val="000000"/>
                <w:szCs w:val="24"/>
                <w:highlight w:val="none"/>
              </w:rPr>
              <w:t>方案，方案中包括系统软硬件部署、项目计划、功能测试方案、试运行方案。</w:t>
            </w:r>
          </w:p>
          <w:p w14:paraId="6B094651">
            <w:pPr>
              <w:pStyle w:val="14"/>
              <w:keepNext w:val="0"/>
              <w:keepLines w:val="0"/>
              <w:pageBreakBefore w:val="0"/>
              <w:kinsoku/>
              <w:wordWrap/>
              <w:overflowPunct/>
              <w:topLinePunct w:val="0"/>
              <w:autoSpaceDE/>
              <w:autoSpaceDN/>
              <w:bidi w:val="0"/>
              <w:adjustRightInd/>
              <w:snapToGrid/>
              <w:spacing w:line="360" w:lineRule="exact"/>
              <w:ind w:firstLine="420" w:firstLineChars="200"/>
              <w:jc w:val="left"/>
              <w:textAlignment w:val="auto"/>
              <w:rPr>
                <w:rFonts w:hint="eastAsia" w:ascii="仿宋" w:hAnsi="仿宋" w:eastAsia="仿宋" w:cs="仿宋"/>
                <w:color w:val="000000"/>
                <w:szCs w:val="24"/>
                <w:highlight w:val="none"/>
              </w:rPr>
            </w:pPr>
            <w:r>
              <w:rPr>
                <w:rFonts w:hint="eastAsia" w:ascii="仿宋" w:hAnsi="仿宋" w:eastAsia="仿宋" w:cs="仿宋"/>
                <w:color w:val="000000"/>
                <w:szCs w:val="24"/>
                <w:highlight w:val="none"/>
              </w:rPr>
              <w:t>三档（1</w:t>
            </w:r>
            <w:r>
              <w:rPr>
                <w:rFonts w:hint="eastAsia" w:ascii="仿宋" w:hAnsi="仿宋" w:eastAsia="仿宋" w:cs="仿宋"/>
                <w:color w:val="000000"/>
                <w:szCs w:val="24"/>
                <w:highlight w:val="none"/>
                <w:lang w:val="en-US" w:eastAsia="zh-CN"/>
              </w:rPr>
              <w:t>5</w:t>
            </w:r>
            <w:r>
              <w:rPr>
                <w:rFonts w:hint="eastAsia" w:ascii="仿宋" w:hAnsi="仿宋" w:eastAsia="仿宋" w:cs="仿宋"/>
                <w:color w:val="000000"/>
                <w:szCs w:val="24"/>
                <w:highlight w:val="none"/>
              </w:rPr>
              <w:t>分）：提供云平台技术</w:t>
            </w:r>
            <w:r>
              <w:rPr>
                <w:rFonts w:hint="eastAsia" w:ascii="仿宋" w:hAnsi="仿宋" w:eastAsia="仿宋" w:cs="仿宋"/>
                <w:color w:val="000000"/>
                <w:szCs w:val="24"/>
                <w:highlight w:val="none"/>
                <w:lang w:val="en-US" w:eastAsia="zh-CN"/>
              </w:rPr>
              <w:t>服务</w:t>
            </w:r>
            <w:r>
              <w:rPr>
                <w:rFonts w:hint="eastAsia" w:ascii="仿宋" w:hAnsi="仿宋" w:eastAsia="仿宋" w:cs="仿宋"/>
                <w:color w:val="000000"/>
                <w:szCs w:val="24"/>
                <w:highlight w:val="none"/>
              </w:rPr>
              <w:t>方案，</w:t>
            </w:r>
            <w:r>
              <w:rPr>
                <w:rFonts w:hint="eastAsia" w:ascii="仿宋" w:hAnsi="仿宋" w:eastAsia="仿宋" w:cs="仿宋"/>
                <w:color w:val="000000"/>
                <w:szCs w:val="24"/>
                <w:highlight w:val="none"/>
                <w:lang w:val="en-US" w:eastAsia="zh-CN"/>
              </w:rPr>
              <w:t>包含7</w:t>
            </w:r>
            <w:r>
              <w:rPr>
                <w:rFonts w:hint="eastAsia" w:ascii="仿宋" w:hAnsi="仿宋" w:eastAsia="仿宋" w:cs="仿宋"/>
                <w:color w:val="000000"/>
                <w:szCs w:val="24"/>
                <w:highlight w:val="none"/>
              </w:rPr>
              <w:t>项评审内容</w:t>
            </w:r>
            <w:r>
              <w:rPr>
                <w:rFonts w:hint="eastAsia" w:ascii="仿宋" w:hAnsi="仿宋" w:eastAsia="仿宋" w:cs="仿宋"/>
                <w:color w:val="000000"/>
                <w:szCs w:val="24"/>
                <w:highlight w:val="none"/>
                <w:lang w:eastAsia="zh-CN"/>
              </w:rPr>
              <w:t>：</w:t>
            </w:r>
            <w:r>
              <w:rPr>
                <w:rFonts w:hint="eastAsia" w:ascii="仿宋" w:hAnsi="仿宋" w:eastAsia="仿宋" w:cs="仿宋"/>
                <w:color w:val="000000"/>
                <w:szCs w:val="24"/>
                <w:highlight w:val="none"/>
              </w:rPr>
              <w:t>①云平台整体架构设计、</w:t>
            </w:r>
            <w:r>
              <w:rPr>
                <w:rFonts w:hint="eastAsia" w:ascii="仿宋" w:hAnsi="仿宋" w:eastAsia="仿宋" w:cs="仿宋"/>
                <w:color w:val="000000"/>
                <w:szCs w:val="24"/>
                <w:highlight w:val="none"/>
                <w:lang w:val="en-US" w:eastAsia="zh-CN"/>
              </w:rPr>
              <w:t>②</w:t>
            </w:r>
            <w:r>
              <w:rPr>
                <w:rFonts w:hint="eastAsia" w:ascii="仿宋" w:hAnsi="仿宋" w:eastAsia="仿宋" w:cs="仿宋"/>
                <w:color w:val="000000"/>
                <w:szCs w:val="24"/>
                <w:highlight w:val="none"/>
              </w:rPr>
              <w:t>网络架构及政务网络对接、</w:t>
            </w:r>
            <w:r>
              <w:rPr>
                <w:rFonts w:hint="eastAsia" w:ascii="仿宋" w:hAnsi="仿宋" w:eastAsia="仿宋" w:cs="仿宋"/>
                <w:color w:val="000000"/>
                <w:szCs w:val="24"/>
                <w:highlight w:val="none"/>
                <w:lang w:val="en-US" w:eastAsia="zh-CN"/>
              </w:rPr>
              <w:t>③计算资源池设计</w:t>
            </w:r>
            <w:r>
              <w:rPr>
                <w:rFonts w:hint="eastAsia" w:ascii="仿宋" w:hAnsi="仿宋" w:eastAsia="仿宋" w:cs="仿宋"/>
                <w:color w:val="000000"/>
                <w:szCs w:val="24"/>
                <w:highlight w:val="none"/>
              </w:rPr>
              <w:t>、</w:t>
            </w:r>
            <w:r>
              <w:rPr>
                <w:rFonts w:hint="eastAsia" w:ascii="仿宋" w:hAnsi="仿宋" w:eastAsia="仿宋" w:cs="仿宋"/>
                <w:color w:val="000000"/>
                <w:szCs w:val="24"/>
                <w:highlight w:val="none"/>
                <w:lang w:val="en-US" w:eastAsia="zh-CN"/>
              </w:rPr>
              <w:t>④</w:t>
            </w:r>
            <w:r>
              <w:rPr>
                <w:rFonts w:hint="eastAsia" w:ascii="仿宋" w:hAnsi="仿宋" w:eastAsia="仿宋" w:cs="仿宋"/>
                <w:color w:val="000000"/>
                <w:szCs w:val="24"/>
                <w:highlight w:val="none"/>
              </w:rPr>
              <w:t>存储资源池</w:t>
            </w:r>
            <w:r>
              <w:rPr>
                <w:rFonts w:hint="eastAsia" w:ascii="仿宋" w:hAnsi="仿宋" w:eastAsia="仿宋" w:cs="仿宋"/>
                <w:color w:val="000000"/>
                <w:szCs w:val="24"/>
                <w:highlight w:val="none"/>
                <w:lang w:val="en-US" w:eastAsia="zh-CN"/>
              </w:rPr>
              <w:t>设计</w:t>
            </w:r>
            <w:r>
              <w:rPr>
                <w:rFonts w:hint="eastAsia" w:ascii="仿宋" w:hAnsi="仿宋" w:eastAsia="仿宋" w:cs="仿宋"/>
                <w:color w:val="000000"/>
                <w:szCs w:val="24"/>
                <w:highlight w:val="none"/>
              </w:rPr>
              <w:t>、</w:t>
            </w:r>
            <w:r>
              <w:rPr>
                <w:rFonts w:hint="eastAsia" w:ascii="仿宋" w:hAnsi="仿宋" w:eastAsia="仿宋" w:cs="仿宋"/>
                <w:color w:val="000000"/>
                <w:szCs w:val="24"/>
                <w:highlight w:val="none"/>
                <w:lang w:val="en-US" w:eastAsia="zh-CN"/>
              </w:rPr>
              <w:t>⑤</w:t>
            </w:r>
            <w:r>
              <w:rPr>
                <w:rFonts w:hint="eastAsia" w:ascii="仿宋" w:hAnsi="仿宋" w:eastAsia="仿宋" w:cs="仿宋"/>
                <w:color w:val="000000"/>
                <w:szCs w:val="24"/>
                <w:highlight w:val="none"/>
              </w:rPr>
              <w:t>网络资源池</w:t>
            </w:r>
            <w:r>
              <w:rPr>
                <w:rFonts w:hint="eastAsia" w:ascii="仿宋" w:hAnsi="仿宋" w:eastAsia="仿宋" w:cs="仿宋"/>
                <w:color w:val="000000"/>
                <w:szCs w:val="24"/>
                <w:highlight w:val="none"/>
                <w:lang w:val="en-US" w:eastAsia="zh-CN"/>
              </w:rPr>
              <w:t>设计、⑥安全资源池（安全服务）设计、⑦机房服务与灾备服务设计</w:t>
            </w:r>
            <w:r>
              <w:rPr>
                <w:rFonts w:hint="eastAsia" w:ascii="仿宋" w:hAnsi="仿宋" w:eastAsia="仿宋" w:cs="仿宋"/>
                <w:color w:val="000000"/>
                <w:szCs w:val="24"/>
                <w:highlight w:val="none"/>
                <w:lang w:eastAsia="zh-CN"/>
              </w:rPr>
              <w:t>，</w:t>
            </w:r>
            <w:r>
              <w:rPr>
                <w:rFonts w:hint="eastAsia" w:ascii="仿宋" w:hAnsi="仿宋" w:eastAsia="仿宋" w:cs="仿宋"/>
                <w:color w:val="000000"/>
                <w:szCs w:val="24"/>
                <w:highlight w:val="none"/>
              </w:rPr>
              <w:t>无缺项漏项</w:t>
            </w:r>
            <w:r>
              <w:rPr>
                <w:rFonts w:hint="eastAsia" w:ascii="仿宋" w:hAnsi="仿宋" w:eastAsia="仿宋" w:cs="仿宋"/>
                <w:color w:val="000000"/>
                <w:szCs w:val="24"/>
                <w:highlight w:val="none"/>
                <w:lang w:eastAsia="zh-CN"/>
              </w:rPr>
              <w:t>；</w:t>
            </w:r>
            <w:r>
              <w:rPr>
                <w:rFonts w:hint="eastAsia" w:ascii="仿宋" w:hAnsi="仿宋" w:eastAsia="仿宋" w:cs="仿宋"/>
                <w:color w:val="000000"/>
                <w:szCs w:val="24"/>
                <w:highlight w:val="none"/>
              </w:rPr>
              <w:t>方案中包括系统软硬件部署</w:t>
            </w:r>
            <w:r>
              <w:rPr>
                <w:rFonts w:hint="eastAsia" w:ascii="仿宋" w:hAnsi="仿宋" w:eastAsia="仿宋" w:cs="仿宋"/>
                <w:color w:val="000000"/>
                <w:szCs w:val="24"/>
                <w:highlight w:val="none"/>
                <w:lang w:eastAsia="zh-CN"/>
              </w:rPr>
              <w:t>（</w:t>
            </w:r>
            <w:r>
              <w:rPr>
                <w:rFonts w:hint="eastAsia" w:ascii="仿宋" w:hAnsi="仿宋" w:eastAsia="仿宋" w:cs="仿宋"/>
                <w:color w:val="000000"/>
                <w:szCs w:val="24"/>
                <w:highlight w:val="none"/>
                <w:lang w:val="en-US" w:eastAsia="zh-CN"/>
              </w:rPr>
              <w:t>方案应包含不限于云平台架构、机房基础设施各系统建设方案、网络构架</w:t>
            </w:r>
            <w:r>
              <w:rPr>
                <w:rFonts w:hint="eastAsia" w:ascii="仿宋" w:hAnsi="仿宋" w:eastAsia="仿宋" w:cs="仿宋"/>
                <w:color w:val="000000"/>
                <w:szCs w:val="24"/>
                <w:highlight w:val="none"/>
                <w:lang w:eastAsia="zh-CN"/>
              </w:rPr>
              <w:t>）、</w:t>
            </w:r>
            <w:r>
              <w:rPr>
                <w:rFonts w:hint="eastAsia" w:ascii="仿宋" w:hAnsi="仿宋" w:eastAsia="仿宋" w:cs="仿宋"/>
                <w:color w:val="000000"/>
                <w:szCs w:val="24"/>
                <w:highlight w:val="none"/>
                <w:lang w:val="en-US" w:eastAsia="zh-CN"/>
              </w:rPr>
              <w:t>项目计划、功能测试方案、试运行方案</w:t>
            </w:r>
            <w:r>
              <w:rPr>
                <w:rFonts w:hint="eastAsia" w:ascii="仿宋" w:hAnsi="仿宋" w:eastAsia="仿宋" w:cs="仿宋"/>
                <w:color w:val="000000"/>
                <w:szCs w:val="24"/>
                <w:highlight w:val="none"/>
              </w:rPr>
              <w:t>。</w:t>
            </w:r>
          </w:p>
          <w:p w14:paraId="149B8C9B">
            <w:pPr>
              <w:pStyle w:val="14"/>
              <w:keepNext w:val="0"/>
              <w:keepLines w:val="0"/>
              <w:pageBreakBefore w:val="0"/>
              <w:kinsoku/>
              <w:wordWrap/>
              <w:overflowPunct/>
              <w:topLinePunct w:val="0"/>
              <w:autoSpaceDE/>
              <w:autoSpaceDN/>
              <w:bidi w:val="0"/>
              <w:adjustRightInd/>
              <w:snapToGrid/>
              <w:spacing w:line="360" w:lineRule="exact"/>
              <w:ind w:firstLine="420" w:firstLineChars="200"/>
              <w:jc w:val="left"/>
              <w:textAlignment w:val="auto"/>
              <w:rPr>
                <w:rFonts w:hint="eastAsia" w:ascii="仿宋" w:hAnsi="仿宋" w:eastAsia="仿宋" w:cs="仿宋"/>
                <w:color w:val="000000"/>
                <w:szCs w:val="24"/>
                <w:highlight w:val="none"/>
                <w:lang w:val="en-US" w:eastAsia="zh-CN"/>
              </w:rPr>
            </w:pPr>
            <w:r>
              <w:rPr>
                <w:rFonts w:hint="eastAsia" w:ascii="仿宋" w:hAnsi="仿宋" w:eastAsia="仿宋" w:cs="仿宋"/>
                <w:color w:val="000000"/>
                <w:szCs w:val="24"/>
                <w:highlight w:val="none"/>
              </w:rPr>
              <w:t>四档（</w:t>
            </w:r>
            <w:r>
              <w:rPr>
                <w:rFonts w:hint="eastAsia" w:ascii="仿宋" w:hAnsi="仿宋" w:eastAsia="仿宋" w:cs="仿宋"/>
                <w:color w:val="000000"/>
                <w:szCs w:val="24"/>
                <w:highlight w:val="none"/>
                <w:lang w:val="en-US" w:eastAsia="zh-CN"/>
              </w:rPr>
              <w:t>20</w:t>
            </w:r>
            <w:r>
              <w:rPr>
                <w:rFonts w:hint="eastAsia" w:ascii="仿宋" w:hAnsi="仿宋" w:eastAsia="仿宋" w:cs="仿宋"/>
                <w:color w:val="000000"/>
                <w:szCs w:val="24"/>
                <w:highlight w:val="none"/>
              </w:rPr>
              <w:t>分）：提供云平台技术</w:t>
            </w:r>
            <w:r>
              <w:rPr>
                <w:rFonts w:hint="eastAsia" w:ascii="仿宋" w:hAnsi="仿宋" w:eastAsia="仿宋" w:cs="仿宋"/>
                <w:color w:val="000000"/>
                <w:szCs w:val="24"/>
                <w:highlight w:val="none"/>
                <w:lang w:val="en-US" w:eastAsia="zh-CN"/>
              </w:rPr>
              <w:t>服务</w:t>
            </w:r>
            <w:r>
              <w:rPr>
                <w:rFonts w:hint="eastAsia" w:ascii="仿宋" w:hAnsi="仿宋" w:eastAsia="仿宋" w:cs="仿宋"/>
                <w:color w:val="000000"/>
                <w:szCs w:val="24"/>
                <w:highlight w:val="none"/>
              </w:rPr>
              <w:t>方案，包含</w:t>
            </w:r>
            <w:r>
              <w:rPr>
                <w:rFonts w:hint="eastAsia" w:ascii="仿宋" w:hAnsi="仿宋" w:eastAsia="仿宋" w:cs="仿宋"/>
                <w:color w:val="000000"/>
                <w:szCs w:val="24"/>
                <w:highlight w:val="none"/>
                <w:lang w:val="en-US" w:eastAsia="zh-CN"/>
              </w:rPr>
              <w:t>7</w:t>
            </w:r>
            <w:r>
              <w:rPr>
                <w:rFonts w:hint="eastAsia" w:ascii="仿宋" w:hAnsi="仿宋" w:eastAsia="仿宋" w:cs="仿宋"/>
                <w:color w:val="000000"/>
                <w:szCs w:val="24"/>
                <w:highlight w:val="none"/>
              </w:rPr>
              <w:t>项评审内容</w:t>
            </w:r>
            <w:r>
              <w:rPr>
                <w:rFonts w:hint="eastAsia" w:ascii="仿宋" w:hAnsi="仿宋" w:eastAsia="仿宋" w:cs="仿宋"/>
                <w:color w:val="000000"/>
                <w:szCs w:val="24"/>
                <w:highlight w:val="none"/>
                <w:lang w:eastAsia="zh-CN"/>
              </w:rPr>
              <w:t>：</w:t>
            </w:r>
            <w:r>
              <w:rPr>
                <w:rFonts w:hint="eastAsia" w:ascii="仿宋" w:hAnsi="仿宋" w:eastAsia="仿宋" w:cs="仿宋"/>
                <w:color w:val="000000"/>
                <w:szCs w:val="24"/>
                <w:highlight w:val="none"/>
              </w:rPr>
              <w:t>①云平台整体架构设计、</w:t>
            </w:r>
            <w:r>
              <w:rPr>
                <w:rFonts w:hint="eastAsia" w:ascii="仿宋" w:hAnsi="仿宋" w:eastAsia="仿宋" w:cs="仿宋"/>
                <w:color w:val="000000"/>
                <w:szCs w:val="24"/>
                <w:highlight w:val="none"/>
                <w:lang w:val="en-US" w:eastAsia="zh-CN"/>
              </w:rPr>
              <w:t>②</w:t>
            </w:r>
            <w:r>
              <w:rPr>
                <w:rFonts w:hint="eastAsia" w:ascii="仿宋" w:hAnsi="仿宋" w:eastAsia="仿宋" w:cs="仿宋"/>
                <w:color w:val="000000"/>
                <w:szCs w:val="24"/>
                <w:highlight w:val="none"/>
              </w:rPr>
              <w:t>网络架构及政务网络对接、</w:t>
            </w:r>
            <w:r>
              <w:rPr>
                <w:rFonts w:hint="eastAsia" w:ascii="仿宋" w:hAnsi="仿宋" w:eastAsia="仿宋" w:cs="仿宋"/>
                <w:color w:val="000000"/>
                <w:szCs w:val="24"/>
                <w:highlight w:val="none"/>
                <w:lang w:val="en-US" w:eastAsia="zh-CN"/>
              </w:rPr>
              <w:t>③计算资源池设计</w:t>
            </w:r>
            <w:r>
              <w:rPr>
                <w:rFonts w:hint="eastAsia" w:ascii="仿宋" w:hAnsi="仿宋" w:eastAsia="仿宋" w:cs="仿宋"/>
                <w:color w:val="000000"/>
                <w:szCs w:val="24"/>
                <w:highlight w:val="none"/>
              </w:rPr>
              <w:t>、</w:t>
            </w:r>
            <w:r>
              <w:rPr>
                <w:rFonts w:hint="eastAsia" w:ascii="仿宋" w:hAnsi="仿宋" w:eastAsia="仿宋" w:cs="仿宋"/>
                <w:color w:val="000000"/>
                <w:szCs w:val="24"/>
                <w:highlight w:val="none"/>
                <w:lang w:val="en-US" w:eastAsia="zh-CN"/>
              </w:rPr>
              <w:t>④</w:t>
            </w:r>
            <w:r>
              <w:rPr>
                <w:rFonts w:hint="eastAsia" w:ascii="仿宋" w:hAnsi="仿宋" w:eastAsia="仿宋" w:cs="仿宋"/>
                <w:color w:val="000000"/>
                <w:szCs w:val="24"/>
                <w:highlight w:val="none"/>
              </w:rPr>
              <w:t>存储资源池</w:t>
            </w:r>
            <w:r>
              <w:rPr>
                <w:rFonts w:hint="eastAsia" w:ascii="仿宋" w:hAnsi="仿宋" w:eastAsia="仿宋" w:cs="仿宋"/>
                <w:color w:val="000000"/>
                <w:szCs w:val="24"/>
                <w:highlight w:val="none"/>
                <w:lang w:val="en-US" w:eastAsia="zh-CN"/>
              </w:rPr>
              <w:t>设计</w:t>
            </w:r>
            <w:r>
              <w:rPr>
                <w:rFonts w:hint="eastAsia" w:ascii="仿宋" w:hAnsi="仿宋" w:eastAsia="仿宋" w:cs="仿宋"/>
                <w:color w:val="000000"/>
                <w:szCs w:val="24"/>
                <w:highlight w:val="none"/>
              </w:rPr>
              <w:t>、</w:t>
            </w:r>
            <w:r>
              <w:rPr>
                <w:rFonts w:hint="eastAsia" w:ascii="仿宋" w:hAnsi="仿宋" w:eastAsia="仿宋" w:cs="仿宋"/>
                <w:color w:val="000000"/>
                <w:szCs w:val="24"/>
                <w:highlight w:val="none"/>
                <w:lang w:val="en-US" w:eastAsia="zh-CN"/>
              </w:rPr>
              <w:t>⑤</w:t>
            </w:r>
            <w:r>
              <w:rPr>
                <w:rFonts w:hint="eastAsia" w:ascii="仿宋" w:hAnsi="仿宋" w:eastAsia="仿宋" w:cs="仿宋"/>
                <w:color w:val="000000"/>
                <w:szCs w:val="24"/>
                <w:highlight w:val="none"/>
              </w:rPr>
              <w:t>网络资源池</w:t>
            </w:r>
            <w:r>
              <w:rPr>
                <w:rFonts w:hint="eastAsia" w:ascii="仿宋" w:hAnsi="仿宋" w:eastAsia="仿宋" w:cs="仿宋"/>
                <w:color w:val="000000"/>
                <w:szCs w:val="24"/>
                <w:highlight w:val="none"/>
                <w:lang w:val="en-US" w:eastAsia="zh-CN"/>
              </w:rPr>
              <w:t>设计、⑥安全资源池（安全服务）设计、⑦机房服务与灾备服务设计</w:t>
            </w:r>
            <w:r>
              <w:rPr>
                <w:rFonts w:hint="eastAsia" w:ascii="仿宋" w:hAnsi="仿宋" w:eastAsia="仿宋" w:cs="仿宋"/>
                <w:color w:val="000000"/>
                <w:szCs w:val="24"/>
                <w:highlight w:val="none"/>
                <w:lang w:eastAsia="zh-CN"/>
              </w:rPr>
              <w:t>，</w:t>
            </w:r>
            <w:r>
              <w:rPr>
                <w:rFonts w:hint="eastAsia" w:ascii="仿宋" w:hAnsi="仿宋" w:eastAsia="仿宋" w:cs="仿宋"/>
                <w:color w:val="000000"/>
                <w:szCs w:val="24"/>
                <w:highlight w:val="none"/>
              </w:rPr>
              <w:t>无缺项漏项</w:t>
            </w:r>
            <w:r>
              <w:rPr>
                <w:rFonts w:hint="eastAsia" w:ascii="仿宋" w:hAnsi="仿宋" w:eastAsia="仿宋" w:cs="仿宋"/>
                <w:color w:val="000000"/>
                <w:szCs w:val="24"/>
                <w:highlight w:val="none"/>
                <w:lang w:val="en-US" w:eastAsia="zh-CN"/>
              </w:rPr>
              <w:t>；每</w:t>
            </w:r>
            <w:r>
              <w:rPr>
                <w:rFonts w:hint="eastAsia" w:ascii="仿宋" w:hAnsi="仿宋" w:eastAsia="仿宋" w:cs="仿宋"/>
                <w:color w:val="000000"/>
                <w:szCs w:val="24"/>
                <w:highlight w:val="none"/>
              </w:rPr>
              <w:t>项方案描述完整规范、思路清晰、符合行业及政务项目建设要求，内容贴合项目实际、合理可行</w:t>
            </w:r>
            <w:r>
              <w:rPr>
                <w:rFonts w:hint="eastAsia" w:ascii="仿宋" w:hAnsi="仿宋" w:eastAsia="仿宋" w:cs="仿宋"/>
                <w:color w:val="000000"/>
                <w:szCs w:val="24"/>
                <w:highlight w:val="none"/>
                <w:lang w:eastAsia="zh-CN"/>
              </w:rPr>
              <w:t>；</w:t>
            </w:r>
            <w:r>
              <w:rPr>
                <w:rFonts w:hint="eastAsia" w:ascii="仿宋" w:hAnsi="仿宋" w:eastAsia="仿宋" w:cs="仿宋"/>
                <w:color w:val="000000"/>
                <w:szCs w:val="24"/>
                <w:highlight w:val="none"/>
              </w:rPr>
              <w:t>方案</w:t>
            </w:r>
            <w:r>
              <w:rPr>
                <w:rFonts w:hint="eastAsia" w:ascii="仿宋" w:hAnsi="仿宋" w:eastAsia="仿宋" w:cs="仿宋"/>
                <w:color w:val="000000"/>
                <w:szCs w:val="24"/>
                <w:highlight w:val="none"/>
                <w:lang w:val="en-US" w:eastAsia="zh-CN"/>
              </w:rPr>
              <w:t>中应包含但不限于</w:t>
            </w:r>
            <w:r>
              <w:rPr>
                <w:rFonts w:hint="eastAsia" w:ascii="仿宋" w:hAnsi="仿宋" w:eastAsia="仿宋" w:cs="仿宋"/>
                <w:color w:val="000000"/>
                <w:szCs w:val="24"/>
                <w:highlight w:val="none"/>
              </w:rPr>
              <w:t>系统应用的部署、项目计划、</w:t>
            </w:r>
            <w:r>
              <w:rPr>
                <w:rFonts w:hint="eastAsia" w:ascii="仿宋" w:hAnsi="仿宋" w:eastAsia="仿宋" w:cs="仿宋"/>
                <w:color w:val="000000"/>
                <w:szCs w:val="24"/>
                <w:highlight w:val="none"/>
                <w:lang w:val="en-US" w:eastAsia="zh-CN"/>
              </w:rPr>
              <w:t>设备</w:t>
            </w:r>
            <w:r>
              <w:rPr>
                <w:rFonts w:hint="eastAsia" w:ascii="仿宋" w:hAnsi="仿宋" w:eastAsia="仿宋" w:cs="仿宋"/>
                <w:color w:val="000000"/>
                <w:szCs w:val="24"/>
                <w:highlight w:val="none"/>
              </w:rPr>
              <w:t>资源配置计划、功能测试方案、试运行方案，提供系统软硬件部署方案（应包含</w:t>
            </w:r>
            <w:r>
              <w:rPr>
                <w:rFonts w:hint="eastAsia" w:ascii="仿宋" w:hAnsi="仿宋" w:eastAsia="仿宋" w:cs="仿宋"/>
                <w:color w:val="000000"/>
                <w:szCs w:val="24"/>
                <w:highlight w:val="none"/>
                <w:lang w:val="en-US" w:eastAsia="zh-CN"/>
              </w:rPr>
              <w:t>但</w:t>
            </w:r>
            <w:r>
              <w:rPr>
                <w:rFonts w:hint="eastAsia" w:ascii="仿宋" w:hAnsi="仿宋" w:eastAsia="仿宋" w:cs="仿宋"/>
                <w:color w:val="000000"/>
                <w:szCs w:val="24"/>
                <w:highlight w:val="none"/>
              </w:rPr>
              <w:t>不限于云平台架构、机房基础设施各系统建设方案、网络架构</w:t>
            </w:r>
            <w:r>
              <w:rPr>
                <w:rFonts w:hint="eastAsia" w:ascii="仿宋" w:hAnsi="仿宋" w:eastAsia="仿宋" w:cs="仿宋"/>
                <w:color w:val="000000"/>
                <w:szCs w:val="24"/>
                <w:highlight w:val="none"/>
                <w:lang w:eastAsia="zh-CN"/>
              </w:rPr>
              <w:t>、</w:t>
            </w:r>
            <w:r>
              <w:rPr>
                <w:rFonts w:hint="eastAsia" w:ascii="仿宋" w:hAnsi="仿宋" w:eastAsia="仿宋" w:cs="仿宋"/>
                <w:color w:val="000000"/>
                <w:szCs w:val="24"/>
                <w:highlight w:val="none"/>
              </w:rPr>
              <w:t>云平台建设软硬件资源、虚拟化平台规划建设实施）</w:t>
            </w:r>
            <w:r>
              <w:rPr>
                <w:rFonts w:hint="eastAsia" w:ascii="仿宋" w:hAnsi="仿宋" w:eastAsia="仿宋" w:cs="仿宋"/>
                <w:color w:val="000000"/>
                <w:szCs w:val="24"/>
                <w:highlight w:val="none"/>
                <w:lang w:eastAsia="zh-CN"/>
              </w:rPr>
              <w:t>；</w:t>
            </w:r>
            <w:bookmarkStart w:id="152" w:name="OLE_LINK1"/>
            <w:r>
              <w:rPr>
                <w:rFonts w:hint="eastAsia" w:ascii="仿宋" w:hAnsi="仿宋" w:eastAsia="仿宋" w:cs="仿宋"/>
                <w:color w:val="000000"/>
                <w:szCs w:val="24"/>
                <w:highlight w:val="none"/>
                <w:lang w:val="en-US" w:eastAsia="zh-CN"/>
              </w:rPr>
              <w:t>所投云平台软件产品须满足项目业务连续性要求，具备良好的软硬件兼容性</w:t>
            </w:r>
            <w:bookmarkStart w:id="153" w:name="OLE_LINK4"/>
            <w:r>
              <w:rPr>
                <w:rFonts w:hint="eastAsia" w:ascii="仿宋" w:hAnsi="仿宋" w:eastAsia="仿宋" w:cs="仿宋"/>
                <w:color w:val="000000"/>
                <w:szCs w:val="24"/>
                <w:highlight w:val="none"/>
                <w:lang w:val="en-US" w:eastAsia="zh-CN"/>
              </w:rPr>
              <w:t>，投标人所投云平台产品具备与主流CPU架构的兼容互认能力能够提供2种及以上不同主流CPU架构（包括但不限于：ARM架构、X86架构、LoongArch架构、SW架构等）的兼容性互认证书，证明材料要求：</w:t>
            </w:r>
            <w:r>
              <w:rPr>
                <w:rFonts w:hint="eastAsia" w:ascii="仿宋" w:hAnsi="仿宋" w:eastAsia="仿宋" w:cs="仿宋"/>
                <w:color w:val="auto"/>
                <w:szCs w:val="24"/>
                <w:highlight w:val="none"/>
                <w:lang w:val="en-US" w:eastAsia="zh-CN"/>
              </w:rPr>
              <w:t>（1）须提供芯片厂商或第三方权威测试机构（如中国电子技术标准化研究院、中国信通院等）出具的正式证书或测试报告；（2）证书须明确体现CPU架构类型（ARM、X86、LoongArch、SW等），而非具体品牌型号；（3）须提供有效期内的证明扫描件，并加盖投标人公章。（注：本项评分仅认可正式颁发的有效期内的证书，不接受投标人自行出具的兼容性承诺函替代）。</w:t>
            </w:r>
          </w:p>
          <w:bookmarkEnd w:id="152"/>
          <w:bookmarkEnd w:id="153"/>
          <w:p w14:paraId="08E30ACB">
            <w:pPr>
              <w:pStyle w:val="14"/>
              <w:keepNext w:val="0"/>
              <w:keepLines w:val="0"/>
              <w:pageBreakBefore w:val="0"/>
              <w:kinsoku/>
              <w:wordWrap/>
              <w:overflowPunct/>
              <w:topLinePunct w:val="0"/>
              <w:autoSpaceDE/>
              <w:autoSpaceDN/>
              <w:bidi w:val="0"/>
              <w:adjustRightInd/>
              <w:snapToGrid/>
              <w:spacing w:line="360" w:lineRule="exact"/>
              <w:ind w:firstLine="420" w:firstLineChars="200"/>
              <w:jc w:val="left"/>
              <w:textAlignment w:val="auto"/>
              <w:rPr>
                <w:rFonts w:hint="eastAsia" w:ascii="仿宋" w:hAnsi="仿宋" w:eastAsia="仿宋" w:cs="仿宋"/>
                <w:color w:val="000000"/>
                <w:szCs w:val="24"/>
                <w:highlight w:val="none"/>
                <w:lang w:val="en-US" w:eastAsia="zh-CN"/>
              </w:rPr>
            </w:pPr>
            <w:r>
              <w:rPr>
                <w:rFonts w:hint="eastAsia" w:ascii="仿宋" w:hAnsi="仿宋" w:eastAsia="仿宋" w:cs="仿宋"/>
                <w:color w:val="000000"/>
                <w:szCs w:val="24"/>
                <w:highlight w:val="none"/>
                <w:lang w:val="en-US" w:eastAsia="zh-CN"/>
              </w:rPr>
              <w:t>五</w:t>
            </w:r>
            <w:r>
              <w:rPr>
                <w:rFonts w:hint="eastAsia" w:ascii="仿宋" w:hAnsi="仿宋" w:eastAsia="仿宋" w:cs="仿宋"/>
                <w:color w:val="000000"/>
                <w:szCs w:val="24"/>
                <w:highlight w:val="none"/>
              </w:rPr>
              <w:t>档（</w:t>
            </w:r>
            <w:r>
              <w:rPr>
                <w:rFonts w:hint="eastAsia" w:ascii="仿宋" w:hAnsi="仿宋" w:eastAsia="仿宋" w:cs="仿宋"/>
                <w:color w:val="000000"/>
                <w:szCs w:val="24"/>
                <w:highlight w:val="none"/>
                <w:lang w:val="en-US" w:eastAsia="zh-CN"/>
              </w:rPr>
              <w:t>25</w:t>
            </w:r>
            <w:r>
              <w:rPr>
                <w:rFonts w:hint="eastAsia" w:ascii="仿宋" w:hAnsi="仿宋" w:eastAsia="仿宋" w:cs="仿宋"/>
                <w:color w:val="000000"/>
                <w:szCs w:val="24"/>
                <w:highlight w:val="none"/>
              </w:rPr>
              <w:t>分）：提供云平台技术</w:t>
            </w:r>
            <w:r>
              <w:rPr>
                <w:rFonts w:hint="eastAsia" w:ascii="仿宋" w:hAnsi="仿宋" w:eastAsia="仿宋" w:cs="仿宋"/>
                <w:color w:val="000000"/>
                <w:szCs w:val="24"/>
                <w:highlight w:val="none"/>
                <w:lang w:val="en-US" w:eastAsia="zh-CN"/>
              </w:rPr>
              <w:t>服务</w:t>
            </w:r>
            <w:r>
              <w:rPr>
                <w:rFonts w:hint="eastAsia" w:ascii="仿宋" w:hAnsi="仿宋" w:eastAsia="仿宋" w:cs="仿宋"/>
                <w:color w:val="000000"/>
                <w:szCs w:val="24"/>
                <w:highlight w:val="none"/>
              </w:rPr>
              <w:t>方案，包含</w:t>
            </w:r>
            <w:r>
              <w:rPr>
                <w:rFonts w:hint="eastAsia" w:ascii="仿宋" w:hAnsi="仿宋" w:eastAsia="仿宋" w:cs="仿宋"/>
                <w:color w:val="000000"/>
                <w:szCs w:val="24"/>
                <w:highlight w:val="none"/>
                <w:lang w:val="en-US" w:eastAsia="zh-CN"/>
              </w:rPr>
              <w:t>7</w:t>
            </w:r>
            <w:r>
              <w:rPr>
                <w:rFonts w:hint="eastAsia" w:ascii="仿宋" w:hAnsi="仿宋" w:eastAsia="仿宋" w:cs="仿宋"/>
                <w:color w:val="000000"/>
                <w:szCs w:val="24"/>
                <w:highlight w:val="none"/>
              </w:rPr>
              <w:t>项评审内容</w:t>
            </w:r>
            <w:r>
              <w:rPr>
                <w:rFonts w:hint="eastAsia" w:ascii="仿宋" w:hAnsi="仿宋" w:eastAsia="仿宋" w:cs="仿宋"/>
                <w:color w:val="000000"/>
                <w:szCs w:val="24"/>
                <w:highlight w:val="none"/>
                <w:lang w:eastAsia="zh-CN"/>
              </w:rPr>
              <w:t>：</w:t>
            </w:r>
            <w:r>
              <w:rPr>
                <w:rFonts w:hint="eastAsia" w:ascii="仿宋" w:hAnsi="仿宋" w:eastAsia="仿宋" w:cs="仿宋"/>
                <w:color w:val="000000"/>
                <w:szCs w:val="24"/>
                <w:highlight w:val="none"/>
              </w:rPr>
              <w:t>①云平台整体架构设计、</w:t>
            </w:r>
            <w:r>
              <w:rPr>
                <w:rFonts w:hint="eastAsia" w:ascii="仿宋" w:hAnsi="仿宋" w:eastAsia="仿宋" w:cs="仿宋"/>
                <w:color w:val="000000"/>
                <w:szCs w:val="24"/>
                <w:highlight w:val="none"/>
                <w:lang w:val="en-US" w:eastAsia="zh-CN"/>
              </w:rPr>
              <w:t>②</w:t>
            </w:r>
            <w:r>
              <w:rPr>
                <w:rFonts w:hint="eastAsia" w:ascii="仿宋" w:hAnsi="仿宋" w:eastAsia="仿宋" w:cs="仿宋"/>
                <w:color w:val="000000"/>
                <w:szCs w:val="24"/>
                <w:highlight w:val="none"/>
              </w:rPr>
              <w:t>网络架构及政务网络对接、</w:t>
            </w:r>
            <w:r>
              <w:rPr>
                <w:rFonts w:hint="eastAsia" w:ascii="仿宋" w:hAnsi="仿宋" w:eastAsia="仿宋" w:cs="仿宋"/>
                <w:color w:val="000000"/>
                <w:szCs w:val="24"/>
                <w:highlight w:val="none"/>
                <w:lang w:val="en-US" w:eastAsia="zh-CN"/>
              </w:rPr>
              <w:t>③计算资源池设计</w:t>
            </w:r>
            <w:r>
              <w:rPr>
                <w:rFonts w:hint="eastAsia" w:ascii="仿宋" w:hAnsi="仿宋" w:eastAsia="仿宋" w:cs="仿宋"/>
                <w:color w:val="000000"/>
                <w:szCs w:val="24"/>
                <w:highlight w:val="none"/>
              </w:rPr>
              <w:t>、</w:t>
            </w:r>
            <w:r>
              <w:rPr>
                <w:rFonts w:hint="eastAsia" w:ascii="仿宋" w:hAnsi="仿宋" w:eastAsia="仿宋" w:cs="仿宋"/>
                <w:color w:val="000000"/>
                <w:szCs w:val="24"/>
                <w:highlight w:val="none"/>
                <w:lang w:val="en-US" w:eastAsia="zh-CN"/>
              </w:rPr>
              <w:t>④</w:t>
            </w:r>
            <w:r>
              <w:rPr>
                <w:rFonts w:hint="eastAsia" w:ascii="仿宋" w:hAnsi="仿宋" w:eastAsia="仿宋" w:cs="仿宋"/>
                <w:color w:val="000000"/>
                <w:szCs w:val="24"/>
                <w:highlight w:val="none"/>
              </w:rPr>
              <w:t>存储资源池</w:t>
            </w:r>
            <w:r>
              <w:rPr>
                <w:rFonts w:hint="eastAsia" w:ascii="仿宋" w:hAnsi="仿宋" w:eastAsia="仿宋" w:cs="仿宋"/>
                <w:color w:val="000000"/>
                <w:szCs w:val="24"/>
                <w:highlight w:val="none"/>
                <w:lang w:val="en-US" w:eastAsia="zh-CN"/>
              </w:rPr>
              <w:t>设计</w:t>
            </w:r>
            <w:r>
              <w:rPr>
                <w:rFonts w:hint="eastAsia" w:ascii="仿宋" w:hAnsi="仿宋" w:eastAsia="仿宋" w:cs="仿宋"/>
                <w:color w:val="000000"/>
                <w:szCs w:val="24"/>
                <w:highlight w:val="none"/>
              </w:rPr>
              <w:t>、</w:t>
            </w:r>
            <w:r>
              <w:rPr>
                <w:rFonts w:hint="eastAsia" w:ascii="仿宋" w:hAnsi="仿宋" w:eastAsia="仿宋" w:cs="仿宋"/>
                <w:color w:val="000000"/>
                <w:szCs w:val="24"/>
                <w:highlight w:val="none"/>
                <w:lang w:val="en-US" w:eastAsia="zh-CN"/>
              </w:rPr>
              <w:t>⑤</w:t>
            </w:r>
            <w:r>
              <w:rPr>
                <w:rFonts w:hint="eastAsia" w:ascii="仿宋" w:hAnsi="仿宋" w:eastAsia="仿宋" w:cs="仿宋"/>
                <w:color w:val="000000"/>
                <w:szCs w:val="24"/>
                <w:highlight w:val="none"/>
              </w:rPr>
              <w:t>网络资源池</w:t>
            </w:r>
            <w:r>
              <w:rPr>
                <w:rFonts w:hint="eastAsia" w:ascii="仿宋" w:hAnsi="仿宋" w:eastAsia="仿宋" w:cs="仿宋"/>
                <w:color w:val="000000"/>
                <w:szCs w:val="24"/>
                <w:highlight w:val="none"/>
                <w:lang w:val="en-US" w:eastAsia="zh-CN"/>
              </w:rPr>
              <w:t>设计、⑥安全资源池（安全服务）设计、⑦机房服务与灾备服务设计</w:t>
            </w:r>
            <w:r>
              <w:rPr>
                <w:rFonts w:hint="eastAsia" w:ascii="仿宋" w:hAnsi="仿宋" w:eastAsia="仿宋" w:cs="仿宋"/>
                <w:color w:val="000000"/>
                <w:szCs w:val="24"/>
                <w:highlight w:val="none"/>
              </w:rPr>
              <w:t>，无缺项漏项；每项内容均完整详实、逻辑严谨、架构设计科学合理，完全契合本项目业务需求与政务建设规范；方案落地性强、细节完善、可直接指导项目实施</w:t>
            </w:r>
            <w:r>
              <w:rPr>
                <w:rFonts w:hint="eastAsia" w:ascii="仿宋" w:hAnsi="仿宋" w:eastAsia="仿宋" w:cs="仿宋"/>
                <w:color w:val="000000"/>
                <w:szCs w:val="24"/>
                <w:highlight w:val="none"/>
                <w:lang w:eastAsia="zh-CN"/>
              </w:rPr>
              <w:t>；方案中</w:t>
            </w:r>
            <w:r>
              <w:rPr>
                <w:rFonts w:hint="eastAsia" w:ascii="仿宋" w:hAnsi="仿宋" w:eastAsia="仿宋" w:cs="仿宋"/>
                <w:color w:val="000000"/>
                <w:szCs w:val="24"/>
                <w:highlight w:val="none"/>
                <w:lang w:val="en-US" w:eastAsia="zh-CN"/>
              </w:rPr>
              <w:t>应包含但不限于</w:t>
            </w:r>
            <w:r>
              <w:rPr>
                <w:rFonts w:hint="eastAsia" w:ascii="仿宋" w:hAnsi="仿宋" w:eastAsia="仿宋" w:cs="仿宋"/>
                <w:color w:val="000000"/>
                <w:szCs w:val="24"/>
                <w:highlight w:val="none"/>
                <w:lang w:eastAsia="zh-CN"/>
              </w:rPr>
              <w:t>业务量分析、项目风险分析、系统应用的部署、项目计划、</w:t>
            </w:r>
            <w:r>
              <w:rPr>
                <w:rFonts w:hint="eastAsia" w:ascii="仿宋" w:hAnsi="仿宋" w:eastAsia="仿宋" w:cs="仿宋"/>
                <w:color w:val="000000"/>
                <w:szCs w:val="24"/>
                <w:highlight w:val="none"/>
                <w:lang w:val="en-US" w:eastAsia="zh-CN"/>
              </w:rPr>
              <w:t>设备</w:t>
            </w:r>
            <w:r>
              <w:rPr>
                <w:rFonts w:hint="eastAsia" w:ascii="仿宋" w:hAnsi="仿宋" w:eastAsia="仿宋" w:cs="仿宋"/>
                <w:color w:val="000000"/>
                <w:szCs w:val="24"/>
                <w:highlight w:val="none"/>
                <w:lang w:eastAsia="zh-CN"/>
              </w:rPr>
              <w:t>资源配置计划、功能测试方案、试运行方案、系统软硬件部署方案（应包含</w:t>
            </w:r>
            <w:r>
              <w:rPr>
                <w:rFonts w:hint="eastAsia" w:ascii="仿宋" w:hAnsi="仿宋" w:eastAsia="仿宋" w:cs="仿宋"/>
                <w:color w:val="000000"/>
                <w:szCs w:val="24"/>
                <w:highlight w:val="none"/>
                <w:lang w:val="en-US" w:eastAsia="zh-CN"/>
              </w:rPr>
              <w:t>但</w:t>
            </w:r>
            <w:r>
              <w:rPr>
                <w:rFonts w:hint="eastAsia" w:ascii="仿宋" w:hAnsi="仿宋" w:eastAsia="仿宋" w:cs="仿宋"/>
                <w:color w:val="000000"/>
                <w:szCs w:val="24"/>
                <w:highlight w:val="none"/>
                <w:lang w:eastAsia="zh-CN"/>
              </w:rPr>
              <w:t>不限于云平台架构、机房基础设施各系统建设方案、网络架构，云平台建设软硬件资源、虚拟化平台、资源管理、云平台安全资源池安全服务处置方案）；</w:t>
            </w:r>
            <w:r>
              <w:rPr>
                <w:rFonts w:hint="eastAsia" w:ascii="仿宋" w:hAnsi="仿宋" w:eastAsia="仿宋" w:cs="仿宋"/>
                <w:color w:val="000000"/>
                <w:szCs w:val="24"/>
                <w:highlight w:val="none"/>
                <w:lang w:val="en-US" w:eastAsia="zh-CN"/>
              </w:rPr>
              <w:t>所投云平台软件产品须满足项目业务连续性要求，具备良好的软硬件兼容性，投标人所投云平台产品具备与主流CPU架构的兼容互认能力能够提供3种及以上不同主流CPU架构（包括但不限于：ARM架构、X86架构、LoongArch架构、SW架构等）的兼容性互认证书，证明材料要求：</w:t>
            </w:r>
            <w:r>
              <w:rPr>
                <w:rFonts w:hint="eastAsia" w:ascii="仿宋" w:hAnsi="仿宋" w:eastAsia="仿宋" w:cs="仿宋"/>
                <w:color w:val="auto"/>
                <w:szCs w:val="24"/>
                <w:highlight w:val="none"/>
                <w:lang w:val="en-US" w:eastAsia="zh-CN"/>
              </w:rPr>
              <w:t>（1）须提供芯片厂商或第三方权威测试机构（如中国电子技术标准化研究院、中国信通院等）出具的正式证书或测试报告；（2）证书须明确体现CPU架构类型（ARM、X86、LoongArch、SW等）而非具体品牌型号；（3）须提供有效期内的证明扫描件，并加盖投标人公章。（注：本项评分仅认可正式颁发的有效期内的证书，不接受投标人自行出具的兼容性承诺函替代）。投标人所投云平台产品厂商具备中</w:t>
            </w:r>
            <w:r>
              <w:rPr>
                <w:rFonts w:hint="eastAsia" w:ascii="仿宋" w:hAnsi="仿宋" w:eastAsia="仿宋" w:cs="仿宋"/>
                <w:color w:val="000000"/>
                <w:szCs w:val="24"/>
                <w:highlight w:val="none"/>
                <w:lang w:val="en-US" w:eastAsia="zh-CN"/>
              </w:rPr>
              <w:t>国信息安全测评中心（CNITSEC） 颁发的信息安全服务资质证书，类别为安全工程类、安全开发类、安全运营类中的任意一项及以上，等级为二级及以上（含二级、三级、四级、五级）或中国网络安全审查认证和市场监管大数据中心（CCRC） 颁发的信息安全服务资质认证证书，类别为信息系统安全集成、安全运维、软件安全开发、信息安全风险评估、信息安全应急处理中的任意一项及以上，等级为二级及以上（含二级、一级）。投标人须同时提供以下材料：（1）有效期内的资质证书扫描件或复印件，并加盖投标人公章；（2）全国认证认可信息公共服务平台（http://cx.cnca.cn）查询截图，截图须体现证书状态为"有效"；（3）若投标人以所投云平台服务商资质参与评分，须同时提供：①该服务商有效期内的资质证书扫描件及官网查询截图；②该服务商针对本项目出具的授权函（须加盖服务商公章,</w:t>
            </w:r>
            <w:r>
              <w:rPr>
                <w:rFonts w:hint="eastAsia" w:ascii="仿宋" w:hAnsi="仿宋" w:eastAsia="仿宋" w:cs="仿宋"/>
                <w:color w:val="000000"/>
                <w:szCs w:val="24"/>
                <w:highlight w:val="none"/>
              </w:rPr>
              <w:t>如云平台服务商为分支机构且无法独立出具加盖公章授权函的，可由其具有独立法人资格的上级单位出具，并在授权函中明确本次投标所使用资质隶属于该分支机构，并对该分支机构的服务质量承担连带保证责任）</w:t>
            </w:r>
            <w:r>
              <w:rPr>
                <w:rFonts w:hint="eastAsia" w:ascii="仿宋" w:hAnsi="仿宋" w:eastAsia="仿宋" w:cs="仿宋"/>
                <w:color w:val="000000"/>
                <w:szCs w:val="24"/>
                <w:highlight w:val="none"/>
                <w:lang w:val="en-US" w:eastAsia="zh-CN"/>
              </w:rPr>
              <w:t>，授权函内容须至少包含：明确授权投标人使用其资质参与本次投标；承诺对投标人提供的云平台服务质量承担连带保证责任。（4）证书上的持证单位名称须与投标人或其所投云平台服务商名称一致。</w:t>
            </w:r>
          </w:p>
          <w:p w14:paraId="72CF7FB6">
            <w:pPr>
              <w:pStyle w:val="14"/>
              <w:spacing w:line="360" w:lineRule="exact"/>
              <w:ind w:firstLine="420" w:firstLineChars="200"/>
              <w:jc w:val="left"/>
              <w:rPr>
                <w:rFonts w:hint="eastAsia" w:eastAsia="仿宋"/>
                <w:lang w:eastAsia="zh-CN"/>
              </w:rPr>
            </w:pPr>
            <w:r>
              <w:rPr>
                <w:rFonts w:hint="eastAsia" w:ascii="仿宋" w:hAnsi="仿宋" w:eastAsia="仿宋" w:cs="仿宋"/>
                <w:color w:val="000000"/>
                <w:szCs w:val="24"/>
                <w:highlight w:val="none"/>
              </w:rPr>
              <w:t>注：若两家及以上投标人使用同一云平台服务商的同一份资质证书（证书编号相同）参与投标，且均以该证书作为得分依据的，该证书对应分值在涉及的各投标人中均按零分处理，不影响投标文件有效性</w:t>
            </w:r>
            <w:r>
              <w:rPr>
                <w:rFonts w:hint="eastAsia" w:ascii="仿宋" w:hAnsi="仿宋" w:eastAsia="仿宋" w:cs="仿宋"/>
                <w:color w:val="000000"/>
                <w:szCs w:val="24"/>
                <w:highlight w:val="none"/>
                <w:lang w:eastAsia="zh-CN"/>
              </w:rPr>
              <w:t>。</w:t>
            </w:r>
          </w:p>
        </w:tc>
        <w:tc>
          <w:tcPr>
            <w:tcW w:w="736" w:type="dxa"/>
            <w:noWrap w:val="0"/>
            <w:vAlign w:val="center"/>
          </w:tcPr>
          <w:p w14:paraId="3E26402A">
            <w:pPr>
              <w:pStyle w:val="14"/>
              <w:keepNext w:val="0"/>
              <w:keepLines w:val="0"/>
              <w:pageBreakBefore w:val="0"/>
              <w:kinsoku/>
              <w:wordWrap/>
              <w:overflowPunct/>
              <w:topLinePunct w:val="0"/>
              <w:autoSpaceDE/>
              <w:autoSpaceDN/>
              <w:bidi w:val="0"/>
              <w:adjustRightInd/>
              <w:snapToGrid/>
              <w:spacing w:line="360" w:lineRule="exact"/>
              <w:ind w:firstLine="0" w:firstLineChars="0"/>
              <w:textAlignment w:val="auto"/>
              <w:rPr>
                <w:rFonts w:hint="eastAsia" w:ascii="仿宋" w:hAnsi="仿宋" w:eastAsia="仿宋" w:cs="仿宋"/>
                <w:color w:val="000000"/>
                <w:sz w:val="21"/>
                <w:highlight w:val="none"/>
              </w:rPr>
            </w:pPr>
            <w:r>
              <w:rPr>
                <w:rFonts w:hint="eastAsia" w:ascii="仿宋" w:hAnsi="仿宋" w:eastAsia="仿宋" w:cs="仿宋"/>
                <w:color w:val="000000"/>
                <w:sz w:val="21"/>
                <w:highlight w:val="none"/>
                <w:lang w:val="en-US" w:eastAsia="zh-CN"/>
              </w:rPr>
              <w:t>25</w:t>
            </w:r>
            <w:r>
              <w:rPr>
                <w:rFonts w:hint="eastAsia" w:ascii="仿宋" w:hAnsi="仿宋" w:eastAsia="仿宋" w:cs="仿宋"/>
                <w:color w:val="000000"/>
                <w:sz w:val="21"/>
                <w:highlight w:val="none"/>
              </w:rPr>
              <w:t>分</w:t>
            </w:r>
          </w:p>
        </w:tc>
      </w:tr>
      <w:tr w14:paraId="5AFEA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val="0"/>
            <w:vAlign w:val="center"/>
          </w:tcPr>
          <w:p w14:paraId="0DE8B5D7">
            <w:pPr>
              <w:pStyle w:val="14"/>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default" w:ascii="仿宋" w:hAnsi="仿宋" w:eastAsia="仿宋" w:cs="仿宋"/>
                <w:color w:val="000000"/>
                <w:sz w:val="21"/>
                <w:highlight w:val="none"/>
                <w:lang w:val="en-US" w:eastAsia="zh-CN"/>
              </w:rPr>
            </w:pPr>
            <w:r>
              <w:rPr>
                <w:rFonts w:hint="eastAsia" w:ascii="仿宋" w:hAnsi="仿宋" w:eastAsia="仿宋" w:cs="仿宋"/>
                <w:color w:val="000000"/>
                <w:sz w:val="21"/>
                <w:highlight w:val="none"/>
                <w:lang w:val="en-US" w:eastAsia="zh-CN"/>
              </w:rPr>
              <w:t>2.2</w:t>
            </w:r>
          </w:p>
        </w:tc>
        <w:tc>
          <w:tcPr>
            <w:tcW w:w="1209" w:type="dxa"/>
            <w:noWrap w:val="0"/>
            <w:vAlign w:val="center"/>
          </w:tcPr>
          <w:p w14:paraId="7350F90B">
            <w:pPr>
              <w:pStyle w:val="14"/>
              <w:keepNext w:val="0"/>
              <w:keepLines w:val="0"/>
              <w:pageBreakBefore w:val="0"/>
              <w:kinsoku/>
              <w:wordWrap/>
              <w:overflowPunct/>
              <w:topLinePunct w:val="0"/>
              <w:autoSpaceDE/>
              <w:autoSpaceDN/>
              <w:bidi w:val="0"/>
              <w:adjustRightInd/>
              <w:snapToGrid/>
              <w:spacing w:line="360" w:lineRule="exact"/>
              <w:ind w:firstLine="0" w:firstLineChars="0"/>
              <w:textAlignment w:val="auto"/>
              <w:rPr>
                <w:rFonts w:hint="eastAsia" w:ascii="仿宋" w:hAnsi="仿宋" w:eastAsia="仿宋" w:cs="仿宋"/>
                <w:color w:val="000000"/>
                <w:sz w:val="21"/>
                <w:highlight w:val="none"/>
              </w:rPr>
            </w:pPr>
            <w:r>
              <w:rPr>
                <w:rFonts w:hint="eastAsia" w:ascii="仿宋" w:hAnsi="仿宋" w:eastAsia="仿宋" w:cs="仿宋"/>
                <w:color w:val="000000"/>
                <w:sz w:val="21"/>
                <w:highlight w:val="none"/>
              </w:rPr>
              <w:t>运维保障服务</w:t>
            </w:r>
            <w:r>
              <w:rPr>
                <w:rFonts w:hint="eastAsia" w:ascii="仿宋" w:hAnsi="仿宋" w:eastAsia="仿宋" w:cs="仿宋"/>
                <w:color w:val="000000"/>
                <w:sz w:val="21"/>
                <w:highlight w:val="none"/>
                <w:lang w:val="en-US" w:eastAsia="zh-CN"/>
              </w:rPr>
              <w:t>方案</w:t>
            </w:r>
            <w:r>
              <w:rPr>
                <w:rFonts w:hint="eastAsia" w:ascii="仿宋" w:hAnsi="仿宋" w:eastAsia="仿宋" w:cs="仿宋"/>
                <w:color w:val="000000"/>
                <w:sz w:val="21"/>
                <w:highlight w:val="none"/>
              </w:rPr>
              <w:t>分</w:t>
            </w:r>
          </w:p>
        </w:tc>
        <w:tc>
          <w:tcPr>
            <w:tcW w:w="6435" w:type="dxa"/>
            <w:noWrap w:val="0"/>
            <w:vAlign w:val="center"/>
          </w:tcPr>
          <w:p w14:paraId="339C4A8C">
            <w:pPr>
              <w:pStyle w:val="14"/>
              <w:keepNext w:val="0"/>
              <w:keepLines w:val="0"/>
              <w:pageBreakBefore w:val="0"/>
              <w:kinsoku/>
              <w:wordWrap/>
              <w:overflowPunct/>
              <w:topLinePunct w:val="0"/>
              <w:autoSpaceDE/>
              <w:autoSpaceDN/>
              <w:bidi w:val="0"/>
              <w:adjustRightInd/>
              <w:snapToGrid/>
              <w:spacing w:line="360" w:lineRule="exact"/>
              <w:ind w:firstLine="420" w:firstLineChars="200"/>
              <w:jc w:val="left"/>
              <w:textAlignment w:val="auto"/>
              <w:rPr>
                <w:rFonts w:hint="eastAsia" w:ascii="仿宋" w:hAnsi="仿宋" w:eastAsia="仿宋" w:cs="仿宋"/>
                <w:color w:val="000000"/>
                <w:sz w:val="21"/>
                <w:highlight w:val="none"/>
                <w:lang w:val="en-US" w:eastAsia="zh-CN"/>
              </w:rPr>
            </w:pPr>
            <w:r>
              <w:rPr>
                <w:rFonts w:hint="eastAsia" w:ascii="仿宋" w:hAnsi="仿宋" w:eastAsia="仿宋" w:cs="仿宋"/>
                <w:color w:val="000000"/>
                <w:sz w:val="21"/>
                <w:highlight w:val="none"/>
                <w:lang w:val="en-US" w:eastAsia="zh-CN"/>
              </w:rPr>
              <w:t>投标人须提供</w:t>
            </w:r>
            <w:r>
              <w:rPr>
                <w:rFonts w:hint="eastAsia" w:ascii="仿宋" w:hAnsi="仿宋" w:eastAsia="仿宋" w:cs="仿宋"/>
                <w:color w:val="000000"/>
                <w:sz w:val="21"/>
                <w:highlight w:val="none"/>
              </w:rPr>
              <w:t>运维保障服务</w:t>
            </w:r>
            <w:r>
              <w:rPr>
                <w:rFonts w:hint="eastAsia" w:ascii="仿宋" w:hAnsi="仿宋" w:eastAsia="仿宋" w:cs="仿宋"/>
                <w:color w:val="000000"/>
                <w:sz w:val="21"/>
                <w:highlight w:val="none"/>
                <w:lang w:val="en-US" w:eastAsia="zh-CN"/>
              </w:rPr>
              <w:t>方案。根据方案的完整性、可行性、合理性进行综合评分。</w:t>
            </w:r>
          </w:p>
          <w:p w14:paraId="60E8388C">
            <w:pPr>
              <w:pStyle w:val="14"/>
              <w:keepNext w:val="0"/>
              <w:keepLines w:val="0"/>
              <w:pageBreakBefore w:val="0"/>
              <w:kinsoku/>
              <w:wordWrap/>
              <w:overflowPunct/>
              <w:topLinePunct w:val="0"/>
              <w:autoSpaceDE/>
              <w:autoSpaceDN/>
              <w:bidi w:val="0"/>
              <w:adjustRightInd/>
              <w:snapToGrid/>
              <w:spacing w:line="360" w:lineRule="exact"/>
              <w:ind w:firstLine="420" w:firstLineChars="200"/>
              <w:jc w:val="left"/>
              <w:textAlignment w:val="auto"/>
              <w:rPr>
                <w:rFonts w:hint="eastAsia" w:ascii="仿宋" w:hAnsi="仿宋" w:eastAsia="仿宋" w:cs="仿宋"/>
                <w:color w:val="000000"/>
                <w:sz w:val="21"/>
                <w:highlight w:val="none"/>
              </w:rPr>
            </w:pPr>
            <w:r>
              <w:rPr>
                <w:rFonts w:hint="eastAsia" w:ascii="仿宋" w:hAnsi="仿宋" w:eastAsia="仿宋" w:cs="仿宋"/>
                <w:color w:val="000000"/>
                <w:sz w:val="21"/>
                <w:highlight w:val="none"/>
              </w:rPr>
              <w:t>一档（0分）：未提供</w:t>
            </w:r>
            <w:r>
              <w:rPr>
                <w:rFonts w:hint="eastAsia" w:ascii="仿宋" w:hAnsi="仿宋" w:eastAsia="仿宋" w:cs="仿宋"/>
                <w:color w:val="000000"/>
                <w:sz w:val="21"/>
                <w:highlight w:val="none"/>
                <w:lang w:val="en-US" w:eastAsia="zh-CN"/>
              </w:rPr>
              <w:t>本项目</w:t>
            </w:r>
            <w:r>
              <w:rPr>
                <w:rFonts w:hint="eastAsia" w:ascii="仿宋" w:hAnsi="仿宋" w:eastAsia="仿宋" w:cs="仿宋"/>
                <w:color w:val="000000"/>
                <w:sz w:val="21"/>
                <w:highlight w:val="none"/>
              </w:rPr>
              <w:t>运维保障服务</w:t>
            </w:r>
            <w:r>
              <w:rPr>
                <w:rFonts w:hint="eastAsia" w:ascii="仿宋" w:hAnsi="仿宋" w:eastAsia="仿宋" w:cs="仿宋"/>
                <w:color w:val="000000"/>
                <w:sz w:val="21"/>
                <w:highlight w:val="none"/>
                <w:lang w:val="en-US" w:eastAsia="zh-CN"/>
              </w:rPr>
              <w:t>方案</w:t>
            </w:r>
            <w:r>
              <w:rPr>
                <w:rFonts w:hint="eastAsia" w:ascii="仿宋" w:hAnsi="仿宋" w:eastAsia="仿宋" w:cs="仿宋"/>
                <w:color w:val="000000"/>
                <w:sz w:val="21"/>
                <w:highlight w:val="none"/>
              </w:rPr>
              <w:t>。</w:t>
            </w:r>
          </w:p>
          <w:p w14:paraId="4D240600">
            <w:pPr>
              <w:pStyle w:val="14"/>
              <w:keepNext w:val="0"/>
              <w:keepLines w:val="0"/>
              <w:pageBreakBefore w:val="0"/>
              <w:kinsoku/>
              <w:wordWrap/>
              <w:overflowPunct/>
              <w:topLinePunct w:val="0"/>
              <w:autoSpaceDE/>
              <w:autoSpaceDN/>
              <w:bidi w:val="0"/>
              <w:adjustRightInd/>
              <w:snapToGrid/>
              <w:spacing w:line="360" w:lineRule="exact"/>
              <w:ind w:firstLine="420" w:firstLineChars="200"/>
              <w:jc w:val="left"/>
              <w:textAlignment w:val="auto"/>
              <w:rPr>
                <w:rFonts w:hint="eastAsia" w:ascii="仿宋" w:hAnsi="仿宋" w:eastAsia="仿宋" w:cs="仿宋"/>
                <w:color w:val="000000"/>
                <w:sz w:val="21"/>
                <w:highlight w:val="none"/>
              </w:rPr>
            </w:pPr>
            <w:r>
              <w:rPr>
                <w:rFonts w:hint="eastAsia" w:ascii="仿宋" w:hAnsi="仿宋" w:eastAsia="仿宋" w:cs="仿宋"/>
                <w:color w:val="000000"/>
                <w:sz w:val="21"/>
                <w:highlight w:val="none"/>
              </w:rPr>
              <w:t>二档（</w:t>
            </w:r>
            <w:r>
              <w:rPr>
                <w:rFonts w:hint="eastAsia" w:ascii="仿宋" w:hAnsi="仿宋" w:eastAsia="仿宋" w:cs="仿宋"/>
                <w:color w:val="000000"/>
                <w:sz w:val="21"/>
                <w:highlight w:val="none"/>
                <w:lang w:val="en-US" w:eastAsia="zh-CN"/>
              </w:rPr>
              <w:t>10</w:t>
            </w:r>
            <w:r>
              <w:rPr>
                <w:rFonts w:hint="eastAsia" w:ascii="仿宋" w:hAnsi="仿宋" w:eastAsia="仿宋" w:cs="仿宋"/>
                <w:color w:val="000000"/>
                <w:sz w:val="21"/>
                <w:highlight w:val="none"/>
              </w:rPr>
              <w:t>分）：提供运维保障服务</w:t>
            </w:r>
            <w:r>
              <w:rPr>
                <w:rFonts w:hint="eastAsia" w:ascii="仿宋" w:hAnsi="仿宋" w:eastAsia="仿宋" w:cs="仿宋"/>
                <w:color w:val="000000"/>
                <w:sz w:val="21"/>
                <w:highlight w:val="none"/>
                <w:lang w:val="en-US" w:eastAsia="zh-CN"/>
              </w:rPr>
              <w:t>方案</w:t>
            </w:r>
            <w:r>
              <w:rPr>
                <w:rFonts w:hint="eastAsia" w:ascii="仿宋" w:hAnsi="仿宋" w:eastAsia="仿宋" w:cs="仿宋"/>
                <w:color w:val="000000"/>
                <w:sz w:val="21"/>
                <w:highlight w:val="none"/>
              </w:rPr>
              <w:t>，</w:t>
            </w:r>
            <w:r>
              <w:rPr>
                <w:rFonts w:hint="eastAsia" w:ascii="仿宋" w:hAnsi="仿宋" w:eastAsia="仿宋" w:cs="仿宋"/>
                <w:color w:val="000000"/>
                <w:sz w:val="21"/>
                <w:highlight w:val="none"/>
                <w:lang w:val="en-US" w:eastAsia="zh-CN"/>
              </w:rPr>
              <w:t>包含5项评审内容：</w:t>
            </w:r>
            <w:r>
              <w:rPr>
                <w:rFonts w:hint="eastAsia" w:ascii="仿宋" w:hAnsi="仿宋" w:eastAsia="仿宋" w:cs="仿宋"/>
                <w:color w:val="000000"/>
                <w:sz w:val="21"/>
                <w:highlight w:val="none"/>
              </w:rPr>
              <w:t>①</w:t>
            </w:r>
            <w:r>
              <w:rPr>
                <w:rFonts w:hint="eastAsia" w:ascii="仿宋" w:hAnsi="仿宋" w:eastAsia="仿宋" w:cs="仿宋"/>
                <w:color w:val="000000"/>
                <w:sz w:val="21"/>
                <w:highlight w:val="none"/>
                <w:lang w:val="en-US" w:eastAsia="zh-CN"/>
              </w:rPr>
              <w:t>运维团队配备方案</w:t>
            </w:r>
            <w:r>
              <w:rPr>
                <w:rFonts w:hint="eastAsia" w:ascii="仿宋" w:hAnsi="仿宋" w:eastAsia="仿宋" w:cs="仿宋"/>
                <w:color w:val="000000"/>
                <w:sz w:val="21"/>
                <w:highlight w:val="none"/>
              </w:rPr>
              <w:t>、②运维服务方案、③</w:t>
            </w:r>
            <w:r>
              <w:rPr>
                <w:rFonts w:hint="eastAsia" w:ascii="仿宋" w:hAnsi="仿宋" w:eastAsia="仿宋" w:cs="仿宋"/>
                <w:color w:val="000000"/>
                <w:sz w:val="21"/>
                <w:highlight w:val="none"/>
                <w:lang w:val="en-US" w:eastAsia="zh-CN"/>
              </w:rPr>
              <w:t>运维管理及相关制度、④售后服务方案、⑤重大活动及节假日重保方案，无</w:t>
            </w:r>
            <w:r>
              <w:rPr>
                <w:rFonts w:hint="eastAsia" w:ascii="仿宋" w:hAnsi="仿宋" w:eastAsia="仿宋" w:cs="仿宋"/>
                <w:color w:val="000000"/>
                <w:sz w:val="21"/>
                <w:highlight w:val="none"/>
              </w:rPr>
              <w:t>缺项漏项；专业技术人员总人数不少于10人，</w:t>
            </w:r>
            <w:r>
              <w:rPr>
                <w:rFonts w:hint="eastAsia" w:ascii="仿宋" w:hAnsi="仿宋" w:eastAsia="仿宋" w:cs="仿宋"/>
                <w:color w:val="000000"/>
                <w:sz w:val="21"/>
                <w:highlight w:val="none"/>
                <w:lang w:val="en-US" w:eastAsia="zh-CN"/>
              </w:rPr>
              <w:t>但</w:t>
            </w:r>
            <w:r>
              <w:rPr>
                <w:rFonts w:hint="eastAsia" w:ascii="仿宋" w:hAnsi="仿宋" w:eastAsia="仿宋" w:cs="仿宋"/>
                <w:color w:val="000000"/>
                <w:sz w:val="21"/>
                <w:highlight w:val="none"/>
              </w:rPr>
              <w:t>人员资质配置较低；方案无重大缺陷，可满足基础运维保障要求</w:t>
            </w:r>
            <w:r>
              <w:rPr>
                <w:rFonts w:hint="eastAsia" w:ascii="仿宋" w:hAnsi="仿宋" w:eastAsia="仿宋" w:cs="仿宋"/>
                <w:color w:val="000000"/>
                <w:sz w:val="21"/>
                <w:highlight w:val="none"/>
                <w:lang w:eastAsia="zh-CN"/>
              </w:rPr>
              <w:t>，</w:t>
            </w:r>
            <w:r>
              <w:rPr>
                <w:rFonts w:hint="eastAsia" w:ascii="仿宋" w:hAnsi="仿宋" w:eastAsia="仿宋" w:cs="仿宋"/>
                <w:color w:val="000000"/>
                <w:sz w:val="21"/>
                <w:highlight w:val="none"/>
                <w:lang w:val="en-US" w:eastAsia="zh-CN"/>
              </w:rPr>
              <w:t>但</w:t>
            </w:r>
            <w:r>
              <w:rPr>
                <w:rFonts w:hint="eastAsia" w:ascii="仿宋" w:hAnsi="仿宋" w:eastAsia="仿宋" w:cs="仿宋"/>
                <w:color w:val="000000"/>
                <w:sz w:val="21"/>
                <w:highlight w:val="none"/>
              </w:rPr>
              <w:t>部分内容描述简略，缺乏完整性和合理性。</w:t>
            </w:r>
          </w:p>
          <w:p w14:paraId="338BE6D3">
            <w:pPr>
              <w:pStyle w:val="14"/>
              <w:keepNext w:val="0"/>
              <w:keepLines w:val="0"/>
              <w:pageBreakBefore w:val="0"/>
              <w:kinsoku/>
              <w:wordWrap/>
              <w:overflowPunct/>
              <w:topLinePunct w:val="0"/>
              <w:autoSpaceDE/>
              <w:autoSpaceDN/>
              <w:bidi w:val="0"/>
              <w:adjustRightInd/>
              <w:snapToGrid/>
              <w:spacing w:line="360" w:lineRule="exact"/>
              <w:ind w:firstLine="420" w:firstLineChars="200"/>
              <w:jc w:val="left"/>
              <w:textAlignment w:val="auto"/>
              <w:rPr>
                <w:rFonts w:hint="eastAsia" w:ascii="仿宋" w:hAnsi="仿宋" w:eastAsia="仿宋" w:cs="仿宋"/>
                <w:color w:val="000000"/>
                <w:sz w:val="21"/>
                <w:highlight w:val="none"/>
              </w:rPr>
            </w:pPr>
            <w:r>
              <w:rPr>
                <w:rFonts w:hint="eastAsia" w:ascii="仿宋" w:hAnsi="仿宋" w:eastAsia="仿宋" w:cs="仿宋"/>
                <w:color w:val="000000"/>
                <w:sz w:val="21"/>
                <w:highlight w:val="none"/>
              </w:rPr>
              <w:t>三档（1</w:t>
            </w:r>
            <w:r>
              <w:rPr>
                <w:rFonts w:hint="eastAsia" w:ascii="仿宋" w:hAnsi="仿宋" w:eastAsia="仿宋" w:cs="仿宋"/>
                <w:color w:val="000000"/>
                <w:sz w:val="21"/>
                <w:highlight w:val="none"/>
                <w:lang w:val="en-US" w:eastAsia="zh-CN"/>
              </w:rPr>
              <w:t>5</w:t>
            </w:r>
            <w:r>
              <w:rPr>
                <w:rFonts w:hint="eastAsia" w:ascii="仿宋" w:hAnsi="仿宋" w:eastAsia="仿宋" w:cs="仿宋"/>
                <w:color w:val="000000"/>
                <w:sz w:val="21"/>
                <w:highlight w:val="none"/>
              </w:rPr>
              <w:t>分）：提供运维保障服务</w:t>
            </w:r>
            <w:r>
              <w:rPr>
                <w:rFonts w:hint="eastAsia" w:ascii="仿宋" w:hAnsi="仿宋" w:eastAsia="仿宋" w:cs="仿宋"/>
                <w:color w:val="000000"/>
                <w:sz w:val="21"/>
                <w:highlight w:val="none"/>
                <w:lang w:val="en-US" w:eastAsia="zh-CN"/>
              </w:rPr>
              <w:t>方案，包含5项评审内容：</w:t>
            </w:r>
            <w:r>
              <w:rPr>
                <w:rFonts w:hint="eastAsia" w:ascii="仿宋" w:hAnsi="仿宋" w:eastAsia="仿宋" w:cs="仿宋"/>
                <w:color w:val="000000"/>
                <w:sz w:val="21"/>
                <w:highlight w:val="none"/>
              </w:rPr>
              <w:t>①</w:t>
            </w:r>
            <w:r>
              <w:rPr>
                <w:rFonts w:hint="eastAsia" w:ascii="仿宋" w:hAnsi="仿宋" w:eastAsia="仿宋" w:cs="仿宋"/>
                <w:color w:val="000000"/>
                <w:sz w:val="21"/>
                <w:highlight w:val="none"/>
                <w:lang w:val="en-US" w:eastAsia="zh-CN"/>
              </w:rPr>
              <w:t>运维团队配备方案</w:t>
            </w:r>
            <w:r>
              <w:rPr>
                <w:rFonts w:hint="eastAsia" w:ascii="仿宋" w:hAnsi="仿宋" w:eastAsia="仿宋" w:cs="仿宋"/>
                <w:color w:val="000000"/>
                <w:sz w:val="21"/>
                <w:highlight w:val="none"/>
              </w:rPr>
              <w:t>、②运维服务方案、③</w:t>
            </w:r>
            <w:r>
              <w:rPr>
                <w:rFonts w:hint="eastAsia" w:ascii="仿宋" w:hAnsi="仿宋" w:eastAsia="仿宋" w:cs="仿宋"/>
                <w:color w:val="000000"/>
                <w:sz w:val="21"/>
                <w:highlight w:val="none"/>
                <w:lang w:val="en-US" w:eastAsia="zh-CN"/>
              </w:rPr>
              <w:t>运维管理及相关制度、④售后服务方案、⑤重大活动及节假日重保方案</w:t>
            </w:r>
            <w:r>
              <w:rPr>
                <w:rFonts w:hint="eastAsia" w:ascii="仿宋" w:hAnsi="仿宋" w:eastAsia="仿宋" w:cs="仿宋"/>
                <w:color w:val="000000"/>
                <w:sz w:val="21"/>
                <w:highlight w:val="none"/>
              </w:rPr>
              <w:t>，无缺项漏项；</w:t>
            </w:r>
            <w:r>
              <w:rPr>
                <w:rFonts w:hint="eastAsia" w:ascii="仿宋" w:hAnsi="仿宋" w:eastAsia="仿宋" w:cs="仿宋"/>
                <w:color w:val="auto"/>
                <w:sz w:val="21"/>
                <w:highlight w:val="none"/>
              </w:rPr>
              <w:t>提供专业技术人员</w:t>
            </w:r>
            <w:r>
              <w:rPr>
                <w:rFonts w:hint="eastAsia" w:ascii="仿宋" w:hAnsi="仿宋" w:eastAsia="仿宋" w:cs="仿宋"/>
                <w:color w:val="auto"/>
                <w:sz w:val="21"/>
                <w:highlight w:val="none"/>
                <w:lang w:val="en-US" w:eastAsia="zh-CN"/>
              </w:rPr>
              <w:t>总人数</w:t>
            </w:r>
            <w:r>
              <w:rPr>
                <w:rFonts w:hint="eastAsia" w:ascii="仿宋" w:hAnsi="仿宋" w:eastAsia="仿宋" w:cs="仿宋"/>
                <w:color w:val="auto"/>
                <w:sz w:val="21"/>
                <w:highlight w:val="none"/>
              </w:rPr>
              <w:t>不少于10人，设置项目负责人</w:t>
            </w:r>
            <w:r>
              <w:rPr>
                <w:rFonts w:hint="eastAsia" w:ascii="仿宋" w:hAnsi="仿宋" w:eastAsia="仿宋" w:cs="仿宋"/>
                <w:color w:val="auto"/>
                <w:sz w:val="21"/>
                <w:highlight w:val="none"/>
                <w:lang w:val="en-US" w:eastAsia="zh-CN"/>
              </w:rPr>
              <w:t>1</w:t>
            </w:r>
            <w:r>
              <w:rPr>
                <w:rFonts w:hint="eastAsia" w:ascii="仿宋" w:hAnsi="仿宋" w:eastAsia="仿宋" w:cs="仿宋"/>
                <w:color w:val="auto"/>
                <w:sz w:val="21"/>
                <w:highlight w:val="none"/>
              </w:rPr>
              <w:t>名、技术负责人（技术经理）</w:t>
            </w:r>
            <w:r>
              <w:rPr>
                <w:rFonts w:hint="eastAsia" w:ascii="仿宋" w:hAnsi="仿宋" w:eastAsia="仿宋" w:cs="仿宋"/>
                <w:color w:val="auto"/>
                <w:sz w:val="21"/>
                <w:highlight w:val="none"/>
                <w:lang w:val="en-US" w:eastAsia="zh-CN"/>
              </w:rPr>
              <w:t>1</w:t>
            </w:r>
            <w:r>
              <w:rPr>
                <w:rFonts w:hint="eastAsia" w:ascii="仿宋" w:hAnsi="仿宋" w:eastAsia="仿宋" w:cs="仿宋"/>
                <w:color w:val="auto"/>
                <w:sz w:val="21"/>
                <w:highlight w:val="none"/>
              </w:rPr>
              <w:t>名</w:t>
            </w:r>
            <w:r>
              <w:rPr>
                <w:rFonts w:hint="eastAsia" w:ascii="仿宋" w:hAnsi="仿宋" w:eastAsia="仿宋" w:cs="仿宋"/>
                <w:color w:val="auto"/>
                <w:sz w:val="21"/>
                <w:highlight w:val="none"/>
                <w:lang w:eastAsia="zh-CN"/>
              </w:rPr>
              <w:t>，</w:t>
            </w:r>
            <w:r>
              <w:rPr>
                <w:rFonts w:hint="eastAsia" w:ascii="仿宋" w:hAnsi="仿宋" w:eastAsia="仿宋" w:cs="仿宋"/>
                <w:color w:val="auto"/>
                <w:sz w:val="21"/>
                <w:highlight w:val="none"/>
              </w:rPr>
              <w:t>拟派项目负责人具有信息系统项目管理师（国家软考）</w:t>
            </w:r>
            <w:r>
              <w:rPr>
                <w:rFonts w:hint="eastAsia" w:ascii="仿宋" w:hAnsi="仿宋" w:eastAsia="仿宋" w:cs="仿宋"/>
                <w:color w:val="auto"/>
                <w:sz w:val="21"/>
                <w:highlight w:val="none"/>
                <w:lang w:val="en-US" w:eastAsia="zh-CN"/>
              </w:rPr>
              <w:t>或</w:t>
            </w:r>
            <w:r>
              <w:rPr>
                <w:rFonts w:hint="eastAsia" w:ascii="仿宋" w:hAnsi="仿宋" w:eastAsia="仿宋" w:cs="仿宋"/>
                <w:color w:val="auto"/>
                <w:sz w:val="21"/>
                <w:highlight w:val="none"/>
              </w:rPr>
              <w:t>数据库系统工程师</w:t>
            </w:r>
            <w:r>
              <w:rPr>
                <w:rFonts w:hint="eastAsia" w:ascii="仿宋" w:hAnsi="仿宋" w:eastAsia="仿宋" w:cs="仿宋"/>
                <w:color w:val="000000"/>
                <w:sz w:val="21"/>
                <w:szCs w:val="24"/>
                <w:highlight w:val="none"/>
              </w:rPr>
              <w:t>（国家软考），拟派技术负责人（技术经理）具</w:t>
            </w:r>
            <w:r>
              <w:rPr>
                <w:rFonts w:hint="eastAsia" w:ascii="仿宋" w:hAnsi="仿宋" w:eastAsia="仿宋" w:cs="仿宋"/>
                <w:color w:val="000000"/>
                <w:sz w:val="21"/>
                <w:szCs w:val="24"/>
                <w:highlight w:val="none"/>
                <w:lang w:val="en-US" w:eastAsia="zh-CN"/>
              </w:rPr>
              <w:t>有</w:t>
            </w:r>
            <w:r>
              <w:rPr>
                <w:rFonts w:hint="eastAsia" w:ascii="仿宋" w:hAnsi="仿宋" w:eastAsia="仿宋" w:cs="仿宋"/>
                <w:color w:val="000000"/>
                <w:sz w:val="21"/>
                <w:szCs w:val="24"/>
                <w:highlight w:val="none"/>
              </w:rPr>
              <w:t>系统分析师（国家软考）</w:t>
            </w:r>
            <w:r>
              <w:rPr>
                <w:rFonts w:hint="eastAsia" w:ascii="仿宋" w:hAnsi="仿宋" w:eastAsia="仿宋" w:cs="仿宋"/>
                <w:color w:val="000000"/>
                <w:sz w:val="21"/>
                <w:szCs w:val="24"/>
                <w:highlight w:val="none"/>
                <w:lang w:val="en-US" w:eastAsia="zh-CN"/>
              </w:rPr>
              <w:t>或</w:t>
            </w:r>
            <w:r>
              <w:rPr>
                <w:rFonts w:hint="eastAsia" w:ascii="仿宋" w:hAnsi="仿宋" w:eastAsia="仿宋" w:cs="仿宋"/>
                <w:color w:val="000000"/>
                <w:sz w:val="21"/>
                <w:szCs w:val="24"/>
                <w:highlight w:val="none"/>
              </w:rPr>
              <w:t>系统架构设计师（国家软考）</w:t>
            </w:r>
            <w:r>
              <w:rPr>
                <w:rFonts w:hint="eastAsia" w:ascii="仿宋" w:hAnsi="仿宋" w:eastAsia="仿宋" w:cs="仿宋"/>
                <w:color w:val="000000"/>
                <w:sz w:val="21"/>
                <w:szCs w:val="24"/>
                <w:highlight w:val="none"/>
                <w:lang w:eastAsia="zh-CN"/>
              </w:rPr>
              <w:t>，</w:t>
            </w:r>
            <w:r>
              <w:rPr>
                <w:rFonts w:hint="eastAsia" w:ascii="仿宋" w:hAnsi="仿宋" w:eastAsia="仿宋" w:cs="仿宋"/>
                <w:color w:val="000000"/>
                <w:sz w:val="21"/>
                <w:szCs w:val="24"/>
                <w:highlight w:val="none"/>
                <w:lang w:val="en-US" w:eastAsia="zh-CN"/>
              </w:rPr>
              <w:t>其余技术人员不少于3人持有</w:t>
            </w:r>
            <w:r>
              <w:rPr>
                <w:rFonts w:hint="eastAsia" w:ascii="仿宋" w:hAnsi="仿宋" w:eastAsia="仿宋" w:cs="仿宋"/>
                <w:color w:val="000000"/>
                <w:sz w:val="21"/>
                <w:szCs w:val="24"/>
                <w:highlight w:val="none"/>
              </w:rPr>
              <w:t>信息系统项目管理师（软考）、数据库系统工程师（软考）、系统集成项目管理工程师（软考）、网络工程师证书(软考)、信息安全工程师(软考)、软件设计师（软考）</w:t>
            </w:r>
            <w:r>
              <w:rPr>
                <w:rFonts w:hint="eastAsia" w:ascii="仿宋" w:hAnsi="仿宋" w:eastAsia="仿宋" w:cs="仿宋"/>
                <w:color w:val="000000"/>
                <w:sz w:val="21"/>
                <w:szCs w:val="24"/>
                <w:highlight w:val="none"/>
                <w:lang w:val="en-US" w:eastAsia="zh-CN"/>
              </w:rPr>
              <w:t>中任一证书（</w:t>
            </w:r>
            <w:r>
              <w:rPr>
                <w:rFonts w:hint="eastAsia" w:ascii="仿宋" w:hAnsi="仿宋" w:eastAsia="仿宋" w:cs="仿宋"/>
                <w:color w:val="000000"/>
                <w:sz w:val="21"/>
                <w:szCs w:val="24"/>
                <w:highlight w:val="none"/>
                <w:lang w:eastAsia="zh-CN"/>
              </w:rPr>
              <w:t>同一人多个证书只计1人</w:t>
            </w:r>
            <w:r>
              <w:rPr>
                <w:rFonts w:hint="eastAsia" w:ascii="仿宋" w:hAnsi="仿宋" w:eastAsia="仿宋" w:cs="仿宋"/>
                <w:color w:val="000000"/>
                <w:sz w:val="21"/>
                <w:szCs w:val="24"/>
                <w:highlight w:val="none"/>
                <w:lang w:val="en-US" w:eastAsia="zh-CN"/>
              </w:rPr>
              <w:t>）</w:t>
            </w:r>
            <w:r>
              <w:rPr>
                <w:rFonts w:hint="eastAsia" w:ascii="仿宋" w:hAnsi="仿宋" w:eastAsia="仿宋" w:cs="仿宋"/>
                <w:color w:val="000000"/>
                <w:sz w:val="21"/>
                <w:szCs w:val="24"/>
                <w:highlight w:val="none"/>
                <w:lang w:eastAsia="zh-CN"/>
              </w:rPr>
              <w:t>；针对项目涉及到的基础设施、云平台、网络、安全服务方面提供运行维护服务方案、后续服务承诺，服务内容根据项目的属性具体分析并且承诺，</w:t>
            </w:r>
            <w:r>
              <w:rPr>
                <w:rFonts w:hint="eastAsia" w:ascii="仿宋" w:hAnsi="仿宋" w:eastAsia="仿宋" w:cs="仿宋"/>
                <w:color w:val="000000"/>
                <w:sz w:val="21"/>
                <w:szCs w:val="24"/>
                <w:highlight w:val="none"/>
                <w:lang w:val="en-US" w:eastAsia="zh-CN"/>
              </w:rPr>
              <w:t>涵盖</w:t>
            </w:r>
            <w:r>
              <w:rPr>
                <w:rFonts w:hint="eastAsia" w:ascii="仿宋" w:hAnsi="仿宋" w:eastAsia="仿宋" w:cs="仿宋"/>
                <w:color w:val="000000"/>
                <w:sz w:val="21"/>
                <w:szCs w:val="24"/>
                <w:highlight w:val="none"/>
                <w:lang w:eastAsia="zh-CN"/>
              </w:rPr>
              <w:t>运维服务体系、服务措施</w:t>
            </w:r>
            <w:r>
              <w:rPr>
                <w:rFonts w:hint="eastAsia" w:ascii="仿宋" w:hAnsi="仿宋" w:eastAsia="仿宋" w:cs="仿宋"/>
                <w:color w:val="000000"/>
                <w:sz w:val="21"/>
                <w:szCs w:val="24"/>
                <w:highlight w:val="none"/>
                <w:lang w:val="en-US" w:eastAsia="zh-CN"/>
              </w:rPr>
              <w:t>等</w:t>
            </w:r>
            <w:r>
              <w:rPr>
                <w:rFonts w:hint="eastAsia" w:ascii="仿宋" w:hAnsi="仿宋" w:eastAsia="仿宋" w:cs="仿宋"/>
                <w:color w:val="000000"/>
                <w:sz w:val="21"/>
                <w:szCs w:val="24"/>
                <w:highlight w:val="none"/>
                <w:lang w:eastAsia="zh-CN"/>
              </w:rPr>
              <w:t>，建立完善的</w:t>
            </w:r>
            <w:r>
              <w:rPr>
                <w:rFonts w:hint="eastAsia" w:ascii="仿宋" w:hAnsi="仿宋" w:eastAsia="仿宋" w:cs="仿宋"/>
                <w:color w:val="000000"/>
                <w:sz w:val="21"/>
                <w:szCs w:val="24"/>
                <w:highlight w:val="none"/>
                <w:lang w:val="en-US" w:eastAsia="zh-CN"/>
              </w:rPr>
              <w:t>政务云、</w:t>
            </w:r>
            <w:r>
              <w:rPr>
                <w:rFonts w:hint="eastAsia" w:ascii="仿宋" w:hAnsi="仿宋" w:eastAsia="仿宋" w:cs="仿宋"/>
                <w:color w:val="000000"/>
                <w:sz w:val="21"/>
                <w:szCs w:val="24"/>
                <w:highlight w:val="none"/>
                <w:lang w:eastAsia="zh-CN"/>
              </w:rPr>
              <w:t>日常运维、</w:t>
            </w:r>
            <w:r>
              <w:rPr>
                <w:rFonts w:hint="eastAsia" w:ascii="仿宋" w:hAnsi="仿宋" w:eastAsia="仿宋" w:cs="仿宋"/>
                <w:color w:val="000000"/>
                <w:sz w:val="21"/>
                <w:szCs w:val="24"/>
                <w:highlight w:val="none"/>
                <w:lang w:val="en-US" w:eastAsia="zh-CN"/>
              </w:rPr>
              <w:t>应急等</w:t>
            </w:r>
            <w:r>
              <w:rPr>
                <w:rFonts w:hint="eastAsia" w:ascii="仿宋" w:hAnsi="仿宋" w:eastAsia="仿宋" w:cs="仿宋"/>
                <w:color w:val="000000"/>
                <w:sz w:val="21"/>
                <w:szCs w:val="24"/>
                <w:highlight w:val="none"/>
                <w:lang w:eastAsia="zh-CN"/>
              </w:rPr>
              <w:t>管理制度</w:t>
            </w:r>
            <w:r>
              <w:rPr>
                <w:rFonts w:hint="eastAsia" w:ascii="仿宋" w:hAnsi="仿宋" w:eastAsia="仿宋" w:cs="仿宋"/>
                <w:color w:val="000000"/>
                <w:sz w:val="21"/>
                <w:szCs w:val="24"/>
                <w:highlight w:val="none"/>
                <w:lang w:val="en-US" w:eastAsia="zh-CN"/>
              </w:rPr>
              <w:t>以及</w:t>
            </w:r>
            <w:r>
              <w:rPr>
                <w:rFonts w:hint="eastAsia" w:ascii="仿宋" w:hAnsi="仿宋" w:eastAsia="仿宋" w:cs="仿宋"/>
                <w:color w:val="000000"/>
                <w:sz w:val="21"/>
                <w:szCs w:val="24"/>
                <w:highlight w:val="none"/>
                <w:lang w:eastAsia="zh-CN"/>
              </w:rPr>
              <w:t>问题台账，</w:t>
            </w:r>
            <w:r>
              <w:rPr>
                <w:rFonts w:hint="eastAsia" w:ascii="仿宋" w:hAnsi="仿宋" w:eastAsia="仿宋" w:cs="仿宋"/>
                <w:color w:val="000000"/>
                <w:sz w:val="21"/>
                <w:szCs w:val="24"/>
                <w:highlight w:val="none"/>
                <w:lang w:val="en-US" w:eastAsia="zh-CN"/>
              </w:rPr>
              <w:t>建立售后对接渠道、服务沟通机制</w:t>
            </w:r>
            <w:r>
              <w:rPr>
                <w:rFonts w:hint="eastAsia" w:ascii="仿宋" w:hAnsi="仿宋" w:eastAsia="仿宋" w:cs="仿宋"/>
                <w:color w:val="000000"/>
                <w:sz w:val="21"/>
                <w:szCs w:val="24"/>
                <w:highlight w:val="none"/>
                <w:lang w:eastAsia="zh-CN"/>
              </w:rPr>
              <w:t>，制定基础的节假日、一般性重大活动重保工作方案，</w:t>
            </w:r>
            <w:r>
              <w:rPr>
                <w:rFonts w:hint="eastAsia" w:ascii="仿宋" w:hAnsi="仿宋" w:eastAsia="仿宋" w:cs="仿宋"/>
                <w:color w:val="000000"/>
                <w:sz w:val="21"/>
                <w:szCs w:val="24"/>
                <w:highlight w:val="none"/>
                <w:lang w:val="en-US" w:eastAsia="zh-CN"/>
              </w:rPr>
              <w:t>方案覆盖3类典型场景（如两会、国庆、防汛），</w:t>
            </w:r>
            <w:r>
              <w:rPr>
                <w:rFonts w:hint="eastAsia" w:ascii="仿宋" w:hAnsi="仿宋" w:eastAsia="仿宋" w:cs="仿宋"/>
                <w:color w:val="000000"/>
                <w:sz w:val="21"/>
                <w:szCs w:val="24"/>
                <w:highlight w:val="none"/>
                <w:lang w:eastAsia="zh-CN"/>
              </w:rPr>
              <w:t>明确重保周期、值守人员安排</w:t>
            </w:r>
            <w:r>
              <w:rPr>
                <w:rFonts w:hint="eastAsia" w:ascii="仿宋" w:hAnsi="仿宋" w:eastAsia="仿宋" w:cs="仿宋"/>
                <w:color w:val="000000"/>
                <w:sz w:val="21"/>
                <w:szCs w:val="24"/>
                <w:highlight w:val="none"/>
                <w:lang w:val="en-US" w:eastAsia="zh-CN"/>
              </w:rPr>
              <w:t>等</w:t>
            </w:r>
            <w:r>
              <w:rPr>
                <w:rFonts w:hint="eastAsia" w:ascii="仿宋" w:hAnsi="仿宋" w:eastAsia="仿宋" w:cs="仿宋"/>
                <w:color w:val="000000"/>
                <w:sz w:val="21"/>
                <w:szCs w:val="24"/>
                <w:highlight w:val="none"/>
                <w:lang w:eastAsia="zh-CN"/>
              </w:rPr>
              <w:t>；</w:t>
            </w:r>
            <w:r>
              <w:rPr>
                <w:rFonts w:hint="eastAsia" w:ascii="仿宋" w:hAnsi="仿宋" w:eastAsia="仿宋" w:cs="仿宋"/>
                <w:color w:val="000000"/>
                <w:sz w:val="21"/>
                <w:highlight w:val="none"/>
              </w:rPr>
              <w:t>各项方案描述完整、合理可行，基本符合规范要求和行业政策，可有效支撑项目运维需求。</w:t>
            </w:r>
          </w:p>
          <w:p w14:paraId="1F62E8C4">
            <w:pPr>
              <w:keepNext w:val="0"/>
              <w:keepLines w:val="0"/>
              <w:pageBreakBefore w:val="0"/>
              <w:kinsoku/>
              <w:wordWrap/>
              <w:overflowPunct/>
              <w:topLinePunct w:val="0"/>
              <w:autoSpaceDE/>
              <w:autoSpaceDN/>
              <w:bidi w:val="0"/>
              <w:adjustRightInd/>
              <w:snapToGrid/>
              <w:spacing w:line="360" w:lineRule="exact"/>
              <w:ind w:firstLine="420" w:firstLineChars="200"/>
              <w:jc w:val="left"/>
              <w:textAlignment w:val="auto"/>
              <w:rPr>
                <w:rFonts w:hint="eastAsia" w:ascii="仿宋" w:hAnsi="仿宋" w:eastAsia="仿宋" w:cs="仿宋"/>
                <w:color w:val="000000"/>
                <w:sz w:val="21"/>
                <w:highlight w:val="none"/>
              </w:rPr>
            </w:pPr>
            <w:r>
              <w:rPr>
                <w:rFonts w:hint="eastAsia" w:ascii="仿宋" w:hAnsi="仿宋" w:eastAsia="仿宋" w:cs="仿宋"/>
                <w:color w:val="000000"/>
                <w:sz w:val="21"/>
                <w:highlight w:val="none"/>
              </w:rPr>
              <w:t>四档（</w:t>
            </w:r>
            <w:r>
              <w:rPr>
                <w:rFonts w:hint="eastAsia" w:ascii="仿宋" w:hAnsi="仿宋" w:eastAsia="仿宋" w:cs="仿宋"/>
                <w:color w:val="000000"/>
                <w:sz w:val="21"/>
                <w:highlight w:val="none"/>
                <w:lang w:val="en-US" w:eastAsia="zh-CN"/>
              </w:rPr>
              <w:t>20</w:t>
            </w:r>
            <w:r>
              <w:rPr>
                <w:rFonts w:hint="eastAsia" w:ascii="仿宋" w:hAnsi="仿宋" w:eastAsia="仿宋" w:cs="仿宋"/>
                <w:color w:val="000000"/>
                <w:sz w:val="21"/>
                <w:highlight w:val="none"/>
              </w:rPr>
              <w:t>分）：提供运维保障服务</w:t>
            </w:r>
            <w:r>
              <w:rPr>
                <w:rFonts w:hint="eastAsia" w:ascii="仿宋" w:hAnsi="仿宋" w:eastAsia="仿宋" w:cs="仿宋"/>
                <w:color w:val="000000"/>
                <w:sz w:val="21"/>
                <w:highlight w:val="none"/>
                <w:lang w:val="en-US" w:eastAsia="zh-CN"/>
              </w:rPr>
              <w:t>方案，包含5项评审内容：</w:t>
            </w:r>
            <w:r>
              <w:rPr>
                <w:rFonts w:hint="eastAsia" w:ascii="仿宋" w:hAnsi="仿宋" w:eastAsia="仿宋" w:cs="仿宋"/>
                <w:color w:val="000000"/>
                <w:sz w:val="21"/>
                <w:highlight w:val="none"/>
              </w:rPr>
              <w:t>①</w:t>
            </w:r>
            <w:r>
              <w:rPr>
                <w:rFonts w:hint="eastAsia" w:ascii="仿宋" w:hAnsi="仿宋" w:eastAsia="仿宋" w:cs="仿宋"/>
                <w:color w:val="000000"/>
                <w:sz w:val="21"/>
                <w:highlight w:val="none"/>
                <w:lang w:val="en-US" w:eastAsia="zh-CN"/>
              </w:rPr>
              <w:t>运维团队配备方案</w:t>
            </w:r>
            <w:r>
              <w:rPr>
                <w:rFonts w:hint="eastAsia" w:ascii="仿宋" w:hAnsi="仿宋" w:eastAsia="仿宋" w:cs="仿宋"/>
                <w:color w:val="000000"/>
                <w:sz w:val="21"/>
                <w:highlight w:val="none"/>
              </w:rPr>
              <w:t>、②运维服务方案、③</w:t>
            </w:r>
            <w:r>
              <w:rPr>
                <w:rFonts w:hint="eastAsia" w:ascii="仿宋" w:hAnsi="仿宋" w:eastAsia="仿宋" w:cs="仿宋"/>
                <w:color w:val="000000"/>
                <w:sz w:val="21"/>
                <w:highlight w:val="none"/>
                <w:lang w:val="en-US" w:eastAsia="zh-CN"/>
              </w:rPr>
              <w:t>运维管理及相关制度、④售后服务方案、⑤重大活动及节假日重保方案</w:t>
            </w:r>
            <w:r>
              <w:rPr>
                <w:rFonts w:hint="eastAsia" w:ascii="仿宋" w:hAnsi="仿宋" w:eastAsia="仿宋" w:cs="仿宋"/>
                <w:color w:val="000000"/>
                <w:sz w:val="21"/>
                <w:highlight w:val="none"/>
              </w:rPr>
              <w:t>，无缺项漏项；</w:t>
            </w:r>
            <w:r>
              <w:rPr>
                <w:rFonts w:hint="eastAsia" w:ascii="仿宋" w:hAnsi="仿宋" w:eastAsia="仿宋" w:cs="仿宋"/>
                <w:color w:val="auto"/>
                <w:sz w:val="21"/>
                <w:highlight w:val="none"/>
              </w:rPr>
              <w:t>提供专业技术人员</w:t>
            </w:r>
            <w:r>
              <w:rPr>
                <w:rFonts w:hint="eastAsia" w:ascii="仿宋" w:hAnsi="仿宋" w:eastAsia="仿宋" w:cs="仿宋"/>
                <w:color w:val="auto"/>
                <w:sz w:val="21"/>
                <w:highlight w:val="none"/>
                <w:lang w:val="en-US" w:eastAsia="zh-CN"/>
              </w:rPr>
              <w:t>总人数</w:t>
            </w:r>
            <w:r>
              <w:rPr>
                <w:rFonts w:hint="eastAsia" w:ascii="仿宋" w:hAnsi="仿宋" w:eastAsia="仿宋" w:cs="仿宋"/>
                <w:color w:val="auto"/>
                <w:sz w:val="21"/>
                <w:highlight w:val="none"/>
              </w:rPr>
              <w:t>不少于10人</w:t>
            </w:r>
            <w:r>
              <w:rPr>
                <w:rFonts w:hint="eastAsia" w:ascii="仿宋" w:hAnsi="仿宋" w:eastAsia="仿宋" w:cs="仿宋"/>
                <w:color w:val="auto"/>
                <w:sz w:val="21"/>
                <w:highlight w:val="none"/>
                <w:lang w:eastAsia="zh-CN"/>
              </w:rPr>
              <w:t>，</w:t>
            </w:r>
            <w:r>
              <w:rPr>
                <w:rFonts w:hint="eastAsia" w:ascii="仿宋" w:hAnsi="仿宋" w:eastAsia="仿宋" w:cs="仿宋"/>
                <w:color w:val="auto"/>
                <w:sz w:val="21"/>
                <w:highlight w:val="none"/>
              </w:rPr>
              <w:t>设置项目负责人</w:t>
            </w:r>
            <w:r>
              <w:rPr>
                <w:rFonts w:hint="eastAsia" w:ascii="仿宋" w:hAnsi="仿宋" w:eastAsia="仿宋" w:cs="仿宋"/>
                <w:color w:val="auto"/>
                <w:sz w:val="21"/>
                <w:highlight w:val="none"/>
                <w:lang w:val="en-US" w:eastAsia="zh-CN"/>
              </w:rPr>
              <w:t>1</w:t>
            </w:r>
            <w:r>
              <w:rPr>
                <w:rFonts w:hint="eastAsia" w:ascii="仿宋" w:hAnsi="仿宋" w:eastAsia="仿宋" w:cs="仿宋"/>
                <w:color w:val="auto"/>
                <w:sz w:val="21"/>
                <w:highlight w:val="none"/>
              </w:rPr>
              <w:t>名、技术负责人（技术经理）</w:t>
            </w:r>
            <w:r>
              <w:rPr>
                <w:rFonts w:hint="eastAsia" w:ascii="仿宋" w:hAnsi="仿宋" w:eastAsia="仿宋" w:cs="仿宋"/>
                <w:color w:val="auto"/>
                <w:sz w:val="21"/>
                <w:highlight w:val="none"/>
                <w:lang w:val="en-US" w:eastAsia="zh-CN"/>
              </w:rPr>
              <w:t>1</w:t>
            </w:r>
            <w:r>
              <w:rPr>
                <w:rFonts w:hint="eastAsia" w:ascii="仿宋" w:hAnsi="仿宋" w:eastAsia="仿宋" w:cs="仿宋"/>
                <w:color w:val="auto"/>
                <w:sz w:val="21"/>
                <w:highlight w:val="none"/>
              </w:rPr>
              <w:t>名</w:t>
            </w:r>
            <w:r>
              <w:rPr>
                <w:rFonts w:hint="eastAsia" w:ascii="仿宋" w:hAnsi="仿宋" w:eastAsia="仿宋" w:cs="仿宋"/>
                <w:color w:val="auto"/>
                <w:sz w:val="21"/>
                <w:highlight w:val="none"/>
                <w:lang w:eastAsia="zh-CN"/>
              </w:rPr>
              <w:t>，</w:t>
            </w:r>
            <w:r>
              <w:rPr>
                <w:rFonts w:hint="eastAsia" w:ascii="仿宋" w:hAnsi="仿宋" w:eastAsia="仿宋" w:cs="仿宋"/>
                <w:color w:val="auto"/>
                <w:sz w:val="21"/>
                <w:highlight w:val="none"/>
              </w:rPr>
              <w:t>拟派项目负责人同时具有</w:t>
            </w:r>
            <w:r>
              <w:rPr>
                <w:rFonts w:hint="eastAsia" w:ascii="仿宋" w:hAnsi="仿宋" w:eastAsia="仿宋" w:cs="仿宋"/>
                <w:color w:val="auto"/>
                <w:sz w:val="21"/>
                <w:highlight w:val="none"/>
                <w:lang w:val="en-US" w:eastAsia="zh-CN"/>
              </w:rPr>
              <w:t>高级</w:t>
            </w:r>
            <w:r>
              <w:rPr>
                <w:rFonts w:hint="eastAsia" w:ascii="仿宋" w:hAnsi="仿宋" w:eastAsia="仿宋" w:cs="仿宋"/>
                <w:color w:val="auto"/>
                <w:sz w:val="21"/>
                <w:highlight w:val="none"/>
              </w:rPr>
              <w:t>信息系统项目管理师（国家软考）及</w:t>
            </w:r>
            <w:r>
              <w:rPr>
                <w:rFonts w:hint="eastAsia" w:ascii="仿宋" w:hAnsi="仿宋" w:eastAsia="仿宋" w:cs="仿宋"/>
                <w:color w:val="auto"/>
                <w:sz w:val="21"/>
                <w:highlight w:val="none"/>
                <w:lang w:val="en-US" w:eastAsia="zh-CN"/>
              </w:rPr>
              <w:t>高级</w:t>
            </w:r>
            <w:r>
              <w:rPr>
                <w:rFonts w:hint="eastAsia" w:ascii="仿宋" w:hAnsi="仿宋" w:eastAsia="仿宋" w:cs="仿宋"/>
                <w:color w:val="auto"/>
                <w:sz w:val="21"/>
                <w:highlight w:val="none"/>
              </w:rPr>
              <w:t>数据库系统工程师（国家软考）</w:t>
            </w:r>
            <w:r>
              <w:rPr>
                <w:rFonts w:hint="eastAsia" w:ascii="仿宋" w:hAnsi="仿宋" w:eastAsia="仿宋" w:cs="仿宋"/>
                <w:color w:val="auto"/>
                <w:sz w:val="21"/>
                <w:highlight w:val="none"/>
                <w:lang w:eastAsia="zh-CN"/>
              </w:rPr>
              <w:t>，</w:t>
            </w:r>
            <w:r>
              <w:rPr>
                <w:rFonts w:hint="eastAsia" w:ascii="仿宋" w:hAnsi="仿宋" w:eastAsia="仿宋" w:cs="仿宋"/>
                <w:color w:val="auto"/>
                <w:sz w:val="21"/>
                <w:highlight w:val="none"/>
              </w:rPr>
              <w:t>拟派技术负责人（技术经理）同时具备</w:t>
            </w:r>
            <w:r>
              <w:rPr>
                <w:rFonts w:hint="eastAsia" w:ascii="仿宋" w:hAnsi="仿宋" w:eastAsia="仿宋" w:cs="仿宋"/>
                <w:color w:val="auto"/>
                <w:sz w:val="21"/>
                <w:highlight w:val="none"/>
                <w:lang w:val="en-US" w:eastAsia="zh-CN"/>
              </w:rPr>
              <w:t>高级</w:t>
            </w:r>
            <w:r>
              <w:rPr>
                <w:rFonts w:hint="eastAsia" w:ascii="仿宋" w:hAnsi="仿宋" w:eastAsia="仿宋" w:cs="仿宋"/>
                <w:color w:val="auto"/>
                <w:sz w:val="21"/>
                <w:highlight w:val="none"/>
              </w:rPr>
              <w:t>系统分析师（国家软考）及</w:t>
            </w:r>
            <w:r>
              <w:rPr>
                <w:rFonts w:hint="eastAsia" w:ascii="仿宋" w:hAnsi="仿宋" w:eastAsia="仿宋" w:cs="仿宋"/>
                <w:color w:val="auto"/>
                <w:sz w:val="21"/>
                <w:highlight w:val="none"/>
                <w:lang w:val="en-US" w:eastAsia="zh-CN"/>
              </w:rPr>
              <w:t>高级</w:t>
            </w:r>
            <w:r>
              <w:rPr>
                <w:rFonts w:hint="eastAsia" w:ascii="仿宋" w:hAnsi="仿宋" w:eastAsia="仿宋" w:cs="仿宋"/>
                <w:color w:val="auto"/>
                <w:sz w:val="21"/>
                <w:highlight w:val="none"/>
              </w:rPr>
              <w:t>系统架构设计师（国家软考）</w:t>
            </w:r>
            <w:r>
              <w:rPr>
                <w:rFonts w:hint="eastAsia" w:ascii="仿宋" w:hAnsi="仿宋" w:eastAsia="仿宋" w:cs="仿宋"/>
                <w:color w:val="auto"/>
                <w:sz w:val="21"/>
                <w:highlight w:val="none"/>
                <w:lang w:eastAsia="zh-CN"/>
              </w:rPr>
              <w:t>，</w:t>
            </w:r>
            <w:r>
              <w:rPr>
                <w:rFonts w:hint="eastAsia" w:ascii="仿宋" w:hAnsi="仿宋" w:eastAsia="仿宋" w:cs="仿宋"/>
                <w:color w:val="auto"/>
                <w:sz w:val="21"/>
                <w:highlight w:val="none"/>
                <w:lang w:val="en-US" w:eastAsia="zh-CN"/>
              </w:rPr>
              <w:t>其余技术人员不少于5人持有</w:t>
            </w:r>
            <w:r>
              <w:rPr>
                <w:rFonts w:hint="eastAsia" w:ascii="仿宋" w:hAnsi="仿宋" w:eastAsia="仿宋" w:cs="仿宋"/>
                <w:color w:val="auto"/>
                <w:sz w:val="21"/>
                <w:highlight w:val="none"/>
              </w:rPr>
              <w:t>信息系统项目管理师（软考）、数据库系统工程师（软考）、系统集成项目管理工程</w:t>
            </w:r>
            <w:r>
              <w:rPr>
                <w:rFonts w:hint="eastAsia" w:ascii="仿宋" w:hAnsi="仿宋" w:eastAsia="仿宋" w:cs="仿宋"/>
                <w:color w:val="000000"/>
                <w:sz w:val="21"/>
                <w:highlight w:val="none"/>
              </w:rPr>
              <w:t>师（软考）、网络工程师证书(软考)、信息安全工程师(软考)、软件设计师（软考）</w:t>
            </w:r>
            <w:r>
              <w:rPr>
                <w:rFonts w:hint="eastAsia" w:ascii="仿宋" w:hAnsi="仿宋" w:eastAsia="仿宋" w:cs="仿宋"/>
                <w:color w:val="000000"/>
                <w:sz w:val="21"/>
                <w:highlight w:val="none"/>
                <w:lang w:val="en-US" w:eastAsia="zh-CN"/>
              </w:rPr>
              <w:t>中任一证书（</w:t>
            </w:r>
            <w:r>
              <w:rPr>
                <w:rFonts w:hint="eastAsia" w:ascii="仿宋" w:hAnsi="仿宋" w:eastAsia="仿宋" w:cs="仿宋"/>
                <w:color w:val="000000"/>
                <w:sz w:val="21"/>
                <w:highlight w:val="none"/>
                <w:lang w:eastAsia="zh-CN"/>
              </w:rPr>
              <w:t>同一人多个证书只计1人</w:t>
            </w:r>
            <w:r>
              <w:rPr>
                <w:rFonts w:hint="eastAsia" w:ascii="仿宋" w:hAnsi="仿宋" w:eastAsia="仿宋" w:cs="仿宋"/>
                <w:color w:val="000000"/>
                <w:sz w:val="21"/>
                <w:highlight w:val="none"/>
                <w:lang w:val="en-US" w:eastAsia="zh-CN"/>
              </w:rPr>
              <w:t>）</w:t>
            </w:r>
            <w:r>
              <w:rPr>
                <w:rFonts w:hint="eastAsia" w:ascii="仿宋" w:hAnsi="仿宋" w:eastAsia="仿宋" w:cs="仿宋"/>
                <w:color w:val="000000"/>
                <w:sz w:val="21"/>
                <w:highlight w:val="none"/>
                <w:lang w:eastAsia="zh-CN"/>
              </w:rPr>
              <w:t>；针对项目涉及到的基础设施、云平台、网络、安全服务方面提供具体、可行的运行维护服务方案、后续服务承诺，服务内容根据项目的属性具体分析并且承诺，</w:t>
            </w:r>
            <w:r>
              <w:rPr>
                <w:rFonts w:hint="eastAsia" w:ascii="仿宋" w:hAnsi="仿宋" w:eastAsia="仿宋" w:cs="仿宋"/>
                <w:color w:val="000000"/>
                <w:sz w:val="21"/>
                <w:highlight w:val="none"/>
                <w:lang w:val="en-US" w:eastAsia="zh-CN"/>
              </w:rPr>
              <w:t>涵盖</w:t>
            </w:r>
            <w:r>
              <w:rPr>
                <w:rFonts w:hint="eastAsia" w:ascii="仿宋" w:hAnsi="仿宋" w:eastAsia="仿宋" w:cs="仿宋"/>
                <w:color w:val="000000"/>
                <w:sz w:val="21"/>
                <w:highlight w:val="none"/>
                <w:lang w:eastAsia="zh-CN"/>
              </w:rPr>
              <w:t>运维服务体系、服务措施、响应时间、维护服务方式，建立完善的</w:t>
            </w:r>
            <w:r>
              <w:rPr>
                <w:rFonts w:hint="eastAsia" w:ascii="仿宋" w:hAnsi="仿宋" w:eastAsia="仿宋" w:cs="仿宋"/>
                <w:color w:val="000000"/>
                <w:sz w:val="21"/>
                <w:highlight w:val="none"/>
                <w:lang w:val="en-US" w:eastAsia="zh-CN"/>
              </w:rPr>
              <w:t>政务云、</w:t>
            </w:r>
            <w:r>
              <w:rPr>
                <w:rFonts w:hint="eastAsia" w:ascii="仿宋" w:hAnsi="仿宋" w:eastAsia="仿宋" w:cs="仿宋"/>
                <w:color w:val="000000"/>
                <w:sz w:val="21"/>
                <w:highlight w:val="none"/>
                <w:lang w:eastAsia="zh-CN"/>
              </w:rPr>
              <w:t>日常运维、</w:t>
            </w:r>
            <w:r>
              <w:rPr>
                <w:rFonts w:hint="eastAsia" w:ascii="仿宋" w:hAnsi="仿宋" w:eastAsia="仿宋" w:cs="仿宋"/>
                <w:color w:val="000000"/>
                <w:sz w:val="21"/>
                <w:highlight w:val="none"/>
                <w:lang w:val="en-US" w:eastAsia="zh-CN"/>
              </w:rPr>
              <w:t>应急、</w:t>
            </w:r>
            <w:r>
              <w:rPr>
                <w:rFonts w:hint="eastAsia" w:ascii="仿宋" w:hAnsi="仿宋" w:eastAsia="仿宋" w:cs="仿宋"/>
                <w:color w:val="000000"/>
                <w:sz w:val="21"/>
                <w:highlight w:val="none"/>
                <w:lang w:eastAsia="zh-CN"/>
              </w:rPr>
              <w:t>风险管控、</w:t>
            </w:r>
            <w:r>
              <w:rPr>
                <w:rFonts w:hint="eastAsia" w:ascii="仿宋" w:hAnsi="仿宋" w:eastAsia="仿宋" w:cs="仿宋"/>
                <w:color w:val="000000"/>
                <w:sz w:val="21"/>
                <w:highlight w:val="none"/>
                <w:lang w:val="en-US" w:eastAsia="zh-CN"/>
              </w:rPr>
              <w:t>服务记录档案等</w:t>
            </w:r>
            <w:r>
              <w:rPr>
                <w:rFonts w:hint="eastAsia" w:ascii="仿宋" w:hAnsi="仿宋" w:eastAsia="仿宋" w:cs="仿宋"/>
                <w:color w:val="000000"/>
                <w:sz w:val="21"/>
                <w:highlight w:val="none"/>
                <w:lang w:eastAsia="zh-CN"/>
              </w:rPr>
              <w:t>管理制度，建立完善的分级售后服务体系、多</w:t>
            </w:r>
            <w:r>
              <w:rPr>
                <w:rFonts w:hint="eastAsia" w:ascii="仿宋" w:hAnsi="仿宋" w:eastAsia="仿宋" w:cs="仿宋"/>
                <w:color w:val="000000"/>
                <w:sz w:val="21"/>
                <w:highlight w:val="none"/>
                <w:lang w:val="en-US" w:eastAsia="zh-CN"/>
              </w:rPr>
              <w:t>种售后对接渠道</w:t>
            </w:r>
            <w:r>
              <w:rPr>
                <w:rFonts w:hint="eastAsia" w:ascii="仿宋" w:hAnsi="仿宋" w:eastAsia="仿宋" w:cs="仿宋"/>
                <w:color w:val="000000"/>
                <w:sz w:val="21"/>
                <w:highlight w:val="none"/>
                <w:lang w:eastAsia="zh-CN"/>
              </w:rPr>
              <w:t>，定期开展售后回访、问题汇总分析、优化整改工作，持续优化服务质量；制定标准化、精细化的重大活动及节假日全覆盖重保方案、</w:t>
            </w:r>
            <w:r>
              <w:rPr>
                <w:rFonts w:hint="eastAsia" w:ascii="仿宋" w:hAnsi="仿宋" w:eastAsia="仿宋" w:cs="仿宋"/>
                <w:color w:val="000000"/>
                <w:sz w:val="21"/>
                <w:highlight w:val="none"/>
                <w:lang w:val="en-US" w:eastAsia="zh-CN"/>
              </w:rPr>
              <w:t>方案覆盖3类典型场景（如两会、国庆、防汛）明确7×24小时值守，每班次承诺不少于3名计算机相关专业工程师，并承诺核心设备双冗余及备件2小时内到场。</w:t>
            </w:r>
            <w:r>
              <w:rPr>
                <w:rFonts w:hint="eastAsia" w:ascii="仿宋" w:hAnsi="仿宋" w:eastAsia="仿宋" w:cs="仿宋"/>
                <w:color w:val="000000"/>
                <w:sz w:val="21"/>
                <w:highlight w:val="none"/>
              </w:rPr>
              <w:t>每</w:t>
            </w:r>
            <w:r>
              <w:rPr>
                <w:rFonts w:hint="eastAsia" w:ascii="仿宋" w:hAnsi="仿宋" w:eastAsia="仿宋" w:cs="仿宋"/>
                <w:color w:val="auto"/>
                <w:sz w:val="21"/>
                <w:highlight w:val="none"/>
              </w:rPr>
              <w:t>项内容描述完整详实、具体可行，逻辑严谨，完全符合规范要求和行业政策，贴合项目实际，无任何缺陷，可全面支撑项目全流程运维</w:t>
            </w:r>
            <w:r>
              <w:rPr>
                <w:rFonts w:hint="eastAsia" w:ascii="仿宋" w:hAnsi="仿宋" w:eastAsia="仿宋" w:cs="仿宋"/>
                <w:color w:val="auto"/>
                <w:sz w:val="21"/>
                <w:highlight w:val="none"/>
                <w:lang w:val="en-US" w:eastAsia="zh-CN"/>
              </w:rPr>
              <w:t>需求</w:t>
            </w:r>
            <w:r>
              <w:rPr>
                <w:rFonts w:hint="eastAsia" w:ascii="仿宋" w:hAnsi="仿宋" w:eastAsia="仿宋" w:cs="仿宋"/>
                <w:color w:val="auto"/>
                <w:sz w:val="21"/>
                <w:highlight w:val="none"/>
              </w:rPr>
              <w:t>。</w:t>
            </w:r>
          </w:p>
          <w:p w14:paraId="589CA23B">
            <w:pPr>
              <w:keepNext w:val="0"/>
              <w:keepLines w:val="0"/>
              <w:pageBreakBefore w:val="0"/>
              <w:kinsoku/>
              <w:wordWrap/>
              <w:overflowPunct/>
              <w:topLinePunct w:val="0"/>
              <w:autoSpaceDE/>
              <w:autoSpaceDN/>
              <w:bidi w:val="0"/>
              <w:adjustRightInd/>
              <w:snapToGrid/>
              <w:spacing w:line="360" w:lineRule="exact"/>
              <w:ind w:firstLine="420" w:firstLineChars="200"/>
              <w:jc w:val="left"/>
              <w:textAlignment w:val="auto"/>
              <w:rPr>
                <w:rFonts w:hint="default" w:ascii="仿宋" w:hAnsi="仿宋" w:eastAsia="仿宋" w:cs="仿宋"/>
                <w:color w:val="000000"/>
                <w:sz w:val="21"/>
                <w:highlight w:val="none"/>
                <w:lang w:val="en-US" w:eastAsia="zh-CN"/>
              </w:rPr>
            </w:pPr>
            <w:r>
              <w:rPr>
                <w:rFonts w:hint="eastAsia" w:ascii="仿宋" w:hAnsi="仿宋" w:eastAsia="仿宋" w:cs="仿宋"/>
                <w:color w:val="000000"/>
                <w:sz w:val="21"/>
                <w:highlight w:val="none"/>
                <w:lang w:val="en-US" w:eastAsia="zh-CN"/>
              </w:rPr>
              <w:t>注：以上承诺（格式自拟）、证书</w:t>
            </w:r>
            <w:r>
              <w:rPr>
                <w:rFonts w:hint="eastAsia" w:ascii="仿宋" w:hAnsi="仿宋" w:eastAsia="仿宋" w:cs="仿宋"/>
                <w:color w:val="000000"/>
                <w:sz w:val="21"/>
                <w:highlight w:val="none"/>
              </w:rPr>
              <w:t>须提供扫描件</w:t>
            </w:r>
            <w:r>
              <w:rPr>
                <w:rFonts w:hint="eastAsia" w:ascii="仿宋" w:hAnsi="仿宋" w:eastAsia="仿宋" w:cs="仿宋"/>
                <w:color w:val="000000"/>
                <w:sz w:val="21"/>
                <w:highlight w:val="none"/>
                <w:lang w:eastAsia="zh-CN"/>
              </w:rPr>
              <w:t>并加盖公章</w:t>
            </w:r>
            <w:r>
              <w:rPr>
                <w:rFonts w:hint="eastAsia" w:ascii="仿宋" w:hAnsi="仿宋" w:eastAsia="仿宋" w:cs="仿宋"/>
                <w:color w:val="000000"/>
                <w:sz w:val="21"/>
                <w:highlight w:val="none"/>
              </w:rPr>
              <w:t>，未提供不计分。</w:t>
            </w:r>
          </w:p>
        </w:tc>
        <w:tc>
          <w:tcPr>
            <w:tcW w:w="736" w:type="dxa"/>
            <w:noWrap w:val="0"/>
            <w:vAlign w:val="center"/>
          </w:tcPr>
          <w:p w14:paraId="7665707F">
            <w:pPr>
              <w:pStyle w:val="14"/>
              <w:keepNext w:val="0"/>
              <w:keepLines w:val="0"/>
              <w:pageBreakBefore w:val="0"/>
              <w:kinsoku/>
              <w:wordWrap/>
              <w:overflowPunct/>
              <w:topLinePunct w:val="0"/>
              <w:autoSpaceDE/>
              <w:autoSpaceDN/>
              <w:bidi w:val="0"/>
              <w:adjustRightInd/>
              <w:snapToGrid/>
              <w:spacing w:line="360" w:lineRule="exact"/>
              <w:ind w:firstLine="0" w:firstLineChars="0"/>
              <w:textAlignment w:val="auto"/>
              <w:rPr>
                <w:rFonts w:hint="default" w:ascii="仿宋" w:hAnsi="仿宋" w:eastAsia="仿宋" w:cs="仿宋"/>
                <w:color w:val="000000"/>
                <w:sz w:val="21"/>
                <w:highlight w:val="none"/>
                <w:lang w:val="en-US" w:eastAsia="zh-CN"/>
              </w:rPr>
            </w:pPr>
            <w:r>
              <w:rPr>
                <w:rFonts w:hint="eastAsia" w:ascii="仿宋" w:hAnsi="仿宋" w:eastAsia="仿宋" w:cs="仿宋"/>
                <w:color w:val="000000"/>
                <w:sz w:val="21"/>
                <w:highlight w:val="none"/>
                <w:lang w:val="en-US" w:eastAsia="zh-CN"/>
              </w:rPr>
              <w:t>20分</w:t>
            </w:r>
          </w:p>
        </w:tc>
      </w:tr>
      <w:tr w14:paraId="5B54A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val="0"/>
            <w:vAlign w:val="center"/>
          </w:tcPr>
          <w:p w14:paraId="67F225AB">
            <w:pPr>
              <w:pStyle w:val="14"/>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default" w:ascii="仿宋" w:hAnsi="仿宋" w:eastAsia="仿宋" w:cs="仿宋"/>
                <w:color w:val="000000"/>
                <w:sz w:val="21"/>
                <w:highlight w:val="none"/>
                <w:lang w:val="en-US" w:eastAsia="zh-CN"/>
              </w:rPr>
            </w:pPr>
            <w:r>
              <w:rPr>
                <w:rFonts w:hint="eastAsia" w:ascii="仿宋" w:hAnsi="仿宋" w:eastAsia="仿宋" w:cs="仿宋"/>
                <w:color w:val="000000"/>
                <w:sz w:val="21"/>
                <w:highlight w:val="none"/>
                <w:lang w:val="en-US" w:eastAsia="zh-CN"/>
              </w:rPr>
              <w:t>2.3</w:t>
            </w:r>
          </w:p>
        </w:tc>
        <w:tc>
          <w:tcPr>
            <w:tcW w:w="1209" w:type="dxa"/>
            <w:noWrap w:val="0"/>
            <w:vAlign w:val="center"/>
          </w:tcPr>
          <w:p w14:paraId="3EF1A6BD">
            <w:pPr>
              <w:pStyle w:val="14"/>
              <w:keepNext w:val="0"/>
              <w:keepLines w:val="0"/>
              <w:pageBreakBefore w:val="0"/>
              <w:kinsoku/>
              <w:wordWrap/>
              <w:overflowPunct/>
              <w:topLinePunct w:val="0"/>
              <w:autoSpaceDE/>
              <w:autoSpaceDN/>
              <w:bidi w:val="0"/>
              <w:adjustRightInd/>
              <w:snapToGrid/>
              <w:spacing w:line="360" w:lineRule="exact"/>
              <w:ind w:firstLine="0" w:firstLineChars="0"/>
              <w:textAlignment w:val="auto"/>
              <w:rPr>
                <w:rFonts w:hint="eastAsia" w:ascii="仿宋" w:hAnsi="仿宋" w:eastAsia="仿宋" w:cs="仿宋"/>
                <w:color w:val="000000"/>
                <w:sz w:val="21"/>
                <w:highlight w:val="none"/>
              </w:rPr>
            </w:pPr>
          </w:p>
          <w:p w14:paraId="73D21FFC">
            <w:pPr>
              <w:pStyle w:val="14"/>
              <w:keepNext w:val="0"/>
              <w:keepLines w:val="0"/>
              <w:pageBreakBefore w:val="0"/>
              <w:kinsoku/>
              <w:wordWrap/>
              <w:overflowPunct/>
              <w:topLinePunct w:val="0"/>
              <w:autoSpaceDE/>
              <w:autoSpaceDN/>
              <w:bidi w:val="0"/>
              <w:adjustRightInd/>
              <w:snapToGrid/>
              <w:spacing w:line="360" w:lineRule="exact"/>
              <w:ind w:firstLine="0" w:firstLineChars="0"/>
              <w:textAlignment w:val="auto"/>
              <w:rPr>
                <w:rFonts w:hint="default" w:ascii="仿宋" w:hAnsi="仿宋" w:eastAsia="仿宋" w:cs="仿宋"/>
                <w:color w:val="000000"/>
                <w:sz w:val="21"/>
                <w:highlight w:val="none"/>
                <w:lang w:val="en-US" w:eastAsia="zh-CN"/>
              </w:rPr>
            </w:pPr>
            <w:r>
              <w:rPr>
                <w:rFonts w:hint="eastAsia" w:ascii="仿宋" w:hAnsi="仿宋" w:eastAsia="仿宋" w:cs="仿宋"/>
                <w:color w:val="000000"/>
                <w:sz w:val="21"/>
                <w:highlight w:val="none"/>
                <w:lang w:val="en-US" w:eastAsia="zh-CN"/>
              </w:rPr>
              <w:t>迁移服务方案分</w:t>
            </w:r>
          </w:p>
        </w:tc>
        <w:tc>
          <w:tcPr>
            <w:tcW w:w="6435" w:type="dxa"/>
            <w:noWrap w:val="0"/>
            <w:vAlign w:val="center"/>
          </w:tcPr>
          <w:p w14:paraId="61D6383A">
            <w:pPr>
              <w:pStyle w:val="14"/>
              <w:keepNext w:val="0"/>
              <w:keepLines w:val="0"/>
              <w:pageBreakBefore w:val="0"/>
              <w:kinsoku/>
              <w:wordWrap/>
              <w:overflowPunct/>
              <w:topLinePunct w:val="0"/>
              <w:autoSpaceDE/>
              <w:autoSpaceDN/>
              <w:bidi w:val="0"/>
              <w:adjustRightInd/>
              <w:snapToGrid/>
              <w:spacing w:line="360" w:lineRule="exact"/>
              <w:ind w:firstLine="420" w:firstLineChars="200"/>
              <w:jc w:val="left"/>
              <w:textAlignment w:val="auto"/>
              <w:rPr>
                <w:rFonts w:hint="eastAsia" w:ascii="仿宋" w:hAnsi="仿宋" w:eastAsia="仿宋" w:cs="仿宋"/>
                <w:color w:val="000000"/>
                <w:sz w:val="21"/>
                <w:highlight w:val="none"/>
              </w:rPr>
            </w:pPr>
            <w:r>
              <w:rPr>
                <w:rFonts w:hint="eastAsia" w:ascii="仿宋" w:hAnsi="仿宋" w:eastAsia="仿宋" w:cs="仿宋"/>
                <w:color w:val="000000"/>
                <w:sz w:val="21"/>
                <w:highlight w:val="none"/>
                <w:lang w:eastAsia="zh-CN"/>
              </w:rPr>
              <w:t>投标人</w:t>
            </w:r>
            <w:r>
              <w:rPr>
                <w:rFonts w:hint="eastAsia" w:ascii="仿宋" w:hAnsi="仿宋" w:eastAsia="仿宋" w:cs="仿宋"/>
                <w:color w:val="000000"/>
                <w:sz w:val="21"/>
                <w:highlight w:val="none"/>
                <w:lang w:val="en-US" w:eastAsia="zh-CN"/>
              </w:rPr>
              <w:t>须</w:t>
            </w:r>
            <w:r>
              <w:rPr>
                <w:rFonts w:hint="eastAsia" w:ascii="仿宋" w:hAnsi="仿宋" w:eastAsia="仿宋" w:cs="仿宋"/>
                <w:color w:val="000000"/>
                <w:sz w:val="21"/>
                <w:highlight w:val="none"/>
              </w:rPr>
              <w:t>提供</w:t>
            </w:r>
            <w:r>
              <w:rPr>
                <w:rFonts w:hint="eastAsia" w:ascii="仿宋" w:hAnsi="仿宋" w:eastAsia="仿宋" w:cs="仿宋"/>
                <w:color w:val="000000"/>
                <w:sz w:val="21"/>
                <w:highlight w:val="none"/>
                <w:lang w:val="en-US" w:eastAsia="zh-CN"/>
              </w:rPr>
              <w:t>迁移服务方案</w:t>
            </w:r>
            <w:r>
              <w:rPr>
                <w:rFonts w:hint="eastAsia" w:ascii="仿宋" w:hAnsi="仿宋" w:eastAsia="仿宋" w:cs="仿宋"/>
                <w:color w:val="000000"/>
                <w:sz w:val="21"/>
                <w:highlight w:val="none"/>
              </w:rPr>
              <w:t>。根据方案的完整性、可行性、合理性进行综合评分。</w:t>
            </w:r>
          </w:p>
          <w:p w14:paraId="16E6CB38">
            <w:pPr>
              <w:pStyle w:val="14"/>
              <w:keepNext w:val="0"/>
              <w:keepLines w:val="0"/>
              <w:pageBreakBefore w:val="0"/>
              <w:kinsoku/>
              <w:wordWrap/>
              <w:overflowPunct/>
              <w:topLinePunct w:val="0"/>
              <w:autoSpaceDE/>
              <w:autoSpaceDN/>
              <w:bidi w:val="0"/>
              <w:adjustRightInd/>
              <w:snapToGrid/>
              <w:spacing w:line="360" w:lineRule="exact"/>
              <w:ind w:firstLine="420" w:firstLineChars="200"/>
              <w:jc w:val="left"/>
              <w:textAlignment w:val="auto"/>
              <w:rPr>
                <w:rFonts w:hint="eastAsia" w:ascii="仿宋" w:hAnsi="仿宋" w:eastAsia="仿宋" w:cs="仿宋"/>
                <w:color w:val="000000"/>
                <w:sz w:val="21"/>
                <w:highlight w:val="none"/>
              </w:rPr>
            </w:pPr>
            <w:r>
              <w:rPr>
                <w:rFonts w:hint="eastAsia" w:ascii="仿宋" w:hAnsi="仿宋" w:eastAsia="仿宋" w:cs="仿宋"/>
                <w:color w:val="000000"/>
                <w:sz w:val="21"/>
                <w:highlight w:val="none"/>
              </w:rPr>
              <w:t>一档（0分）：未提供本项目政务信息系统迁移服务方案。</w:t>
            </w:r>
          </w:p>
          <w:p w14:paraId="295B5C33">
            <w:pPr>
              <w:pStyle w:val="14"/>
              <w:keepNext w:val="0"/>
              <w:keepLines w:val="0"/>
              <w:pageBreakBefore w:val="0"/>
              <w:kinsoku/>
              <w:wordWrap/>
              <w:overflowPunct/>
              <w:topLinePunct w:val="0"/>
              <w:autoSpaceDE/>
              <w:autoSpaceDN/>
              <w:bidi w:val="0"/>
              <w:adjustRightInd/>
              <w:snapToGrid/>
              <w:spacing w:line="360" w:lineRule="exact"/>
              <w:ind w:firstLine="420" w:firstLineChars="200"/>
              <w:jc w:val="left"/>
              <w:textAlignment w:val="auto"/>
              <w:rPr>
                <w:rFonts w:hint="eastAsia" w:ascii="仿宋" w:hAnsi="仿宋" w:eastAsia="仿宋" w:cs="仿宋"/>
                <w:color w:val="000000"/>
                <w:sz w:val="21"/>
                <w:highlight w:val="none"/>
              </w:rPr>
            </w:pPr>
            <w:r>
              <w:rPr>
                <w:rFonts w:hint="eastAsia" w:ascii="仿宋" w:hAnsi="仿宋" w:eastAsia="仿宋" w:cs="仿宋"/>
                <w:color w:val="000000"/>
                <w:sz w:val="21"/>
                <w:highlight w:val="none"/>
              </w:rPr>
              <w:t>二档（</w:t>
            </w:r>
            <w:r>
              <w:rPr>
                <w:rFonts w:hint="eastAsia" w:ascii="仿宋" w:hAnsi="仿宋" w:eastAsia="仿宋" w:cs="仿宋"/>
                <w:color w:val="000000"/>
                <w:sz w:val="21"/>
                <w:highlight w:val="none"/>
                <w:lang w:val="en-US" w:eastAsia="zh-CN"/>
              </w:rPr>
              <w:t>5</w:t>
            </w:r>
            <w:r>
              <w:rPr>
                <w:rFonts w:hint="eastAsia" w:ascii="仿宋" w:hAnsi="仿宋" w:eastAsia="仿宋" w:cs="仿宋"/>
                <w:color w:val="000000"/>
                <w:sz w:val="21"/>
                <w:highlight w:val="none"/>
              </w:rPr>
              <w:t>分）：提供基本的政务信息系统迁移服务方案，</w:t>
            </w:r>
            <w:r>
              <w:rPr>
                <w:rFonts w:hint="eastAsia" w:ascii="仿宋" w:hAnsi="仿宋" w:eastAsia="仿宋" w:cs="仿宋"/>
                <w:color w:val="000000"/>
                <w:sz w:val="21"/>
                <w:highlight w:val="none"/>
                <w:lang w:val="en-US" w:eastAsia="zh-CN"/>
              </w:rPr>
              <w:t>包含5项评审内容：</w:t>
            </w:r>
            <w:r>
              <w:rPr>
                <w:rFonts w:hint="eastAsia" w:ascii="仿宋" w:hAnsi="仿宋" w:eastAsia="仿宋" w:cs="仿宋"/>
                <w:color w:val="000000"/>
                <w:sz w:val="21"/>
                <w:highlight w:val="none"/>
              </w:rPr>
              <w:t>①已运行政务信息系统迁移流程、</w:t>
            </w:r>
            <w:r>
              <w:rPr>
                <w:rFonts w:hint="eastAsia" w:ascii="仿宋" w:hAnsi="仿宋" w:eastAsia="仿宋" w:cs="仿宋"/>
                <w:color w:val="000000"/>
                <w:sz w:val="21"/>
                <w:highlight w:val="none"/>
                <w:lang w:val="en-US" w:eastAsia="zh-CN"/>
              </w:rPr>
              <w:t>②</w:t>
            </w:r>
            <w:r>
              <w:rPr>
                <w:rFonts w:hint="eastAsia" w:ascii="仿宋" w:hAnsi="仿宋" w:eastAsia="仿宋" w:cs="仿宋"/>
                <w:color w:val="000000"/>
                <w:sz w:val="21"/>
                <w:highlight w:val="none"/>
              </w:rPr>
              <w:t>迁移方法、</w:t>
            </w:r>
            <w:r>
              <w:rPr>
                <w:rFonts w:hint="eastAsia" w:ascii="仿宋" w:hAnsi="仿宋" w:eastAsia="仿宋" w:cs="仿宋"/>
                <w:color w:val="000000"/>
                <w:sz w:val="21"/>
                <w:highlight w:val="none"/>
                <w:lang w:val="en-US" w:eastAsia="zh-CN"/>
              </w:rPr>
              <w:t>③</w:t>
            </w:r>
            <w:r>
              <w:rPr>
                <w:rFonts w:hint="eastAsia" w:ascii="仿宋" w:hAnsi="仿宋" w:eastAsia="仿宋" w:cs="仿宋"/>
                <w:color w:val="000000"/>
                <w:sz w:val="21"/>
                <w:highlight w:val="none"/>
              </w:rPr>
              <w:t>迁移计划、</w:t>
            </w:r>
            <w:r>
              <w:rPr>
                <w:rFonts w:hint="eastAsia" w:ascii="仿宋" w:hAnsi="仿宋" w:eastAsia="仿宋" w:cs="仿宋"/>
                <w:color w:val="000000"/>
                <w:sz w:val="21"/>
                <w:highlight w:val="none"/>
                <w:lang w:val="en-US" w:eastAsia="zh-CN"/>
              </w:rPr>
              <w:t>④</w:t>
            </w:r>
            <w:r>
              <w:rPr>
                <w:rFonts w:hint="eastAsia" w:ascii="仿宋" w:hAnsi="仿宋" w:eastAsia="仿宋" w:cs="仿宋"/>
                <w:color w:val="000000"/>
                <w:sz w:val="21"/>
                <w:highlight w:val="none"/>
              </w:rPr>
              <w:t>迁移保障</w:t>
            </w:r>
            <w:r>
              <w:rPr>
                <w:rFonts w:hint="eastAsia" w:ascii="仿宋" w:hAnsi="仿宋" w:eastAsia="仿宋" w:cs="仿宋"/>
                <w:color w:val="000000"/>
                <w:sz w:val="21"/>
                <w:highlight w:val="none"/>
                <w:lang w:eastAsia="zh-CN"/>
              </w:rPr>
              <w:t>、</w:t>
            </w:r>
            <w:r>
              <w:rPr>
                <w:rFonts w:hint="eastAsia" w:ascii="仿宋" w:hAnsi="仿宋" w:eastAsia="仿宋" w:cs="仿宋"/>
                <w:color w:val="000000"/>
                <w:sz w:val="21"/>
                <w:highlight w:val="none"/>
                <w:lang w:val="en-US" w:eastAsia="zh-CN"/>
              </w:rPr>
              <w:t>⑤</w:t>
            </w:r>
            <w:r>
              <w:rPr>
                <w:rFonts w:hint="eastAsia" w:ascii="仿宋" w:hAnsi="仿宋" w:eastAsia="仿宋" w:cs="仿宋"/>
                <w:color w:val="000000"/>
                <w:sz w:val="21"/>
                <w:highlight w:val="none"/>
              </w:rPr>
              <w:t>承诺在合同签订后</w:t>
            </w:r>
            <w:r>
              <w:rPr>
                <w:rFonts w:hint="eastAsia" w:ascii="仿宋" w:hAnsi="仿宋" w:eastAsia="仿宋" w:cs="仿宋"/>
                <w:color w:val="000000"/>
                <w:sz w:val="21"/>
                <w:highlight w:val="none"/>
                <w:lang w:val="en-US" w:eastAsia="zh-CN"/>
              </w:rPr>
              <w:t>40</w:t>
            </w:r>
            <w:r>
              <w:rPr>
                <w:rFonts w:hint="eastAsia" w:ascii="仿宋" w:hAnsi="仿宋" w:eastAsia="仿宋" w:cs="仿宋"/>
                <w:color w:val="000000"/>
                <w:sz w:val="21"/>
                <w:highlight w:val="none"/>
              </w:rPr>
              <w:t>个自然天内将已运行政务信息系统从原政务云平台迁移至</w:t>
            </w:r>
            <w:r>
              <w:rPr>
                <w:rFonts w:hint="eastAsia" w:ascii="仿宋" w:hAnsi="仿宋" w:eastAsia="仿宋" w:cs="仿宋"/>
                <w:color w:val="000000"/>
                <w:sz w:val="21"/>
                <w:highlight w:val="none"/>
                <w:lang w:eastAsia="zh-CN"/>
              </w:rPr>
              <w:t>投标人</w:t>
            </w:r>
            <w:r>
              <w:rPr>
                <w:rFonts w:hint="eastAsia" w:ascii="仿宋" w:hAnsi="仿宋" w:eastAsia="仿宋" w:cs="仿宋"/>
                <w:color w:val="000000"/>
                <w:sz w:val="21"/>
                <w:highlight w:val="none"/>
              </w:rPr>
              <w:t>的云平台，无缺项漏项；方案描述简单、内容简略、深度不足，完整性与合理性一般，基本满足采购基础需求，但未明确保障已运行政务信息系统连续性和稳定性的具体措施，落地可行性一般。</w:t>
            </w:r>
          </w:p>
          <w:p w14:paraId="43E4BBDC">
            <w:pPr>
              <w:pStyle w:val="14"/>
              <w:keepNext w:val="0"/>
              <w:keepLines w:val="0"/>
              <w:pageBreakBefore w:val="0"/>
              <w:kinsoku/>
              <w:wordWrap/>
              <w:overflowPunct/>
              <w:topLinePunct w:val="0"/>
              <w:autoSpaceDE/>
              <w:autoSpaceDN/>
              <w:bidi w:val="0"/>
              <w:adjustRightInd/>
              <w:snapToGrid/>
              <w:spacing w:line="360" w:lineRule="exact"/>
              <w:ind w:firstLine="420" w:firstLineChars="200"/>
              <w:jc w:val="left"/>
              <w:textAlignment w:val="auto"/>
              <w:rPr>
                <w:rFonts w:hint="eastAsia" w:ascii="仿宋" w:hAnsi="仿宋" w:eastAsia="仿宋" w:cs="仿宋"/>
                <w:color w:val="000000"/>
                <w:sz w:val="21"/>
                <w:highlight w:val="none"/>
              </w:rPr>
            </w:pPr>
            <w:r>
              <w:rPr>
                <w:rFonts w:hint="eastAsia" w:ascii="仿宋" w:hAnsi="仿宋" w:eastAsia="仿宋" w:cs="仿宋"/>
                <w:color w:val="000000"/>
                <w:sz w:val="21"/>
                <w:highlight w:val="none"/>
              </w:rPr>
              <w:t>三档（1</w:t>
            </w:r>
            <w:r>
              <w:rPr>
                <w:rFonts w:hint="eastAsia" w:ascii="仿宋" w:hAnsi="仿宋" w:eastAsia="仿宋" w:cs="仿宋"/>
                <w:color w:val="000000"/>
                <w:sz w:val="21"/>
                <w:highlight w:val="none"/>
                <w:lang w:val="en-US" w:eastAsia="zh-CN"/>
              </w:rPr>
              <w:t>0</w:t>
            </w:r>
            <w:r>
              <w:rPr>
                <w:rFonts w:hint="eastAsia" w:ascii="仿宋" w:hAnsi="仿宋" w:eastAsia="仿宋" w:cs="仿宋"/>
                <w:color w:val="000000"/>
                <w:sz w:val="21"/>
                <w:highlight w:val="none"/>
              </w:rPr>
              <w:t>分）：提供政务信息系统迁移服务方案，</w:t>
            </w:r>
            <w:r>
              <w:rPr>
                <w:rFonts w:hint="eastAsia" w:ascii="仿宋" w:hAnsi="仿宋" w:eastAsia="仿宋" w:cs="仿宋"/>
                <w:color w:val="000000"/>
                <w:sz w:val="21"/>
                <w:highlight w:val="none"/>
                <w:lang w:val="en-US" w:eastAsia="zh-CN"/>
              </w:rPr>
              <w:t>包含5项评审内容：</w:t>
            </w:r>
            <w:r>
              <w:rPr>
                <w:rFonts w:hint="eastAsia" w:ascii="仿宋" w:hAnsi="仿宋" w:eastAsia="仿宋" w:cs="仿宋"/>
                <w:color w:val="000000"/>
                <w:sz w:val="21"/>
                <w:highlight w:val="none"/>
              </w:rPr>
              <w:t>①已运行政务信息系统迁移流程、</w:t>
            </w:r>
            <w:r>
              <w:rPr>
                <w:rFonts w:hint="eastAsia" w:ascii="仿宋" w:hAnsi="仿宋" w:eastAsia="仿宋" w:cs="仿宋"/>
                <w:color w:val="000000"/>
                <w:sz w:val="21"/>
                <w:highlight w:val="none"/>
                <w:lang w:val="en-US" w:eastAsia="zh-CN"/>
              </w:rPr>
              <w:t>②</w:t>
            </w:r>
            <w:r>
              <w:rPr>
                <w:rFonts w:hint="eastAsia" w:ascii="仿宋" w:hAnsi="仿宋" w:eastAsia="仿宋" w:cs="仿宋"/>
                <w:color w:val="000000"/>
                <w:sz w:val="21"/>
                <w:highlight w:val="none"/>
              </w:rPr>
              <w:t>迁移方法、</w:t>
            </w:r>
            <w:r>
              <w:rPr>
                <w:rFonts w:hint="eastAsia" w:ascii="仿宋" w:hAnsi="仿宋" w:eastAsia="仿宋" w:cs="仿宋"/>
                <w:color w:val="000000"/>
                <w:sz w:val="21"/>
                <w:highlight w:val="none"/>
                <w:lang w:val="en-US" w:eastAsia="zh-CN"/>
              </w:rPr>
              <w:t>③</w:t>
            </w:r>
            <w:r>
              <w:rPr>
                <w:rFonts w:hint="eastAsia" w:ascii="仿宋" w:hAnsi="仿宋" w:eastAsia="仿宋" w:cs="仿宋"/>
                <w:color w:val="000000"/>
                <w:sz w:val="21"/>
                <w:highlight w:val="none"/>
              </w:rPr>
              <w:t>迁移计划、</w:t>
            </w:r>
            <w:r>
              <w:rPr>
                <w:rFonts w:hint="eastAsia" w:ascii="仿宋" w:hAnsi="仿宋" w:eastAsia="仿宋" w:cs="仿宋"/>
                <w:color w:val="000000"/>
                <w:sz w:val="21"/>
                <w:highlight w:val="none"/>
                <w:lang w:val="en-US" w:eastAsia="zh-CN"/>
              </w:rPr>
              <w:t>④</w:t>
            </w:r>
            <w:r>
              <w:rPr>
                <w:rFonts w:hint="eastAsia" w:ascii="仿宋" w:hAnsi="仿宋" w:eastAsia="仿宋" w:cs="仿宋"/>
                <w:color w:val="000000"/>
                <w:sz w:val="21"/>
                <w:highlight w:val="none"/>
              </w:rPr>
              <w:t>迁移保障</w:t>
            </w:r>
            <w:r>
              <w:rPr>
                <w:rFonts w:hint="eastAsia" w:ascii="仿宋" w:hAnsi="仿宋" w:eastAsia="仿宋" w:cs="仿宋"/>
                <w:color w:val="000000"/>
                <w:sz w:val="21"/>
                <w:highlight w:val="none"/>
                <w:lang w:eastAsia="zh-CN"/>
              </w:rPr>
              <w:t>、</w:t>
            </w:r>
            <w:r>
              <w:rPr>
                <w:rFonts w:hint="eastAsia" w:ascii="仿宋" w:hAnsi="仿宋" w:eastAsia="仿宋" w:cs="仿宋"/>
                <w:color w:val="000000"/>
                <w:sz w:val="21"/>
                <w:highlight w:val="none"/>
                <w:lang w:val="en-US" w:eastAsia="zh-CN"/>
              </w:rPr>
              <w:t>⑤</w:t>
            </w:r>
            <w:r>
              <w:rPr>
                <w:rFonts w:hint="eastAsia" w:ascii="仿宋" w:hAnsi="仿宋" w:eastAsia="仿宋" w:cs="仿宋"/>
                <w:color w:val="000000"/>
                <w:sz w:val="21"/>
                <w:highlight w:val="none"/>
              </w:rPr>
              <w:t>承诺在合同签订后</w:t>
            </w:r>
            <w:r>
              <w:rPr>
                <w:rFonts w:hint="eastAsia" w:ascii="仿宋" w:hAnsi="仿宋" w:eastAsia="仿宋" w:cs="仿宋"/>
                <w:color w:val="000000"/>
                <w:sz w:val="21"/>
                <w:highlight w:val="none"/>
                <w:lang w:val="en-US" w:eastAsia="zh-CN"/>
              </w:rPr>
              <w:t>30</w:t>
            </w:r>
            <w:r>
              <w:rPr>
                <w:rFonts w:hint="eastAsia" w:ascii="仿宋" w:hAnsi="仿宋" w:eastAsia="仿宋" w:cs="仿宋"/>
                <w:color w:val="000000"/>
                <w:sz w:val="21"/>
                <w:highlight w:val="none"/>
              </w:rPr>
              <w:t>个自然天内将已运行政务信息系统从原政务云平台迁移至</w:t>
            </w:r>
            <w:r>
              <w:rPr>
                <w:rFonts w:hint="eastAsia" w:ascii="仿宋" w:hAnsi="仿宋" w:eastAsia="仿宋" w:cs="仿宋"/>
                <w:color w:val="000000"/>
                <w:sz w:val="21"/>
                <w:highlight w:val="none"/>
                <w:lang w:eastAsia="zh-CN"/>
              </w:rPr>
              <w:t>投标人</w:t>
            </w:r>
            <w:r>
              <w:rPr>
                <w:rFonts w:hint="eastAsia" w:ascii="仿宋" w:hAnsi="仿宋" w:eastAsia="仿宋" w:cs="仿宋"/>
                <w:color w:val="000000"/>
                <w:sz w:val="21"/>
                <w:highlight w:val="none"/>
              </w:rPr>
              <w:t>的云平台，无缺项漏项；方案较完整、较科学合理，针对性较强，迁移时间安排较合理，明确提出保障云平台已运行政务信息系统连续性和稳定性的相关措施，基本可避免业务中断，内容贴合项目实际，无重大原则性错误，具备一定落地可行性，符合采购需求。</w:t>
            </w:r>
          </w:p>
          <w:p w14:paraId="07FCCC7A">
            <w:pPr>
              <w:pStyle w:val="14"/>
              <w:keepNext w:val="0"/>
              <w:keepLines w:val="0"/>
              <w:pageBreakBefore w:val="0"/>
              <w:kinsoku/>
              <w:wordWrap/>
              <w:overflowPunct/>
              <w:topLinePunct w:val="0"/>
              <w:autoSpaceDE/>
              <w:autoSpaceDN/>
              <w:bidi w:val="0"/>
              <w:adjustRightInd/>
              <w:snapToGrid/>
              <w:spacing w:line="360" w:lineRule="exact"/>
              <w:ind w:firstLine="420" w:firstLineChars="200"/>
              <w:jc w:val="left"/>
              <w:textAlignment w:val="auto"/>
              <w:rPr>
                <w:rFonts w:hint="eastAsia" w:ascii="仿宋" w:hAnsi="仿宋" w:eastAsia="仿宋" w:cs="仿宋"/>
                <w:color w:val="000000"/>
                <w:sz w:val="21"/>
                <w:highlight w:val="none"/>
              </w:rPr>
            </w:pPr>
            <w:r>
              <w:rPr>
                <w:rFonts w:hint="eastAsia" w:ascii="仿宋" w:hAnsi="仿宋" w:eastAsia="仿宋" w:cs="仿宋"/>
                <w:color w:val="000000"/>
                <w:sz w:val="21"/>
                <w:highlight w:val="none"/>
              </w:rPr>
              <w:t>四档（</w:t>
            </w:r>
            <w:r>
              <w:rPr>
                <w:rFonts w:hint="eastAsia" w:ascii="仿宋" w:hAnsi="仿宋" w:eastAsia="仿宋" w:cs="仿宋"/>
                <w:color w:val="000000"/>
                <w:sz w:val="21"/>
                <w:highlight w:val="none"/>
                <w:lang w:val="en-US" w:eastAsia="zh-CN"/>
              </w:rPr>
              <w:t>15</w:t>
            </w:r>
            <w:r>
              <w:rPr>
                <w:rFonts w:hint="eastAsia" w:ascii="仿宋" w:hAnsi="仿宋" w:eastAsia="仿宋" w:cs="仿宋"/>
                <w:color w:val="000000"/>
                <w:sz w:val="21"/>
                <w:highlight w:val="none"/>
              </w:rPr>
              <w:t>分）：提供政务信息系统迁移服务方案，</w:t>
            </w:r>
            <w:r>
              <w:rPr>
                <w:rFonts w:hint="eastAsia" w:ascii="仿宋" w:hAnsi="仿宋" w:eastAsia="仿宋" w:cs="仿宋"/>
                <w:color w:val="000000"/>
                <w:sz w:val="21"/>
                <w:highlight w:val="none"/>
                <w:lang w:val="en-US" w:eastAsia="zh-CN"/>
              </w:rPr>
              <w:t>包含5项评审内容：</w:t>
            </w:r>
            <w:r>
              <w:rPr>
                <w:rFonts w:hint="eastAsia" w:ascii="仿宋" w:hAnsi="仿宋" w:eastAsia="仿宋" w:cs="仿宋"/>
                <w:color w:val="000000"/>
                <w:sz w:val="21"/>
                <w:highlight w:val="none"/>
              </w:rPr>
              <w:t>①已运行政务信息系统迁移流程、</w:t>
            </w:r>
            <w:r>
              <w:rPr>
                <w:rFonts w:hint="eastAsia" w:ascii="仿宋" w:hAnsi="仿宋" w:eastAsia="仿宋" w:cs="仿宋"/>
                <w:color w:val="000000"/>
                <w:sz w:val="21"/>
                <w:highlight w:val="none"/>
                <w:lang w:val="en-US" w:eastAsia="zh-CN"/>
              </w:rPr>
              <w:t>②</w:t>
            </w:r>
            <w:r>
              <w:rPr>
                <w:rFonts w:hint="eastAsia" w:ascii="仿宋" w:hAnsi="仿宋" w:eastAsia="仿宋" w:cs="仿宋"/>
                <w:color w:val="000000"/>
                <w:sz w:val="21"/>
                <w:highlight w:val="none"/>
              </w:rPr>
              <w:t>迁移方法、</w:t>
            </w:r>
            <w:r>
              <w:rPr>
                <w:rFonts w:hint="eastAsia" w:ascii="仿宋" w:hAnsi="仿宋" w:eastAsia="仿宋" w:cs="仿宋"/>
                <w:color w:val="000000"/>
                <w:sz w:val="21"/>
                <w:highlight w:val="none"/>
                <w:lang w:val="en-US" w:eastAsia="zh-CN"/>
              </w:rPr>
              <w:t>③</w:t>
            </w:r>
            <w:r>
              <w:rPr>
                <w:rFonts w:hint="eastAsia" w:ascii="仿宋" w:hAnsi="仿宋" w:eastAsia="仿宋" w:cs="仿宋"/>
                <w:color w:val="000000"/>
                <w:sz w:val="21"/>
                <w:highlight w:val="none"/>
              </w:rPr>
              <w:t>迁移计划、</w:t>
            </w:r>
            <w:r>
              <w:rPr>
                <w:rFonts w:hint="eastAsia" w:ascii="仿宋" w:hAnsi="仿宋" w:eastAsia="仿宋" w:cs="仿宋"/>
                <w:color w:val="000000"/>
                <w:sz w:val="21"/>
                <w:highlight w:val="none"/>
                <w:lang w:val="en-US" w:eastAsia="zh-CN"/>
              </w:rPr>
              <w:t>④</w:t>
            </w:r>
            <w:r>
              <w:rPr>
                <w:rFonts w:hint="eastAsia" w:ascii="仿宋" w:hAnsi="仿宋" w:eastAsia="仿宋" w:cs="仿宋"/>
                <w:color w:val="000000"/>
                <w:sz w:val="21"/>
                <w:highlight w:val="none"/>
              </w:rPr>
              <w:t>迁移保障</w:t>
            </w:r>
            <w:r>
              <w:rPr>
                <w:rFonts w:hint="eastAsia" w:ascii="仿宋" w:hAnsi="仿宋" w:eastAsia="仿宋" w:cs="仿宋"/>
                <w:color w:val="000000"/>
                <w:sz w:val="21"/>
                <w:highlight w:val="none"/>
                <w:lang w:eastAsia="zh-CN"/>
              </w:rPr>
              <w:t>、</w:t>
            </w:r>
            <w:r>
              <w:rPr>
                <w:rFonts w:hint="eastAsia" w:ascii="仿宋" w:hAnsi="仿宋" w:eastAsia="仿宋" w:cs="仿宋"/>
                <w:color w:val="000000"/>
                <w:sz w:val="21"/>
                <w:highlight w:val="none"/>
              </w:rPr>
              <w:t>⑤承诺在合同签订后</w:t>
            </w:r>
            <w:r>
              <w:rPr>
                <w:rFonts w:hint="eastAsia" w:ascii="仿宋" w:hAnsi="仿宋" w:eastAsia="仿宋" w:cs="仿宋"/>
                <w:color w:val="000000"/>
                <w:sz w:val="21"/>
                <w:highlight w:val="none"/>
                <w:lang w:val="en-US" w:eastAsia="zh-CN"/>
              </w:rPr>
              <w:t>20</w:t>
            </w:r>
            <w:r>
              <w:rPr>
                <w:rFonts w:hint="eastAsia" w:ascii="仿宋" w:hAnsi="仿宋" w:eastAsia="仿宋" w:cs="仿宋"/>
                <w:color w:val="000000"/>
                <w:sz w:val="21"/>
                <w:highlight w:val="none"/>
              </w:rPr>
              <w:t>个自然天内将已运行政务信息系统从原政务云平台迁移至</w:t>
            </w:r>
            <w:r>
              <w:rPr>
                <w:rFonts w:hint="eastAsia" w:ascii="仿宋" w:hAnsi="仿宋" w:eastAsia="仿宋" w:cs="仿宋"/>
                <w:color w:val="000000"/>
                <w:sz w:val="21"/>
                <w:highlight w:val="none"/>
                <w:lang w:eastAsia="zh-CN"/>
              </w:rPr>
              <w:t>投标人</w:t>
            </w:r>
            <w:r>
              <w:rPr>
                <w:rFonts w:hint="eastAsia" w:ascii="仿宋" w:hAnsi="仿宋" w:eastAsia="仿宋" w:cs="仿宋"/>
                <w:color w:val="000000"/>
                <w:sz w:val="21"/>
                <w:highlight w:val="none"/>
              </w:rPr>
              <w:t>的云平台</w:t>
            </w:r>
            <w:r>
              <w:rPr>
                <w:rFonts w:hint="eastAsia" w:ascii="仿宋" w:hAnsi="仿宋" w:eastAsia="仿宋" w:cs="仿宋"/>
                <w:color w:val="000000"/>
                <w:sz w:val="21"/>
                <w:highlight w:val="none"/>
                <w:lang w:eastAsia="zh-CN"/>
              </w:rPr>
              <w:t>，</w:t>
            </w:r>
            <w:r>
              <w:rPr>
                <w:rFonts w:hint="eastAsia" w:ascii="仿宋" w:hAnsi="仿宋" w:eastAsia="仿宋" w:cs="仿宋"/>
                <w:color w:val="000000"/>
                <w:sz w:val="21"/>
                <w:highlight w:val="none"/>
              </w:rPr>
              <w:t>无缺项漏项</w:t>
            </w:r>
            <w:r>
              <w:rPr>
                <w:rFonts w:hint="eastAsia" w:ascii="仿宋" w:hAnsi="仿宋" w:eastAsia="仿宋" w:cs="仿宋"/>
                <w:color w:val="000000"/>
                <w:sz w:val="21"/>
                <w:highlight w:val="none"/>
                <w:lang w:eastAsia="zh-CN"/>
              </w:rPr>
              <w:t>，</w:t>
            </w:r>
            <w:r>
              <w:rPr>
                <w:rFonts w:hint="eastAsia" w:ascii="仿宋" w:hAnsi="仿宋" w:eastAsia="仿宋" w:cs="仿宋"/>
                <w:color w:val="000000"/>
                <w:sz w:val="21"/>
                <w:highlight w:val="none"/>
              </w:rPr>
              <w:t>方案完整、科学、合理，针对性极强，迁移时间安排科学合理，详细制定了完善的保障措施，可充分确保云平台已运行政务信息系统的连续性和稳定性，能实现业务无中断；各项内容描述完整详实、逻辑严谨，完全符合实际情况和采购需求，落地性强、细节完善，可直接指导迁移服务实施。</w:t>
            </w:r>
          </w:p>
          <w:p w14:paraId="5C9D4F42">
            <w:pPr>
              <w:pStyle w:val="8"/>
              <w:keepNext w:val="0"/>
              <w:keepLines w:val="0"/>
              <w:pageBreakBefore w:val="0"/>
              <w:kinsoku/>
              <w:wordWrap/>
              <w:overflowPunct/>
              <w:topLinePunct w:val="0"/>
              <w:autoSpaceDE/>
              <w:autoSpaceDN/>
              <w:bidi w:val="0"/>
              <w:adjustRightInd/>
              <w:snapToGrid/>
              <w:spacing w:line="360" w:lineRule="exact"/>
              <w:ind w:left="0" w:leftChars="0" w:firstLine="420" w:firstLineChars="200"/>
              <w:textAlignment w:val="auto"/>
              <w:rPr>
                <w:rFonts w:hint="default" w:eastAsia="仿宋"/>
                <w:color w:val="auto"/>
                <w:highlight w:val="none"/>
                <w:lang w:val="en-US" w:eastAsia="zh-CN"/>
              </w:rPr>
            </w:pPr>
            <w:r>
              <w:rPr>
                <w:rFonts w:hint="eastAsia" w:ascii="仿宋" w:hAnsi="仿宋" w:eastAsia="仿宋" w:cs="仿宋"/>
                <w:color w:val="000000"/>
                <w:sz w:val="21"/>
                <w:highlight w:val="none"/>
                <w:lang w:val="en-US" w:eastAsia="zh-CN"/>
              </w:rPr>
              <w:t>注：必须提供业务系统迁移承诺函并加盖公章，格式自拟，否则不得分。</w:t>
            </w:r>
          </w:p>
        </w:tc>
        <w:tc>
          <w:tcPr>
            <w:tcW w:w="736" w:type="dxa"/>
            <w:noWrap w:val="0"/>
            <w:vAlign w:val="center"/>
          </w:tcPr>
          <w:p w14:paraId="4C9C2063">
            <w:pPr>
              <w:pStyle w:val="14"/>
              <w:keepNext w:val="0"/>
              <w:keepLines w:val="0"/>
              <w:pageBreakBefore w:val="0"/>
              <w:kinsoku/>
              <w:wordWrap/>
              <w:overflowPunct/>
              <w:topLinePunct w:val="0"/>
              <w:autoSpaceDE/>
              <w:autoSpaceDN/>
              <w:bidi w:val="0"/>
              <w:adjustRightInd/>
              <w:snapToGrid/>
              <w:spacing w:line="360" w:lineRule="exact"/>
              <w:ind w:firstLine="0" w:firstLineChars="0"/>
              <w:textAlignment w:val="auto"/>
              <w:rPr>
                <w:rFonts w:hint="default" w:ascii="仿宋" w:hAnsi="仿宋" w:eastAsia="仿宋" w:cs="仿宋"/>
                <w:color w:val="000000"/>
                <w:sz w:val="21"/>
                <w:highlight w:val="none"/>
                <w:lang w:val="en-US" w:eastAsia="zh-CN"/>
              </w:rPr>
            </w:pPr>
            <w:r>
              <w:rPr>
                <w:rFonts w:hint="eastAsia" w:ascii="仿宋" w:hAnsi="仿宋" w:eastAsia="仿宋" w:cs="仿宋"/>
                <w:color w:val="000000"/>
                <w:sz w:val="21"/>
                <w:highlight w:val="none"/>
                <w:lang w:val="en-US" w:eastAsia="zh-CN"/>
              </w:rPr>
              <w:t>15分</w:t>
            </w:r>
          </w:p>
        </w:tc>
      </w:tr>
      <w:tr w14:paraId="47062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9" w:type="dxa"/>
            <w:noWrap w:val="0"/>
            <w:vAlign w:val="center"/>
          </w:tcPr>
          <w:p w14:paraId="234F669C">
            <w:pPr>
              <w:pStyle w:val="14"/>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default" w:ascii="仿宋" w:hAnsi="仿宋" w:eastAsia="仿宋" w:cs="仿宋"/>
                <w:b/>
                <w:bCs/>
                <w:color w:val="000000"/>
                <w:sz w:val="21"/>
                <w:highlight w:val="none"/>
                <w:lang w:val="en-US" w:eastAsia="zh-CN"/>
              </w:rPr>
            </w:pPr>
            <w:r>
              <w:rPr>
                <w:rFonts w:hint="eastAsia" w:ascii="仿宋" w:hAnsi="仿宋" w:eastAsia="仿宋" w:cs="仿宋"/>
                <w:b w:val="0"/>
                <w:bCs w:val="0"/>
                <w:color w:val="000000"/>
                <w:sz w:val="21"/>
                <w:highlight w:val="none"/>
                <w:lang w:val="en-US" w:eastAsia="zh-CN"/>
              </w:rPr>
              <w:t>2.4</w:t>
            </w:r>
          </w:p>
        </w:tc>
        <w:tc>
          <w:tcPr>
            <w:tcW w:w="1209" w:type="dxa"/>
            <w:noWrap w:val="0"/>
            <w:vAlign w:val="center"/>
          </w:tcPr>
          <w:p w14:paraId="73E590C0">
            <w:pPr>
              <w:pStyle w:val="14"/>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仿宋" w:hAnsi="仿宋" w:eastAsia="仿宋" w:cs="仿宋"/>
                <w:b/>
                <w:bCs/>
                <w:color w:val="000000"/>
                <w:sz w:val="21"/>
                <w:highlight w:val="none"/>
              </w:rPr>
            </w:pPr>
            <w:r>
              <w:rPr>
                <w:rFonts w:hint="eastAsia" w:ascii="仿宋" w:hAnsi="仿宋" w:eastAsia="仿宋" w:cs="仿宋"/>
                <w:color w:val="000000"/>
                <w:sz w:val="21"/>
                <w:highlight w:val="none"/>
                <w:lang w:val="en-US" w:eastAsia="zh-CN"/>
              </w:rPr>
              <w:t>应急服务方案分</w:t>
            </w:r>
          </w:p>
        </w:tc>
        <w:tc>
          <w:tcPr>
            <w:tcW w:w="6435" w:type="dxa"/>
            <w:noWrap w:val="0"/>
            <w:vAlign w:val="center"/>
          </w:tcPr>
          <w:p w14:paraId="5BEB16F9">
            <w:pPr>
              <w:pStyle w:val="14"/>
              <w:keepNext w:val="0"/>
              <w:keepLines w:val="0"/>
              <w:pageBreakBefore w:val="0"/>
              <w:kinsoku/>
              <w:wordWrap/>
              <w:overflowPunct/>
              <w:topLinePunct w:val="0"/>
              <w:autoSpaceDE/>
              <w:autoSpaceDN/>
              <w:bidi w:val="0"/>
              <w:adjustRightInd/>
              <w:snapToGrid/>
              <w:spacing w:line="360" w:lineRule="exact"/>
              <w:ind w:firstLine="420" w:firstLineChars="200"/>
              <w:jc w:val="left"/>
              <w:textAlignment w:val="auto"/>
              <w:rPr>
                <w:rFonts w:hint="eastAsia" w:ascii="仿宋" w:hAnsi="仿宋" w:eastAsia="仿宋" w:cs="仿宋"/>
                <w:color w:val="000000"/>
                <w:sz w:val="21"/>
                <w:highlight w:val="none"/>
              </w:rPr>
            </w:pPr>
            <w:r>
              <w:rPr>
                <w:rFonts w:hint="eastAsia" w:ascii="仿宋" w:hAnsi="仿宋" w:eastAsia="仿宋" w:cs="仿宋"/>
                <w:color w:val="000000"/>
                <w:sz w:val="21"/>
                <w:highlight w:val="none"/>
                <w:lang w:eastAsia="zh-CN"/>
              </w:rPr>
              <w:t>投标人</w:t>
            </w:r>
            <w:r>
              <w:rPr>
                <w:rFonts w:hint="eastAsia" w:ascii="仿宋" w:hAnsi="仿宋" w:eastAsia="仿宋" w:cs="仿宋"/>
                <w:color w:val="000000"/>
                <w:sz w:val="21"/>
                <w:highlight w:val="none"/>
                <w:lang w:val="en-US" w:eastAsia="zh-CN"/>
              </w:rPr>
              <w:t>须</w:t>
            </w:r>
            <w:r>
              <w:rPr>
                <w:rFonts w:hint="eastAsia" w:ascii="仿宋" w:hAnsi="仿宋" w:eastAsia="仿宋" w:cs="仿宋"/>
                <w:color w:val="000000"/>
                <w:sz w:val="21"/>
                <w:highlight w:val="none"/>
              </w:rPr>
              <w:t>提供应急服务方案。根据方案的完整性、可行性、合理性进行综合评分。</w:t>
            </w:r>
          </w:p>
          <w:p w14:paraId="7188D6BE">
            <w:pPr>
              <w:pStyle w:val="14"/>
              <w:keepNext w:val="0"/>
              <w:keepLines w:val="0"/>
              <w:pageBreakBefore w:val="0"/>
              <w:kinsoku/>
              <w:wordWrap/>
              <w:overflowPunct/>
              <w:topLinePunct w:val="0"/>
              <w:autoSpaceDE/>
              <w:autoSpaceDN/>
              <w:bidi w:val="0"/>
              <w:adjustRightInd/>
              <w:snapToGrid/>
              <w:spacing w:line="360" w:lineRule="exact"/>
              <w:ind w:firstLine="420" w:firstLineChars="200"/>
              <w:jc w:val="left"/>
              <w:textAlignment w:val="auto"/>
              <w:rPr>
                <w:rFonts w:hint="eastAsia" w:ascii="仿宋" w:hAnsi="仿宋" w:eastAsia="仿宋" w:cs="仿宋"/>
                <w:color w:val="000000"/>
                <w:sz w:val="21"/>
                <w:highlight w:val="none"/>
              </w:rPr>
            </w:pPr>
            <w:r>
              <w:rPr>
                <w:rFonts w:hint="eastAsia" w:ascii="仿宋" w:hAnsi="仿宋" w:eastAsia="仿宋" w:cs="仿宋"/>
                <w:color w:val="000000"/>
                <w:sz w:val="21"/>
                <w:highlight w:val="none"/>
              </w:rPr>
              <w:t>一档（</w:t>
            </w:r>
            <w:r>
              <w:rPr>
                <w:rFonts w:hint="eastAsia" w:ascii="仿宋" w:hAnsi="仿宋" w:eastAsia="仿宋" w:cs="仿宋"/>
                <w:color w:val="000000"/>
                <w:sz w:val="21"/>
                <w:highlight w:val="none"/>
                <w:lang w:val="en-US" w:eastAsia="zh-CN"/>
              </w:rPr>
              <w:t>0</w:t>
            </w:r>
            <w:r>
              <w:rPr>
                <w:rFonts w:hint="eastAsia" w:ascii="仿宋" w:hAnsi="仿宋" w:eastAsia="仿宋" w:cs="仿宋"/>
                <w:color w:val="000000"/>
                <w:sz w:val="21"/>
                <w:highlight w:val="none"/>
              </w:rPr>
              <w:t>分）：</w:t>
            </w:r>
            <w:r>
              <w:rPr>
                <w:rFonts w:hint="eastAsia" w:ascii="仿宋" w:hAnsi="仿宋" w:eastAsia="仿宋" w:cs="仿宋"/>
                <w:color w:val="000000"/>
                <w:sz w:val="21"/>
                <w:highlight w:val="none"/>
                <w:lang w:val="en-US" w:eastAsia="zh-CN"/>
              </w:rPr>
              <w:t>未</w:t>
            </w:r>
            <w:r>
              <w:rPr>
                <w:rFonts w:hint="eastAsia" w:ascii="仿宋" w:hAnsi="仿宋" w:eastAsia="仿宋" w:cs="仿宋"/>
                <w:color w:val="000000"/>
                <w:sz w:val="21"/>
                <w:highlight w:val="none"/>
              </w:rPr>
              <w:t>提供</w:t>
            </w:r>
            <w:r>
              <w:rPr>
                <w:rFonts w:hint="eastAsia" w:ascii="仿宋" w:hAnsi="仿宋" w:eastAsia="仿宋" w:cs="仿宋"/>
                <w:color w:val="000000"/>
                <w:sz w:val="21"/>
                <w:highlight w:val="none"/>
                <w:lang w:val="en-US" w:eastAsia="zh-CN"/>
              </w:rPr>
              <w:t>本项目</w:t>
            </w:r>
            <w:r>
              <w:rPr>
                <w:rFonts w:hint="eastAsia" w:ascii="仿宋" w:hAnsi="仿宋" w:eastAsia="仿宋" w:cs="仿宋"/>
                <w:color w:val="000000"/>
                <w:sz w:val="21"/>
                <w:highlight w:val="none"/>
              </w:rPr>
              <w:t>应急</w:t>
            </w:r>
            <w:r>
              <w:rPr>
                <w:rFonts w:hint="eastAsia" w:ascii="仿宋" w:hAnsi="仿宋" w:eastAsia="仿宋" w:cs="仿宋"/>
                <w:color w:val="000000"/>
                <w:sz w:val="21"/>
                <w:highlight w:val="none"/>
                <w:lang w:val="en-US" w:eastAsia="zh-CN"/>
              </w:rPr>
              <w:t>服务</w:t>
            </w:r>
            <w:r>
              <w:rPr>
                <w:rFonts w:hint="eastAsia" w:ascii="仿宋" w:hAnsi="仿宋" w:eastAsia="仿宋" w:cs="仿宋"/>
                <w:color w:val="000000"/>
                <w:sz w:val="21"/>
                <w:highlight w:val="none"/>
              </w:rPr>
              <w:t>方案。</w:t>
            </w:r>
          </w:p>
          <w:p w14:paraId="698D0848">
            <w:pPr>
              <w:pStyle w:val="14"/>
              <w:keepNext w:val="0"/>
              <w:keepLines w:val="0"/>
              <w:pageBreakBefore w:val="0"/>
              <w:kinsoku/>
              <w:wordWrap/>
              <w:overflowPunct/>
              <w:topLinePunct w:val="0"/>
              <w:autoSpaceDE/>
              <w:autoSpaceDN/>
              <w:bidi w:val="0"/>
              <w:adjustRightInd/>
              <w:snapToGrid/>
              <w:spacing w:line="360" w:lineRule="exact"/>
              <w:ind w:firstLine="420" w:firstLineChars="200"/>
              <w:jc w:val="left"/>
              <w:textAlignment w:val="auto"/>
              <w:rPr>
                <w:rFonts w:hint="eastAsia" w:ascii="仿宋" w:hAnsi="仿宋" w:eastAsia="仿宋" w:cs="仿宋"/>
                <w:color w:val="000000"/>
                <w:sz w:val="21"/>
                <w:highlight w:val="none"/>
              </w:rPr>
            </w:pPr>
            <w:r>
              <w:rPr>
                <w:rFonts w:hint="eastAsia" w:ascii="仿宋" w:hAnsi="仿宋" w:eastAsia="仿宋" w:cs="仿宋"/>
                <w:color w:val="000000"/>
                <w:sz w:val="21"/>
                <w:highlight w:val="none"/>
              </w:rPr>
              <w:t>二档（</w:t>
            </w:r>
            <w:r>
              <w:rPr>
                <w:rFonts w:hint="eastAsia" w:ascii="仿宋" w:hAnsi="仿宋" w:eastAsia="仿宋" w:cs="仿宋"/>
                <w:color w:val="000000"/>
                <w:sz w:val="21"/>
                <w:highlight w:val="none"/>
                <w:lang w:val="en-US" w:eastAsia="zh-CN"/>
              </w:rPr>
              <w:t>8</w:t>
            </w:r>
            <w:r>
              <w:rPr>
                <w:rFonts w:hint="eastAsia" w:ascii="仿宋" w:hAnsi="仿宋" w:eastAsia="仿宋" w:cs="仿宋"/>
                <w:color w:val="000000"/>
                <w:sz w:val="21"/>
                <w:highlight w:val="none"/>
              </w:rPr>
              <w:t>分）：提供的应急</w:t>
            </w:r>
            <w:r>
              <w:rPr>
                <w:rFonts w:hint="eastAsia" w:ascii="仿宋" w:hAnsi="仿宋" w:eastAsia="仿宋" w:cs="仿宋"/>
                <w:color w:val="000000"/>
                <w:sz w:val="21"/>
                <w:highlight w:val="none"/>
                <w:lang w:val="en-US" w:eastAsia="zh-CN"/>
              </w:rPr>
              <w:t>服务</w:t>
            </w:r>
            <w:r>
              <w:rPr>
                <w:rFonts w:hint="eastAsia" w:ascii="仿宋" w:hAnsi="仿宋" w:eastAsia="仿宋" w:cs="仿宋"/>
                <w:color w:val="000000"/>
                <w:sz w:val="21"/>
                <w:highlight w:val="none"/>
              </w:rPr>
              <w:t>方案</w:t>
            </w:r>
            <w:r>
              <w:rPr>
                <w:rFonts w:hint="eastAsia" w:ascii="仿宋" w:hAnsi="仿宋" w:eastAsia="仿宋" w:cs="仿宋"/>
                <w:color w:val="000000"/>
                <w:sz w:val="21"/>
                <w:highlight w:val="none"/>
                <w:lang w:val="en-US" w:eastAsia="zh-CN"/>
              </w:rPr>
              <w:t>内容较简单</w:t>
            </w:r>
            <w:r>
              <w:rPr>
                <w:rFonts w:hint="eastAsia" w:ascii="仿宋" w:hAnsi="仿宋" w:eastAsia="仿宋" w:cs="仿宋"/>
                <w:color w:val="000000"/>
                <w:sz w:val="21"/>
                <w:highlight w:val="none"/>
              </w:rPr>
              <w:t>，仅包含应急组织架构，</w:t>
            </w:r>
            <w:r>
              <w:rPr>
                <w:rFonts w:hint="eastAsia" w:ascii="仿宋" w:hAnsi="仿宋" w:eastAsia="仿宋" w:cs="仿宋"/>
                <w:color w:val="000000"/>
                <w:sz w:val="21"/>
                <w:highlight w:val="none"/>
                <w:lang w:val="en-US" w:eastAsia="zh-CN"/>
              </w:rPr>
              <w:t>承诺</w:t>
            </w:r>
            <w:r>
              <w:rPr>
                <w:rFonts w:hint="eastAsia" w:ascii="仿宋" w:hAnsi="仿宋" w:eastAsia="仿宋" w:cs="仿宋"/>
                <w:color w:val="000000"/>
                <w:sz w:val="21"/>
                <w:highlight w:val="none"/>
              </w:rPr>
              <w:t>故障定位响应时间≤1</w:t>
            </w:r>
            <w:r>
              <w:rPr>
                <w:rFonts w:hint="eastAsia" w:ascii="仿宋" w:hAnsi="仿宋" w:eastAsia="仿宋" w:cs="仿宋"/>
                <w:color w:val="000000"/>
                <w:sz w:val="21"/>
                <w:highlight w:val="none"/>
                <w:lang w:val="en-US" w:eastAsia="zh-CN"/>
              </w:rPr>
              <w:t>.5</w:t>
            </w:r>
            <w:r>
              <w:rPr>
                <w:rFonts w:hint="eastAsia" w:ascii="仿宋" w:hAnsi="仿宋" w:eastAsia="仿宋" w:cs="仿宋"/>
                <w:color w:val="000000"/>
                <w:sz w:val="21"/>
                <w:highlight w:val="none"/>
              </w:rPr>
              <w:t>小时；</w:t>
            </w:r>
          </w:p>
          <w:p w14:paraId="4CD9BF4B">
            <w:pPr>
              <w:pStyle w:val="14"/>
              <w:keepNext w:val="0"/>
              <w:keepLines w:val="0"/>
              <w:pageBreakBefore w:val="0"/>
              <w:kinsoku/>
              <w:wordWrap/>
              <w:overflowPunct/>
              <w:topLinePunct w:val="0"/>
              <w:autoSpaceDE/>
              <w:autoSpaceDN/>
              <w:bidi w:val="0"/>
              <w:adjustRightInd/>
              <w:snapToGrid/>
              <w:spacing w:line="360" w:lineRule="exact"/>
              <w:ind w:firstLine="420" w:firstLineChars="200"/>
              <w:jc w:val="left"/>
              <w:textAlignment w:val="auto"/>
              <w:rPr>
                <w:rFonts w:hint="eastAsia" w:ascii="仿宋" w:hAnsi="仿宋" w:eastAsia="仿宋" w:cs="仿宋"/>
                <w:color w:val="auto"/>
                <w:sz w:val="21"/>
                <w:highlight w:val="none"/>
              </w:rPr>
            </w:pPr>
            <w:r>
              <w:rPr>
                <w:rFonts w:hint="eastAsia" w:ascii="仿宋" w:hAnsi="仿宋" w:eastAsia="仿宋" w:cs="仿宋"/>
                <w:color w:val="000000"/>
                <w:sz w:val="21"/>
                <w:highlight w:val="none"/>
              </w:rPr>
              <w:t>三档（</w:t>
            </w:r>
            <w:r>
              <w:rPr>
                <w:rFonts w:hint="eastAsia" w:ascii="仿宋" w:hAnsi="仿宋" w:eastAsia="仿宋" w:cs="仿宋"/>
                <w:color w:val="000000"/>
                <w:sz w:val="21"/>
                <w:highlight w:val="none"/>
                <w:lang w:val="en-US" w:eastAsia="zh-CN"/>
              </w:rPr>
              <w:t>13</w:t>
            </w:r>
            <w:r>
              <w:rPr>
                <w:rFonts w:hint="eastAsia" w:ascii="仿宋" w:hAnsi="仿宋" w:eastAsia="仿宋" w:cs="仿宋"/>
                <w:color w:val="000000"/>
                <w:sz w:val="21"/>
                <w:highlight w:val="none"/>
              </w:rPr>
              <w:t>分）：提供的应急</w:t>
            </w:r>
            <w:r>
              <w:rPr>
                <w:rFonts w:hint="eastAsia" w:ascii="仿宋" w:hAnsi="仿宋" w:eastAsia="仿宋" w:cs="仿宋"/>
                <w:color w:val="000000"/>
                <w:sz w:val="21"/>
                <w:highlight w:val="none"/>
                <w:lang w:val="en-US" w:eastAsia="zh-CN"/>
              </w:rPr>
              <w:t>服务</w:t>
            </w:r>
            <w:r>
              <w:rPr>
                <w:rFonts w:hint="eastAsia" w:ascii="仿宋" w:hAnsi="仿宋" w:eastAsia="仿宋" w:cs="仿宋"/>
                <w:color w:val="000000"/>
                <w:sz w:val="21"/>
                <w:highlight w:val="none"/>
              </w:rPr>
              <w:t>方案</w:t>
            </w:r>
            <w:r>
              <w:rPr>
                <w:rFonts w:hint="eastAsia" w:ascii="仿宋" w:hAnsi="仿宋" w:eastAsia="仿宋" w:cs="仿宋"/>
                <w:color w:val="000000"/>
                <w:sz w:val="21"/>
                <w:highlight w:val="none"/>
                <w:lang w:val="en-US" w:eastAsia="zh-CN"/>
              </w:rPr>
              <w:t>内容完整</w:t>
            </w:r>
            <w:r>
              <w:rPr>
                <w:rFonts w:hint="eastAsia" w:ascii="仿宋" w:hAnsi="仿宋" w:eastAsia="仿宋" w:cs="仿宋"/>
                <w:color w:val="000000"/>
                <w:sz w:val="21"/>
                <w:highlight w:val="none"/>
              </w:rPr>
              <w:t>，包含应急组织架构，对突发或意</w:t>
            </w:r>
            <w:r>
              <w:rPr>
                <w:rFonts w:hint="eastAsia" w:ascii="仿宋" w:hAnsi="仿宋" w:eastAsia="仿宋" w:cs="仿宋"/>
                <w:color w:val="auto"/>
                <w:sz w:val="21"/>
                <w:highlight w:val="none"/>
              </w:rPr>
              <w:t>外情况分析，以及应对突发或意外情况的处理，满足项目建设要求；</w:t>
            </w:r>
            <w:r>
              <w:rPr>
                <w:rFonts w:hint="eastAsia" w:ascii="仿宋" w:hAnsi="仿宋" w:eastAsia="仿宋" w:cs="仿宋"/>
                <w:color w:val="auto"/>
                <w:sz w:val="21"/>
                <w:highlight w:val="none"/>
                <w:lang w:eastAsia="zh-CN"/>
              </w:rPr>
              <w:t>投标人</w:t>
            </w:r>
            <w:r>
              <w:rPr>
                <w:rFonts w:hint="eastAsia" w:ascii="仿宋" w:hAnsi="仿宋" w:eastAsia="仿宋" w:cs="仿宋"/>
                <w:color w:val="auto"/>
                <w:sz w:val="21"/>
                <w:highlight w:val="none"/>
              </w:rPr>
              <w:t>提供专家支持，实现远程技术支援、故障</w:t>
            </w:r>
            <w:r>
              <w:rPr>
                <w:rFonts w:hint="eastAsia" w:ascii="仿宋" w:hAnsi="仿宋" w:eastAsia="仿宋" w:cs="仿宋"/>
                <w:color w:val="auto"/>
                <w:sz w:val="21"/>
                <w:highlight w:val="none"/>
                <w:lang w:val="en-US" w:eastAsia="zh-CN"/>
              </w:rPr>
              <w:t>原因</w:t>
            </w:r>
            <w:r>
              <w:rPr>
                <w:rFonts w:hint="eastAsia" w:ascii="仿宋" w:hAnsi="仿宋" w:eastAsia="仿宋" w:cs="仿宋"/>
                <w:color w:val="auto"/>
                <w:sz w:val="21"/>
                <w:highlight w:val="none"/>
              </w:rPr>
              <w:t>分析</w:t>
            </w:r>
            <w:r>
              <w:rPr>
                <w:rFonts w:hint="eastAsia" w:ascii="仿宋" w:hAnsi="仿宋" w:eastAsia="仿宋" w:cs="仿宋"/>
                <w:color w:val="auto"/>
                <w:sz w:val="21"/>
                <w:highlight w:val="none"/>
                <w:lang w:eastAsia="zh-CN"/>
              </w:rPr>
              <w:t>，</w:t>
            </w:r>
            <w:r>
              <w:rPr>
                <w:rFonts w:hint="eastAsia" w:ascii="仿宋" w:hAnsi="仿宋" w:eastAsia="仿宋" w:cs="仿宋"/>
                <w:color w:val="auto"/>
                <w:sz w:val="21"/>
                <w:highlight w:val="none"/>
              </w:rPr>
              <w:t>有详细的各类事故应急救援方案，</w:t>
            </w:r>
            <w:r>
              <w:rPr>
                <w:rFonts w:hint="eastAsia" w:ascii="仿宋" w:hAnsi="仿宋" w:eastAsia="仿宋" w:cs="仿宋"/>
                <w:color w:val="auto"/>
                <w:sz w:val="21"/>
                <w:highlight w:val="none"/>
                <w:lang w:val="en-US" w:eastAsia="zh-CN"/>
              </w:rPr>
              <w:t>承诺</w:t>
            </w:r>
            <w:r>
              <w:rPr>
                <w:rFonts w:hint="eastAsia" w:ascii="仿宋" w:hAnsi="仿宋" w:eastAsia="仿宋" w:cs="仿宋"/>
                <w:color w:val="auto"/>
                <w:sz w:val="21"/>
                <w:highlight w:val="none"/>
              </w:rPr>
              <w:t>故障定位响应时间≤</w:t>
            </w:r>
            <w:r>
              <w:rPr>
                <w:rFonts w:hint="eastAsia" w:ascii="仿宋" w:hAnsi="仿宋" w:eastAsia="仿宋" w:cs="仿宋"/>
                <w:color w:val="auto"/>
                <w:sz w:val="21"/>
                <w:highlight w:val="none"/>
                <w:lang w:val="en-US" w:eastAsia="zh-CN"/>
              </w:rPr>
              <w:t>1</w:t>
            </w:r>
            <w:r>
              <w:rPr>
                <w:rFonts w:hint="eastAsia" w:ascii="仿宋" w:hAnsi="仿宋" w:eastAsia="仿宋" w:cs="仿宋"/>
                <w:color w:val="auto"/>
                <w:sz w:val="21"/>
                <w:highlight w:val="none"/>
              </w:rPr>
              <w:t>小时，重大故障解决时间≤</w:t>
            </w:r>
            <w:r>
              <w:rPr>
                <w:rFonts w:hint="eastAsia" w:ascii="仿宋" w:hAnsi="仿宋" w:eastAsia="仿宋" w:cs="仿宋"/>
                <w:color w:val="auto"/>
                <w:sz w:val="21"/>
                <w:highlight w:val="none"/>
                <w:lang w:val="en-US" w:eastAsia="zh-CN"/>
              </w:rPr>
              <w:t>3</w:t>
            </w:r>
            <w:r>
              <w:rPr>
                <w:rFonts w:hint="eastAsia" w:ascii="仿宋" w:hAnsi="仿宋" w:eastAsia="仿宋" w:cs="仿宋"/>
                <w:color w:val="auto"/>
                <w:sz w:val="21"/>
                <w:highlight w:val="none"/>
              </w:rPr>
              <w:t>小时，具备云平台监控系统7×24小时实时监控的技术，并快速定位故障问题。（必须提供云平台监控系统相关记录截图，并加盖公章）。</w:t>
            </w:r>
          </w:p>
          <w:p w14:paraId="46AE4F9D">
            <w:pPr>
              <w:pStyle w:val="14"/>
              <w:keepNext w:val="0"/>
              <w:keepLines w:val="0"/>
              <w:pageBreakBefore w:val="0"/>
              <w:kinsoku/>
              <w:wordWrap/>
              <w:overflowPunct/>
              <w:topLinePunct w:val="0"/>
              <w:autoSpaceDE/>
              <w:autoSpaceDN/>
              <w:bidi w:val="0"/>
              <w:adjustRightInd/>
              <w:snapToGrid/>
              <w:spacing w:line="360" w:lineRule="exact"/>
              <w:ind w:firstLine="420" w:firstLineChars="200"/>
              <w:jc w:val="left"/>
              <w:textAlignment w:val="auto"/>
              <w:rPr>
                <w:rFonts w:hint="eastAsia" w:ascii="仿宋" w:hAnsi="仿宋" w:eastAsia="仿宋" w:cs="仿宋"/>
                <w:color w:val="auto"/>
                <w:sz w:val="21"/>
                <w:highlight w:val="none"/>
                <w:lang w:eastAsia="zh-CN"/>
              </w:rPr>
            </w:pPr>
            <w:r>
              <w:rPr>
                <w:rFonts w:hint="eastAsia" w:ascii="仿宋" w:hAnsi="仿宋" w:eastAsia="仿宋" w:cs="仿宋"/>
                <w:color w:val="auto"/>
                <w:sz w:val="21"/>
                <w:highlight w:val="none"/>
              </w:rPr>
              <w:t>四档（</w:t>
            </w:r>
            <w:r>
              <w:rPr>
                <w:rFonts w:hint="eastAsia" w:ascii="仿宋" w:hAnsi="仿宋" w:eastAsia="仿宋" w:cs="仿宋"/>
                <w:color w:val="auto"/>
                <w:sz w:val="21"/>
                <w:highlight w:val="none"/>
                <w:lang w:val="en-US" w:eastAsia="zh-CN"/>
              </w:rPr>
              <w:t>18</w:t>
            </w:r>
            <w:r>
              <w:rPr>
                <w:rFonts w:hint="eastAsia" w:ascii="仿宋" w:hAnsi="仿宋" w:eastAsia="仿宋" w:cs="仿宋"/>
                <w:color w:val="auto"/>
                <w:sz w:val="21"/>
                <w:highlight w:val="none"/>
              </w:rPr>
              <w:t>分）：提供的应急</w:t>
            </w:r>
            <w:r>
              <w:rPr>
                <w:rFonts w:hint="eastAsia" w:ascii="仿宋" w:hAnsi="仿宋" w:eastAsia="仿宋" w:cs="仿宋"/>
                <w:color w:val="auto"/>
                <w:sz w:val="21"/>
                <w:highlight w:val="none"/>
                <w:lang w:val="en-US" w:eastAsia="zh-CN"/>
              </w:rPr>
              <w:t>服务</w:t>
            </w:r>
            <w:r>
              <w:rPr>
                <w:rFonts w:hint="eastAsia" w:ascii="仿宋" w:hAnsi="仿宋" w:eastAsia="仿宋" w:cs="仿宋"/>
                <w:color w:val="auto"/>
                <w:sz w:val="21"/>
                <w:highlight w:val="none"/>
              </w:rPr>
              <w:t>方案内容</w:t>
            </w:r>
            <w:r>
              <w:rPr>
                <w:rFonts w:hint="eastAsia" w:ascii="仿宋" w:hAnsi="仿宋" w:eastAsia="仿宋" w:cs="仿宋"/>
                <w:color w:val="auto"/>
                <w:sz w:val="21"/>
                <w:highlight w:val="none"/>
                <w:lang w:val="en-US" w:eastAsia="zh-CN"/>
              </w:rPr>
              <w:t>详细</w:t>
            </w:r>
            <w:r>
              <w:rPr>
                <w:rFonts w:hint="eastAsia" w:ascii="仿宋" w:hAnsi="仿宋" w:eastAsia="仿宋" w:cs="仿宋"/>
                <w:color w:val="auto"/>
                <w:sz w:val="21"/>
                <w:highlight w:val="none"/>
              </w:rPr>
              <w:t>，包含不限于应急组织架构、应急风险及场景评估和措施、应急响应流程、应急物资与装备的储备，能够在完全保障完成服务需求中的内容的同时也能够应对突发或意外情况，并能给出合理的规划安排，有利于提升本项目服务质量，充分满足项目建设要求</w:t>
            </w:r>
            <w:r>
              <w:rPr>
                <w:rFonts w:hint="eastAsia" w:ascii="仿宋" w:hAnsi="仿宋" w:eastAsia="仿宋" w:cs="仿宋"/>
                <w:color w:val="auto"/>
                <w:sz w:val="21"/>
                <w:highlight w:val="none"/>
                <w:lang w:eastAsia="zh-CN"/>
              </w:rPr>
              <w:t>；</w:t>
            </w:r>
            <w:r>
              <w:rPr>
                <w:rFonts w:hint="eastAsia" w:ascii="仿宋" w:hAnsi="仿宋" w:eastAsia="仿宋" w:cs="仿宋"/>
                <w:color w:val="auto"/>
                <w:sz w:val="21"/>
                <w:highlight w:val="none"/>
              </w:rPr>
              <w:t>响应时间短，快捷、迅速，方案包含有项目应急维护、保密承诺等，且描述了应急保障方案的方法以及实现方式、技术人员名单等资料详细，服务承诺和保障措施考虑周全完整；</w:t>
            </w:r>
            <w:r>
              <w:rPr>
                <w:rFonts w:hint="eastAsia" w:ascii="仿宋" w:hAnsi="仿宋" w:eastAsia="仿宋" w:cs="仿宋"/>
                <w:color w:val="auto"/>
                <w:sz w:val="21"/>
                <w:highlight w:val="none"/>
                <w:lang w:eastAsia="zh-CN"/>
              </w:rPr>
              <w:t>投标人</w:t>
            </w:r>
            <w:r>
              <w:rPr>
                <w:rFonts w:hint="eastAsia" w:ascii="仿宋" w:hAnsi="仿宋" w:eastAsia="仿宋" w:cs="仿宋"/>
                <w:color w:val="auto"/>
                <w:sz w:val="21"/>
                <w:highlight w:val="none"/>
              </w:rPr>
              <w:t>提供专家支持，实现远程技术支援、故障</w:t>
            </w:r>
            <w:r>
              <w:rPr>
                <w:rFonts w:hint="eastAsia" w:ascii="仿宋" w:hAnsi="仿宋" w:eastAsia="仿宋" w:cs="仿宋"/>
                <w:color w:val="auto"/>
                <w:sz w:val="21"/>
                <w:highlight w:val="none"/>
                <w:lang w:val="en-US" w:eastAsia="zh-CN"/>
              </w:rPr>
              <w:t>原因</w:t>
            </w:r>
            <w:r>
              <w:rPr>
                <w:rFonts w:hint="eastAsia" w:ascii="仿宋" w:hAnsi="仿宋" w:eastAsia="仿宋" w:cs="仿宋"/>
                <w:color w:val="auto"/>
                <w:sz w:val="21"/>
                <w:highlight w:val="none"/>
              </w:rPr>
              <w:t>分析</w:t>
            </w:r>
            <w:r>
              <w:rPr>
                <w:rFonts w:hint="eastAsia" w:ascii="仿宋" w:hAnsi="仿宋" w:eastAsia="仿宋" w:cs="仿宋"/>
                <w:color w:val="auto"/>
                <w:sz w:val="21"/>
                <w:highlight w:val="none"/>
                <w:lang w:eastAsia="zh-CN"/>
              </w:rPr>
              <w:t>，</w:t>
            </w:r>
            <w:r>
              <w:rPr>
                <w:rFonts w:hint="eastAsia" w:ascii="仿宋" w:hAnsi="仿宋" w:eastAsia="仿宋" w:cs="仿宋"/>
                <w:color w:val="auto"/>
                <w:sz w:val="21"/>
                <w:highlight w:val="none"/>
              </w:rPr>
              <w:t>有详细的各类事故应急救援方案，</w:t>
            </w:r>
            <w:r>
              <w:rPr>
                <w:rFonts w:hint="eastAsia" w:ascii="仿宋" w:hAnsi="仿宋" w:eastAsia="仿宋" w:cs="仿宋"/>
                <w:color w:val="auto"/>
                <w:sz w:val="21"/>
                <w:highlight w:val="none"/>
                <w:lang w:val="en-US" w:eastAsia="zh-CN"/>
              </w:rPr>
              <w:t>承诺</w:t>
            </w:r>
            <w:r>
              <w:rPr>
                <w:rFonts w:hint="eastAsia" w:ascii="仿宋" w:hAnsi="仿宋" w:eastAsia="仿宋" w:cs="仿宋"/>
                <w:color w:val="auto"/>
                <w:sz w:val="21"/>
                <w:highlight w:val="none"/>
              </w:rPr>
              <w:t>故障定位响应时间≤</w:t>
            </w:r>
            <w:r>
              <w:rPr>
                <w:rFonts w:hint="eastAsia" w:ascii="仿宋" w:hAnsi="仿宋" w:eastAsia="仿宋" w:cs="仿宋"/>
                <w:color w:val="auto"/>
                <w:sz w:val="21"/>
                <w:highlight w:val="none"/>
                <w:lang w:val="en-US" w:eastAsia="zh-CN"/>
              </w:rPr>
              <w:t>0.5小时</w:t>
            </w:r>
            <w:r>
              <w:rPr>
                <w:rFonts w:hint="eastAsia" w:ascii="仿宋" w:hAnsi="仿宋" w:eastAsia="仿宋" w:cs="仿宋"/>
                <w:color w:val="auto"/>
                <w:sz w:val="21"/>
                <w:highlight w:val="none"/>
              </w:rPr>
              <w:t>，重大故障解决时间≤</w:t>
            </w:r>
            <w:r>
              <w:rPr>
                <w:rFonts w:hint="eastAsia" w:ascii="仿宋" w:hAnsi="仿宋" w:eastAsia="仿宋" w:cs="仿宋"/>
                <w:color w:val="auto"/>
                <w:sz w:val="21"/>
                <w:highlight w:val="none"/>
                <w:lang w:val="en-US" w:eastAsia="zh-CN"/>
              </w:rPr>
              <w:t>2</w:t>
            </w:r>
            <w:r>
              <w:rPr>
                <w:rFonts w:hint="eastAsia" w:ascii="仿宋" w:hAnsi="仿宋" w:eastAsia="仿宋" w:cs="仿宋"/>
                <w:color w:val="auto"/>
                <w:sz w:val="21"/>
                <w:highlight w:val="none"/>
              </w:rPr>
              <w:t>小时，具备云平台监控系统7×24小时实时监控的技术，并快速定位故障问题（必须提供云平台监控系统相关记录截图，并加盖公章）</w:t>
            </w:r>
            <w:r>
              <w:rPr>
                <w:rFonts w:hint="eastAsia" w:ascii="仿宋" w:hAnsi="仿宋" w:eastAsia="仿宋" w:cs="仿宋"/>
                <w:color w:val="auto"/>
                <w:sz w:val="21"/>
                <w:highlight w:val="none"/>
                <w:lang w:eastAsia="zh-CN"/>
              </w:rPr>
              <w:t>。</w:t>
            </w:r>
          </w:p>
          <w:p w14:paraId="0961EC06">
            <w:pPr>
              <w:pStyle w:val="14"/>
              <w:keepNext w:val="0"/>
              <w:keepLines w:val="0"/>
              <w:pageBreakBefore w:val="0"/>
              <w:kinsoku/>
              <w:wordWrap/>
              <w:overflowPunct/>
              <w:topLinePunct w:val="0"/>
              <w:autoSpaceDE/>
              <w:autoSpaceDN/>
              <w:bidi w:val="0"/>
              <w:adjustRightInd/>
              <w:snapToGrid/>
              <w:spacing w:line="360" w:lineRule="exact"/>
              <w:ind w:firstLine="420" w:firstLineChars="200"/>
              <w:jc w:val="left"/>
              <w:textAlignment w:val="auto"/>
              <w:rPr>
                <w:rFonts w:hint="eastAsia"/>
                <w:color w:val="auto"/>
                <w:highlight w:val="none"/>
                <w:lang w:eastAsia="zh-CN"/>
              </w:rPr>
            </w:pPr>
            <w:r>
              <w:rPr>
                <w:rFonts w:hint="eastAsia" w:ascii="仿宋" w:hAnsi="仿宋" w:eastAsia="仿宋" w:cs="仿宋"/>
                <w:color w:val="000000"/>
                <w:sz w:val="21"/>
                <w:highlight w:val="none"/>
                <w:lang w:val="en-US" w:eastAsia="zh-CN"/>
              </w:rPr>
              <w:t>注：必须提供承诺函并加盖公章，格式自拟，否则不得分。</w:t>
            </w:r>
          </w:p>
        </w:tc>
        <w:tc>
          <w:tcPr>
            <w:tcW w:w="736" w:type="dxa"/>
            <w:noWrap w:val="0"/>
            <w:vAlign w:val="center"/>
          </w:tcPr>
          <w:p w14:paraId="22C5698D">
            <w:pPr>
              <w:pStyle w:val="14"/>
              <w:keepNext w:val="0"/>
              <w:keepLines w:val="0"/>
              <w:pageBreakBefore w:val="0"/>
              <w:kinsoku/>
              <w:wordWrap/>
              <w:overflowPunct/>
              <w:topLinePunct w:val="0"/>
              <w:autoSpaceDE/>
              <w:autoSpaceDN/>
              <w:bidi w:val="0"/>
              <w:adjustRightInd/>
              <w:snapToGrid/>
              <w:spacing w:line="360" w:lineRule="exact"/>
              <w:ind w:firstLine="0" w:firstLineChars="0"/>
              <w:textAlignment w:val="auto"/>
              <w:rPr>
                <w:rFonts w:hint="default" w:ascii="仿宋" w:hAnsi="仿宋" w:eastAsia="仿宋" w:cs="仿宋"/>
                <w:b/>
                <w:bCs/>
                <w:color w:val="000000"/>
                <w:sz w:val="21"/>
                <w:highlight w:val="none"/>
                <w:lang w:val="en-US" w:eastAsia="zh-CN"/>
              </w:rPr>
            </w:pPr>
            <w:r>
              <w:rPr>
                <w:rFonts w:hint="eastAsia" w:ascii="仿宋" w:hAnsi="仿宋" w:eastAsia="仿宋" w:cs="仿宋"/>
                <w:b w:val="0"/>
                <w:bCs w:val="0"/>
                <w:color w:val="000000"/>
                <w:sz w:val="21"/>
                <w:highlight w:val="none"/>
                <w:lang w:val="en-US" w:eastAsia="zh-CN"/>
              </w:rPr>
              <w:t>18分</w:t>
            </w:r>
          </w:p>
        </w:tc>
      </w:tr>
      <w:tr w14:paraId="36B19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9" w:type="dxa"/>
            <w:noWrap w:val="0"/>
            <w:vAlign w:val="center"/>
          </w:tcPr>
          <w:p w14:paraId="34FAA70D">
            <w:pPr>
              <w:pStyle w:val="14"/>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仿宋" w:hAnsi="仿宋" w:eastAsia="仿宋" w:cs="仿宋"/>
                <w:b/>
                <w:bCs/>
                <w:color w:val="000000"/>
                <w:sz w:val="21"/>
                <w:highlight w:val="none"/>
                <w:lang w:eastAsia="zh-CN"/>
              </w:rPr>
            </w:pPr>
            <w:r>
              <w:rPr>
                <w:rFonts w:hint="default" w:ascii="仿宋" w:hAnsi="仿宋" w:eastAsia="仿宋" w:cs="仿宋"/>
                <w:b/>
                <w:bCs/>
                <w:color w:val="000000"/>
                <w:sz w:val="21"/>
                <w:highlight w:val="none"/>
                <w:lang w:val="en-US"/>
              </w:rPr>
              <w:t>3</w:t>
            </w:r>
          </w:p>
        </w:tc>
        <w:tc>
          <w:tcPr>
            <w:tcW w:w="1209" w:type="dxa"/>
            <w:noWrap w:val="0"/>
            <w:vAlign w:val="center"/>
          </w:tcPr>
          <w:p w14:paraId="16CEEE4B">
            <w:pPr>
              <w:pStyle w:val="14"/>
              <w:keepNext w:val="0"/>
              <w:keepLines w:val="0"/>
              <w:pageBreakBefore w:val="0"/>
              <w:kinsoku/>
              <w:wordWrap/>
              <w:overflowPunct/>
              <w:topLinePunct w:val="0"/>
              <w:autoSpaceDE/>
              <w:autoSpaceDN/>
              <w:bidi w:val="0"/>
              <w:adjustRightInd/>
              <w:snapToGrid/>
              <w:spacing w:line="360" w:lineRule="exact"/>
              <w:ind w:firstLine="0" w:firstLineChars="0"/>
              <w:textAlignment w:val="auto"/>
              <w:rPr>
                <w:rFonts w:hint="eastAsia" w:ascii="仿宋" w:hAnsi="仿宋" w:eastAsia="仿宋" w:cs="仿宋"/>
                <w:b/>
                <w:bCs/>
                <w:color w:val="000000"/>
                <w:sz w:val="21"/>
                <w:highlight w:val="none"/>
              </w:rPr>
            </w:pPr>
            <w:r>
              <w:rPr>
                <w:rFonts w:hint="eastAsia" w:ascii="仿宋" w:hAnsi="仿宋" w:eastAsia="仿宋" w:cs="仿宋"/>
                <w:b/>
                <w:bCs/>
                <w:color w:val="000000"/>
                <w:sz w:val="21"/>
                <w:highlight w:val="none"/>
              </w:rPr>
              <w:t>商务分</w:t>
            </w:r>
          </w:p>
        </w:tc>
        <w:tc>
          <w:tcPr>
            <w:tcW w:w="6435" w:type="dxa"/>
            <w:noWrap w:val="0"/>
            <w:vAlign w:val="center"/>
          </w:tcPr>
          <w:p w14:paraId="7BEBD737">
            <w:pPr>
              <w:pStyle w:val="14"/>
              <w:keepNext w:val="0"/>
              <w:keepLines w:val="0"/>
              <w:pageBreakBefore w:val="0"/>
              <w:kinsoku/>
              <w:wordWrap/>
              <w:overflowPunct/>
              <w:topLinePunct w:val="0"/>
              <w:autoSpaceDE/>
              <w:autoSpaceDN/>
              <w:bidi w:val="0"/>
              <w:adjustRightInd/>
              <w:snapToGrid/>
              <w:spacing w:line="360" w:lineRule="exact"/>
              <w:ind w:firstLine="0" w:firstLineChars="0"/>
              <w:jc w:val="left"/>
              <w:textAlignment w:val="auto"/>
              <w:rPr>
                <w:rFonts w:hint="eastAsia" w:ascii="仿宋" w:hAnsi="仿宋" w:eastAsia="仿宋" w:cs="仿宋"/>
                <w:color w:val="000000"/>
                <w:sz w:val="21"/>
                <w:highlight w:val="none"/>
              </w:rPr>
            </w:pPr>
            <w:r>
              <w:rPr>
                <w:rFonts w:hint="eastAsia" w:ascii="仿宋" w:hAnsi="仿宋" w:eastAsia="仿宋" w:cs="仿宋"/>
                <w:color w:val="000000"/>
                <w:sz w:val="21"/>
                <w:highlight w:val="none"/>
              </w:rPr>
              <w:t>评审因素</w:t>
            </w:r>
          </w:p>
        </w:tc>
        <w:tc>
          <w:tcPr>
            <w:tcW w:w="736" w:type="dxa"/>
            <w:noWrap w:val="0"/>
            <w:vAlign w:val="center"/>
          </w:tcPr>
          <w:p w14:paraId="0CB62C10">
            <w:pPr>
              <w:pStyle w:val="14"/>
              <w:keepNext w:val="0"/>
              <w:keepLines w:val="0"/>
              <w:pageBreakBefore w:val="0"/>
              <w:kinsoku/>
              <w:wordWrap/>
              <w:overflowPunct/>
              <w:topLinePunct w:val="0"/>
              <w:autoSpaceDE/>
              <w:autoSpaceDN/>
              <w:bidi w:val="0"/>
              <w:adjustRightInd/>
              <w:snapToGrid/>
              <w:spacing w:line="360" w:lineRule="exact"/>
              <w:ind w:firstLine="0" w:firstLineChars="0"/>
              <w:textAlignment w:val="auto"/>
              <w:rPr>
                <w:rFonts w:hint="eastAsia" w:ascii="仿宋" w:hAnsi="仿宋" w:eastAsia="仿宋" w:cs="仿宋"/>
                <w:b/>
                <w:bCs/>
                <w:color w:val="000000"/>
                <w:sz w:val="21"/>
                <w:highlight w:val="none"/>
              </w:rPr>
            </w:pPr>
            <w:r>
              <w:rPr>
                <w:rFonts w:hint="eastAsia" w:ascii="仿宋" w:hAnsi="仿宋" w:eastAsia="仿宋" w:cs="仿宋"/>
                <w:b/>
                <w:bCs/>
                <w:color w:val="000000"/>
                <w:sz w:val="21"/>
                <w:highlight w:val="none"/>
                <w:lang w:val="en-US" w:eastAsia="zh-CN"/>
              </w:rPr>
              <w:t>12</w:t>
            </w:r>
            <w:r>
              <w:rPr>
                <w:rFonts w:hint="eastAsia" w:ascii="仿宋" w:hAnsi="仿宋" w:eastAsia="仿宋" w:cs="仿宋"/>
                <w:b/>
                <w:bCs/>
                <w:color w:val="000000"/>
                <w:sz w:val="21"/>
                <w:highlight w:val="none"/>
              </w:rPr>
              <w:t>分</w:t>
            </w:r>
          </w:p>
        </w:tc>
      </w:tr>
      <w:tr w14:paraId="57B75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9" w:type="dxa"/>
            <w:noWrap w:val="0"/>
            <w:vAlign w:val="center"/>
          </w:tcPr>
          <w:p w14:paraId="40F79AFC">
            <w:pPr>
              <w:pStyle w:val="14"/>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 w:hAnsi="仿宋" w:eastAsia="仿宋" w:cs="仿宋"/>
                <w:color w:val="000000"/>
                <w:sz w:val="21"/>
                <w:highlight w:val="none"/>
              </w:rPr>
            </w:pPr>
            <w:r>
              <w:rPr>
                <w:rFonts w:hint="default" w:ascii="仿宋" w:hAnsi="仿宋" w:eastAsia="仿宋" w:cs="仿宋"/>
                <w:color w:val="000000"/>
                <w:sz w:val="21"/>
                <w:highlight w:val="none"/>
                <w:lang w:val="en-US"/>
              </w:rPr>
              <w:t>3</w:t>
            </w:r>
            <w:r>
              <w:rPr>
                <w:rFonts w:hint="eastAsia" w:ascii="仿宋" w:hAnsi="仿宋" w:eastAsia="仿宋" w:cs="仿宋"/>
                <w:color w:val="000000"/>
                <w:sz w:val="21"/>
                <w:highlight w:val="none"/>
              </w:rPr>
              <w:t>.1</w:t>
            </w:r>
          </w:p>
        </w:tc>
        <w:tc>
          <w:tcPr>
            <w:tcW w:w="1209" w:type="dxa"/>
            <w:noWrap w:val="0"/>
            <w:vAlign w:val="center"/>
          </w:tcPr>
          <w:p w14:paraId="19DFEA2E">
            <w:pPr>
              <w:pStyle w:val="14"/>
              <w:keepNext w:val="0"/>
              <w:keepLines w:val="0"/>
              <w:pageBreakBefore w:val="0"/>
              <w:kinsoku/>
              <w:wordWrap/>
              <w:overflowPunct/>
              <w:topLinePunct w:val="0"/>
              <w:autoSpaceDE/>
              <w:autoSpaceDN/>
              <w:bidi w:val="0"/>
              <w:adjustRightInd/>
              <w:snapToGrid/>
              <w:spacing w:line="360" w:lineRule="exact"/>
              <w:ind w:firstLine="0" w:firstLineChars="0"/>
              <w:textAlignment w:val="auto"/>
              <w:rPr>
                <w:rFonts w:hint="eastAsia" w:ascii="仿宋" w:hAnsi="仿宋" w:eastAsia="仿宋" w:cs="仿宋"/>
                <w:color w:val="000000"/>
                <w:sz w:val="21"/>
                <w:highlight w:val="none"/>
              </w:rPr>
            </w:pPr>
            <w:r>
              <w:rPr>
                <w:rFonts w:hint="eastAsia" w:ascii="仿宋" w:hAnsi="仿宋" w:eastAsia="仿宋" w:cs="仿宋"/>
                <w:color w:val="000000"/>
                <w:sz w:val="21"/>
                <w:highlight w:val="none"/>
              </w:rPr>
              <w:t>业绩分</w:t>
            </w:r>
          </w:p>
        </w:tc>
        <w:tc>
          <w:tcPr>
            <w:tcW w:w="6435" w:type="dxa"/>
            <w:noWrap w:val="0"/>
            <w:vAlign w:val="center"/>
          </w:tcPr>
          <w:p w14:paraId="08032F61">
            <w:pPr>
              <w:keepNext w:val="0"/>
              <w:keepLines w:val="0"/>
              <w:pageBreakBefore w:val="0"/>
              <w:kinsoku/>
              <w:wordWrap/>
              <w:overflowPunct/>
              <w:topLinePunct w:val="0"/>
              <w:autoSpaceDE/>
              <w:autoSpaceDN/>
              <w:bidi w:val="0"/>
              <w:adjustRightInd/>
              <w:snapToGrid/>
              <w:spacing w:line="360" w:lineRule="exact"/>
              <w:textAlignment w:val="auto"/>
              <w:rPr>
                <w:rFonts w:hint="eastAsia" w:ascii="仿宋" w:hAnsi="仿宋" w:eastAsia="仿宋" w:cs="仿宋"/>
                <w:color w:val="000000"/>
                <w:sz w:val="21"/>
                <w:highlight w:val="none"/>
              </w:rPr>
            </w:pPr>
            <w:r>
              <w:rPr>
                <w:rFonts w:hint="eastAsia" w:ascii="仿宋" w:hAnsi="仿宋" w:eastAsia="仿宋" w:cs="仿宋"/>
                <w:color w:val="000000"/>
                <w:sz w:val="21"/>
                <w:szCs w:val="21"/>
                <w:highlight w:val="none"/>
                <w:lang w:val="en-US" w:eastAsia="zh-CN"/>
              </w:rPr>
              <w:t>投标人自2021年1月1日以来同类服务内容业绩的相关证明材料（以中标、中标通知书或签订的采购合同扫描件为准，并能清晰反映所提供的服务类型、种类、金额），否则将不予计分；同一个编号的项目有两个或两个以上的分标中标的只算一次，每项得2分，满分为6分。</w:t>
            </w:r>
            <w:r>
              <w:rPr>
                <w:rFonts w:hint="eastAsia" w:ascii="宋体" w:hAnsi="宋体" w:eastAsia="宋体" w:cs="宋体"/>
                <w:b w:val="0"/>
                <w:bCs w:val="0"/>
                <w:color w:val="000000"/>
                <w:kern w:val="0"/>
                <w:sz w:val="21"/>
                <w:szCs w:val="21"/>
                <w:highlight w:val="none"/>
                <w:lang w:val="en-US" w:eastAsia="zh-CN" w:bidi="ar-SA"/>
              </w:rPr>
              <w:t>（</w:t>
            </w:r>
            <w:r>
              <w:rPr>
                <w:rFonts w:hint="eastAsia" w:ascii="宋体" w:hAnsi="宋体" w:eastAsia="宋体" w:cs="宋体"/>
                <w:b/>
                <w:bCs/>
                <w:color w:val="000000"/>
                <w:kern w:val="0"/>
                <w:sz w:val="21"/>
                <w:szCs w:val="21"/>
                <w:highlight w:val="none"/>
                <w:lang w:val="en-US" w:eastAsia="zh-CN" w:bidi="ar-SA"/>
              </w:rPr>
              <w:t>需提供相关证明材料扫描件并加盖单位公章（CA签章），否则不得分</w:t>
            </w:r>
            <w:r>
              <w:rPr>
                <w:rFonts w:hint="eastAsia" w:ascii="宋体" w:hAnsi="宋体" w:eastAsia="宋体" w:cs="宋体"/>
                <w:b w:val="0"/>
                <w:bCs w:val="0"/>
                <w:color w:val="000000"/>
                <w:kern w:val="0"/>
                <w:sz w:val="21"/>
                <w:szCs w:val="21"/>
                <w:highlight w:val="none"/>
                <w:lang w:val="en-US" w:eastAsia="zh-CN" w:bidi="ar-SA"/>
              </w:rPr>
              <w:t>）</w:t>
            </w:r>
          </w:p>
        </w:tc>
        <w:tc>
          <w:tcPr>
            <w:tcW w:w="736" w:type="dxa"/>
            <w:noWrap w:val="0"/>
            <w:vAlign w:val="center"/>
          </w:tcPr>
          <w:p w14:paraId="29860E2F">
            <w:pPr>
              <w:pStyle w:val="14"/>
              <w:keepNext w:val="0"/>
              <w:keepLines w:val="0"/>
              <w:pageBreakBefore w:val="0"/>
              <w:kinsoku/>
              <w:wordWrap/>
              <w:overflowPunct/>
              <w:topLinePunct w:val="0"/>
              <w:autoSpaceDE/>
              <w:autoSpaceDN/>
              <w:bidi w:val="0"/>
              <w:adjustRightInd/>
              <w:snapToGrid/>
              <w:spacing w:line="360" w:lineRule="exact"/>
              <w:ind w:firstLine="0" w:firstLineChars="0"/>
              <w:textAlignment w:val="auto"/>
              <w:rPr>
                <w:rFonts w:ascii="仿宋" w:hAnsi="仿宋" w:eastAsia="仿宋" w:cs="仿宋"/>
                <w:color w:val="000000"/>
                <w:sz w:val="21"/>
                <w:highlight w:val="none"/>
              </w:rPr>
            </w:pPr>
            <w:r>
              <w:rPr>
                <w:rFonts w:hint="eastAsia" w:ascii="仿宋" w:hAnsi="仿宋" w:eastAsia="仿宋" w:cs="仿宋"/>
                <w:color w:val="000000"/>
                <w:sz w:val="21"/>
                <w:highlight w:val="none"/>
                <w:lang w:val="en-US" w:eastAsia="zh-CN"/>
              </w:rPr>
              <w:t>6</w:t>
            </w:r>
            <w:r>
              <w:rPr>
                <w:rFonts w:hint="eastAsia" w:ascii="仿宋" w:hAnsi="仿宋" w:eastAsia="仿宋" w:cs="仿宋"/>
                <w:color w:val="000000"/>
                <w:sz w:val="21"/>
                <w:highlight w:val="none"/>
              </w:rPr>
              <w:t>分</w:t>
            </w:r>
          </w:p>
        </w:tc>
      </w:tr>
      <w:tr w14:paraId="0737B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9" w:type="dxa"/>
            <w:noWrap w:val="0"/>
            <w:vAlign w:val="center"/>
          </w:tcPr>
          <w:p w14:paraId="0683AC1D">
            <w:pPr>
              <w:pStyle w:val="14"/>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default" w:ascii="仿宋" w:hAnsi="仿宋" w:eastAsia="仿宋" w:cs="仿宋"/>
                <w:color w:val="000000"/>
                <w:sz w:val="21"/>
                <w:highlight w:val="none"/>
                <w:lang w:val="en-US" w:eastAsia="zh-CN"/>
              </w:rPr>
            </w:pPr>
            <w:r>
              <w:rPr>
                <w:rFonts w:hint="eastAsia" w:ascii="仿宋" w:hAnsi="仿宋" w:eastAsia="仿宋" w:cs="仿宋"/>
                <w:color w:val="000000"/>
                <w:sz w:val="21"/>
                <w:highlight w:val="none"/>
                <w:lang w:val="en-US" w:eastAsia="zh-CN"/>
              </w:rPr>
              <w:t>3.2</w:t>
            </w:r>
          </w:p>
        </w:tc>
        <w:tc>
          <w:tcPr>
            <w:tcW w:w="1209" w:type="dxa"/>
            <w:noWrap w:val="0"/>
            <w:vAlign w:val="center"/>
          </w:tcPr>
          <w:p w14:paraId="63CAD312">
            <w:pPr>
              <w:pStyle w:val="14"/>
              <w:keepNext w:val="0"/>
              <w:keepLines w:val="0"/>
              <w:pageBreakBefore w:val="0"/>
              <w:kinsoku/>
              <w:wordWrap/>
              <w:overflowPunct/>
              <w:topLinePunct w:val="0"/>
              <w:autoSpaceDE/>
              <w:autoSpaceDN/>
              <w:bidi w:val="0"/>
              <w:adjustRightInd/>
              <w:snapToGrid/>
              <w:spacing w:line="360" w:lineRule="exact"/>
              <w:ind w:firstLine="0" w:firstLineChars="0"/>
              <w:textAlignment w:val="auto"/>
              <w:rPr>
                <w:rFonts w:hint="default" w:ascii="仿宋" w:hAnsi="仿宋" w:eastAsia="仿宋" w:cs="仿宋"/>
                <w:color w:val="000000"/>
                <w:sz w:val="21"/>
                <w:highlight w:val="none"/>
                <w:lang w:val="en-US" w:eastAsia="zh-CN"/>
              </w:rPr>
            </w:pPr>
            <w:r>
              <w:rPr>
                <w:rFonts w:hint="eastAsia" w:ascii="仿宋" w:hAnsi="仿宋" w:eastAsia="仿宋" w:cs="仿宋"/>
                <w:color w:val="000000"/>
                <w:sz w:val="21"/>
                <w:highlight w:val="none"/>
              </w:rPr>
              <w:t>信誉、综合能力分</w:t>
            </w:r>
          </w:p>
        </w:tc>
        <w:tc>
          <w:tcPr>
            <w:tcW w:w="6435" w:type="dxa"/>
            <w:noWrap w:val="0"/>
            <w:vAlign w:val="center"/>
          </w:tcPr>
          <w:p w14:paraId="4EA3858D">
            <w:pPr>
              <w:keepNext w:val="0"/>
              <w:keepLines w:val="0"/>
              <w:pageBreakBefore w:val="0"/>
              <w:numPr>
                <w:ilvl w:val="0"/>
                <w:numId w:val="0"/>
              </w:numPr>
              <w:kinsoku/>
              <w:wordWrap/>
              <w:overflowPunct/>
              <w:topLinePunct w:val="0"/>
              <w:autoSpaceDE/>
              <w:autoSpaceDN/>
              <w:bidi w:val="0"/>
              <w:adjustRightInd/>
              <w:snapToGrid/>
              <w:spacing w:line="360" w:lineRule="exac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bookmarkStart w:id="154" w:name="OLE_LINK2"/>
            <w:r>
              <w:rPr>
                <w:rFonts w:hint="eastAsia" w:ascii="仿宋" w:hAnsi="仿宋" w:eastAsia="仿宋" w:cs="仿宋"/>
                <w:color w:val="auto"/>
                <w:szCs w:val="21"/>
                <w:highlight w:val="none"/>
              </w:rPr>
              <w:t>.投标人或所投云平台服务商具备ITSS信息技术服务标准符合性证书（运行维护类或云服务类），按以下标准计分：</w:t>
            </w:r>
          </w:p>
          <w:p w14:paraId="6EC24BE9">
            <w:pPr>
              <w:keepNext w:val="0"/>
              <w:keepLines w:val="0"/>
              <w:pageBreakBefore w:val="0"/>
              <w:numPr>
                <w:ilvl w:val="0"/>
                <w:numId w:val="0"/>
              </w:numPr>
              <w:kinsoku/>
              <w:wordWrap/>
              <w:overflowPunct/>
              <w:topLinePunct w:val="0"/>
              <w:autoSpaceDE/>
              <w:autoSpaceDN/>
              <w:bidi w:val="0"/>
              <w:adjustRightInd/>
              <w:snapToGrid/>
              <w:spacing w:line="360" w:lineRule="exac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①一级：得3分；</w:t>
            </w:r>
          </w:p>
          <w:p w14:paraId="12ECAAEF">
            <w:pPr>
              <w:keepNext w:val="0"/>
              <w:keepLines w:val="0"/>
              <w:pageBreakBefore w:val="0"/>
              <w:numPr>
                <w:ilvl w:val="0"/>
                <w:numId w:val="0"/>
              </w:numPr>
              <w:kinsoku/>
              <w:wordWrap/>
              <w:overflowPunct/>
              <w:topLinePunct w:val="0"/>
              <w:autoSpaceDE/>
              <w:autoSpaceDN/>
              <w:bidi w:val="0"/>
              <w:adjustRightInd/>
              <w:snapToGrid/>
              <w:spacing w:line="360" w:lineRule="exac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②二级：得1分；</w:t>
            </w:r>
          </w:p>
          <w:p w14:paraId="2E8EAC6E">
            <w:pPr>
              <w:keepNext w:val="0"/>
              <w:keepLines w:val="0"/>
              <w:pageBreakBefore w:val="0"/>
              <w:numPr>
                <w:ilvl w:val="0"/>
                <w:numId w:val="0"/>
              </w:numPr>
              <w:kinsoku/>
              <w:wordWrap/>
              <w:overflowPunct/>
              <w:topLinePunct w:val="0"/>
              <w:autoSpaceDE/>
              <w:autoSpaceDN/>
              <w:bidi w:val="0"/>
              <w:adjustRightInd/>
              <w:snapToGrid/>
              <w:spacing w:line="360" w:lineRule="exac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③三级及以下或未提供：不得分。</w:t>
            </w:r>
          </w:p>
          <w:p w14:paraId="008F999F">
            <w:pPr>
              <w:keepNext w:val="0"/>
              <w:keepLines w:val="0"/>
              <w:pageBreakBefore w:val="0"/>
              <w:numPr>
                <w:ilvl w:val="0"/>
                <w:numId w:val="0"/>
              </w:numPr>
              <w:kinsoku/>
              <w:wordWrap/>
              <w:overflowPunct/>
              <w:topLinePunct w:val="0"/>
              <w:autoSpaceDE/>
              <w:autoSpaceDN/>
              <w:bidi w:val="0"/>
              <w:adjustRightInd/>
              <w:snapToGrid/>
              <w:spacing w:line="360" w:lineRule="exac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证明材料要求：</w:t>
            </w:r>
          </w:p>
          <w:p w14:paraId="6CD9DCF8">
            <w:pPr>
              <w:keepNext w:val="0"/>
              <w:keepLines w:val="0"/>
              <w:pageBreakBefore w:val="0"/>
              <w:numPr>
                <w:ilvl w:val="0"/>
                <w:numId w:val="0"/>
              </w:numPr>
              <w:kinsoku/>
              <w:wordWrap/>
              <w:overflowPunct/>
              <w:topLinePunct w:val="0"/>
              <w:autoSpaceDE/>
              <w:autoSpaceDN/>
              <w:bidi w:val="0"/>
              <w:adjustRightInd/>
              <w:snapToGrid/>
              <w:spacing w:line="360" w:lineRule="exac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（1）若投标人自身持证：提供有效期内的证书扫描件及ITSS分会官网（www.itss.cn）查询截图，加盖投标人公章。</w:t>
            </w:r>
          </w:p>
          <w:p w14:paraId="3C94378A">
            <w:pPr>
              <w:keepNext w:val="0"/>
              <w:keepLines w:val="0"/>
              <w:pageBreakBefore w:val="0"/>
              <w:numPr>
                <w:ilvl w:val="0"/>
                <w:numId w:val="0"/>
              </w:numPr>
              <w:kinsoku/>
              <w:wordWrap/>
              <w:overflowPunct/>
              <w:topLinePunct w:val="0"/>
              <w:autoSpaceDE/>
              <w:autoSpaceDN/>
              <w:bidi w:val="0"/>
              <w:adjustRightInd/>
              <w:snapToGrid/>
              <w:spacing w:line="360" w:lineRule="exac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2）若以云平台服务商资质投标：须同时提供：①该服务商有效期内的ITSS证书扫描件及官网查询截图；②该服务商针对本项目出具的授权函（须明确授权投标人使用其资质参与投标，并承诺对投标人提供的云平台服务质量承担连带保证责任）。上述材料须由云平台服务商出具授权函并加盖其单位公章（如云平台服务商为分支机构且无法独立出具加盖公章授权函的，可由其具有独立法人资格的上级单位出具，并在授权函中明确本次投标所使用资质隶属于该分支机构，并对该分支机构的服务质量承担连带保证责任）。</w:t>
            </w:r>
          </w:p>
          <w:p w14:paraId="46AB77B0">
            <w:pPr>
              <w:keepNext w:val="0"/>
              <w:keepLines w:val="0"/>
              <w:pageBreakBefore w:val="0"/>
              <w:numPr>
                <w:ilvl w:val="0"/>
                <w:numId w:val="0"/>
              </w:numPr>
              <w:kinsoku/>
              <w:wordWrap/>
              <w:overflowPunct/>
              <w:topLinePunct w:val="0"/>
              <w:autoSpaceDE/>
              <w:autoSpaceDN/>
              <w:bidi w:val="0"/>
              <w:adjustRightInd/>
              <w:snapToGrid/>
              <w:spacing w:line="360" w:lineRule="exact"/>
              <w:textAlignment w:val="auto"/>
              <w:rPr>
                <w:rFonts w:hint="eastAsia" w:ascii="仿宋" w:hAnsi="仿宋" w:eastAsia="仿宋" w:cs="仿宋"/>
                <w:color w:val="auto"/>
                <w:szCs w:val="21"/>
                <w:highlight w:val="none"/>
              </w:rPr>
            </w:pPr>
            <w:bookmarkStart w:id="155" w:name="OLE_LINK3"/>
            <w:r>
              <w:rPr>
                <w:rFonts w:hint="eastAsia" w:ascii="仿宋" w:hAnsi="仿宋" w:eastAsia="仿宋" w:cs="仿宋"/>
                <w:color w:val="auto"/>
                <w:szCs w:val="21"/>
                <w:highlight w:val="none"/>
              </w:rPr>
              <w:t>2</w:t>
            </w:r>
            <w:r>
              <w:rPr>
                <w:rFonts w:hint="eastAsia" w:ascii="仿宋" w:hAnsi="仿宋" w:eastAsia="仿宋" w:cs="仿宋"/>
                <w:color w:val="auto"/>
                <w:szCs w:val="21"/>
                <w:highlight w:val="none"/>
                <w:lang w:val="en-US" w:eastAsia="zh-CN"/>
              </w:rPr>
              <w:t>.</w:t>
            </w:r>
            <w:r>
              <w:rPr>
                <w:rFonts w:hint="eastAsia" w:ascii="仿宋" w:hAnsi="仿宋" w:eastAsia="仿宋" w:cs="仿宋"/>
                <w:color w:val="auto"/>
                <w:szCs w:val="21"/>
                <w:highlight w:val="none"/>
              </w:rPr>
              <w:t>投标人或所投云平台服务商具备以下有效的管理体系认证证书，每提供一个有效类别得1分，最多得3分：</w:t>
            </w:r>
          </w:p>
          <w:p w14:paraId="6129324F">
            <w:pPr>
              <w:keepNext w:val="0"/>
              <w:keepLines w:val="0"/>
              <w:pageBreakBefore w:val="0"/>
              <w:numPr>
                <w:ilvl w:val="0"/>
                <w:numId w:val="0"/>
              </w:numPr>
              <w:kinsoku/>
              <w:wordWrap/>
              <w:overflowPunct/>
              <w:topLinePunct w:val="0"/>
              <w:autoSpaceDE/>
              <w:autoSpaceDN/>
              <w:bidi w:val="0"/>
              <w:adjustRightInd/>
              <w:snapToGrid/>
              <w:spacing w:line="360" w:lineRule="exac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① ISO/IEC 27001 信息安全管理体系认证证书；</w:t>
            </w:r>
          </w:p>
          <w:p w14:paraId="00061377">
            <w:pPr>
              <w:keepNext w:val="0"/>
              <w:keepLines w:val="0"/>
              <w:pageBreakBefore w:val="0"/>
              <w:numPr>
                <w:ilvl w:val="0"/>
                <w:numId w:val="0"/>
              </w:numPr>
              <w:kinsoku/>
              <w:wordWrap/>
              <w:overflowPunct/>
              <w:topLinePunct w:val="0"/>
              <w:autoSpaceDE/>
              <w:autoSpaceDN/>
              <w:bidi w:val="0"/>
              <w:adjustRightInd/>
              <w:snapToGrid/>
              <w:spacing w:line="360" w:lineRule="exac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② ISO 22301 业务连续性管理体系认证证书；</w:t>
            </w:r>
          </w:p>
          <w:p w14:paraId="6BEF055D">
            <w:pPr>
              <w:keepNext w:val="0"/>
              <w:keepLines w:val="0"/>
              <w:pageBreakBefore w:val="0"/>
              <w:numPr>
                <w:ilvl w:val="0"/>
                <w:numId w:val="0"/>
              </w:numPr>
              <w:kinsoku/>
              <w:wordWrap/>
              <w:overflowPunct/>
              <w:topLinePunct w:val="0"/>
              <w:autoSpaceDE/>
              <w:autoSpaceDN/>
              <w:bidi w:val="0"/>
              <w:adjustRightInd/>
              <w:snapToGrid/>
              <w:spacing w:line="360" w:lineRule="exac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③ ISO/IEC 20000-1 信息技术服务管理体系认证证书。</w:t>
            </w:r>
          </w:p>
          <w:p w14:paraId="47AFBE83">
            <w:pPr>
              <w:keepNext w:val="0"/>
              <w:keepLines w:val="0"/>
              <w:pageBreakBefore w:val="0"/>
              <w:numPr>
                <w:ilvl w:val="0"/>
                <w:numId w:val="0"/>
              </w:numPr>
              <w:kinsoku/>
              <w:wordWrap/>
              <w:overflowPunct/>
              <w:topLinePunct w:val="0"/>
              <w:autoSpaceDE/>
              <w:autoSpaceDN/>
              <w:bidi w:val="0"/>
              <w:adjustRightInd/>
              <w:snapToGrid/>
              <w:spacing w:line="360" w:lineRule="exac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证明材料要求：</w:t>
            </w:r>
          </w:p>
          <w:p w14:paraId="69EF8499">
            <w:pPr>
              <w:keepNext w:val="0"/>
              <w:keepLines w:val="0"/>
              <w:pageBreakBefore w:val="0"/>
              <w:numPr>
                <w:ilvl w:val="0"/>
                <w:numId w:val="0"/>
              </w:numPr>
              <w:kinsoku/>
              <w:wordWrap/>
              <w:overflowPunct/>
              <w:topLinePunct w:val="0"/>
              <w:autoSpaceDE/>
              <w:autoSpaceDN/>
              <w:bidi w:val="0"/>
              <w:adjustRightInd/>
              <w:snapToGrid/>
              <w:spacing w:line="360" w:lineRule="exac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（1）须提供有效期内的认证证书扫描件及国家认证认可监督管理委员会官网（www.cnca.gov.cn）查询截图，加盖投标人公章。</w:t>
            </w:r>
          </w:p>
          <w:p w14:paraId="745C6C59">
            <w:pPr>
              <w:keepNext w:val="0"/>
              <w:keepLines w:val="0"/>
              <w:pageBreakBefore w:val="0"/>
              <w:numPr>
                <w:ilvl w:val="0"/>
                <w:numId w:val="0"/>
              </w:numPr>
              <w:kinsoku/>
              <w:wordWrap/>
              <w:overflowPunct/>
              <w:topLinePunct w:val="0"/>
              <w:autoSpaceDE/>
              <w:autoSpaceDN/>
              <w:bidi w:val="0"/>
              <w:adjustRightInd/>
              <w:snapToGrid/>
              <w:spacing w:line="360" w:lineRule="exac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2）若以所投云平台服务商资质参与评分：须提供该服务商针对本项目出具的授权函（可一份涵盖上述全部证书，也可分证书分别出具），内容须至少包含：①明确授权投标人使用上述资质证书参与本次投标；②承诺对投标人后续履约中涉及的云服务质量承担连带保证责任。授权函须加盖云平台服务商公章（如云平台服务商为分支机构且无法独立出具加盖公章授权函的，可由其具有独立法人资格的上级单位出具，并在授权函中明确本次投标所使用资质隶属于该分支机构，并对该分支机构的服务质量承担连带保证责任），未提供或内容不符合要求的，对应证书不予计分。</w:t>
            </w:r>
          </w:p>
          <w:p w14:paraId="5F97F52E">
            <w:pPr>
              <w:keepNext w:val="0"/>
              <w:keepLines w:val="0"/>
              <w:pageBreakBefore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lang w:val="en-US" w:eastAsia="zh-CN"/>
              </w:rPr>
            </w:pPr>
            <w:r>
              <w:rPr>
                <w:rFonts w:hint="eastAsia" w:ascii="仿宋" w:hAnsi="仿宋" w:eastAsia="仿宋" w:cs="仿宋"/>
                <w:color w:val="auto"/>
                <w:szCs w:val="21"/>
                <w:highlight w:val="none"/>
              </w:rPr>
              <w:t>注：</w:t>
            </w:r>
            <w:r>
              <w:rPr>
                <w:rFonts w:hint="eastAsia" w:ascii="仿宋" w:hAnsi="仿宋" w:eastAsia="仿宋" w:cs="仿宋"/>
                <w:color w:val="auto"/>
                <w:szCs w:val="21"/>
                <w:highlight w:val="none"/>
                <w:lang w:val="en-US" w:eastAsia="zh-CN"/>
              </w:rPr>
              <w:t>（1）</w:t>
            </w:r>
            <w:r>
              <w:rPr>
                <w:rFonts w:hint="eastAsia" w:ascii="仿宋" w:hAnsi="仿宋" w:eastAsia="仿宋" w:cs="仿宋"/>
                <w:color w:val="auto"/>
                <w:szCs w:val="21"/>
                <w:highlight w:val="none"/>
              </w:rPr>
              <w:t>同一投标人同时提供自身及服务商证书的，按最高等级的一项计分，不重复累计。</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若两家及以上投标人使用同一云平台服务商的同一份资质证书（证书编号相同）参与投标，且均以该证书作为得分依据的，该证书对应分值在涉及的各投标人中均按零分处理，不影响投标文件有效性</w:t>
            </w:r>
            <w:r>
              <w:rPr>
                <w:rFonts w:hint="eastAsia" w:ascii="仿宋" w:hAnsi="仿宋" w:eastAsia="仿宋" w:cs="仿宋"/>
                <w:color w:val="auto"/>
                <w:szCs w:val="21"/>
                <w:highlight w:val="none"/>
                <w:lang w:eastAsia="zh-CN"/>
              </w:rPr>
              <w:t>。</w:t>
            </w:r>
            <w:bookmarkEnd w:id="154"/>
            <w:bookmarkEnd w:id="155"/>
          </w:p>
        </w:tc>
        <w:tc>
          <w:tcPr>
            <w:tcW w:w="736" w:type="dxa"/>
            <w:noWrap w:val="0"/>
            <w:vAlign w:val="center"/>
          </w:tcPr>
          <w:p w14:paraId="375E6738">
            <w:pPr>
              <w:pStyle w:val="14"/>
              <w:keepNext w:val="0"/>
              <w:keepLines w:val="0"/>
              <w:pageBreakBefore w:val="0"/>
              <w:kinsoku/>
              <w:wordWrap/>
              <w:overflowPunct/>
              <w:topLinePunct w:val="0"/>
              <w:autoSpaceDE/>
              <w:autoSpaceDN/>
              <w:bidi w:val="0"/>
              <w:adjustRightInd/>
              <w:snapToGrid/>
              <w:spacing w:line="360" w:lineRule="exact"/>
              <w:ind w:firstLine="0" w:firstLineChars="0"/>
              <w:textAlignment w:val="auto"/>
              <w:rPr>
                <w:rFonts w:hint="default" w:ascii="仿宋" w:hAnsi="仿宋" w:eastAsia="仿宋" w:cs="仿宋"/>
                <w:color w:val="000000"/>
                <w:sz w:val="21"/>
                <w:highlight w:val="none"/>
                <w:lang w:val="en-US" w:eastAsia="zh-CN"/>
              </w:rPr>
            </w:pPr>
            <w:r>
              <w:rPr>
                <w:rFonts w:hint="eastAsia" w:ascii="仿宋" w:hAnsi="仿宋" w:eastAsia="仿宋" w:cs="仿宋"/>
                <w:color w:val="000000"/>
                <w:sz w:val="21"/>
                <w:highlight w:val="none"/>
                <w:lang w:val="en-US" w:eastAsia="zh-CN"/>
              </w:rPr>
              <w:t>6分</w:t>
            </w:r>
          </w:p>
        </w:tc>
      </w:tr>
    </w:tbl>
    <w:p w14:paraId="3468C20B">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ascii="宋体" w:hAnsi="宋体" w:cs="宋体"/>
          <w:b/>
          <w:bCs/>
          <w:color w:val="auto"/>
          <w:szCs w:val="21"/>
        </w:rPr>
      </w:pPr>
    </w:p>
    <w:p w14:paraId="52A6C2C0">
      <w:pPr>
        <w:keepNext w:val="0"/>
        <w:keepLines w:val="0"/>
        <w:pageBreakBefore w:val="0"/>
        <w:widowControl w:val="0"/>
        <w:kinsoku/>
        <w:wordWrap/>
        <w:overflowPunct/>
        <w:topLinePunct w:val="0"/>
        <w:autoSpaceDE/>
        <w:autoSpaceDN/>
        <w:bidi w:val="0"/>
        <w:adjustRightInd/>
        <w:snapToGrid w:val="0"/>
        <w:spacing w:line="360" w:lineRule="exact"/>
        <w:ind w:firstLine="426" w:firstLineChars="202"/>
        <w:jc w:val="left"/>
        <w:textAlignment w:val="auto"/>
        <w:rPr>
          <w:rFonts w:hint="eastAsia" w:ascii="宋体" w:hAnsi="宋体" w:cs="宋体"/>
          <w:color w:val="auto"/>
          <w:szCs w:val="21"/>
        </w:rPr>
      </w:pPr>
      <w:r>
        <w:rPr>
          <w:rFonts w:hint="eastAsia" w:ascii="宋体" w:hAnsi="宋体" w:cs="宋体"/>
          <w:b/>
          <w:bCs/>
          <w:color w:val="auto"/>
          <w:szCs w:val="21"/>
        </w:rPr>
        <w:t>三、中标候选人推荐原则</w:t>
      </w:r>
    </w:p>
    <w:p w14:paraId="1B734756">
      <w:pPr>
        <w:keepNext w:val="0"/>
        <w:keepLines w:val="0"/>
        <w:pageBreakBefore w:val="0"/>
        <w:widowControl w:val="0"/>
        <w:kinsoku/>
        <w:wordWrap/>
        <w:overflowPunct/>
        <w:topLinePunct w:val="0"/>
        <w:autoSpaceDE/>
        <w:autoSpaceDN/>
        <w:bidi w:val="0"/>
        <w:adjustRightInd/>
        <w:snapToGrid w:val="0"/>
        <w:spacing w:line="360" w:lineRule="exact"/>
        <w:ind w:firstLine="424" w:firstLineChars="202"/>
        <w:jc w:val="left"/>
        <w:textAlignment w:val="auto"/>
        <w:rPr>
          <w:rFonts w:hint="eastAsia" w:ascii="宋体" w:hAnsi="宋体" w:cs="宋体"/>
          <w:color w:val="auto"/>
          <w:szCs w:val="21"/>
        </w:rPr>
      </w:pPr>
      <w:r>
        <w:rPr>
          <w:rFonts w:hint="eastAsia" w:ascii="宋体" w:hAnsi="宋体" w:cs="宋体"/>
          <w:color w:val="auto"/>
          <w:szCs w:val="21"/>
        </w:rPr>
        <w:t>（一）评标委员会将根据得分由高到低排列次序（得分相同时，以投标报价由低到高顺序排列；得分相同且投标报价相同的，按服务方案优劣顺序排列）并推荐中标候选人3名。得分最高的中标候选人（得分相同时，以投标报价由低到高顺序排列；得分相同且投标报价相同的，按服务方案优劣顺序排列）为中标人。采购人应当确定评审委员会推荐排名第一的中标候选人为中标人。</w:t>
      </w:r>
    </w:p>
    <w:p w14:paraId="1CD7575C">
      <w:pPr>
        <w:keepNext w:val="0"/>
        <w:keepLines w:val="0"/>
        <w:pageBreakBefore w:val="0"/>
        <w:widowControl w:val="0"/>
        <w:kinsoku/>
        <w:wordWrap/>
        <w:overflowPunct/>
        <w:topLinePunct w:val="0"/>
        <w:autoSpaceDE/>
        <w:autoSpaceDN/>
        <w:bidi w:val="0"/>
        <w:adjustRightInd/>
        <w:snapToGrid w:val="0"/>
        <w:spacing w:line="360" w:lineRule="exact"/>
        <w:ind w:firstLine="424" w:firstLineChars="202"/>
        <w:jc w:val="left"/>
        <w:textAlignment w:val="auto"/>
        <w:rPr>
          <w:rFonts w:hint="eastAsia" w:ascii="宋体" w:hAnsi="宋体" w:cs="宋体"/>
          <w:color w:val="auto"/>
          <w:szCs w:val="21"/>
        </w:rPr>
      </w:pPr>
      <w:r>
        <w:rPr>
          <w:rFonts w:hint="eastAsia" w:ascii="宋体" w:hAnsi="宋体" w:cs="宋体"/>
          <w:color w:val="auto"/>
          <w:szCs w:val="21"/>
        </w:rPr>
        <w:t>排名第一的中标候选人放弃中标、因不可抗力提出不能履行合同，或者招标文件规定应当提交质量保证金而在规定的期限内未能提交的，采购人可以确定排名第二的中标候选人为中标人。排名第二的中标候选人因前款规定的同样原因不能签订合同的，采购人可以确定排名第三的中标候选人为中标人，其余以此类推。</w:t>
      </w:r>
    </w:p>
    <w:p w14:paraId="18A2FFCE">
      <w:pPr>
        <w:pStyle w:val="26"/>
        <w:keepNext w:val="0"/>
        <w:keepLines w:val="0"/>
        <w:pageBreakBefore w:val="0"/>
        <w:widowControl w:val="0"/>
        <w:numPr>
          <w:ilvl w:val="0"/>
          <w:numId w:val="12"/>
        </w:numPr>
        <w:kinsoku/>
        <w:wordWrap/>
        <w:overflowPunct/>
        <w:topLinePunct w:val="0"/>
        <w:autoSpaceDE/>
        <w:autoSpaceDN/>
        <w:bidi w:val="0"/>
        <w:adjustRightInd/>
        <w:spacing w:line="360" w:lineRule="exact"/>
        <w:ind w:left="0" w:leftChars="0" w:firstLine="420" w:firstLineChars="200"/>
        <w:textAlignment w:val="auto"/>
        <w:rPr>
          <w:rFonts w:hint="eastAsia" w:ascii="宋体" w:hAnsi="宋体" w:cs="宋体"/>
          <w:color w:val="auto"/>
          <w:szCs w:val="21"/>
        </w:rPr>
      </w:pPr>
      <w:r>
        <w:rPr>
          <w:rFonts w:hint="eastAsia" w:ascii="宋体" w:hAnsi="宋体" w:cs="宋体"/>
          <w:color w:val="auto"/>
          <w:szCs w:val="21"/>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6A62B642">
      <w:pPr>
        <w:rPr>
          <w:rFonts w:hint="eastAsia" w:ascii="宋体" w:hAnsi="宋体" w:cs="宋体"/>
          <w:color w:val="auto"/>
          <w:szCs w:val="21"/>
          <w:lang w:val="en-US" w:eastAsia="zh-CN"/>
        </w:rPr>
      </w:pPr>
      <w:r>
        <w:rPr>
          <w:rFonts w:hint="eastAsia" w:ascii="宋体" w:hAnsi="宋体" w:cs="宋体"/>
          <w:color w:val="auto"/>
          <w:szCs w:val="21"/>
          <w:lang w:val="en-US" w:eastAsia="zh-CN"/>
        </w:rPr>
        <w:br w:type="page"/>
      </w:r>
    </w:p>
    <w:p w14:paraId="51CF7997">
      <w:pPr>
        <w:pStyle w:val="2"/>
        <w:pageBreakBefore w:val="0"/>
        <w:numPr>
          <w:ilvl w:val="0"/>
          <w:numId w:val="0"/>
        </w:numPr>
        <w:tabs>
          <w:tab w:val="left" w:pos="0"/>
          <w:tab w:val="left" w:pos="3165"/>
          <w:tab w:val="center" w:pos="4153"/>
        </w:tabs>
        <w:kinsoku/>
        <w:overflowPunct/>
        <w:topLinePunct w:val="0"/>
        <w:autoSpaceDE w:val="0"/>
        <w:autoSpaceDN w:val="0"/>
        <w:bidi w:val="0"/>
        <w:adjustRightInd w:val="0"/>
        <w:spacing w:before="0" w:after="0" w:line="240" w:lineRule="auto"/>
        <w:jc w:val="center"/>
        <w:rPr>
          <w:rFonts w:hint="eastAsia" w:ascii="宋体" w:hAnsi="宋体" w:eastAsia="宋体" w:cs="宋体"/>
          <w:color w:val="auto"/>
          <w:sz w:val="44"/>
          <w:szCs w:val="44"/>
          <w:highlight w:val="none"/>
          <w:lang w:val="en-US" w:eastAsia="zh-CN"/>
        </w:rPr>
      </w:pPr>
      <w:bookmarkStart w:id="156" w:name="_Toc23791"/>
      <w:bookmarkStart w:id="157" w:name="_Toc4121"/>
      <w:bookmarkStart w:id="158" w:name="_Toc971"/>
      <w:r>
        <w:rPr>
          <w:rFonts w:hint="eastAsia" w:ascii="宋体" w:hAnsi="宋体" w:eastAsia="宋体" w:cs="宋体"/>
          <w:b/>
          <w:bCs/>
          <w:color w:val="auto"/>
          <w:kern w:val="44"/>
          <w:sz w:val="44"/>
          <w:szCs w:val="44"/>
          <w:lang w:val="en-US" w:eastAsia="zh-CN" w:bidi="ar-SA"/>
        </w:rPr>
        <w:t xml:space="preserve">第五章 </w:t>
      </w:r>
      <w:r>
        <w:rPr>
          <w:rFonts w:hint="eastAsia" w:ascii="宋体" w:hAnsi="宋体" w:eastAsia="宋体" w:cs="宋体"/>
          <w:color w:val="auto"/>
          <w:sz w:val="44"/>
          <w:szCs w:val="44"/>
          <w:highlight w:val="none"/>
          <w:lang w:val="en-US" w:eastAsia="zh-CN"/>
        </w:rPr>
        <w:t>拟签订的合同文本</w:t>
      </w:r>
      <w:bookmarkEnd w:id="156"/>
      <w:bookmarkEnd w:id="157"/>
      <w:bookmarkEnd w:id="158"/>
    </w:p>
    <w:p w14:paraId="6F5C8B12">
      <w:pPr>
        <w:pStyle w:val="2"/>
        <w:pageBreakBefore w:val="0"/>
        <w:kinsoku/>
        <w:overflowPunct/>
        <w:topLinePunct w:val="0"/>
        <w:bidi w:val="0"/>
        <w:spacing w:line="240" w:lineRule="auto"/>
        <w:jc w:val="center"/>
        <w:rPr>
          <w:rFonts w:hint="eastAsia" w:ascii="宋体" w:hAnsi="宋体" w:eastAsia="宋体" w:cs="宋体"/>
          <w:b/>
          <w:color w:val="000000"/>
          <w:sz w:val="32"/>
          <w:szCs w:val="32"/>
          <w:highlight w:val="none"/>
        </w:rPr>
      </w:pPr>
      <w:r>
        <w:rPr>
          <w:rFonts w:hint="eastAsia" w:ascii="宋体" w:hAnsi="宋体" w:eastAsia="宋体" w:cs="宋体"/>
          <w:color w:val="auto"/>
          <w:sz w:val="21"/>
          <w:szCs w:val="21"/>
          <w:highlight w:val="none"/>
        </w:rPr>
        <w:t xml:space="preserve"> </w:t>
      </w:r>
      <w:bookmarkStart w:id="159" w:name="_Toc6256"/>
      <w:bookmarkStart w:id="160" w:name="_Toc19470"/>
      <w:bookmarkStart w:id="161" w:name="_Toc12316"/>
      <w:bookmarkStart w:id="162" w:name="_Toc1521"/>
      <w:bookmarkStart w:id="163" w:name="_Toc11774"/>
      <w:bookmarkStart w:id="164" w:name="_Toc3136"/>
      <w:bookmarkStart w:id="165" w:name="_Toc18478"/>
      <w:bookmarkStart w:id="166" w:name="_Toc2695"/>
      <w:r>
        <w:rPr>
          <w:rFonts w:hint="eastAsia" w:ascii="宋体" w:hAnsi="宋体" w:eastAsia="宋体" w:cs="宋体"/>
          <w:color w:val="auto"/>
          <w:sz w:val="24"/>
          <w:szCs w:val="24"/>
          <w:highlight w:val="none"/>
        </w:rPr>
        <w:t>拟签订的合同文本</w:t>
      </w:r>
      <w:bookmarkEnd w:id="159"/>
      <w:bookmarkEnd w:id="160"/>
      <w:bookmarkEnd w:id="161"/>
      <w:bookmarkEnd w:id="162"/>
      <w:bookmarkEnd w:id="163"/>
      <w:bookmarkEnd w:id="164"/>
      <w:bookmarkEnd w:id="165"/>
      <w:bookmarkEnd w:id="166"/>
    </w:p>
    <w:p w14:paraId="34052744">
      <w:pPr>
        <w:keepNext w:val="0"/>
        <w:keepLines w:val="0"/>
        <w:pageBreakBefore w:val="0"/>
        <w:widowControl w:val="0"/>
        <w:kinsoku/>
        <w:wordWrap/>
        <w:overflowPunct/>
        <w:topLinePunct w:val="0"/>
        <w:autoSpaceDE/>
        <w:autoSpaceDN/>
        <w:bidi w:val="0"/>
        <w:adjustRightInd/>
        <w:spacing w:line="360" w:lineRule="exact"/>
        <w:ind w:right="800" w:firstLine="420" w:firstLineChars="200"/>
        <w:jc w:val="left"/>
        <w:textAlignment w:val="auto"/>
        <w:rPr>
          <w:rFonts w:hint="eastAsia" w:ascii="宋体" w:hAnsi="宋体" w:eastAsia="宋体" w:cs="宋体"/>
          <w:color w:val="000000"/>
          <w:szCs w:val="21"/>
          <w:highlight w:val="none"/>
          <w:u w:val="single"/>
        </w:rPr>
      </w:pPr>
      <w:r>
        <w:rPr>
          <w:rFonts w:hint="eastAsia" w:ascii="宋体" w:hAnsi="宋体" w:eastAsia="宋体" w:cs="宋体"/>
          <w:bCs/>
          <w:color w:val="000000"/>
          <w:szCs w:val="21"/>
          <w:highlight w:val="none"/>
        </w:rPr>
        <w:t>合同编号：</w:t>
      </w:r>
    </w:p>
    <w:p w14:paraId="338457C6">
      <w:pPr>
        <w:keepNext w:val="0"/>
        <w:keepLines w:val="0"/>
        <w:pageBreakBefore w:val="0"/>
        <w:widowControl w:val="0"/>
        <w:kinsoku/>
        <w:wordWrap/>
        <w:overflowPunct/>
        <w:topLinePunct w:val="0"/>
        <w:autoSpaceDE/>
        <w:autoSpaceDN/>
        <w:bidi w:val="0"/>
        <w:adjustRightInd/>
        <w:spacing w:line="360" w:lineRule="exact"/>
        <w:ind w:right="800"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采购计划号：</w:t>
      </w:r>
    </w:p>
    <w:p w14:paraId="2AAC3689">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采购人（甲方）：</w:t>
      </w:r>
    </w:p>
    <w:p w14:paraId="1665C5AB">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eastAsia="宋体" w:cs="宋体"/>
          <w:color w:val="000000"/>
          <w:szCs w:val="21"/>
          <w:highlight w:val="none"/>
          <w:u w:val="single"/>
        </w:rPr>
      </w:pPr>
      <w:r>
        <w:rPr>
          <w:rFonts w:hint="eastAsia" w:ascii="宋体" w:hAnsi="宋体" w:cs="宋体"/>
          <w:color w:val="000000"/>
          <w:szCs w:val="21"/>
          <w:highlight w:val="none"/>
          <w:lang w:val="en-US" w:eastAsia="zh-CN"/>
        </w:rPr>
        <w:t>中标</w:t>
      </w:r>
      <w:r>
        <w:rPr>
          <w:rFonts w:hint="eastAsia" w:ascii="宋体" w:hAnsi="宋体" w:cs="宋体"/>
          <w:color w:val="000000"/>
          <w:szCs w:val="21"/>
          <w:highlight w:val="none"/>
          <w:lang w:eastAsia="zh-CN"/>
        </w:rPr>
        <w:t>供应商</w:t>
      </w:r>
      <w:r>
        <w:rPr>
          <w:rFonts w:hint="eastAsia" w:ascii="宋体" w:hAnsi="宋体" w:eastAsia="宋体" w:cs="宋体"/>
          <w:color w:val="000000"/>
          <w:szCs w:val="21"/>
          <w:highlight w:val="none"/>
        </w:rPr>
        <w:t>（乙方）：</w:t>
      </w:r>
    </w:p>
    <w:p w14:paraId="1054D38D">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项目名称：</w:t>
      </w:r>
    </w:p>
    <w:p w14:paraId="564A48A4">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eastAsia="宋体" w:cs="宋体"/>
          <w:color w:val="000000"/>
          <w:szCs w:val="21"/>
          <w:highlight w:val="none"/>
          <w:u w:val="single"/>
        </w:rPr>
      </w:pPr>
      <w:r>
        <w:rPr>
          <w:rFonts w:hint="eastAsia" w:ascii="宋体" w:hAnsi="宋体" w:eastAsia="宋体" w:cs="宋体"/>
          <w:color w:val="000000"/>
          <w:szCs w:val="21"/>
          <w:highlight w:val="none"/>
        </w:rPr>
        <w:t>项目编号：</w:t>
      </w:r>
    </w:p>
    <w:p w14:paraId="243E36C3">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s="宋体"/>
          <w:color w:val="000000"/>
          <w:szCs w:val="21"/>
          <w:highlight w:val="none"/>
          <w:u w:val="single"/>
        </w:rPr>
      </w:pPr>
      <w:r>
        <w:rPr>
          <w:rFonts w:hint="eastAsia" w:ascii="宋体" w:hAnsi="宋体" w:eastAsia="宋体" w:cs="宋体"/>
          <w:color w:val="000000"/>
          <w:szCs w:val="21"/>
          <w:highlight w:val="none"/>
        </w:rPr>
        <w:t>签订地点：</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u w:val="single"/>
          <w:lang w:val="en-US" w:eastAsia="zh-CN"/>
        </w:rPr>
        <w:t xml:space="preserve">   </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u w:val="none"/>
          <w:lang w:val="en-US" w:eastAsia="zh-CN"/>
        </w:rPr>
        <w:t xml:space="preserve"> </w:t>
      </w:r>
      <w:r>
        <w:rPr>
          <w:rFonts w:hint="eastAsia" w:ascii="宋体" w:hAnsi="宋体" w:cs="宋体"/>
          <w:color w:val="000000"/>
          <w:szCs w:val="21"/>
          <w:highlight w:val="none"/>
          <w:u w:val="none"/>
          <w:lang w:val="en-US" w:eastAsia="zh-CN"/>
        </w:rPr>
        <w:t xml:space="preserve">                   </w:t>
      </w:r>
      <w:r>
        <w:rPr>
          <w:rFonts w:hint="eastAsia" w:ascii="宋体" w:hAnsi="宋体" w:eastAsia="宋体" w:cs="宋体"/>
          <w:color w:val="000000"/>
          <w:szCs w:val="21"/>
          <w:highlight w:val="none"/>
        </w:rPr>
        <w:t>签订时间：</w:t>
      </w:r>
    </w:p>
    <w:p w14:paraId="0D7655AF">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s="宋体"/>
          <w:color w:val="000000"/>
          <w:szCs w:val="21"/>
          <w:highlight w:val="none"/>
        </w:rPr>
      </w:pPr>
    </w:p>
    <w:p w14:paraId="2395A0CF">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根据《中华人民共和国政府采购法</w:t>
      </w:r>
      <w:r>
        <w:rPr>
          <w:rFonts w:hint="eastAsia" w:ascii="宋体" w:hAnsi="宋体" w:cs="宋体"/>
          <w:color w:val="000000"/>
          <w:szCs w:val="21"/>
          <w:highlight w:val="none"/>
          <w:lang w:eastAsia="zh-CN"/>
        </w:rPr>
        <w:t>》《</w:t>
      </w:r>
      <w:r>
        <w:rPr>
          <w:rFonts w:hint="eastAsia" w:ascii="宋体" w:hAnsi="宋体" w:cs="宋体"/>
          <w:color w:val="000000"/>
          <w:szCs w:val="21"/>
          <w:highlight w:val="none"/>
        </w:rPr>
        <w:t>中华人民共和国</w:t>
      </w:r>
      <w:r>
        <w:rPr>
          <w:rFonts w:hint="eastAsia" w:ascii="宋体" w:hAnsi="宋体" w:cs="宋体"/>
          <w:color w:val="000000"/>
          <w:szCs w:val="21"/>
          <w:highlight w:val="none"/>
          <w:lang w:eastAsia="zh-CN"/>
        </w:rPr>
        <w:t>民法典</w:t>
      </w:r>
      <w:r>
        <w:rPr>
          <w:rFonts w:hint="eastAsia" w:ascii="宋体" w:hAnsi="宋体" w:cs="宋体"/>
          <w:color w:val="000000"/>
          <w:szCs w:val="21"/>
          <w:highlight w:val="none"/>
        </w:rPr>
        <w:t>》等法律、法规规定，按照</w:t>
      </w:r>
      <w:r>
        <w:rPr>
          <w:rFonts w:hint="eastAsia" w:ascii="宋体" w:hAnsi="宋体" w:cs="宋体"/>
          <w:color w:val="000000"/>
          <w:szCs w:val="21"/>
          <w:highlight w:val="none"/>
          <w:lang w:val="en-US" w:eastAsia="zh-CN"/>
        </w:rPr>
        <w:t>竞争性</w:t>
      </w:r>
      <w:r>
        <w:rPr>
          <w:rFonts w:hint="eastAsia" w:ascii="宋体" w:hAnsi="宋体"/>
          <w:color w:val="000000"/>
          <w:szCs w:val="21"/>
          <w:highlight w:val="none"/>
        </w:rPr>
        <w:t>磋商文件规定条款和乙方响应文件及其承诺，甲乙双方签订本合同。</w:t>
      </w:r>
    </w:p>
    <w:p w14:paraId="2ADF316A">
      <w:pPr>
        <w:keepNext w:val="0"/>
        <w:keepLines w:val="0"/>
        <w:pageBreakBefore w:val="0"/>
        <w:widowControl w:val="0"/>
        <w:kinsoku/>
        <w:wordWrap/>
        <w:overflowPunct/>
        <w:topLinePunct w:val="0"/>
        <w:autoSpaceDE/>
        <w:autoSpaceDN/>
        <w:bidi w:val="0"/>
        <w:adjustRightInd/>
        <w:spacing w:line="360" w:lineRule="exact"/>
        <w:ind w:firstLine="422" w:firstLineChars="200"/>
        <w:jc w:val="left"/>
        <w:textAlignment w:val="auto"/>
        <w:rPr>
          <w:rFonts w:hint="eastAsia" w:ascii="宋体" w:hAnsi="宋体" w:cs="宋体"/>
          <w:b/>
          <w:color w:val="000000"/>
          <w:szCs w:val="21"/>
          <w:highlight w:val="none"/>
        </w:rPr>
      </w:pPr>
      <w:r>
        <w:rPr>
          <w:rFonts w:hint="eastAsia" w:ascii="宋体" w:hAnsi="宋体" w:cs="宋体"/>
          <w:b/>
          <w:color w:val="000000"/>
          <w:szCs w:val="21"/>
          <w:highlight w:val="none"/>
        </w:rPr>
        <w:t>第一条　合同标的</w:t>
      </w:r>
    </w:p>
    <w:p w14:paraId="0B7D3740">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eastAsia="宋体" w:cs="宋体"/>
          <w:color w:val="000000"/>
          <w:szCs w:val="21"/>
          <w:highlight w:val="none"/>
          <w:lang w:val="en-US" w:eastAsia="zh-CN"/>
        </w:rPr>
        <w:t>1.合同总金额：</w:t>
      </w:r>
      <w:r>
        <w:rPr>
          <w:rFonts w:hint="eastAsia" w:ascii="宋体" w:hAnsi="宋体" w:eastAsia="宋体" w:cs="宋体"/>
          <w:color w:val="000000"/>
          <w:szCs w:val="21"/>
          <w:highlight w:val="none"/>
          <w:u w:val="single"/>
          <w:lang w:val="en-US" w:eastAsia="zh-CN"/>
        </w:rPr>
        <w:t xml:space="preserve">                          。</w:t>
      </w:r>
    </w:p>
    <w:p w14:paraId="3734E5D1">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color w:val="000000"/>
          <w:lang w:eastAsia="zh-CN"/>
        </w:rPr>
      </w:pPr>
      <w:r>
        <w:rPr>
          <w:rFonts w:hint="eastAsia" w:ascii="宋体" w:hAnsi="宋体" w:cs="宋体"/>
          <w:color w:val="000000"/>
          <w:szCs w:val="21"/>
          <w:highlight w:val="none"/>
          <w:lang w:val="en-US" w:eastAsia="zh-CN"/>
        </w:rPr>
        <w:t>2.</w:t>
      </w:r>
      <w:r>
        <w:rPr>
          <w:rFonts w:hint="eastAsia" w:ascii="宋体" w:hAnsi="宋体" w:eastAsia="宋体" w:cs="宋体"/>
          <w:color w:val="000000"/>
          <w:szCs w:val="21"/>
          <w:highlight w:val="none"/>
          <w:lang w:eastAsia="zh-CN"/>
        </w:rPr>
        <w:t>服务内容</w:t>
      </w:r>
      <w:r>
        <w:rPr>
          <w:rFonts w:hint="eastAsia" w:ascii="宋体" w:hAnsi="宋体" w:eastAsia="宋体" w:cs="宋体"/>
          <w:color w:val="000000"/>
          <w:szCs w:val="21"/>
          <w:highlight w:val="none"/>
        </w:rPr>
        <w:t>一览表</w:t>
      </w:r>
      <w:r>
        <w:rPr>
          <w:rFonts w:hint="eastAsia" w:ascii="宋体" w:hAnsi="宋体" w:eastAsia="宋体" w:cs="宋体"/>
          <w:color w:val="000000"/>
          <w:szCs w:val="21"/>
          <w:highlight w:val="none"/>
          <w:lang w:eastAsia="zh-CN"/>
        </w:rPr>
        <w:t>（详见附件中的响应报价表）</w:t>
      </w:r>
    </w:p>
    <w:p w14:paraId="74A6192C">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eastAsia="宋体" w:cs="宋体"/>
          <w:b w:val="0"/>
          <w:bCs w:val="0"/>
          <w:color w:val="000000"/>
          <w:kern w:val="2"/>
          <w:sz w:val="21"/>
          <w:szCs w:val="21"/>
          <w:highlight w:val="none"/>
          <w:lang w:val="en-US" w:eastAsia="zh-CN" w:bidi="ar-SA"/>
        </w:rPr>
      </w:pPr>
      <w:r>
        <w:rPr>
          <w:rFonts w:hint="eastAsia" w:ascii="宋体" w:hAnsi="宋体" w:cs="宋体"/>
          <w:color w:val="000000"/>
          <w:szCs w:val="21"/>
          <w:highlight w:val="none"/>
          <w:lang w:val="en-US" w:eastAsia="zh-CN"/>
        </w:rPr>
        <w:t>3.</w:t>
      </w:r>
      <w:r>
        <w:rPr>
          <w:rFonts w:hint="eastAsia" w:ascii="宋体" w:hAnsi="宋体" w:eastAsia="宋体" w:cs="宋体"/>
          <w:b w:val="0"/>
          <w:bCs w:val="0"/>
          <w:color w:val="000000"/>
          <w:kern w:val="2"/>
          <w:sz w:val="21"/>
          <w:szCs w:val="21"/>
          <w:highlight w:val="none"/>
          <w:lang w:val="en-US" w:eastAsia="zh-CN" w:bidi="ar-SA"/>
        </w:rPr>
        <w:t>合同总金额包含满足本次竞标全部采购需求所应提供的服务，报价应包含了本项目“项目采购需求”规定的各项服务内容的价格，是履行合同的最终价格，即满足全部采购需求所应提供的服务的价格；包括竞标服务的成本、运输（含保险）（如有）、技术服务、培训、税费等完成本项目服务内容所需要的其他一切费用。对于本文件中未列明，而供应商认为必需的费用也需列入总报价。在合同实施时，采购人将不予支付中标供应商没有列入的项目费用，并认为此项目的费用已包括在合同总金额中。如竞争性磋商文件对其另有规定的，从其规定。</w:t>
      </w:r>
    </w:p>
    <w:p w14:paraId="7B306C9E">
      <w:pPr>
        <w:pStyle w:val="12"/>
        <w:spacing w:before="0" w:after="0" w:line="360" w:lineRule="exact"/>
        <w:jc w:val="both"/>
        <w:rPr>
          <w:rFonts w:hint="eastAsia"/>
          <w:color w:val="000000" w:themeColor="text1"/>
          <w:highlight w:val="none"/>
          <w:lang w:val="en-US" w:eastAsia="zh-CN"/>
          <w14:textFill>
            <w14:solidFill>
              <w14:schemeClr w14:val="tx1"/>
            </w14:solidFill>
          </w14:textFill>
        </w:rPr>
      </w:pPr>
      <w:r>
        <w:rPr>
          <w:rFonts w:hint="eastAsia" w:ascii="宋体" w:hAnsi="宋体" w:cs="宋体" w:eastAsiaTheme="minorEastAsia"/>
          <w:b w:val="0"/>
          <w:bCs w:val="0"/>
          <w:color w:val="000000"/>
          <w:kern w:val="2"/>
          <w:sz w:val="21"/>
          <w:szCs w:val="21"/>
          <w:highlight w:val="none"/>
          <w:lang w:val="en-US" w:eastAsia="zh-CN" w:bidi="ar-SA"/>
        </w:rPr>
        <w:t>4.乙方提供的</w:t>
      </w:r>
      <w:r>
        <w:rPr>
          <w:rFonts w:hint="eastAsia" w:ascii="宋体" w:hAnsi="宋体" w:cs="宋体" w:eastAsiaTheme="minorEastAsia"/>
          <w:b w:val="0"/>
          <w:bCs w:val="0"/>
          <w:color w:val="000000"/>
          <w:sz w:val="21"/>
          <w:szCs w:val="21"/>
          <w:highlight w:val="none"/>
        </w:rPr>
        <w:t>防城港市政务云资源池总体规模应满足：vCPU总数不少于1280核，内存总量不少于3417GB，Ceph分布式存储可用容量不少于130TB</w:t>
      </w:r>
      <w:r>
        <w:rPr>
          <w:rFonts w:hint="eastAsia" w:ascii="宋体" w:hAnsi="宋体" w:cs="宋体" w:eastAsiaTheme="minorEastAsia"/>
          <w:b w:val="0"/>
          <w:bCs w:val="0"/>
          <w:color w:val="000000"/>
          <w:sz w:val="21"/>
          <w:szCs w:val="21"/>
          <w:highlight w:val="none"/>
          <w:lang w:eastAsia="zh-CN"/>
        </w:rPr>
        <w:t>。</w:t>
      </w:r>
      <w:r>
        <w:rPr>
          <w:rFonts w:hint="eastAsia" w:ascii="宋体" w:hAnsi="宋体" w:cs="宋体" w:eastAsiaTheme="minorEastAsia"/>
          <w:b w:val="0"/>
          <w:bCs w:val="0"/>
          <w:color w:val="000000"/>
          <w:sz w:val="21"/>
          <w:szCs w:val="21"/>
          <w:highlight w:val="none"/>
        </w:rPr>
        <w:t>构建覆盖多规格云计算、裸金属、存储、操作系统的基础资源体系</w:t>
      </w:r>
      <w:r>
        <w:rPr>
          <w:rFonts w:hint="eastAsia" w:ascii="宋体" w:hAnsi="宋体" w:cs="宋体" w:eastAsiaTheme="minorEastAsia"/>
          <w:b w:val="0"/>
          <w:bCs w:val="0"/>
          <w:color w:val="000000"/>
          <w:sz w:val="21"/>
          <w:szCs w:val="21"/>
          <w:highlight w:val="none"/>
          <w:lang w:eastAsia="zh-CN"/>
        </w:rPr>
        <w:t>。</w:t>
      </w:r>
    </w:p>
    <w:p w14:paraId="32AEAE07">
      <w:pPr>
        <w:keepNext w:val="0"/>
        <w:keepLines w:val="0"/>
        <w:pageBreakBefore w:val="0"/>
        <w:widowControl w:val="0"/>
        <w:kinsoku/>
        <w:wordWrap/>
        <w:overflowPunct/>
        <w:topLinePunct w:val="0"/>
        <w:autoSpaceDE/>
        <w:autoSpaceDN/>
        <w:bidi w:val="0"/>
        <w:adjustRightInd/>
        <w:spacing w:line="360" w:lineRule="exact"/>
        <w:ind w:firstLine="422" w:firstLineChars="200"/>
        <w:jc w:val="left"/>
        <w:textAlignment w:val="auto"/>
        <w:rPr>
          <w:rFonts w:hint="eastAsia" w:ascii="宋体" w:hAnsi="宋体" w:cs="宋体"/>
          <w:b/>
          <w:color w:val="000000"/>
          <w:szCs w:val="21"/>
          <w:highlight w:val="none"/>
        </w:rPr>
      </w:pPr>
      <w:r>
        <w:rPr>
          <w:rFonts w:hint="eastAsia" w:ascii="宋体" w:hAnsi="宋体" w:cs="宋体"/>
          <w:b/>
          <w:color w:val="000000"/>
          <w:szCs w:val="21"/>
          <w:highlight w:val="none"/>
        </w:rPr>
        <w:t>第二条　质量保证</w:t>
      </w:r>
    </w:p>
    <w:p w14:paraId="2D748DF6">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乙方所提供的服务及服务内容必须与响应文件承诺相一致，有国家强制性标准的，还必须符合国家强制性标准的规定，没有国家强制性标准但有</w:t>
      </w:r>
      <w:r>
        <w:rPr>
          <w:rFonts w:hint="eastAsia" w:ascii="宋体" w:hAnsi="宋体" w:cs="宋体"/>
          <w:color w:val="000000"/>
          <w:szCs w:val="21"/>
          <w:highlight w:val="none"/>
          <w:lang w:eastAsia="zh-CN"/>
        </w:rPr>
        <w:t>其他</w:t>
      </w:r>
      <w:r>
        <w:rPr>
          <w:rFonts w:hint="eastAsia" w:ascii="宋体" w:hAnsi="宋体" w:cs="宋体"/>
          <w:color w:val="000000"/>
          <w:szCs w:val="21"/>
          <w:highlight w:val="none"/>
        </w:rPr>
        <w:t>强制性标准的，必须符合</w:t>
      </w:r>
      <w:r>
        <w:rPr>
          <w:rFonts w:hint="eastAsia" w:ascii="宋体" w:hAnsi="宋体" w:cs="宋体"/>
          <w:color w:val="000000"/>
          <w:szCs w:val="21"/>
          <w:highlight w:val="none"/>
          <w:lang w:eastAsia="zh-CN"/>
        </w:rPr>
        <w:t>其他</w:t>
      </w:r>
      <w:r>
        <w:rPr>
          <w:rFonts w:hint="eastAsia" w:ascii="宋体" w:hAnsi="宋体" w:cs="宋体"/>
          <w:color w:val="000000"/>
          <w:szCs w:val="21"/>
          <w:highlight w:val="none"/>
        </w:rPr>
        <w:t>强制性标准的规定。</w:t>
      </w:r>
    </w:p>
    <w:p w14:paraId="5F5F77DA">
      <w:pPr>
        <w:keepNext w:val="0"/>
        <w:keepLines w:val="0"/>
        <w:pageBreakBefore w:val="0"/>
        <w:widowControl w:val="0"/>
        <w:kinsoku/>
        <w:wordWrap/>
        <w:overflowPunct/>
        <w:topLinePunct w:val="0"/>
        <w:autoSpaceDE/>
        <w:autoSpaceDN/>
        <w:bidi w:val="0"/>
        <w:adjustRightInd/>
        <w:spacing w:line="360" w:lineRule="exact"/>
        <w:ind w:firstLine="422" w:firstLineChars="200"/>
        <w:jc w:val="left"/>
        <w:textAlignment w:val="auto"/>
        <w:rPr>
          <w:rFonts w:hint="eastAsia" w:ascii="宋体" w:hAnsi="宋体" w:cs="宋体"/>
          <w:color w:val="000000"/>
          <w:szCs w:val="21"/>
          <w:highlight w:val="none"/>
        </w:rPr>
      </w:pPr>
      <w:r>
        <w:rPr>
          <w:rFonts w:hint="eastAsia" w:ascii="宋体" w:hAnsi="宋体" w:cs="宋体"/>
          <w:b/>
          <w:color w:val="000000"/>
          <w:szCs w:val="21"/>
          <w:highlight w:val="none"/>
        </w:rPr>
        <w:t>第三条　权利保证</w:t>
      </w:r>
    </w:p>
    <w:p w14:paraId="1B752644">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1</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rPr>
        <w:t>乙方应保证所提供服务在使用时不会侵犯任何第三方的专利权、商标权、工业设计权等知识产权及</w:t>
      </w:r>
      <w:r>
        <w:rPr>
          <w:rFonts w:hint="eastAsia" w:ascii="宋体" w:hAnsi="宋体" w:cs="宋体"/>
          <w:color w:val="000000"/>
          <w:szCs w:val="21"/>
          <w:highlight w:val="none"/>
          <w:lang w:eastAsia="zh-CN"/>
        </w:rPr>
        <w:t>其他</w:t>
      </w:r>
      <w:r>
        <w:rPr>
          <w:rFonts w:hint="eastAsia" w:ascii="宋体" w:hAnsi="宋体" w:cs="宋体"/>
          <w:color w:val="000000"/>
          <w:szCs w:val="21"/>
          <w:highlight w:val="none"/>
        </w:rPr>
        <w:t>合法权利，且所有权、处分权等没有受到任何限制。</w:t>
      </w:r>
    </w:p>
    <w:p w14:paraId="5A2A5B14">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2</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rPr>
        <w:t>没有甲方事先书面同意，乙方不得将由甲方提供的有关合同或者任何合同条文、规格、计划、图纸、样品或者资料提供</w:t>
      </w:r>
      <w:r>
        <w:rPr>
          <w:rFonts w:hint="eastAsia" w:ascii="宋体" w:hAnsi="宋体" w:cs="宋体"/>
          <w:color w:val="000000"/>
          <w:szCs w:val="21"/>
          <w:highlight w:val="none"/>
          <w:lang w:val="en-US" w:eastAsia="zh-CN"/>
        </w:rPr>
        <w:t>给予</w:t>
      </w:r>
      <w:r>
        <w:rPr>
          <w:rFonts w:hint="eastAsia" w:ascii="宋体" w:hAnsi="宋体" w:cs="宋体"/>
          <w:color w:val="000000"/>
          <w:szCs w:val="21"/>
          <w:highlight w:val="none"/>
        </w:rPr>
        <w:t>履行本合同无关的任何</w:t>
      </w:r>
      <w:r>
        <w:rPr>
          <w:rFonts w:hint="eastAsia" w:ascii="宋体" w:hAnsi="宋体" w:cs="宋体"/>
          <w:color w:val="000000"/>
          <w:szCs w:val="21"/>
          <w:highlight w:val="none"/>
          <w:lang w:eastAsia="zh-CN"/>
        </w:rPr>
        <w:t>其他</w:t>
      </w:r>
      <w:r>
        <w:rPr>
          <w:rFonts w:hint="eastAsia" w:ascii="宋体" w:hAnsi="宋体" w:cs="宋体"/>
          <w:color w:val="000000"/>
          <w:szCs w:val="21"/>
          <w:highlight w:val="none"/>
        </w:rPr>
        <w:t>人。即使向履行本合同有关的人员提供，也应注意保密并限于履行合同的必需范围。乙方的保密义务持续有效，不因为本合同履行终止、解除或者无效而解除。</w:t>
      </w:r>
    </w:p>
    <w:p w14:paraId="29F723C9">
      <w:pPr>
        <w:keepNext w:val="0"/>
        <w:keepLines w:val="0"/>
        <w:pageBreakBefore w:val="0"/>
        <w:widowControl w:val="0"/>
        <w:kinsoku/>
        <w:wordWrap/>
        <w:overflowPunct/>
        <w:topLinePunct w:val="0"/>
        <w:autoSpaceDE/>
        <w:autoSpaceDN/>
        <w:bidi w:val="0"/>
        <w:adjustRightInd/>
        <w:spacing w:line="360" w:lineRule="exact"/>
        <w:ind w:firstLine="422" w:firstLineChars="200"/>
        <w:jc w:val="left"/>
        <w:textAlignment w:val="auto"/>
        <w:rPr>
          <w:rFonts w:hint="eastAsia" w:ascii="宋体" w:hAnsi="宋体" w:cs="宋体"/>
          <w:color w:val="000000"/>
          <w:szCs w:val="21"/>
          <w:highlight w:val="none"/>
        </w:rPr>
      </w:pPr>
      <w:r>
        <w:rPr>
          <w:rFonts w:hint="eastAsia" w:ascii="宋体" w:hAnsi="宋体" w:cs="宋体"/>
          <w:b/>
          <w:color w:val="000000"/>
          <w:szCs w:val="21"/>
          <w:highlight w:val="none"/>
        </w:rPr>
        <w:t>第四条　交付和验收</w:t>
      </w:r>
    </w:p>
    <w:p w14:paraId="37F55FAE">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1</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rPr>
        <w:t>服务期限：</w:t>
      </w:r>
      <w:r>
        <w:rPr>
          <w:rFonts w:hint="eastAsia" w:ascii="宋体" w:hAnsi="宋体" w:cs="宋体"/>
          <w:color w:val="000000"/>
          <w:szCs w:val="21"/>
          <w:highlight w:val="none"/>
          <w:u w:val="single"/>
        </w:rPr>
        <w:t xml:space="preserve"> </w:t>
      </w:r>
      <w:r>
        <w:rPr>
          <w:rFonts w:ascii="宋体" w:hAnsi="宋体" w:cs="宋体"/>
          <w:color w:val="000000"/>
          <w:szCs w:val="21"/>
          <w:highlight w:val="none"/>
          <w:u w:val="single"/>
        </w:rPr>
        <w:t xml:space="preserve">          </w:t>
      </w:r>
      <w:r>
        <w:rPr>
          <w:rFonts w:hint="eastAsia" w:ascii="宋体" w:hAnsi="宋体" w:cs="宋体"/>
          <w:color w:val="000000"/>
          <w:szCs w:val="21"/>
          <w:highlight w:val="none"/>
          <w:u w:val="single"/>
        </w:rPr>
        <w:t>起至</w:t>
      </w:r>
      <w:r>
        <w:rPr>
          <w:rFonts w:ascii="宋体" w:hAnsi="宋体" w:cs="宋体"/>
          <w:color w:val="000000"/>
          <w:szCs w:val="21"/>
          <w:highlight w:val="none"/>
          <w:u w:val="single"/>
        </w:rPr>
        <w:t xml:space="preserve">              </w:t>
      </w:r>
      <w:r>
        <w:rPr>
          <w:rFonts w:hint="eastAsia" w:ascii="宋体" w:hAnsi="宋体" w:cs="宋体"/>
          <w:color w:val="000000"/>
          <w:szCs w:val="21"/>
          <w:highlight w:val="none"/>
        </w:rPr>
        <w:t>，服务地点：</w:t>
      </w:r>
      <w:r>
        <w:rPr>
          <w:rFonts w:hint="eastAsia" w:ascii="宋体" w:hAnsi="宋体" w:cs="宋体"/>
          <w:color w:val="000000"/>
          <w:szCs w:val="21"/>
          <w:highlight w:val="none"/>
          <w:u w:val="single"/>
        </w:rPr>
        <w:t xml:space="preserve"> </w:t>
      </w:r>
      <w:r>
        <w:rPr>
          <w:rFonts w:ascii="宋体" w:hAnsi="宋体" w:cs="宋体"/>
          <w:color w:val="000000"/>
          <w:szCs w:val="21"/>
          <w:highlight w:val="none"/>
          <w:u w:val="single"/>
        </w:rPr>
        <w:t xml:space="preserve">            </w:t>
      </w:r>
      <w:r>
        <w:rPr>
          <w:rFonts w:hint="eastAsia" w:ascii="宋体" w:hAnsi="宋体" w:cs="宋体"/>
          <w:color w:val="000000"/>
          <w:szCs w:val="21"/>
          <w:highlight w:val="none"/>
        </w:rPr>
        <w:t>。</w:t>
      </w:r>
    </w:p>
    <w:p w14:paraId="0213EBCE">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2</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rPr>
        <w:t>乙方应按响应文件的承诺向甲方提供相应的服务，并提供所服务内容的相关技术资料。</w:t>
      </w:r>
    </w:p>
    <w:p w14:paraId="79147B0C">
      <w:pPr>
        <w:keepNext w:val="0"/>
        <w:keepLines w:val="0"/>
        <w:pageBreakBefore w:val="0"/>
        <w:widowControl w:val="0"/>
        <w:kinsoku/>
        <w:wordWrap/>
        <w:overflowPunct/>
        <w:topLinePunct w:val="0"/>
        <w:autoSpaceDE/>
        <w:autoSpaceDN/>
        <w:bidi w:val="0"/>
        <w:adjustRightInd/>
        <w:spacing w:line="360" w:lineRule="exact"/>
        <w:ind w:firstLine="420" w:firstLineChars="200"/>
        <w:jc w:val="both"/>
        <w:textAlignment w:val="auto"/>
        <w:rPr>
          <w:rFonts w:hint="default" w:ascii="宋体" w:hAnsi="宋体" w:eastAsia="宋体" w:cs="宋体"/>
          <w:b w:val="0"/>
          <w:bCs w:val="0"/>
          <w:i w:val="0"/>
          <w:iCs w:val="0"/>
          <w:color w:val="000000"/>
          <w:kern w:val="2"/>
          <w:sz w:val="21"/>
          <w:szCs w:val="21"/>
          <w:highlight w:val="none"/>
          <w:vertAlign w:val="baseline"/>
          <w:lang w:val="en-US" w:eastAsia="zh-CN" w:bidi="ar-SA"/>
        </w:rPr>
      </w:pPr>
      <w:r>
        <w:rPr>
          <w:rFonts w:hint="eastAsia" w:ascii="宋体" w:hAnsi="宋体" w:eastAsiaTheme="minorEastAsia" w:cstheme="minorBidi"/>
          <w:color w:val="000000"/>
          <w:sz w:val="21"/>
          <w:szCs w:val="21"/>
          <w:highlight w:val="none"/>
          <w:lang w:val="en-US" w:eastAsia="zh-CN"/>
        </w:rPr>
        <w:t>3.</w:t>
      </w:r>
      <w:r>
        <w:rPr>
          <w:rFonts w:hint="eastAsia" w:eastAsia="宋体" w:cs="宋体"/>
          <w:color w:val="000000"/>
          <w:sz w:val="21"/>
          <w:szCs w:val="21"/>
          <w:highlight w:val="none"/>
          <w:lang w:eastAsia="zh-CN"/>
        </w:rPr>
        <w:t>乙方</w:t>
      </w:r>
      <w:r>
        <w:rPr>
          <w:rFonts w:hint="eastAsia" w:eastAsia="宋体" w:cs="宋体"/>
          <w:color w:val="000000"/>
          <w:sz w:val="21"/>
          <w:szCs w:val="21"/>
          <w:highlight w:val="none"/>
        </w:rPr>
        <w:t>搭建</w:t>
      </w:r>
      <w:r>
        <w:rPr>
          <w:rFonts w:hint="eastAsia" w:eastAsia="宋体" w:cs="宋体"/>
          <w:color w:val="000000"/>
          <w:sz w:val="21"/>
          <w:szCs w:val="21"/>
          <w:highlight w:val="none"/>
          <w:lang w:eastAsia="zh-CN"/>
        </w:rPr>
        <w:t>的政务</w:t>
      </w:r>
      <w:r>
        <w:rPr>
          <w:rFonts w:hint="eastAsia" w:eastAsia="宋体" w:cs="宋体"/>
          <w:color w:val="000000"/>
          <w:sz w:val="21"/>
          <w:szCs w:val="21"/>
          <w:highlight w:val="none"/>
        </w:rPr>
        <w:t>云平台</w:t>
      </w:r>
      <w:r>
        <w:rPr>
          <w:rFonts w:hint="eastAsia" w:eastAsia="宋体" w:cs="宋体"/>
          <w:color w:val="000000"/>
          <w:sz w:val="21"/>
          <w:szCs w:val="21"/>
          <w:highlight w:val="none"/>
          <w:lang w:eastAsia="zh-CN"/>
        </w:rPr>
        <w:t>应</w:t>
      </w:r>
      <w:r>
        <w:rPr>
          <w:rFonts w:hint="eastAsia" w:eastAsia="宋体" w:cs="宋体"/>
          <w:color w:val="000000"/>
          <w:sz w:val="21"/>
          <w:szCs w:val="21"/>
          <w:highlight w:val="none"/>
        </w:rPr>
        <w:t>通过信息安全技术网络安全等级保护测评。</w:t>
      </w:r>
      <w:r>
        <w:rPr>
          <w:rFonts w:hint="default" w:ascii="宋体" w:hAnsi="宋体" w:eastAsia="宋体" w:cs="宋体"/>
          <w:b w:val="0"/>
          <w:bCs w:val="0"/>
          <w:i w:val="0"/>
          <w:iCs w:val="0"/>
          <w:color w:val="000000"/>
          <w:kern w:val="2"/>
          <w:sz w:val="21"/>
          <w:szCs w:val="21"/>
          <w:highlight w:val="none"/>
          <w:vertAlign w:val="baseline"/>
          <w:lang w:val="en-US" w:eastAsia="zh-CN" w:bidi="ar-SA"/>
        </w:rPr>
        <w:t>满足《GB50174-2017数据中心设计规范》、《信息安全技术 云计算服务安全指南（GB∕T 31167-20</w:t>
      </w:r>
      <w:r>
        <w:rPr>
          <w:rFonts w:hint="eastAsia" w:ascii="宋体" w:hAnsi="宋体" w:eastAsia="宋体" w:cs="宋体"/>
          <w:b w:val="0"/>
          <w:bCs w:val="0"/>
          <w:i w:val="0"/>
          <w:iCs w:val="0"/>
          <w:color w:val="000000"/>
          <w:kern w:val="2"/>
          <w:sz w:val="21"/>
          <w:szCs w:val="21"/>
          <w:highlight w:val="none"/>
          <w:vertAlign w:val="baseline"/>
          <w:lang w:val="en-US" w:eastAsia="zh-CN" w:bidi="ar-SA"/>
        </w:rPr>
        <w:t>23</w:t>
      </w:r>
      <w:r>
        <w:rPr>
          <w:rFonts w:hint="default" w:ascii="宋体" w:hAnsi="宋体" w:eastAsia="宋体" w:cs="宋体"/>
          <w:b w:val="0"/>
          <w:bCs w:val="0"/>
          <w:i w:val="0"/>
          <w:iCs w:val="0"/>
          <w:color w:val="000000"/>
          <w:kern w:val="2"/>
          <w:sz w:val="21"/>
          <w:szCs w:val="21"/>
          <w:highlight w:val="none"/>
          <w:vertAlign w:val="baseline"/>
          <w:lang w:val="en-US" w:eastAsia="zh-CN" w:bidi="ar-SA"/>
        </w:rPr>
        <w:t>）》、GB/T22239-2019《</w:t>
      </w:r>
      <w:r>
        <w:rPr>
          <w:rFonts w:hint="eastAsia" w:ascii="宋体" w:hAnsi="宋体" w:eastAsia="宋体" w:cs="宋体"/>
          <w:b w:val="0"/>
          <w:bCs w:val="0"/>
          <w:i w:val="0"/>
          <w:iCs w:val="0"/>
          <w:color w:val="000000"/>
          <w:kern w:val="2"/>
          <w:sz w:val="21"/>
          <w:szCs w:val="21"/>
          <w:highlight w:val="none"/>
          <w:vertAlign w:val="baseline"/>
          <w:lang w:val="en-US" w:eastAsia="zh-CN" w:bidi="ar-SA"/>
        </w:rPr>
        <w:t xml:space="preserve">信息安全技术 </w:t>
      </w:r>
      <w:r>
        <w:rPr>
          <w:rFonts w:hint="default" w:ascii="宋体" w:hAnsi="宋体" w:eastAsia="宋体" w:cs="宋体"/>
          <w:b w:val="0"/>
          <w:bCs w:val="0"/>
          <w:i w:val="0"/>
          <w:iCs w:val="0"/>
          <w:color w:val="000000"/>
          <w:kern w:val="2"/>
          <w:sz w:val="21"/>
          <w:szCs w:val="21"/>
          <w:highlight w:val="none"/>
          <w:vertAlign w:val="baseline"/>
          <w:lang w:val="en-US" w:eastAsia="zh-CN" w:bidi="ar-SA"/>
        </w:rPr>
        <w:t>网络安全等级保护基本要求》第三级安全通用和云计算安全扩展要求，在服务前必须完成公安部门备案并通过安全等级保护三级测评，并根据测评结果按照要求进行整改。在与采购人签订成交合同半年内必须通过商用密码应用安全性评估三级测评。</w:t>
      </w:r>
    </w:p>
    <w:p w14:paraId="159092A7">
      <w:pPr>
        <w:ind w:firstLine="420" w:firstLineChars="200"/>
        <w:rPr>
          <w:rFonts w:hint="default"/>
          <w:highlight w:val="none"/>
          <w:lang w:val="en-US" w:eastAsia="zh-CN"/>
        </w:rPr>
      </w:pPr>
      <w:r>
        <w:rPr>
          <w:rFonts w:hint="eastAsia" w:ascii="宋体" w:hAnsi="宋体" w:cstheme="minorBidi"/>
          <w:b w:val="0"/>
          <w:bCs w:val="0"/>
          <w:color w:val="000000"/>
          <w:sz w:val="21"/>
          <w:szCs w:val="21"/>
          <w:highlight w:val="none"/>
          <w:lang w:val="en-US" w:eastAsia="zh-CN"/>
        </w:rPr>
        <w:t>4.乙方须确保委派至本项目的核心负责人或核心工程师，不得同时参与本地其他重大数字基础设施或关键信息化项目。</w:t>
      </w:r>
    </w:p>
    <w:p w14:paraId="317464EC">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lang w:val="en-US" w:eastAsia="zh-CN"/>
        </w:rPr>
        <w:t>5.</w:t>
      </w:r>
      <w:r>
        <w:rPr>
          <w:rFonts w:hint="eastAsia" w:ascii="宋体" w:hAnsi="宋体" w:cs="宋体"/>
          <w:color w:val="000000"/>
          <w:szCs w:val="21"/>
          <w:highlight w:val="none"/>
        </w:rPr>
        <w:t>乙方提供不符合响应文件和本合同规定的服务成果，甲方有权拒绝接受。</w:t>
      </w:r>
    </w:p>
    <w:p w14:paraId="69D5445F">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olor w:val="000000"/>
          <w:szCs w:val="21"/>
          <w:highlight w:val="none"/>
        </w:rPr>
      </w:pPr>
      <w:r>
        <w:rPr>
          <w:rFonts w:hint="eastAsia" w:ascii="宋体" w:hAnsi="宋体"/>
          <w:color w:val="000000"/>
          <w:szCs w:val="21"/>
          <w:highlight w:val="none"/>
          <w:lang w:val="en-US" w:eastAsia="zh-CN"/>
        </w:rPr>
        <w:t>6.</w:t>
      </w:r>
      <w:r>
        <w:rPr>
          <w:rFonts w:hint="eastAsia" w:ascii="宋体" w:hAnsi="宋体"/>
          <w:color w:val="000000"/>
          <w:szCs w:val="21"/>
          <w:highlight w:val="none"/>
        </w:rPr>
        <w:t>乙方完成服务后应及时书面通知甲方进行验收，甲方应在收到通知后</w:t>
      </w:r>
      <w:r>
        <w:rPr>
          <w:rFonts w:hint="eastAsia" w:ascii="宋体" w:hAnsi="宋体"/>
          <w:color w:val="000000"/>
          <w:szCs w:val="21"/>
          <w:highlight w:val="none"/>
          <w:lang w:eastAsia="zh-CN"/>
        </w:rPr>
        <w:t>五</w:t>
      </w:r>
      <w:r>
        <w:rPr>
          <w:rFonts w:hint="eastAsia" w:ascii="宋体" w:hAnsi="宋体"/>
          <w:color w:val="000000"/>
          <w:szCs w:val="21"/>
          <w:highlight w:val="none"/>
        </w:rPr>
        <w:t>个工作日内进行验收，逾期不开始验收的，乙方可视同验收合格。验收合格后由甲乙双方签署验收单并加盖</w:t>
      </w:r>
      <w:r>
        <w:rPr>
          <w:rFonts w:hint="eastAsia" w:ascii="宋体" w:hAnsi="宋体"/>
          <w:color w:val="000000"/>
          <w:szCs w:val="21"/>
          <w:highlight w:val="none"/>
          <w:lang w:eastAsia="zh-CN"/>
        </w:rPr>
        <w:t>甲方</w:t>
      </w:r>
      <w:r>
        <w:rPr>
          <w:rFonts w:hint="eastAsia" w:ascii="宋体" w:hAnsi="宋体"/>
          <w:color w:val="000000"/>
          <w:szCs w:val="21"/>
          <w:highlight w:val="none"/>
        </w:rPr>
        <w:t>公章，甲乙双方各执一份。</w:t>
      </w:r>
    </w:p>
    <w:p w14:paraId="0F84921D">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olor w:val="000000"/>
          <w:szCs w:val="21"/>
          <w:highlight w:val="none"/>
        </w:rPr>
      </w:pPr>
      <w:r>
        <w:rPr>
          <w:rFonts w:hint="eastAsia" w:ascii="宋体" w:hAnsi="宋体" w:cs="宋体"/>
          <w:color w:val="000000"/>
          <w:szCs w:val="21"/>
          <w:highlight w:val="none"/>
          <w:lang w:val="en-US" w:eastAsia="zh-CN"/>
        </w:rPr>
        <w:t>7.</w:t>
      </w:r>
      <w:r>
        <w:rPr>
          <w:rFonts w:hint="eastAsia" w:ascii="宋体" w:hAnsi="宋体" w:cs="宋体"/>
          <w:color w:val="000000"/>
          <w:szCs w:val="21"/>
          <w:highlight w:val="none"/>
        </w:rPr>
        <w:t>甲乙双方应按照《</w:t>
      </w:r>
      <w:r>
        <w:rPr>
          <w:rFonts w:ascii="宋体" w:hAnsi="宋体" w:cs="宋体"/>
          <w:color w:val="000000"/>
          <w:szCs w:val="21"/>
          <w:highlight w:val="none"/>
        </w:rPr>
        <w:t>广西壮族自治区政府采购项目履约验收管理办法</w:t>
      </w:r>
      <w:r>
        <w:rPr>
          <w:rFonts w:hint="eastAsia" w:ascii="宋体" w:hAnsi="宋体" w:cs="宋体"/>
          <w:color w:val="000000"/>
          <w:szCs w:val="21"/>
          <w:highlight w:val="none"/>
        </w:rPr>
        <w:t>》、双方合同、响应文件验收。</w:t>
      </w:r>
    </w:p>
    <w:p w14:paraId="789A298E">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lang w:val="en-US" w:eastAsia="zh-CN"/>
        </w:rPr>
        <w:t>8.</w:t>
      </w:r>
      <w:r>
        <w:rPr>
          <w:rFonts w:hint="eastAsia" w:ascii="宋体" w:hAnsi="宋体" w:cs="宋体"/>
          <w:color w:val="000000"/>
          <w:szCs w:val="21"/>
          <w:highlight w:val="none"/>
        </w:rPr>
        <w:t>甲方在初步验收或者最终验收过程中如发现乙方提供的服务成果不满足响应文件及本合同规定的，可暂缓向乙方付款，直到乙方及时完善并提交相应的服务成果且经甲方验收合格后，方可办理付款。</w:t>
      </w:r>
    </w:p>
    <w:p w14:paraId="7F3E9DFC">
      <w:pPr>
        <w:spacing w:line="360" w:lineRule="exact"/>
        <w:ind w:firstLine="420"/>
        <w:jc w:val="left"/>
        <w:rPr>
          <w:rFonts w:hint="eastAsia" w:ascii="宋体" w:hAnsi="宋体" w:cs="宋体" w:eastAsiaTheme="minorEastAsia"/>
          <w:color w:val="000000"/>
          <w:szCs w:val="21"/>
          <w:highlight w:val="none"/>
          <w:lang w:val="en-US" w:eastAsia="zh-CN"/>
        </w:rPr>
      </w:pPr>
      <w:r>
        <w:rPr>
          <w:rFonts w:hint="eastAsia" w:ascii="宋体" w:hAnsi="宋体" w:cs="宋体"/>
          <w:color w:val="000000"/>
          <w:szCs w:val="21"/>
          <w:highlight w:val="none"/>
          <w:lang w:val="en-US" w:eastAsia="zh-CN"/>
        </w:rPr>
        <w:t>9.乙方在</w:t>
      </w:r>
      <w:r>
        <w:rPr>
          <w:rFonts w:hint="eastAsia" w:ascii="宋体" w:hAnsi="宋体" w:cs="宋体"/>
          <w:color w:val="000000"/>
          <w:szCs w:val="21"/>
          <w:highlight w:val="none"/>
        </w:rPr>
        <w:t>初步验收或者最终验收过程中</w:t>
      </w:r>
      <w:r>
        <w:rPr>
          <w:rFonts w:hint="eastAsia" w:ascii="宋体" w:hAnsi="宋体" w:cs="宋体"/>
          <w:color w:val="000000"/>
          <w:szCs w:val="21"/>
          <w:highlight w:val="none"/>
          <w:lang w:eastAsia="zh-CN"/>
        </w:rPr>
        <w:t>，均须按采购需求内容和《广西政务信息化项目建设管理办法》桂数发〔</w:t>
      </w:r>
      <w:r>
        <w:rPr>
          <w:rFonts w:hint="eastAsia" w:ascii="宋体" w:hAnsi="宋体" w:cs="宋体"/>
          <w:color w:val="000000"/>
          <w:szCs w:val="21"/>
          <w:highlight w:val="none"/>
          <w:lang w:val="en-US" w:eastAsia="zh-CN"/>
        </w:rPr>
        <w:t>2024</w:t>
      </w:r>
      <w:r>
        <w:rPr>
          <w:rFonts w:hint="eastAsia" w:ascii="宋体" w:hAnsi="宋体" w:cs="宋体"/>
          <w:color w:val="000000"/>
          <w:szCs w:val="21"/>
          <w:highlight w:val="none"/>
          <w:lang w:eastAsia="zh-CN"/>
        </w:rPr>
        <w:t>〕</w:t>
      </w:r>
      <w:r>
        <w:rPr>
          <w:rFonts w:hint="eastAsia" w:ascii="宋体" w:hAnsi="宋体" w:cs="宋体"/>
          <w:color w:val="000000"/>
          <w:szCs w:val="21"/>
          <w:highlight w:val="none"/>
          <w:lang w:val="en-US" w:eastAsia="zh-CN"/>
        </w:rPr>
        <w:t>34号的规定，以及</w:t>
      </w:r>
      <w:r>
        <w:rPr>
          <w:rFonts w:hint="eastAsia" w:ascii="宋体" w:hAnsi="宋体" w:cs="宋体"/>
          <w:color w:val="000000"/>
          <w:szCs w:val="21"/>
          <w:highlight w:val="none"/>
          <w:lang w:eastAsia="zh-CN"/>
        </w:rPr>
        <w:t>完整的验收材料标准提供相应验收材料。</w:t>
      </w:r>
    </w:p>
    <w:p w14:paraId="09D4A4ED">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lang w:val="en-US" w:eastAsia="zh-CN"/>
        </w:rPr>
        <w:t>10.</w:t>
      </w:r>
      <w:r>
        <w:rPr>
          <w:rFonts w:hint="eastAsia" w:ascii="宋体" w:hAnsi="宋体" w:cs="宋体"/>
          <w:color w:val="000000"/>
          <w:szCs w:val="21"/>
          <w:highlight w:val="none"/>
        </w:rPr>
        <w:t>甲方验收时以书面形式提出异议的，乙方应自收到甲方书面异议后五个工作日内及时予以解决，否则甲方有权不出具服务验收合格单。</w:t>
      </w:r>
    </w:p>
    <w:p w14:paraId="60019B1C">
      <w:pPr>
        <w:numPr>
          <w:ilvl w:val="-1"/>
          <w:numId w:val="0"/>
        </w:numPr>
        <w:spacing w:line="360" w:lineRule="exact"/>
        <w:ind w:firstLine="420" w:firstLineChars="200"/>
        <w:rPr>
          <w:rFonts w:hint="eastAsia"/>
          <w:b w:val="0"/>
          <w:bCs w:val="0"/>
          <w:highlight w:val="none"/>
        </w:rPr>
      </w:pPr>
      <w:r>
        <w:rPr>
          <w:rFonts w:hint="eastAsia" w:ascii="宋体" w:hAnsi="宋体" w:eastAsia="宋体" w:cs="宋体"/>
          <w:color w:val="auto"/>
          <w:sz w:val="21"/>
          <w:highlight w:val="none"/>
          <w:lang w:val="en-US" w:eastAsia="zh-CN"/>
        </w:rPr>
        <w:t>11.</w:t>
      </w:r>
      <w:r>
        <w:rPr>
          <w:rFonts w:hint="eastAsia" w:ascii="宋体" w:hAnsi="宋体" w:eastAsia="宋体" w:cs="宋体"/>
          <w:color w:val="auto"/>
          <w:sz w:val="21"/>
          <w:highlight w:val="none"/>
        </w:rPr>
        <w:t>验收不合格的，</w:t>
      </w:r>
      <w:r>
        <w:rPr>
          <w:rFonts w:hint="eastAsia" w:ascii="宋体" w:hAnsi="宋体" w:eastAsia="宋体" w:cs="宋体"/>
          <w:color w:val="auto"/>
          <w:sz w:val="21"/>
          <w:highlight w:val="none"/>
          <w:lang w:eastAsia="zh-CN"/>
        </w:rPr>
        <w:t>甲方</w:t>
      </w:r>
      <w:r>
        <w:rPr>
          <w:rFonts w:hint="eastAsia" w:ascii="宋体" w:hAnsi="宋体" w:eastAsia="宋体" w:cs="宋体"/>
          <w:color w:val="auto"/>
          <w:sz w:val="21"/>
          <w:highlight w:val="none"/>
        </w:rPr>
        <w:t>以书面形式通知</w:t>
      </w:r>
      <w:r>
        <w:rPr>
          <w:rFonts w:hint="eastAsia" w:ascii="宋体" w:hAnsi="宋体" w:eastAsia="宋体" w:cs="宋体"/>
          <w:color w:val="auto"/>
          <w:sz w:val="21"/>
          <w:highlight w:val="none"/>
          <w:lang w:eastAsia="zh-CN"/>
        </w:rPr>
        <w:t>乙方</w:t>
      </w:r>
      <w:r>
        <w:rPr>
          <w:rFonts w:hint="eastAsia" w:ascii="宋体" w:hAnsi="宋体" w:eastAsia="宋体" w:cs="宋体"/>
          <w:color w:val="auto"/>
          <w:sz w:val="21"/>
          <w:highlight w:val="none"/>
        </w:rPr>
        <w:t>，限期整改</w:t>
      </w:r>
      <w:r>
        <w:rPr>
          <w:rFonts w:hint="eastAsia" w:ascii="宋体" w:hAnsi="宋体" w:eastAsia="宋体" w:cs="宋体"/>
          <w:color w:val="auto"/>
          <w:sz w:val="21"/>
          <w:highlight w:val="none"/>
          <w:lang w:eastAsia="zh-CN"/>
        </w:rPr>
        <w:t>。</w:t>
      </w:r>
      <w:r>
        <w:rPr>
          <w:rFonts w:hint="eastAsia" w:ascii="宋体" w:hAnsi="宋体" w:eastAsia="宋体" w:cs="宋体"/>
          <w:color w:val="auto"/>
          <w:sz w:val="21"/>
          <w:szCs w:val="24"/>
          <w:highlight w:val="none"/>
          <w:lang w:eastAsia="zh-CN"/>
        </w:rPr>
        <w:t>乙方</w:t>
      </w:r>
      <w:r>
        <w:rPr>
          <w:rFonts w:hint="eastAsia" w:ascii="宋体" w:hAnsi="宋体" w:eastAsia="宋体" w:cs="宋体"/>
          <w:color w:val="auto"/>
          <w:sz w:val="21"/>
          <w:szCs w:val="24"/>
          <w:highlight w:val="none"/>
        </w:rPr>
        <w:t>须按期完成整改，整改期间产生的各项成本、工期延误损失均由</w:t>
      </w:r>
      <w:r>
        <w:rPr>
          <w:rFonts w:hint="eastAsia" w:ascii="宋体" w:hAnsi="宋体" w:eastAsia="宋体" w:cs="宋体"/>
          <w:color w:val="auto"/>
          <w:sz w:val="21"/>
          <w:szCs w:val="24"/>
          <w:highlight w:val="none"/>
          <w:lang w:eastAsia="zh-CN"/>
        </w:rPr>
        <w:t>乙方</w:t>
      </w:r>
      <w:r>
        <w:rPr>
          <w:rFonts w:hint="eastAsia" w:ascii="宋体" w:hAnsi="宋体" w:eastAsia="宋体" w:cs="宋体"/>
          <w:color w:val="auto"/>
          <w:sz w:val="21"/>
          <w:szCs w:val="24"/>
          <w:highlight w:val="none"/>
        </w:rPr>
        <w:t>自行承担；</w:t>
      </w:r>
      <w:r>
        <w:rPr>
          <w:rFonts w:hint="eastAsia" w:ascii="宋体" w:hAnsi="宋体" w:eastAsia="宋体" w:cs="宋体"/>
          <w:color w:val="auto"/>
          <w:highlight w:val="none"/>
        </w:rPr>
        <w:t>若逾期未整改或整改后仍达不到验收标准，</w:t>
      </w:r>
      <w:r>
        <w:rPr>
          <w:rFonts w:hint="eastAsia" w:ascii="宋体" w:hAnsi="宋体" w:eastAsia="宋体" w:cs="宋体"/>
          <w:color w:val="auto"/>
          <w:highlight w:val="none"/>
          <w:lang w:eastAsia="zh-CN"/>
        </w:rPr>
        <w:t>甲方</w:t>
      </w:r>
      <w:r>
        <w:rPr>
          <w:rFonts w:hint="eastAsia" w:ascii="宋体" w:hAnsi="宋体" w:eastAsia="宋体" w:cs="宋体"/>
          <w:color w:val="auto"/>
          <w:highlight w:val="none"/>
        </w:rPr>
        <w:t>有权追究违约赔偿、扣除履约保证金</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并</w:t>
      </w:r>
      <w:r>
        <w:rPr>
          <w:rFonts w:hint="eastAsia" w:ascii="宋体" w:hAnsi="宋体" w:eastAsia="宋体" w:cs="宋体"/>
          <w:color w:val="auto"/>
          <w:highlight w:val="none"/>
        </w:rPr>
        <w:t>依据合同约定及相关法律法规，另行追究</w:t>
      </w:r>
      <w:r>
        <w:rPr>
          <w:rFonts w:hint="eastAsia" w:ascii="宋体" w:hAnsi="宋体" w:eastAsia="宋体" w:cs="宋体"/>
          <w:color w:val="auto"/>
          <w:highlight w:val="none"/>
          <w:lang w:val="en-US" w:eastAsia="zh-CN"/>
        </w:rPr>
        <w:t>乙方</w:t>
      </w:r>
      <w:r>
        <w:rPr>
          <w:rFonts w:hint="eastAsia" w:ascii="宋体" w:hAnsi="宋体" w:eastAsia="宋体" w:cs="宋体"/>
          <w:color w:val="auto"/>
          <w:highlight w:val="none"/>
        </w:rPr>
        <w:t>违约责任，由此造成的全部损失由</w:t>
      </w:r>
      <w:r>
        <w:rPr>
          <w:rFonts w:hint="eastAsia" w:ascii="宋体" w:hAnsi="宋体" w:eastAsia="宋体" w:cs="宋体"/>
          <w:color w:val="auto"/>
          <w:highlight w:val="none"/>
          <w:lang w:val="en-US" w:eastAsia="zh-CN"/>
        </w:rPr>
        <w:t>乙方</w:t>
      </w:r>
      <w:r>
        <w:rPr>
          <w:rFonts w:hint="eastAsia" w:ascii="宋体" w:hAnsi="宋体" w:eastAsia="宋体" w:cs="宋体"/>
          <w:color w:val="auto"/>
          <w:highlight w:val="none"/>
        </w:rPr>
        <w:t>自行承担。</w:t>
      </w:r>
    </w:p>
    <w:p w14:paraId="42CD3189">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jc w:val="left"/>
        <w:textAlignment w:val="auto"/>
        <w:rPr>
          <w:rFonts w:hint="eastAsia" w:ascii="宋体" w:hAnsi="宋体" w:cs="宋体"/>
          <w:b/>
          <w:color w:val="000000"/>
          <w:szCs w:val="21"/>
          <w:highlight w:val="none"/>
        </w:rPr>
      </w:pPr>
      <w:r>
        <w:rPr>
          <w:rFonts w:hint="eastAsia" w:ascii="宋体" w:hAnsi="宋体" w:cs="宋体"/>
          <w:b/>
          <w:color w:val="000000"/>
          <w:szCs w:val="21"/>
          <w:highlight w:val="none"/>
        </w:rPr>
        <w:t>第五条  售后服务及培训</w:t>
      </w:r>
    </w:p>
    <w:p w14:paraId="5485972E">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1</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rPr>
        <w:t>乙方应按照国家有关法律法规和本合同所附的《售后服务承诺》要求为甲方提供相应的售后服务。</w:t>
      </w:r>
    </w:p>
    <w:p w14:paraId="263B207E">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2</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rPr>
        <w:t>甲方应提供必要测试条件（如场地、电源、水源等）。</w:t>
      </w:r>
    </w:p>
    <w:p w14:paraId="67C6F3CD">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3</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rPr>
        <w:t>乙方负责甲方有关人员的培训。培训时间、地点：</w:t>
      </w:r>
      <w:r>
        <w:rPr>
          <w:rFonts w:hint="eastAsia" w:ascii="宋体" w:hAnsi="宋体" w:cs="宋体"/>
          <w:color w:val="000000"/>
          <w:szCs w:val="21"/>
          <w:highlight w:val="none"/>
          <w:u w:val="single"/>
        </w:rPr>
        <w:t xml:space="preserve"> </w:t>
      </w:r>
      <w:r>
        <w:rPr>
          <w:rFonts w:ascii="宋体" w:hAnsi="宋体" w:cs="宋体"/>
          <w:color w:val="000000"/>
          <w:szCs w:val="21"/>
          <w:highlight w:val="none"/>
          <w:u w:val="single"/>
        </w:rPr>
        <w:t xml:space="preserve">                   </w:t>
      </w:r>
      <w:r>
        <w:rPr>
          <w:rFonts w:hint="eastAsia" w:ascii="宋体" w:hAnsi="宋体" w:cs="宋体"/>
          <w:color w:val="000000"/>
          <w:szCs w:val="21"/>
          <w:highlight w:val="none"/>
        </w:rPr>
        <w:t>。</w:t>
      </w:r>
    </w:p>
    <w:p w14:paraId="0610816B">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jc w:val="left"/>
        <w:textAlignment w:val="auto"/>
        <w:rPr>
          <w:rFonts w:hint="eastAsia" w:ascii="宋体" w:hAnsi="宋体" w:eastAsia="宋体" w:cs="宋体"/>
          <w:b w:val="0"/>
          <w:bCs w:val="0"/>
          <w:strike/>
          <w:color w:val="000000"/>
          <w:sz w:val="21"/>
          <w:szCs w:val="21"/>
          <w:highlight w:val="none"/>
        </w:rPr>
      </w:pPr>
      <w:r>
        <w:rPr>
          <w:rFonts w:hint="eastAsia" w:ascii="宋体" w:hAnsi="宋体" w:cs="宋体"/>
          <w:b/>
          <w:color w:val="000000"/>
          <w:szCs w:val="21"/>
          <w:highlight w:val="none"/>
        </w:rPr>
        <w:t>第六条　付款方式</w:t>
      </w:r>
      <w:r>
        <w:rPr>
          <w:rFonts w:hint="eastAsia"/>
          <w:color w:val="000000"/>
          <w:lang w:eastAsia="zh-CN"/>
        </w:rPr>
        <w:t>：</w:t>
      </w:r>
      <w:r>
        <w:rPr>
          <w:rFonts w:hint="eastAsia" w:ascii="宋体" w:hAnsi="宋体" w:cs="宋体"/>
          <w:color w:val="000000"/>
          <w:szCs w:val="21"/>
          <w:highlight w:val="none"/>
          <w:lang w:eastAsia="zh-CN"/>
        </w:rPr>
        <w:t>本项目服务期2年，签订2年期服务采购合同，具体服务采购合同按政府采购相关管理文件要求签订,该项目由市本级统一采购。签订合同后支付30%预付款；完成相应迁移工作且通过初验后支付50%；于项目服务期届满前完成服务考评，且在服务期结束后项目通过终验的，支付剩余20%款项。以上款项由市本级和各县（市、区）使用单位根据云资源实际使用情况及考核自行支付费用，不由市本级统一支付费用。</w:t>
      </w:r>
    </w:p>
    <w:p w14:paraId="1B5F1A10">
      <w:pPr>
        <w:snapToGrid w:val="0"/>
        <w:spacing w:line="360" w:lineRule="exact"/>
        <w:ind w:firstLine="420" w:firstLineChars="200"/>
        <w:rPr>
          <w:rFonts w:hint="eastAsia"/>
          <w:highlight w:val="none"/>
          <w:lang w:val="en-US" w:eastAsia="zh-CN"/>
        </w:rPr>
      </w:pPr>
      <w:r>
        <w:rPr>
          <w:rFonts w:hint="eastAsia" w:ascii="宋体" w:hAnsi="宋体" w:eastAsia="宋体" w:cs="宋体"/>
          <w:color w:val="auto"/>
          <w:sz w:val="21"/>
          <w:highlight w:val="none"/>
          <w:lang w:val="zh-CN"/>
        </w:rPr>
        <w:t>以上所有付款甲方在收到乙方出具的有效发票后</w:t>
      </w:r>
      <w:r>
        <w:rPr>
          <w:rFonts w:hint="eastAsia" w:ascii="宋体" w:hAnsi="宋体" w:eastAsia="宋体" w:cs="宋体"/>
          <w:color w:val="auto"/>
          <w:sz w:val="21"/>
          <w:highlight w:val="none"/>
          <w:lang w:val="en-US" w:eastAsia="zh-CN"/>
        </w:rPr>
        <w:t>15</w:t>
      </w:r>
      <w:r>
        <w:rPr>
          <w:rFonts w:hint="eastAsia" w:ascii="宋体" w:hAnsi="宋体" w:eastAsia="宋体" w:cs="宋体"/>
          <w:color w:val="auto"/>
          <w:sz w:val="21"/>
          <w:highlight w:val="none"/>
          <w:lang w:val="zh-CN"/>
        </w:rPr>
        <w:t>个工作日内付款。</w:t>
      </w:r>
    </w:p>
    <w:p w14:paraId="4095997C">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default" w:ascii="宋体" w:hAnsi="宋体" w:eastAsia="宋体" w:cs="宋体"/>
          <w:color w:val="000000"/>
          <w:szCs w:val="21"/>
          <w:highlight w:val="none"/>
          <w:lang w:val="en-US"/>
        </w:rPr>
      </w:pPr>
      <w:r>
        <w:rPr>
          <w:rFonts w:hint="eastAsia" w:ascii="宋体" w:hAnsi="宋体" w:eastAsia="宋体" w:cs="宋体"/>
          <w:color w:val="000000"/>
          <w:szCs w:val="21"/>
          <w:highlight w:val="none"/>
          <w:lang w:val="en-US" w:eastAsia="zh-CN"/>
        </w:rPr>
        <w:t>乙方</w:t>
      </w:r>
      <w:r>
        <w:rPr>
          <w:rFonts w:hint="default" w:ascii="宋体" w:hAnsi="宋体" w:eastAsia="宋体" w:cs="宋体"/>
          <w:color w:val="000000"/>
          <w:szCs w:val="21"/>
          <w:highlight w:val="none"/>
          <w:lang w:val="en-US"/>
        </w:rPr>
        <w:t>开户名称：</w:t>
      </w:r>
    </w:p>
    <w:p w14:paraId="4EAAD899">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default" w:ascii="宋体" w:hAnsi="宋体" w:eastAsia="宋体" w:cs="宋体"/>
          <w:color w:val="000000"/>
          <w:szCs w:val="21"/>
          <w:highlight w:val="none"/>
          <w:lang w:val="en-US"/>
        </w:rPr>
      </w:pPr>
      <w:r>
        <w:rPr>
          <w:rFonts w:hint="eastAsia" w:ascii="宋体" w:hAnsi="宋体" w:eastAsia="宋体" w:cs="宋体"/>
          <w:color w:val="000000"/>
          <w:szCs w:val="21"/>
          <w:highlight w:val="none"/>
          <w:lang w:val="en-US" w:eastAsia="zh-CN"/>
        </w:rPr>
        <w:t>乙方</w:t>
      </w:r>
      <w:r>
        <w:rPr>
          <w:rFonts w:hint="default" w:ascii="宋体" w:hAnsi="宋体" w:eastAsia="宋体" w:cs="宋体"/>
          <w:color w:val="000000"/>
          <w:szCs w:val="21"/>
          <w:highlight w:val="none"/>
          <w:lang w:val="en-US"/>
        </w:rPr>
        <w:t>开户银行：</w:t>
      </w:r>
    </w:p>
    <w:p w14:paraId="0807B72C">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default" w:ascii="宋体" w:hAnsi="宋体" w:eastAsia="宋体" w:cs="宋体"/>
          <w:color w:val="000000"/>
          <w:szCs w:val="21"/>
          <w:highlight w:val="none"/>
          <w:lang w:val="en-US"/>
        </w:rPr>
      </w:pPr>
      <w:r>
        <w:rPr>
          <w:rFonts w:hint="eastAsia" w:ascii="宋体" w:hAnsi="宋体" w:eastAsia="宋体" w:cs="宋体"/>
          <w:color w:val="000000"/>
          <w:szCs w:val="21"/>
          <w:highlight w:val="none"/>
          <w:lang w:val="en-US" w:eastAsia="zh-CN"/>
        </w:rPr>
        <w:t>乙方</w:t>
      </w:r>
      <w:r>
        <w:rPr>
          <w:rFonts w:hint="default" w:ascii="宋体" w:hAnsi="宋体" w:eastAsia="宋体" w:cs="宋体"/>
          <w:color w:val="000000"/>
          <w:szCs w:val="21"/>
          <w:highlight w:val="none"/>
          <w:lang w:val="en-US" w:eastAsia="zh-CN"/>
        </w:rPr>
        <w:t>账</w:t>
      </w:r>
      <w:r>
        <w:rPr>
          <w:rFonts w:hint="default" w:ascii="宋体" w:hAnsi="宋体" w:eastAsia="宋体" w:cs="宋体"/>
          <w:color w:val="000000"/>
          <w:szCs w:val="21"/>
          <w:highlight w:val="none"/>
          <w:lang w:val="en-US"/>
        </w:rPr>
        <w:t>号：</w:t>
      </w:r>
    </w:p>
    <w:p w14:paraId="52061F75">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jc w:val="left"/>
        <w:textAlignment w:val="auto"/>
        <w:rPr>
          <w:rFonts w:hint="eastAsia" w:ascii="宋体" w:hAnsi="宋体" w:cs="宋体"/>
          <w:b/>
          <w:color w:val="000000"/>
          <w:szCs w:val="21"/>
          <w:highlight w:val="none"/>
        </w:rPr>
      </w:pPr>
      <w:r>
        <w:rPr>
          <w:rFonts w:hint="eastAsia" w:ascii="宋体" w:hAnsi="宋体" w:cs="宋体"/>
          <w:b/>
          <w:color w:val="000000"/>
          <w:szCs w:val="21"/>
          <w:highlight w:val="none"/>
        </w:rPr>
        <w:t>第七条　履约保证金</w:t>
      </w:r>
    </w:p>
    <w:p w14:paraId="25202A2F">
      <w:pPr>
        <w:keepNext w:val="0"/>
        <w:keepLines w:val="0"/>
        <w:pageBreakBefore w:val="0"/>
        <w:widowControl w:val="0"/>
        <w:kinsoku/>
        <w:wordWrap/>
        <w:overflowPunct/>
        <w:topLinePunct w:val="0"/>
        <w:autoSpaceDE/>
        <w:autoSpaceDN/>
        <w:bidi w:val="0"/>
        <w:adjustRightInd/>
        <w:spacing w:line="360" w:lineRule="exact"/>
        <w:ind w:firstLine="422" w:firstLineChars="200"/>
        <w:jc w:val="left"/>
        <w:textAlignment w:val="auto"/>
        <w:rPr>
          <w:rFonts w:hint="default" w:eastAsia="宋体"/>
          <w:color w:val="000000"/>
          <w:highlight w:val="none"/>
          <w:lang w:val="en-US" w:eastAsia="zh-CN"/>
        </w:rPr>
      </w:pPr>
      <w:r>
        <w:rPr>
          <w:rFonts w:hint="eastAsia" w:ascii="宋体" w:hAnsi="宋体" w:cs="宋体"/>
          <w:b/>
          <w:bCs/>
          <w:color w:val="000000"/>
          <w:szCs w:val="21"/>
          <w:highlight w:val="none"/>
          <w:lang w:eastAsia="zh-CN"/>
        </w:rPr>
        <w:t>本项目</w:t>
      </w:r>
      <w:r>
        <w:rPr>
          <w:rFonts w:hint="eastAsia" w:ascii="宋体" w:hAnsi="宋体" w:cs="宋体"/>
          <w:b/>
          <w:bCs/>
          <w:color w:val="000000"/>
          <w:szCs w:val="21"/>
          <w:highlight w:val="none"/>
          <w:lang w:val="en-US" w:eastAsia="zh-CN"/>
        </w:rPr>
        <w:t xml:space="preserve">  </w:t>
      </w:r>
      <w:r>
        <w:rPr>
          <w:rFonts w:hint="eastAsia" w:ascii="宋体" w:hAnsi="宋体" w:cs="宋体"/>
          <w:b/>
          <w:bCs/>
          <w:color w:val="000000"/>
          <w:szCs w:val="21"/>
          <w:highlight w:val="none"/>
          <w:lang w:eastAsia="zh-CN"/>
        </w:rPr>
        <w:t>需要缴</w:t>
      </w:r>
      <w:r>
        <w:rPr>
          <w:rFonts w:hint="eastAsia" w:ascii="宋体" w:hAnsi="宋体" w:cs="宋体"/>
          <w:b/>
          <w:bCs/>
          <w:color w:val="000000"/>
          <w:kern w:val="0"/>
          <w:szCs w:val="21"/>
          <w:highlight w:val="none"/>
        </w:rPr>
        <w:t>纳</w:t>
      </w:r>
      <w:r>
        <w:rPr>
          <w:rFonts w:hint="eastAsia" w:ascii="宋体" w:hAnsi="宋体" w:cs="宋体"/>
          <w:b/>
          <w:bCs/>
          <w:color w:val="000000"/>
          <w:szCs w:val="21"/>
          <w:highlight w:val="none"/>
        </w:rPr>
        <w:t>履约</w:t>
      </w:r>
      <w:r>
        <w:rPr>
          <w:rFonts w:hint="eastAsia" w:ascii="宋体" w:hAnsi="宋体" w:cs="宋体"/>
          <w:b/>
          <w:bCs/>
          <w:color w:val="000000"/>
          <w:szCs w:val="21"/>
          <w:highlight w:val="none"/>
          <w:lang w:eastAsia="zh-CN"/>
        </w:rPr>
        <w:t>保证金。</w:t>
      </w:r>
    </w:p>
    <w:p w14:paraId="6EE7E923">
      <w:pPr>
        <w:keepNext w:val="0"/>
        <w:keepLines w:val="0"/>
        <w:pageBreakBefore w:val="0"/>
        <w:widowControl w:val="0"/>
        <w:kinsoku/>
        <w:wordWrap/>
        <w:overflowPunct/>
        <w:topLinePunct w:val="0"/>
        <w:autoSpaceDE/>
        <w:autoSpaceDN/>
        <w:bidi w:val="0"/>
        <w:adjustRightInd/>
        <w:spacing w:line="360" w:lineRule="exact"/>
        <w:ind w:firstLine="422" w:firstLineChars="200"/>
        <w:jc w:val="left"/>
        <w:textAlignment w:val="auto"/>
        <w:rPr>
          <w:rFonts w:hint="eastAsia" w:ascii="宋体" w:hAnsi="宋体" w:cs="宋体"/>
          <w:b/>
          <w:color w:val="000000"/>
          <w:szCs w:val="21"/>
          <w:highlight w:val="none"/>
        </w:rPr>
      </w:pPr>
      <w:r>
        <w:rPr>
          <w:rFonts w:hint="eastAsia" w:ascii="宋体" w:hAnsi="宋体" w:cs="宋体"/>
          <w:b/>
          <w:color w:val="000000"/>
          <w:szCs w:val="21"/>
          <w:highlight w:val="none"/>
        </w:rPr>
        <w:t>第八条  税费</w:t>
      </w:r>
    </w:p>
    <w:p w14:paraId="69FF4062">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本合同执行中相关的一切税费均由乙方负担，合同另有约定的除外。</w:t>
      </w:r>
    </w:p>
    <w:p w14:paraId="65FB4877">
      <w:pPr>
        <w:keepNext w:val="0"/>
        <w:keepLines w:val="0"/>
        <w:pageBreakBefore w:val="0"/>
        <w:widowControl w:val="0"/>
        <w:kinsoku/>
        <w:wordWrap/>
        <w:overflowPunct/>
        <w:topLinePunct w:val="0"/>
        <w:autoSpaceDE/>
        <w:autoSpaceDN/>
        <w:bidi w:val="0"/>
        <w:adjustRightInd/>
        <w:spacing w:line="360" w:lineRule="exact"/>
        <w:ind w:firstLine="422" w:firstLineChars="200"/>
        <w:jc w:val="left"/>
        <w:textAlignment w:val="auto"/>
        <w:rPr>
          <w:rFonts w:hint="eastAsia" w:ascii="宋体" w:hAnsi="宋体" w:cs="宋体"/>
          <w:b/>
          <w:color w:val="000000"/>
          <w:szCs w:val="21"/>
          <w:highlight w:val="none"/>
        </w:rPr>
      </w:pPr>
      <w:r>
        <w:rPr>
          <w:rFonts w:hint="eastAsia" w:ascii="宋体" w:hAnsi="宋体" w:cs="宋体"/>
          <w:b/>
          <w:color w:val="000000"/>
          <w:szCs w:val="21"/>
          <w:highlight w:val="none"/>
        </w:rPr>
        <w:t>第九条　违约责任</w:t>
      </w:r>
    </w:p>
    <w:p w14:paraId="1E7DA51D">
      <w:pPr>
        <w:pStyle w:val="12"/>
        <w:spacing w:before="0" w:after="0" w:line="360" w:lineRule="exact"/>
        <w:jc w:val="both"/>
        <w:rPr>
          <w:rFonts w:hint="eastAsia" w:ascii="宋体" w:hAnsi="宋体" w:eastAsiaTheme="minorEastAsia" w:cstheme="minorBidi"/>
          <w:b w:val="0"/>
          <w:bCs w:val="0"/>
          <w:color w:val="000000"/>
          <w:sz w:val="21"/>
          <w:szCs w:val="21"/>
          <w:highlight w:val="none"/>
          <w:lang w:eastAsia="zh-CN"/>
        </w:rPr>
      </w:pPr>
      <w:r>
        <w:rPr>
          <w:rFonts w:hint="eastAsia" w:ascii="宋体" w:hAnsi="宋体" w:eastAsiaTheme="minorEastAsia" w:cstheme="minorBidi"/>
          <w:b w:val="0"/>
          <w:bCs w:val="0"/>
          <w:color w:val="000000"/>
          <w:sz w:val="21"/>
          <w:szCs w:val="21"/>
          <w:highlight w:val="none"/>
          <w:lang w:val="en-US" w:eastAsia="zh-CN"/>
        </w:rPr>
        <w:t>1.</w:t>
      </w:r>
      <w:r>
        <w:rPr>
          <w:rFonts w:hint="eastAsia" w:ascii="宋体" w:hAnsi="宋体" w:eastAsiaTheme="minorEastAsia" w:cstheme="minorBidi"/>
          <w:b w:val="0"/>
          <w:bCs w:val="0"/>
          <w:color w:val="000000"/>
          <w:sz w:val="21"/>
          <w:szCs w:val="21"/>
          <w:highlight w:val="none"/>
          <w:lang w:eastAsia="zh-CN"/>
        </w:rPr>
        <w:t>乙方应按照</w:t>
      </w:r>
      <w:r>
        <w:rPr>
          <w:rFonts w:hint="eastAsia" w:ascii="宋体" w:hAnsi="宋体" w:eastAsiaTheme="minorEastAsia" w:cstheme="minorBidi"/>
          <w:b w:val="0"/>
          <w:bCs w:val="0"/>
          <w:color w:val="000000"/>
          <w:sz w:val="21"/>
          <w:szCs w:val="21"/>
          <w:highlight w:val="none"/>
          <w:lang w:val="en-US" w:eastAsia="zh-CN"/>
        </w:rPr>
        <w:t>业务系统迁移承诺函</w:t>
      </w:r>
      <w:r>
        <w:rPr>
          <w:rFonts w:hint="eastAsia" w:ascii="宋体" w:hAnsi="宋体" w:eastAsiaTheme="minorEastAsia" w:cstheme="minorBidi"/>
          <w:b w:val="0"/>
          <w:bCs w:val="0"/>
          <w:color w:val="000000"/>
          <w:sz w:val="21"/>
          <w:szCs w:val="21"/>
          <w:highlight w:val="none"/>
          <w:lang w:eastAsia="zh-CN"/>
        </w:rPr>
        <w:t>约定的时间完成系统迁移工作。每推迟一天按合同总金额的</w:t>
      </w:r>
      <w:r>
        <w:rPr>
          <w:rFonts w:hint="eastAsia" w:ascii="宋体" w:hAnsi="宋体" w:eastAsiaTheme="minorEastAsia" w:cstheme="minorBidi"/>
          <w:b w:val="0"/>
          <w:bCs w:val="0"/>
          <w:color w:val="000000"/>
          <w:sz w:val="21"/>
          <w:szCs w:val="21"/>
          <w:highlight w:val="none"/>
        </w:rPr>
        <w:t>3‰支付违约金，该违约金累计不超过合同</w:t>
      </w:r>
      <w:r>
        <w:rPr>
          <w:rFonts w:hint="eastAsia" w:ascii="宋体" w:hAnsi="宋体" w:eastAsiaTheme="minorEastAsia" w:cstheme="minorBidi"/>
          <w:b w:val="0"/>
          <w:bCs w:val="0"/>
          <w:color w:val="000000"/>
          <w:sz w:val="21"/>
          <w:szCs w:val="21"/>
          <w:highlight w:val="none"/>
          <w:lang w:eastAsia="zh-CN"/>
        </w:rPr>
        <w:t>总</w:t>
      </w:r>
      <w:r>
        <w:rPr>
          <w:rFonts w:hint="eastAsia" w:ascii="宋体" w:hAnsi="宋体" w:eastAsiaTheme="minorEastAsia" w:cstheme="minorBidi"/>
          <w:b w:val="0"/>
          <w:bCs w:val="0"/>
          <w:color w:val="000000"/>
          <w:sz w:val="21"/>
          <w:szCs w:val="21"/>
          <w:highlight w:val="none"/>
        </w:rPr>
        <w:t>金额的10%。</w:t>
      </w:r>
    </w:p>
    <w:p w14:paraId="7C3D8382">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default" w:ascii="宋体" w:hAnsi="宋体" w:cs="宋体" w:eastAsiaTheme="minorEastAsia"/>
          <w:color w:val="000000"/>
          <w:szCs w:val="21"/>
          <w:highlight w:val="none"/>
          <w:lang w:val="en-US" w:eastAsia="zh-CN"/>
        </w:rPr>
      </w:pPr>
      <w:r>
        <w:rPr>
          <w:rFonts w:hint="eastAsia" w:ascii="宋体" w:hAnsi="宋体"/>
          <w:color w:val="000000"/>
          <w:szCs w:val="21"/>
          <w:highlight w:val="none"/>
          <w:lang w:val="en-US" w:eastAsia="zh-CN"/>
        </w:rPr>
        <w:t>2.</w:t>
      </w:r>
      <w:r>
        <w:rPr>
          <w:rFonts w:hint="eastAsia" w:ascii="宋体" w:hAnsi="宋体"/>
          <w:color w:val="000000"/>
          <w:szCs w:val="21"/>
          <w:highlight w:val="none"/>
        </w:rPr>
        <w:t>除不可抗力原因外，乙方没有按照合同规定的时间提供服务的，甲方可要求乙方支付违约金。每推迟一天按合同</w:t>
      </w:r>
      <w:r>
        <w:rPr>
          <w:rFonts w:hint="eastAsia" w:ascii="宋体" w:hAnsi="宋体"/>
          <w:color w:val="000000"/>
          <w:szCs w:val="21"/>
          <w:highlight w:val="none"/>
          <w:lang w:eastAsia="zh-CN"/>
        </w:rPr>
        <w:t>总</w:t>
      </w:r>
      <w:r>
        <w:rPr>
          <w:rFonts w:hint="eastAsia" w:ascii="宋体" w:hAnsi="宋体"/>
          <w:color w:val="000000"/>
          <w:szCs w:val="21"/>
          <w:highlight w:val="none"/>
        </w:rPr>
        <w:t>金额的3‰支付违约金，该违约金累计不超过合同</w:t>
      </w:r>
      <w:r>
        <w:rPr>
          <w:rFonts w:hint="eastAsia" w:ascii="宋体" w:hAnsi="宋体"/>
          <w:color w:val="000000"/>
          <w:szCs w:val="21"/>
          <w:highlight w:val="none"/>
          <w:lang w:eastAsia="zh-CN"/>
        </w:rPr>
        <w:t>总</w:t>
      </w:r>
      <w:r>
        <w:rPr>
          <w:rFonts w:hint="eastAsia" w:ascii="宋体" w:hAnsi="宋体"/>
          <w:color w:val="000000"/>
          <w:szCs w:val="21"/>
          <w:highlight w:val="none"/>
        </w:rPr>
        <w:t>金额的10%。</w:t>
      </w:r>
    </w:p>
    <w:p w14:paraId="7A2B653F">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lang w:val="en-US" w:eastAsia="zh-CN"/>
        </w:rPr>
        <w:t>3.</w:t>
      </w:r>
      <w:r>
        <w:rPr>
          <w:rFonts w:hint="eastAsia" w:ascii="宋体" w:hAnsi="宋体" w:cs="宋体"/>
          <w:color w:val="000000"/>
          <w:szCs w:val="21"/>
          <w:highlight w:val="none"/>
        </w:rPr>
        <w:t>乙方提供的服务如侵犯了第三方合法权益而引发的任何纠纷或者诉讼，均由乙方负责交涉并承担全部责任。</w:t>
      </w:r>
    </w:p>
    <w:p w14:paraId="5D772962">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olor w:val="000000"/>
          <w:szCs w:val="21"/>
          <w:highlight w:val="none"/>
        </w:rPr>
      </w:pPr>
      <w:r>
        <w:rPr>
          <w:rFonts w:hint="eastAsia" w:ascii="宋体" w:hAnsi="宋体"/>
          <w:color w:val="000000"/>
          <w:szCs w:val="21"/>
          <w:highlight w:val="none"/>
          <w:lang w:val="en-US" w:eastAsia="zh-CN"/>
        </w:rPr>
        <w:t>4.</w:t>
      </w:r>
      <w:r>
        <w:rPr>
          <w:rFonts w:hint="eastAsia" w:ascii="宋体" w:hAnsi="宋体"/>
          <w:color w:val="000000"/>
          <w:szCs w:val="21"/>
          <w:highlight w:val="none"/>
        </w:rPr>
        <w:t>甲方延期付款的，每天向乙方偿付延期款额3‰滞纳金，但滞纳金累计不得超过延期款额5%。</w:t>
      </w:r>
    </w:p>
    <w:p w14:paraId="1A3580EC">
      <w:pPr>
        <w:pStyle w:val="12"/>
        <w:spacing w:before="0" w:after="0" w:line="360" w:lineRule="exact"/>
        <w:jc w:val="both"/>
        <w:rPr>
          <w:rFonts w:hint="eastAsia" w:ascii="宋体" w:hAnsi="宋体" w:eastAsiaTheme="minorEastAsia" w:cstheme="minorBidi"/>
          <w:b w:val="0"/>
          <w:bCs w:val="0"/>
          <w:color w:val="000000"/>
          <w:sz w:val="21"/>
          <w:szCs w:val="21"/>
          <w:highlight w:val="none"/>
          <w:lang w:val="en-US" w:eastAsia="zh-CN"/>
        </w:rPr>
      </w:pPr>
      <w:r>
        <w:rPr>
          <w:rFonts w:hint="eastAsia" w:ascii="宋体" w:hAnsi="宋体" w:eastAsiaTheme="minorEastAsia" w:cstheme="minorBidi"/>
          <w:b w:val="0"/>
          <w:bCs w:val="0"/>
          <w:color w:val="000000"/>
          <w:sz w:val="21"/>
          <w:szCs w:val="21"/>
          <w:highlight w:val="none"/>
          <w:lang w:val="en-US" w:eastAsia="zh-CN"/>
        </w:rPr>
        <w:t>5.乙方应</w:t>
      </w:r>
      <w:r>
        <w:rPr>
          <w:rFonts w:hint="eastAsia" w:ascii="宋体" w:hAnsi="宋体" w:eastAsiaTheme="minorEastAsia" w:cstheme="minorBidi"/>
          <w:b w:val="0"/>
          <w:bCs w:val="0"/>
          <w:color w:val="000000"/>
          <w:sz w:val="21"/>
          <w:szCs w:val="21"/>
          <w:highlight w:val="none"/>
          <w:lang w:eastAsia="zh-CN"/>
        </w:rPr>
        <w:t>支持服务结束前统一销毁数据，通知好使用单位备份，在服务期结束前半年内配合做好历史存量数据的迁移，各使用单位完成备份迁移后及时销毁数据，禁止以任何形式留存。如</w:t>
      </w:r>
      <w:r>
        <w:rPr>
          <w:rFonts w:hint="eastAsia" w:ascii="宋体" w:hAnsi="宋体" w:eastAsiaTheme="minorEastAsia" w:cstheme="minorBidi"/>
          <w:b w:val="0"/>
          <w:bCs w:val="0"/>
          <w:color w:val="000000"/>
          <w:sz w:val="21"/>
          <w:szCs w:val="21"/>
          <w:highlight w:val="none"/>
          <w:lang w:val="en-US" w:eastAsia="zh-CN"/>
        </w:rPr>
        <w:t>因乙方或其关联方违反安全约定、操作失误等过错导致数据泄露，并给采购人、政务用户或第三方造成损失的，乙方应承担全部直接损失及采购人为应对泄露事件支出的合理费用（包括但不限于调查费、修复费、通知费、律师费、诉讼费及行政罚款）。若泄露事件涉及国家秘密或重大公共利益的，服务商还应依法承担相应法律责任，且采购人有权单方解除合同。</w:t>
      </w:r>
    </w:p>
    <w:p w14:paraId="4432FD53">
      <w:pPr>
        <w:ind w:firstLine="420" w:firstLineChars="200"/>
        <w:rPr>
          <w:rFonts w:hint="eastAsia" w:ascii="宋体" w:hAnsi="宋体" w:eastAsiaTheme="minorEastAsia" w:cstheme="minorBidi"/>
          <w:b w:val="0"/>
          <w:bCs w:val="0"/>
          <w:color w:val="000000"/>
          <w:kern w:val="2"/>
          <w:sz w:val="21"/>
          <w:szCs w:val="21"/>
          <w:highlight w:val="none"/>
          <w:lang w:val="en-US" w:eastAsia="zh-CN" w:bidi="ar-SA"/>
        </w:rPr>
      </w:pPr>
      <w:r>
        <w:rPr>
          <w:rFonts w:hint="eastAsia" w:ascii="宋体" w:hAnsi="宋体" w:eastAsiaTheme="minorEastAsia" w:cstheme="minorBidi"/>
          <w:b w:val="0"/>
          <w:bCs w:val="0"/>
          <w:color w:val="000000"/>
          <w:kern w:val="2"/>
          <w:sz w:val="21"/>
          <w:szCs w:val="21"/>
          <w:highlight w:val="none"/>
          <w:lang w:val="en-US" w:eastAsia="zh-CN" w:bidi="ar-SA"/>
        </w:rPr>
        <w:t>6.若乙方提供的政务云平台服务发生重大故障，或发生重大网络安全事故，导致甲方业务数据丢失、泄露或被非法篡改，并造成恶劣社会影响或重大经济损失的，甲方有权单方解除合同，</w:t>
      </w:r>
      <w:r>
        <w:rPr>
          <w:rFonts w:hint="eastAsia" w:ascii="宋体" w:hAnsi="宋体" w:cstheme="minorBidi"/>
          <w:b w:val="0"/>
          <w:bCs w:val="0"/>
          <w:color w:val="000000"/>
          <w:kern w:val="2"/>
          <w:sz w:val="21"/>
          <w:szCs w:val="21"/>
          <w:highlight w:val="none"/>
          <w:lang w:val="en-US" w:eastAsia="zh-CN" w:bidi="ar-SA"/>
        </w:rPr>
        <w:t>且</w:t>
      </w:r>
      <w:r>
        <w:rPr>
          <w:rFonts w:hint="eastAsia" w:ascii="宋体" w:hAnsi="宋体" w:eastAsiaTheme="minorEastAsia" w:cstheme="minorBidi"/>
          <w:b w:val="0"/>
          <w:bCs w:val="0"/>
          <w:color w:val="000000"/>
          <w:kern w:val="2"/>
          <w:sz w:val="21"/>
          <w:szCs w:val="21"/>
          <w:highlight w:val="none"/>
          <w:lang w:val="en-US" w:eastAsia="zh-CN" w:bidi="ar-SA"/>
        </w:rPr>
        <w:t>要求乙方赔偿因此造成的全部直接及间接损失</w:t>
      </w:r>
      <w:r>
        <w:rPr>
          <w:rFonts w:hint="eastAsia" w:ascii="宋体" w:hAnsi="宋体" w:cstheme="minorBidi"/>
          <w:b w:val="0"/>
          <w:bCs w:val="0"/>
          <w:color w:val="000000"/>
          <w:kern w:val="2"/>
          <w:sz w:val="21"/>
          <w:szCs w:val="21"/>
          <w:highlight w:val="none"/>
          <w:lang w:val="en-US" w:eastAsia="zh-CN" w:bidi="ar-SA"/>
        </w:rPr>
        <w:t>，并</w:t>
      </w:r>
      <w:r>
        <w:rPr>
          <w:rFonts w:hint="eastAsia" w:ascii="宋体" w:hAnsi="宋体" w:eastAsiaTheme="minorEastAsia" w:cstheme="minorBidi"/>
          <w:b w:val="0"/>
          <w:bCs w:val="0"/>
          <w:color w:val="000000"/>
          <w:kern w:val="2"/>
          <w:sz w:val="21"/>
          <w:szCs w:val="21"/>
          <w:highlight w:val="none"/>
          <w:lang w:val="en-US" w:eastAsia="zh-CN" w:bidi="ar-SA"/>
        </w:rPr>
        <w:t>依法追究乙方的法律责任。</w:t>
      </w:r>
    </w:p>
    <w:p w14:paraId="73568F85">
      <w:pPr>
        <w:keepNext w:val="0"/>
        <w:keepLines w:val="0"/>
        <w:pageBreakBefore w:val="0"/>
        <w:widowControl w:val="0"/>
        <w:kinsoku/>
        <w:wordWrap/>
        <w:overflowPunct/>
        <w:topLinePunct w:val="0"/>
        <w:autoSpaceDE/>
        <w:autoSpaceDN/>
        <w:bidi w:val="0"/>
        <w:adjustRightInd/>
        <w:spacing w:line="360" w:lineRule="exact"/>
        <w:ind w:firstLine="422" w:firstLineChars="200"/>
        <w:jc w:val="left"/>
        <w:textAlignment w:val="auto"/>
        <w:rPr>
          <w:rFonts w:hint="eastAsia" w:ascii="宋体" w:hAnsi="宋体" w:cs="宋体"/>
          <w:b/>
          <w:color w:val="000000"/>
          <w:szCs w:val="21"/>
          <w:highlight w:val="none"/>
        </w:rPr>
      </w:pPr>
      <w:r>
        <w:rPr>
          <w:rFonts w:hint="eastAsia" w:ascii="宋体" w:hAnsi="宋体" w:cs="宋体"/>
          <w:b/>
          <w:color w:val="000000"/>
          <w:szCs w:val="21"/>
          <w:highlight w:val="none"/>
        </w:rPr>
        <w:t>第十条  不可抗力事件处理</w:t>
      </w:r>
    </w:p>
    <w:p w14:paraId="6E163429">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1</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rPr>
        <w:t>在合同有效期内，任何一方因不可抗力事件导致不能履行合同，则合同履行期可延长，其延长期与不可抗力影响期相同。</w:t>
      </w:r>
    </w:p>
    <w:p w14:paraId="25349B1E">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2</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rPr>
        <w:t>不可抗力事件发生后，应立即通知对方，并寄送有关权威机构出具的证明。</w:t>
      </w:r>
    </w:p>
    <w:p w14:paraId="77031745">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3</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rPr>
        <w:t>不可抗力事件延续一百二十天以上，双方应通过友好协商，确定是否继续履行合同。</w:t>
      </w:r>
    </w:p>
    <w:p w14:paraId="7EA5C99B">
      <w:pPr>
        <w:keepNext w:val="0"/>
        <w:keepLines w:val="0"/>
        <w:pageBreakBefore w:val="0"/>
        <w:widowControl w:val="0"/>
        <w:kinsoku/>
        <w:wordWrap/>
        <w:overflowPunct/>
        <w:topLinePunct w:val="0"/>
        <w:autoSpaceDE/>
        <w:autoSpaceDN/>
        <w:bidi w:val="0"/>
        <w:adjustRightInd/>
        <w:spacing w:line="360" w:lineRule="exact"/>
        <w:ind w:firstLine="422" w:firstLineChars="200"/>
        <w:jc w:val="left"/>
        <w:textAlignment w:val="auto"/>
        <w:rPr>
          <w:rFonts w:hint="eastAsia" w:ascii="宋体" w:hAnsi="宋体" w:cs="宋体"/>
          <w:color w:val="000000"/>
          <w:szCs w:val="21"/>
          <w:highlight w:val="none"/>
        </w:rPr>
      </w:pPr>
      <w:r>
        <w:rPr>
          <w:rFonts w:hint="eastAsia" w:ascii="宋体" w:hAnsi="宋体" w:cs="宋体"/>
          <w:b/>
          <w:color w:val="000000"/>
          <w:szCs w:val="21"/>
          <w:highlight w:val="none"/>
        </w:rPr>
        <w:t>第十一条  合同争议</w:t>
      </w:r>
      <w:r>
        <w:rPr>
          <w:rFonts w:hint="eastAsia" w:ascii="宋体" w:hAnsi="宋体" w:cs="宋体"/>
          <w:b/>
          <w:color w:val="000000"/>
          <w:szCs w:val="21"/>
          <w:highlight w:val="none"/>
          <w:lang w:eastAsia="zh-CN"/>
        </w:rPr>
        <w:t>及</w:t>
      </w:r>
      <w:r>
        <w:rPr>
          <w:rFonts w:hint="eastAsia" w:ascii="宋体" w:hAnsi="宋体" w:cs="宋体"/>
          <w:b/>
          <w:color w:val="000000"/>
          <w:szCs w:val="21"/>
          <w:highlight w:val="none"/>
        </w:rPr>
        <w:t>解决</w:t>
      </w:r>
    </w:p>
    <w:p w14:paraId="4AD8A315">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1</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rPr>
        <w:t>因服务质量问题发生争议的，应邀请国家认可的质量检测机构进行鉴定。服务符合标准的，鉴定费由甲方承担；服务不符合标准的，鉴定费由乙方承担。</w:t>
      </w:r>
    </w:p>
    <w:p w14:paraId="2CDBF3FF">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2</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rPr>
        <w:t>因履行本合同引起的或者与本合同有关的争议，甲乙双方应首先通过友好协商解决，如果协商不能解决，可向甲方所在地有管辖权的人民法院提起诉讼。</w:t>
      </w:r>
    </w:p>
    <w:p w14:paraId="75790B5F">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3</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rPr>
        <w:t>诉讼期间，本合同继续履行。</w:t>
      </w:r>
    </w:p>
    <w:p w14:paraId="3B046BA3">
      <w:pPr>
        <w:keepNext w:val="0"/>
        <w:keepLines w:val="0"/>
        <w:pageBreakBefore w:val="0"/>
        <w:widowControl w:val="0"/>
        <w:kinsoku/>
        <w:wordWrap/>
        <w:overflowPunct/>
        <w:topLinePunct w:val="0"/>
        <w:autoSpaceDE/>
        <w:autoSpaceDN/>
        <w:bidi w:val="0"/>
        <w:adjustRightInd/>
        <w:spacing w:line="360" w:lineRule="exact"/>
        <w:ind w:firstLine="422" w:firstLineChars="200"/>
        <w:jc w:val="left"/>
        <w:textAlignment w:val="auto"/>
        <w:rPr>
          <w:rFonts w:hint="eastAsia" w:ascii="宋体" w:hAnsi="宋体" w:eastAsia="宋体" w:cs="宋体"/>
          <w:b/>
          <w:color w:val="000000"/>
          <w:szCs w:val="21"/>
          <w:highlight w:val="none"/>
          <w:lang w:eastAsia="zh-CN"/>
        </w:rPr>
      </w:pPr>
      <w:r>
        <w:rPr>
          <w:rFonts w:hint="eastAsia" w:ascii="宋体" w:hAnsi="宋体" w:cs="宋体"/>
          <w:b/>
          <w:color w:val="000000"/>
          <w:szCs w:val="21"/>
          <w:highlight w:val="none"/>
        </w:rPr>
        <w:t>第十二条  合同生效及</w:t>
      </w:r>
      <w:r>
        <w:rPr>
          <w:rFonts w:hint="eastAsia" w:ascii="宋体" w:hAnsi="宋体" w:cs="宋体"/>
          <w:b/>
          <w:color w:val="000000"/>
          <w:szCs w:val="21"/>
          <w:highlight w:val="none"/>
          <w:lang w:eastAsia="zh-CN"/>
        </w:rPr>
        <w:t>其他</w:t>
      </w:r>
    </w:p>
    <w:p w14:paraId="6E788BA1">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1</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rPr>
        <w:t>合同经双方法定代表人或者授权代表签字并加盖单位公章后生效（委托代理人签字的需后附法定代表人授权委托书，格式自拟）。</w:t>
      </w:r>
    </w:p>
    <w:p w14:paraId="21C4DC8C">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2</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rPr>
        <w:t>合同执行中涉及采购资金和采购内容修改或者补充的，须经财政部门审批，并</w:t>
      </w:r>
      <w:r>
        <w:rPr>
          <w:rFonts w:hint="eastAsia" w:ascii="宋体" w:hAnsi="宋体" w:cs="宋体"/>
          <w:color w:val="000000"/>
          <w:szCs w:val="21"/>
          <w:highlight w:val="none"/>
          <w:lang w:eastAsia="zh-CN"/>
        </w:rPr>
        <w:t>签订</w:t>
      </w:r>
      <w:r>
        <w:rPr>
          <w:rFonts w:hint="eastAsia" w:ascii="宋体" w:hAnsi="宋体" w:cs="宋体"/>
          <w:color w:val="000000"/>
          <w:szCs w:val="21"/>
          <w:highlight w:val="none"/>
        </w:rPr>
        <w:t>书面补充协议报财政部门备案，方可作为主合同不可分割的一部分。</w:t>
      </w:r>
    </w:p>
    <w:p w14:paraId="16D4BF73">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3、本合同未尽事宜，遵照《</w:t>
      </w:r>
      <w:r>
        <w:rPr>
          <w:rFonts w:hint="eastAsia" w:ascii="宋体" w:hAnsi="宋体" w:cs="宋体"/>
          <w:color w:val="000000"/>
          <w:szCs w:val="21"/>
          <w:highlight w:val="none"/>
          <w:lang w:eastAsia="zh-CN"/>
        </w:rPr>
        <w:t>中华人民共和国民法典</w:t>
      </w:r>
      <w:r>
        <w:rPr>
          <w:rFonts w:hint="eastAsia" w:ascii="宋体" w:hAnsi="宋体" w:cs="宋体"/>
          <w:color w:val="000000"/>
          <w:szCs w:val="21"/>
          <w:highlight w:val="none"/>
        </w:rPr>
        <w:t>》有关条文执行。</w:t>
      </w:r>
    </w:p>
    <w:p w14:paraId="1DCBA133">
      <w:pPr>
        <w:keepNext w:val="0"/>
        <w:keepLines w:val="0"/>
        <w:pageBreakBefore w:val="0"/>
        <w:widowControl w:val="0"/>
        <w:kinsoku/>
        <w:wordWrap/>
        <w:overflowPunct/>
        <w:topLinePunct w:val="0"/>
        <w:autoSpaceDE/>
        <w:autoSpaceDN/>
        <w:bidi w:val="0"/>
        <w:adjustRightInd/>
        <w:spacing w:line="360" w:lineRule="exact"/>
        <w:ind w:firstLine="422" w:firstLineChars="200"/>
        <w:jc w:val="left"/>
        <w:textAlignment w:val="auto"/>
        <w:rPr>
          <w:rFonts w:hint="eastAsia" w:ascii="宋体" w:hAnsi="宋体" w:cs="宋体"/>
          <w:b/>
          <w:color w:val="000000"/>
          <w:szCs w:val="21"/>
          <w:highlight w:val="none"/>
        </w:rPr>
      </w:pPr>
      <w:r>
        <w:rPr>
          <w:rFonts w:hint="eastAsia" w:ascii="宋体" w:hAnsi="宋体" w:cs="宋体"/>
          <w:b/>
          <w:color w:val="000000"/>
          <w:szCs w:val="21"/>
          <w:highlight w:val="none"/>
        </w:rPr>
        <w:t>第十三条　合同的变更、终止与转让</w:t>
      </w:r>
    </w:p>
    <w:p w14:paraId="3B831AA1">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1</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rPr>
        <w:t>除《中华人民共和国政府采购法》第五十条规定的情形外，本合同一经签订，甲乙双方不得擅自变更、中止或者终止。</w:t>
      </w:r>
    </w:p>
    <w:p w14:paraId="41D9F49E">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2</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rPr>
        <w:t>乙方不得擅自转让其应履行的合同义务。</w:t>
      </w:r>
    </w:p>
    <w:p w14:paraId="3A637729">
      <w:pPr>
        <w:keepNext w:val="0"/>
        <w:keepLines w:val="0"/>
        <w:pageBreakBefore w:val="0"/>
        <w:widowControl w:val="0"/>
        <w:kinsoku/>
        <w:wordWrap/>
        <w:overflowPunct/>
        <w:topLinePunct w:val="0"/>
        <w:autoSpaceDE/>
        <w:autoSpaceDN/>
        <w:bidi w:val="0"/>
        <w:adjustRightInd/>
        <w:spacing w:line="360" w:lineRule="exact"/>
        <w:ind w:firstLine="422" w:firstLineChars="200"/>
        <w:jc w:val="left"/>
        <w:textAlignment w:val="auto"/>
        <w:rPr>
          <w:rFonts w:hint="eastAsia" w:ascii="宋体" w:hAnsi="宋体" w:cs="宋体"/>
          <w:b/>
          <w:color w:val="000000"/>
          <w:szCs w:val="21"/>
          <w:highlight w:val="none"/>
        </w:rPr>
      </w:pPr>
      <w:r>
        <w:rPr>
          <w:rFonts w:hint="eastAsia" w:ascii="宋体" w:hAnsi="宋体" w:cs="宋体"/>
          <w:b/>
          <w:color w:val="000000"/>
          <w:szCs w:val="21"/>
          <w:highlight w:val="none"/>
        </w:rPr>
        <w:t>第十四条　签订本合同依据</w:t>
      </w:r>
    </w:p>
    <w:p w14:paraId="1909CB5C">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1</w:t>
      </w:r>
      <w:r>
        <w:rPr>
          <w:rFonts w:hint="eastAsia" w:ascii="宋体" w:hAnsi="宋体" w:cs="宋体"/>
          <w:color w:val="000000"/>
          <w:szCs w:val="21"/>
          <w:highlight w:val="none"/>
          <w:lang w:eastAsia="zh-CN"/>
        </w:rPr>
        <w:t>.</w:t>
      </w:r>
      <w:r>
        <w:rPr>
          <w:rFonts w:hint="eastAsia" w:ascii="宋体" w:hAnsi="宋体"/>
          <w:color w:val="000000"/>
          <w:szCs w:val="21"/>
          <w:highlight w:val="none"/>
          <w:lang w:val="en-US" w:eastAsia="zh-CN"/>
        </w:rPr>
        <w:t>中标</w:t>
      </w:r>
      <w:r>
        <w:rPr>
          <w:rFonts w:hint="eastAsia" w:ascii="宋体" w:hAnsi="宋体"/>
          <w:color w:val="000000"/>
          <w:szCs w:val="21"/>
          <w:highlight w:val="none"/>
        </w:rPr>
        <w:t>通知书</w:t>
      </w:r>
      <w:r>
        <w:rPr>
          <w:rFonts w:hint="eastAsia" w:ascii="宋体" w:hAnsi="宋体" w:cs="宋体"/>
          <w:color w:val="000000"/>
          <w:szCs w:val="21"/>
          <w:highlight w:val="none"/>
        </w:rPr>
        <w:t>；</w:t>
      </w:r>
    </w:p>
    <w:p w14:paraId="72FE73BD">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2</w:t>
      </w:r>
      <w:r>
        <w:rPr>
          <w:rFonts w:hint="eastAsia" w:ascii="宋体" w:hAnsi="宋体" w:cs="宋体"/>
          <w:color w:val="000000"/>
          <w:szCs w:val="21"/>
          <w:highlight w:val="none"/>
          <w:lang w:val="en-US" w:eastAsia="zh-CN"/>
        </w:rPr>
        <w:t>.</w:t>
      </w:r>
      <w:r>
        <w:rPr>
          <w:rFonts w:hint="eastAsia" w:ascii="宋体" w:hAnsi="宋体" w:cs="宋体"/>
          <w:color w:val="000000"/>
          <w:szCs w:val="21"/>
          <w:highlight w:val="none"/>
          <w:lang w:eastAsia="zh-CN"/>
        </w:rPr>
        <w:t>响应报价表</w:t>
      </w:r>
      <w:r>
        <w:rPr>
          <w:rFonts w:hint="eastAsia" w:ascii="宋体" w:hAnsi="宋体" w:cs="宋体"/>
          <w:color w:val="000000"/>
          <w:szCs w:val="21"/>
          <w:highlight w:val="none"/>
        </w:rPr>
        <w:t>；</w:t>
      </w:r>
    </w:p>
    <w:p w14:paraId="0A172E8D">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eastAsia="宋体" w:cs="宋体"/>
          <w:color w:val="000000"/>
          <w:szCs w:val="21"/>
          <w:highlight w:val="none"/>
          <w:lang w:val="en-US" w:eastAsia="zh-CN"/>
        </w:rPr>
      </w:pPr>
      <w:r>
        <w:rPr>
          <w:rFonts w:hint="eastAsia" w:ascii="宋体" w:hAnsi="宋体" w:cs="宋体"/>
          <w:color w:val="000000"/>
          <w:kern w:val="2"/>
          <w:sz w:val="21"/>
          <w:szCs w:val="21"/>
          <w:highlight w:val="none"/>
          <w:lang w:val="en-US" w:eastAsia="zh-CN"/>
        </w:rPr>
        <w:t>3.响应函；</w:t>
      </w:r>
    </w:p>
    <w:p w14:paraId="50ED5FD2">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lang w:val="en-US" w:eastAsia="zh-CN"/>
        </w:rPr>
        <w:t>4.</w:t>
      </w:r>
      <w:r>
        <w:rPr>
          <w:rFonts w:hint="eastAsia" w:ascii="宋体" w:hAnsi="宋体" w:cs="宋体"/>
          <w:color w:val="000000"/>
          <w:szCs w:val="21"/>
          <w:highlight w:val="none"/>
        </w:rPr>
        <w:t>商务条款偏离表和服务需求偏离表；</w:t>
      </w:r>
    </w:p>
    <w:p w14:paraId="5A9EA988">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ascii="宋体" w:hAnsi="宋体" w:cs="宋体"/>
          <w:color w:val="000000"/>
          <w:szCs w:val="21"/>
          <w:highlight w:val="none"/>
        </w:rPr>
      </w:pPr>
      <w:r>
        <w:rPr>
          <w:rFonts w:hint="eastAsia" w:ascii="宋体" w:hAnsi="宋体" w:cs="宋体"/>
          <w:color w:val="000000"/>
          <w:szCs w:val="21"/>
          <w:highlight w:val="none"/>
          <w:lang w:val="en-US" w:eastAsia="zh-CN"/>
        </w:rPr>
        <w:t>5.</w:t>
      </w:r>
      <w:r>
        <w:rPr>
          <w:rFonts w:hint="eastAsia" w:ascii="宋体" w:hAnsi="宋体" w:cs="宋体"/>
          <w:color w:val="000000"/>
          <w:szCs w:val="21"/>
          <w:highlight w:val="none"/>
          <w:lang w:eastAsia="zh-CN"/>
        </w:rPr>
        <w:t>售后</w:t>
      </w:r>
      <w:r>
        <w:rPr>
          <w:rFonts w:hint="eastAsia" w:ascii="宋体" w:hAnsi="宋体" w:cs="宋体"/>
          <w:color w:val="000000"/>
          <w:szCs w:val="21"/>
          <w:highlight w:val="none"/>
        </w:rPr>
        <w:t>服务方案；</w:t>
      </w:r>
    </w:p>
    <w:p w14:paraId="0D5FC93F">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6.</w:t>
      </w:r>
      <w:r>
        <w:rPr>
          <w:rFonts w:hint="eastAsia" w:hAnsi="宋体" w:eastAsia="宋体" w:cs="宋体"/>
          <w:color w:val="000000"/>
          <w:sz w:val="21"/>
          <w:highlight w:val="none"/>
        </w:rPr>
        <w:t>……</w:t>
      </w:r>
      <w:r>
        <w:rPr>
          <w:rFonts w:hint="eastAsia" w:hAnsi="宋体" w:eastAsia="宋体" w:cs="宋体"/>
          <w:color w:val="000000"/>
          <w:sz w:val="21"/>
          <w:highlight w:val="none"/>
          <w:lang w:eastAsia="zh-CN"/>
        </w:rPr>
        <w:t>；</w:t>
      </w:r>
    </w:p>
    <w:p w14:paraId="0B14E363">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ascii="宋体" w:hAnsi="宋体" w:cs="宋体"/>
          <w:color w:val="000000"/>
          <w:szCs w:val="21"/>
          <w:highlight w:val="none"/>
        </w:rPr>
      </w:pPr>
      <w:r>
        <w:rPr>
          <w:rFonts w:hint="eastAsia" w:ascii="宋体" w:hAnsi="宋体" w:cs="宋体"/>
          <w:color w:val="000000"/>
          <w:szCs w:val="21"/>
          <w:highlight w:val="none"/>
          <w:lang w:val="en-US" w:eastAsia="zh-CN"/>
        </w:rPr>
        <w:t>7.</w:t>
      </w:r>
      <w:r>
        <w:rPr>
          <w:rFonts w:hint="eastAsia" w:hAnsi="宋体" w:eastAsia="宋体" w:cs="宋体"/>
          <w:color w:val="000000"/>
          <w:sz w:val="21"/>
          <w:highlight w:val="none"/>
          <w:lang w:eastAsia="zh-CN"/>
        </w:rPr>
        <w:t>其他</w:t>
      </w:r>
      <w:r>
        <w:rPr>
          <w:rFonts w:hint="eastAsia" w:hAnsi="宋体" w:eastAsia="宋体" w:cs="宋体"/>
          <w:color w:val="000000"/>
          <w:sz w:val="21"/>
          <w:highlight w:val="none"/>
        </w:rPr>
        <w:t>合同文件</w:t>
      </w:r>
      <w:r>
        <w:rPr>
          <w:rFonts w:hint="eastAsia" w:ascii="宋体" w:hAnsi="宋体" w:cs="宋体"/>
          <w:color w:val="000000"/>
          <w:szCs w:val="21"/>
          <w:highlight w:val="none"/>
        </w:rPr>
        <w:t>。</w:t>
      </w:r>
    </w:p>
    <w:p w14:paraId="6E3AF3A0">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lang w:val="en-US" w:eastAsia="zh-CN"/>
        </w:rPr>
        <w:t>8.</w:t>
      </w:r>
      <w:r>
        <w:rPr>
          <w:rFonts w:hint="eastAsia" w:ascii="宋体" w:hAnsi="宋体" w:cs="宋体"/>
          <w:color w:val="000000"/>
          <w:szCs w:val="21"/>
          <w:highlight w:val="none"/>
        </w:rPr>
        <w:t>上述合同文件互相补充和解释。如果合同文件之间存在矛盾或者不一致之处，以上述文件的排列顺序在先者为准。</w:t>
      </w:r>
    </w:p>
    <w:p w14:paraId="5C620F1D">
      <w:pPr>
        <w:keepNext w:val="0"/>
        <w:keepLines w:val="0"/>
        <w:pageBreakBefore w:val="0"/>
        <w:widowControl w:val="0"/>
        <w:kinsoku/>
        <w:wordWrap/>
        <w:overflowPunct/>
        <w:topLinePunct w:val="0"/>
        <w:autoSpaceDE/>
        <w:autoSpaceDN/>
        <w:bidi w:val="0"/>
        <w:adjustRightInd/>
        <w:spacing w:line="360" w:lineRule="exact"/>
        <w:ind w:firstLine="422" w:firstLineChars="200"/>
        <w:jc w:val="left"/>
        <w:textAlignment w:val="auto"/>
        <w:rPr>
          <w:rFonts w:hint="eastAsia" w:ascii="宋体" w:hAnsi="宋体" w:cs="宋体"/>
          <w:color w:val="000000"/>
          <w:szCs w:val="21"/>
          <w:highlight w:val="none"/>
        </w:rPr>
      </w:pPr>
      <w:r>
        <w:rPr>
          <w:rFonts w:hint="eastAsia" w:ascii="宋体" w:hAnsi="宋体" w:cs="宋体"/>
          <w:b/>
          <w:color w:val="000000"/>
          <w:szCs w:val="21"/>
          <w:highlight w:val="none"/>
        </w:rPr>
        <w:t>第十五条　</w:t>
      </w:r>
      <w:r>
        <w:rPr>
          <w:rFonts w:hint="eastAsia" w:ascii="宋体" w:hAnsi="宋体" w:cs="宋体"/>
          <w:color w:val="000000"/>
          <w:szCs w:val="21"/>
          <w:highlight w:val="none"/>
        </w:rPr>
        <w:t>本合同一式四份，具有同等法律效力，财政部门（政府采购监管部门）、采购代理机构各一份，甲乙双方各一份（可根据需要另增加）。</w:t>
      </w:r>
    </w:p>
    <w:p w14:paraId="4DA815C6">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本合</w:t>
      </w:r>
      <w:r>
        <w:rPr>
          <w:rFonts w:hint="eastAsia" w:ascii="宋体" w:hAnsi="宋体" w:cs="宋体"/>
          <w:color w:val="000000"/>
          <w:szCs w:val="21"/>
          <w:highlight w:val="none"/>
          <w:lang w:eastAsia="zh-CN"/>
        </w:rPr>
        <w:t>同在</w:t>
      </w:r>
      <w:r>
        <w:rPr>
          <w:rFonts w:hint="eastAsia" w:ascii="宋体" w:hAnsi="宋体" w:cs="宋体"/>
          <w:color w:val="000000"/>
          <w:szCs w:val="21"/>
          <w:highlight w:val="none"/>
        </w:rPr>
        <w:t>甲乙双方签字盖章后生效，自签订之日起七个工作日内，甲方应当将合同副本报同级财政部门备案。</w:t>
      </w:r>
    </w:p>
    <w:p w14:paraId="2CA4C0B8">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s="宋体"/>
          <w:color w:val="000000"/>
          <w:szCs w:val="21"/>
          <w:highlight w:val="none"/>
        </w:rPr>
      </w:pPr>
      <w:r>
        <w:rPr>
          <w:rFonts w:hint="eastAsia" w:ascii="宋体" w:hAnsi="宋体" w:cs="宋体"/>
          <w:color w:val="000000"/>
          <w:szCs w:val="21"/>
          <w:highlight w:val="none"/>
        </w:rPr>
        <w:t>本合同自签订之日起2个工作日内，甲方应当将采购合同在广西壮族自治区财政厅指定的媒体上公告。</w:t>
      </w:r>
    </w:p>
    <w:p w14:paraId="5DB43B0B">
      <w:pPr>
        <w:pStyle w:val="15"/>
        <w:keepNext w:val="0"/>
        <w:keepLines w:val="0"/>
        <w:pageBreakBefore w:val="0"/>
        <w:widowControl w:val="0"/>
        <w:kinsoku/>
        <w:wordWrap/>
        <w:overflowPunct/>
        <w:topLinePunct w:val="0"/>
        <w:autoSpaceDE/>
        <w:autoSpaceDN/>
        <w:bidi w:val="0"/>
        <w:adjustRightInd/>
        <w:spacing w:line="360" w:lineRule="exact"/>
        <w:jc w:val="left"/>
        <w:textAlignment w:val="auto"/>
        <w:rPr>
          <w:rFonts w:hint="eastAsia" w:ascii="宋体" w:hAnsi="宋体" w:cs="宋体"/>
          <w:color w:val="000000"/>
          <w:szCs w:val="21"/>
          <w:highlight w:val="none"/>
        </w:rPr>
      </w:pPr>
    </w:p>
    <w:p w14:paraId="12306302">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eastAsia="宋体" w:cs="宋体"/>
          <w:color w:val="000000"/>
          <w:szCs w:val="21"/>
          <w:highlight w:val="none"/>
        </w:rPr>
      </w:pPr>
    </w:p>
    <w:p w14:paraId="07FB8EFC">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甲方：（章）</w:t>
      </w:r>
      <w:r>
        <w:rPr>
          <w:rFonts w:hint="eastAsia" w:ascii="宋体" w:hAnsi="宋体" w:eastAsia="宋体" w:cs="宋体"/>
          <w:color w:val="000000"/>
          <w:szCs w:val="21"/>
          <w:highlight w:val="none"/>
          <w:lang w:val="en-US" w:eastAsia="zh-CN"/>
        </w:rPr>
        <w:t xml:space="preserve">                                   </w:t>
      </w:r>
      <w:r>
        <w:rPr>
          <w:rFonts w:hint="eastAsia" w:ascii="宋体" w:hAnsi="宋体" w:eastAsia="宋体" w:cs="宋体"/>
          <w:color w:val="000000"/>
          <w:szCs w:val="21"/>
          <w:highlight w:val="none"/>
        </w:rPr>
        <w:t>乙方：（章）</w:t>
      </w:r>
    </w:p>
    <w:p w14:paraId="1CB09C5D">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rPr>
        <w:t>法定代表人</w:t>
      </w:r>
      <w:r>
        <w:rPr>
          <w:rFonts w:hint="eastAsia" w:ascii="宋体" w:hAnsi="宋体" w:eastAsia="宋体" w:cs="宋体"/>
          <w:color w:val="000000"/>
          <w:szCs w:val="21"/>
          <w:highlight w:val="none"/>
          <w:lang w:val="en-US" w:eastAsia="zh-CN"/>
        </w:rPr>
        <w:t>或委托代理人</w:t>
      </w: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 xml:space="preserve">                       </w:t>
      </w:r>
      <w:r>
        <w:rPr>
          <w:rFonts w:hint="eastAsia" w:ascii="宋体" w:hAnsi="宋体" w:eastAsia="宋体" w:cs="宋体"/>
          <w:color w:val="000000"/>
          <w:szCs w:val="21"/>
          <w:highlight w:val="none"/>
        </w:rPr>
        <w:t>法定代表人</w:t>
      </w:r>
      <w:r>
        <w:rPr>
          <w:rFonts w:hint="eastAsia" w:ascii="宋体" w:hAnsi="宋体" w:eastAsia="宋体" w:cs="宋体"/>
          <w:color w:val="000000"/>
          <w:szCs w:val="21"/>
          <w:highlight w:val="none"/>
          <w:lang w:val="en-US" w:eastAsia="zh-CN"/>
        </w:rPr>
        <w:t>或委托代理人</w:t>
      </w:r>
      <w:r>
        <w:rPr>
          <w:rFonts w:hint="eastAsia" w:ascii="宋体" w:hAnsi="宋体" w:eastAsia="宋体" w:cs="宋体"/>
          <w:color w:val="000000"/>
          <w:szCs w:val="21"/>
          <w:highlight w:val="none"/>
        </w:rPr>
        <w:t>：</w:t>
      </w:r>
    </w:p>
    <w:p w14:paraId="384FE363">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单位地址：</w:t>
      </w:r>
      <w:r>
        <w:rPr>
          <w:rFonts w:hint="eastAsia" w:ascii="宋体" w:hAnsi="宋体" w:eastAsia="宋体" w:cs="宋体"/>
          <w:color w:val="000000"/>
          <w:szCs w:val="21"/>
          <w:highlight w:val="none"/>
          <w:lang w:val="en-US" w:eastAsia="zh-CN"/>
        </w:rPr>
        <w:t xml:space="preserve">                                     </w:t>
      </w:r>
      <w:r>
        <w:rPr>
          <w:rFonts w:hint="eastAsia" w:ascii="宋体" w:hAnsi="宋体" w:eastAsia="宋体" w:cs="宋体"/>
          <w:color w:val="000000"/>
          <w:szCs w:val="21"/>
          <w:highlight w:val="none"/>
        </w:rPr>
        <w:t>单位地址：</w:t>
      </w:r>
    </w:p>
    <w:p w14:paraId="5C483091">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rPr>
        <w:t>年   月   日</w:t>
      </w:r>
      <w:r>
        <w:rPr>
          <w:rFonts w:hint="eastAsia" w:ascii="宋体" w:hAnsi="宋体" w:eastAsia="宋体" w:cs="宋体"/>
          <w:color w:val="000000"/>
          <w:szCs w:val="21"/>
          <w:highlight w:val="none"/>
          <w:lang w:val="en-US" w:eastAsia="zh-CN"/>
        </w:rPr>
        <w:t xml:space="preserve">                                        </w:t>
      </w:r>
      <w:r>
        <w:rPr>
          <w:rFonts w:hint="eastAsia" w:ascii="宋体" w:hAnsi="宋体" w:eastAsia="宋体" w:cs="宋体"/>
          <w:color w:val="000000"/>
          <w:szCs w:val="21"/>
          <w:highlight w:val="none"/>
        </w:rPr>
        <w:t>年   月   日</w:t>
      </w:r>
    </w:p>
    <w:p w14:paraId="6D75E406">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ascii="宋体" w:hAnsi="宋体"/>
          <w:b/>
          <w:color w:val="000000"/>
          <w:szCs w:val="21"/>
          <w:highlight w:val="none"/>
        </w:rPr>
      </w:pPr>
      <w:r>
        <w:rPr>
          <w:rFonts w:hint="eastAsia" w:ascii="宋体" w:hAnsi="宋体" w:cs="Courier New"/>
          <w:b/>
          <w:color w:val="000000"/>
          <w:szCs w:val="21"/>
          <w:highlight w:val="none"/>
        </w:rPr>
        <w:br w:type="page"/>
      </w:r>
      <w:r>
        <w:rPr>
          <w:rFonts w:hint="eastAsia" w:ascii="宋体" w:hAnsi="宋体"/>
          <w:b/>
          <w:color w:val="000000"/>
          <w:szCs w:val="21"/>
          <w:highlight w:val="none"/>
        </w:rPr>
        <w:t>合 同 附 件</w:t>
      </w:r>
    </w:p>
    <w:p w14:paraId="488DF023">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ascii="宋体" w:hAnsi="宋体"/>
          <w:color w:val="000000"/>
          <w:szCs w:val="21"/>
          <w:highlight w:val="none"/>
        </w:rPr>
      </w:pPr>
    </w:p>
    <w:tbl>
      <w:tblPr>
        <w:tblStyle w:val="20"/>
        <w:tblW w:w="0" w:type="auto"/>
        <w:tblInd w:w="493" w:type="dxa"/>
        <w:tblLayout w:type="fixed"/>
        <w:tblCellMar>
          <w:top w:w="0" w:type="dxa"/>
          <w:left w:w="108" w:type="dxa"/>
          <w:bottom w:w="0" w:type="dxa"/>
          <w:right w:w="108" w:type="dxa"/>
        </w:tblCellMar>
      </w:tblPr>
      <w:tblGrid>
        <w:gridCol w:w="3755"/>
        <w:gridCol w:w="5210"/>
      </w:tblGrid>
      <w:tr w14:paraId="0E88766E">
        <w:tblPrEx>
          <w:tblCellMar>
            <w:top w:w="0" w:type="dxa"/>
            <w:left w:w="108" w:type="dxa"/>
            <w:bottom w:w="0" w:type="dxa"/>
            <w:right w:w="108" w:type="dxa"/>
          </w:tblCellMar>
        </w:tblPrEx>
        <w:trPr>
          <w:trHeight w:val="1226" w:hRule="atLeast"/>
        </w:trPr>
        <w:tc>
          <w:tcPr>
            <w:tcW w:w="8965" w:type="dxa"/>
            <w:gridSpan w:val="2"/>
            <w:tcBorders>
              <w:top w:val="single" w:color="auto" w:sz="4" w:space="0"/>
              <w:left w:val="single" w:color="auto" w:sz="4" w:space="0"/>
              <w:right w:val="single" w:color="auto" w:sz="4" w:space="0"/>
            </w:tcBorders>
            <w:noWrap w:val="0"/>
            <w:vAlign w:val="top"/>
          </w:tcPr>
          <w:p w14:paraId="3849E6E5">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jc w:val="left"/>
              <w:textAlignment w:val="auto"/>
              <w:rPr>
                <w:rFonts w:hint="eastAsia" w:ascii="宋体" w:hAnsi="宋体"/>
                <w:b/>
                <w:color w:val="000000"/>
                <w:szCs w:val="21"/>
                <w:highlight w:val="none"/>
              </w:rPr>
            </w:pPr>
            <w:r>
              <w:rPr>
                <w:rFonts w:hint="eastAsia" w:ascii="宋体" w:hAnsi="宋体"/>
                <w:b/>
                <w:color w:val="000000"/>
                <w:szCs w:val="21"/>
                <w:highlight w:val="none"/>
              </w:rPr>
              <w:t>1. 供应商承诺具体事项：</w:t>
            </w:r>
          </w:p>
        </w:tc>
      </w:tr>
      <w:tr w14:paraId="2A378A28">
        <w:tblPrEx>
          <w:tblCellMar>
            <w:top w:w="0" w:type="dxa"/>
            <w:left w:w="108" w:type="dxa"/>
            <w:bottom w:w="0" w:type="dxa"/>
            <w:right w:w="108" w:type="dxa"/>
          </w:tblCellMar>
        </w:tblPrEx>
        <w:trPr>
          <w:trHeight w:val="1228" w:hRule="atLeast"/>
        </w:trPr>
        <w:tc>
          <w:tcPr>
            <w:tcW w:w="8965" w:type="dxa"/>
            <w:gridSpan w:val="2"/>
            <w:tcBorders>
              <w:top w:val="single" w:color="auto" w:sz="4" w:space="0"/>
              <w:left w:val="single" w:color="auto" w:sz="4" w:space="0"/>
              <w:right w:val="single" w:color="auto" w:sz="4" w:space="0"/>
            </w:tcBorders>
            <w:noWrap w:val="0"/>
            <w:vAlign w:val="top"/>
          </w:tcPr>
          <w:p w14:paraId="7DC352D2">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jc w:val="left"/>
              <w:textAlignment w:val="auto"/>
              <w:rPr>
                <w:rFonts w:hint="eastAsia" w:ascii="宋体" w:hAnsi="宋体"/>
                <w:b/>
                <w:color w:val="000000"/>
                <w:szCs w:val="21"/>
                <w:highlight w:val="none"/>
              </w:rPr>
            </w:pPr>
            <w:r>
              <w:rPr>
                <w:rFonts w:hint="eastAsia" w:ascii="宋体" w:hAnsi="宋体"/>
                <w:b/>
                <w:color w:val="000000"/>
                <w:szCs w:val="21"/>
                <w:highlight w:val="none"/>
              </w:rPr>
              <w:t>2. 服务具体事项：</w:t>
            </w:r>
          </w:p>
        </w:tc>
      </w:tr>
      <w:tr w14:paraId="64874134">
        <w:tblPrEx>
          <w:tblCellMar>
            <w:top w:w="0" w:type="dxa"/>
            <w:left w:w="108" w:type="dxa"/>
            <w:bottom w:w="0" w:type="dxa"/>
            <w:right w:w="108" w:type="dxa"/>
          </w:tblCellMar>
        </w:tblPrEx>
        <w:trPr>
          <w:trHeight w:val="1360" w:hRule="atLeast"/>
        </w:trPr>
        <w:tc>
          <w:tcPr>
            <w:tcW w:w="8965" w:type="dxa"/>
            <w:gridSpan w:val="2"/>
            <w:tcBorders>
              <w:top w:val="single" w:color="auto" w:sz="4" w:space="0"/>
              <w:left w:val="single" w:color="auto" w:sz="4" w:space="0"/>
              <w:right w:val="single" w:color="auto" w:sz="4" w:space="0"/>
            </w:tcBorders>
            <w:noWrap w:val="0"/>
            <w:vAlign w:val="top"/>
          </w:tcPr>
          <w:p w14:paraId="64E4F21F">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jc w:val="left"/>
              <w:textAlignment w:val="auto"/>
              <w:rPr>
                <w:rFonts w:hint="eastAsia" w:ascii="宋体" w:hAnsi="宋体"/>
                <w:b/>
                <w:color w:val="000000"/>
                <w:szCs w:val="21"/>
                <w:highlight w:val="none"/>
              </w:rPr>
            </w:pPr>
            <w:r>
              <w:rPr>
                <w:rFonts w:hint="eastAsia" w:ascii="宋体" w:hAnsi="宋体"/>
                <w:b/>
                <w:color w:val="000000"/>
                <w:szCs w:val="21"/>
                <w:highlight w:val="none"/>
                <w:lang w:val="en-US" w:eastAsia="zh-CN"/>
              </w:rPr>
              <w:t>3</w:t>
            </w:r>
            <w:r>
              <w:rPr>
                <w:rFonts w:hint="eastAsia" w:ascii="宋体" w:hAnsi="宋体"/>
                <w:b/>
                <w:color w:val="000000"/>
                <w:szCs w:val="21"/>
                <w:highlight w:val="none"/>
              </w:rPr>
              <w:t xml:space="preserve">. </w:t>
            </w:r>
            <w:r>
              <w:rPr>
                <w:rFonts w:hint="eastAsia" w:ascii="宋体" w:hAnsi="宋体"/>
                <w:b/>
                <w:color w:val="000000"/>
                <w:szCs w:val="21"/>
                <w:highlight w:val="none"/>
                <w:lang w:eastAsia="zh-CN"/>
              </w:rPr>
              <w:t>其他</w:t>
            </w:r>
            <w:r>
              <w:rPr>
                <w:rFonts w:hint="eastAsia" w:ascii="宋体" w:hAnsi="宋体"/>
                <w:b/>
                <w:color w:val="000000"/>
                <w:szCs w:val="21"/>
                <w:highlight w:val="none"/>
              </w:rPr>
              <w:t>具体事项：</w:t>
            </w:r>
          </w:p>
        </w:tc>
      </w:tr>
      <w:tr w14:paraId="6C321E53">
        <w:tblPrEx>
          <w:tblCellMar>
            <w:top w:w="0" w:type="dxa"/>
            <w:left w:w="108" w:type="dxa"/>
            <w:bottom w:w="0" w:type="dxa"/>
            <w:right w:w="108" w:type="dxa"/>
          </w:tblCellMar>
        </w:tblPrEx>
        <w:trPr>
          <w:trHeight w:val="1703" w:hRule="atLeast"/>
        </w:trPr>
        <w:tc>
          <w:tcPr>
            <w:tcW w:w="3755" w:type="dxa"/>
            <w:tcBorders>
              <w:top w:val="single" w:color="auto" w:sz="4" w:space="0"/>
              <w:left w:val="single" w:color="auto" w:sz="4" w:space="0"/>
              <w:bottom w:val="single" w:color="auto" w:sz="4" w:space="0"/>
              <w:right w:val="single" w:color="auto" w:sz="4" w:space="0"/>
            </w:tcBorders>
            <w:noWrap w:val="0"/>
            <w:vAlign w:val="center"/>
          </w:tcPr>
          <w:p w14:paraId="5BD23C85">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jc w:val="left"/>
              <w:textAlignment w:val="auto"/>
              <w:rPr>
                <w:rFonts w:hint="eastAsia" w:ascii="宋体" w:hAnsi="宋体"/>
                <w:b/>
                <w:color w:val="000000"/>
                <w:szCs w:val="21"/>
                <w:highlight w:val="none"/>
              </w:rPr>
            </w:pPr>
            <w:r>
              <w:rPr>
                <w:rFonts w:hint="eastAsia" w:ascii="宋体" w:hAnsi="宋体"/>
                <w:b/>
                <w:color w:val="000000"/>
                <w:szCs w:val="21"/>
                <w:highlight w:val="none"/>
              </w:rPr>
              <w:t>甲方（章）</w:t>
            </w:r>
          </w:p>
          <w:p w14:paraId="72638FA7">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jc w:val="left"/>
              <w:textAlignment w:val="auto"/>
              <w:rPr>
                <w:rFonts w:hint="eastAsia" w:ascii="宋体" w:hAnsi="宋体"/>
                <w:b/>
                <w:color w:val="000000"/>
                <w:szCs w:val="21"/>
                <w:highlight w:val="none"/>
              </w:rPr>
            </w:pPr>
          </w:p>
          <w:p w14:paraId="34E83B3A">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ascii="宋体" w:hAnsi="宋体"/>
                <w:b/>
                <w:color w:val="000000"/>
                <w:szCs w:val="21"/>
                <w:highlight w:val="none"/>
              </w:rPr>
            </w:pPr>
          </w:p>
          <w:p w14:paraId="3A8E75D0">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jc w:val="left"/>
              <w:textAlignment w:val="auto"/>
              <w:rPr>
                <w:rFonts w:hint="eastAsia" w:ascii="宋体" w:hAnsi="宋体"/>
                <w:b/>
                <w:color w:val="000000"/>
                <w:szCs w:val="21"/>
                <w:highlight w:val="none"/>
              </w:rPr>
            </w:pPr>
            <w:r>
              <w:rPr>
                <w:rFonts w:hint="eastAsia" w:ascii="宋体" w:hAnsi="宋体"/>
                <w:b/>
                <w:color w:val="000000"/>
                <w:szCs w:val="21"/>
                <w:highlight w:val="none"/>
              </w:rPr>
              <w:t>年   月   日</w:t>
            </w:r>
          </w:p>
        </w:tc>
        <w:tc>
          <w:tcPr>
            <w:tcW w:w="5210" w:type="dxa"/>
            <w:tcBorders>
              <w:top w:val="single" w:color="auto" w:sz="4" w:space="0"/>
              <w:left w:val="single" w:color="auto" w:sz="4" w:space="0"/>
              <w:bottom w:val="single" w:color="auto" w:sz="4" w:space="0"/>
              <w:right w:val="single" w:color="auto" w:sz="4" w:space="0"/>
            </w:tcBorders>
            <w:noWrap w:val="0"/>
            <w:vAlign w:val="center"/>
          </w:tcPr>
          <w:p w14:paraId="5291BB0C">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jc w:val="left"/>
              <w:textAlignment w:val="auto"/>
              <w:rPr>
                <w:rFonts w:hint="eastAsia" w:ascii="宋体" w:hAnsi="宋体"/>
                <w:b/>
                <w:color w:val="000000"/>
                <w:szCs w:val="21"/>
                <w:highlight w:val="none"/>
              </w:rPr>
            </w:pPr>
            <w:r>
              <w:rPr>
                <w:rFonts w:hint="eastAsia" w:ascii="宋体" w:hAnsi="宋体"/>
                <w:b/>
                <w:color w:val="000000"/>
                <w:szCs w:val="21"/>
                <w:highlight w:val="none"/>
              </w:rPr>
              <w:t>乙方（章）</w:t>
            </w:r>
          </w:p>
          <w:p w14:paraId="10EA911E">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jc w:val="left"/>
              <w:textAlignment w:val="auto"/>
              <w:rPr>
                <w:rFonts w:hint="eastAsia" w:ascii="宋体" w:hAnsi="宋体"/>
                <w:b/>
                <w:color w:val="000000"/>
                <w:szCs w:val="21"/>
                <w:highlight w:val="none"/>
              </w:rPr>
            </w:pPr>
          </w:p>
          <w:p w14:paraId="16A03D2E">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ascii="宋体" w:hAnsi="宋体"/>
                <w:b/>
                <w:color w:val="000000"/>
                <w:szCs w:val="21"/>
                <w:highlight w:val="none"/>
              </w:rPr>
            </w:pPr>
          </w:p>
          <w:p w14:paraId="59CD04A6">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jc w:val="left"/>
              <w:textAlignment w:val="auto"/>
              <w:rPr>
                <w:rFonts w:hint="eastAsia" w:ascii="宋体" w:hAnsi="宋体"/>
                <w:b/>
                <w:color w:val="000000"/>
                <w:szCs w:val="21"/>
                <w:highlight w:val="none"/>
              </w:rPr>
            </w:pPr>
            <w:r>
              <w:rPr>
                <w:rFonts w:hint="eastAsia" w:ascii="宋体" w:hAnsi="宋体"/>
                <w:b/>
                <w:color w:val="000000"/>
                <w:szCs w:val="21"/>
                <w:highlight w:val="none"/>
              </w:rPr>
              <w:t>年   月   日</w:t>
            </w:r>
          </w:p>
        </w:tc>
      </w:tr>
    </w:tbl>
    <w:p w14:paraId="61B9F6A8">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olor w:val="000000"/>
          <w:szCs w:val="21"/>
          <w:highlight w:val="none"/>
        </w:rPr>
      </w:pPr>
      <w:r>
        <w:rPr>
          <w:rFonts w:hint="eastAsia" w:ascii="宋体" w:hAnsi="宋体"/>
          <w:color w:val="000000"/>
          <w:szCs w:val="21"/>
          <w:highlight w:val="none"/>
        </w:rPr>
        <w:t>注：服务事项填不下时可另加附页</w:t>
      </w:r>
    </w:p>
    <w:p w14:paraId="7B82F872">
      <w:pPr>
        <w:rPr>
          <w:rFonts w:asciiTheme="minorHAnsi" w:hAnsiTheme="minorHAnsi" w:eastAsiaTheme="minorEastAsia" w:cstheme="minorBidi"/>
          <w:color w:val="auto"/>
          <w:kern w:val="2"/>
          <w:sz w:val="21"/>
          <w:szCs w:val="24"/>
          <w:lang w:val="en-US" w:eastAsia="zh-CN" w:bidi="ar-SA"/>
        </w:rPr>
      </w:pPr>
      <w:r>
        <w:rPr>
          <w:rFonts w:asciiTheme="minorHAnsi" w:hAnsiTheme="minorHAnsi" w:eastAsiaTheme="minorEastAsia" w:cstheme="minorBidi"/>
          <w:color w:val="auto"/>
          <w:kern w:val="2"/>
          <w:sz w:val="21"/>
          <w:szCs w:val="24"/>
          <w:lang w:val="en-US" w:eastAsia="zh-CN" w:bidi="ar-SA"/>
        </w:rPr>
        <w:br w:type="page"/>
      </w:r>
    </w:p>
    <w:p w14:paraId="7FD50433">
      <w:pPr>
        <w:pStyle w:val="2"/>
        <w:pageBreakBefore w:val="0"/>
        <w:numPr>
          <w:ilvl w:val="0"/>
          <w:numId w:val="0"/>
        </w:numPr>
        <w:tabs>
          <w:tab w:val="left" w:pos="0"/>
          <w:tab w:val="left" w:pos="3165"/>
          <w:tab w:val="center" w:pos="4153"/>
        </w:tabs>
        <w:kinsoku/>
        <w:overflowPunct/>
        <w:topLinePunct w:val="0"/>
        <w:autoSpaceDE w:val="0"/>
        <w:autoSpaceDN w:val="0"/>
        <w:bidi w:val="0"/>
        <w:adjustRightInd w:val="0"/>
        <w:spacing w:before="0" w:after="0" w:line="240" w:lineRule="auto"/>
        <w:jc w:val="center"/>
        <w:rPr>
          <w:rFonts w:hint="eastAsia" w:ascii="宋体" w:hAnsi="宋体" w:eastAsia="宋体" w:cs="宋体"/>
          <w:color w:val="auto"/>
          <w:sz w:val="44"/>
          <w:szCs w:val="44"/>
          <w:highlight w:val="none"/>
          <w:lang w:val="en-US" w:eastAsia="zh-CN"/>
        </w:rPr>
      </w:pPr>
      <w:bookmarkStart w:id="167" w:name="_Toc8202"/>
      <w:bookmarkStart w:id="168" w:name="_Toc9058"/>
      <w:bookmarkStart w:id="169" w:name="_Toc16478"/>
      <w:r>
        <w:rPr>
          <w:rFonts w:hint="eastAsia" w:ascii="宋体" w:hAnsi="宋体" w:eastAsia="宋体" w:cs="宋体"/>
          <w:b/>
          <w:bCs/>
          <w:color w:val="auto"/>
          <w:kern w:val="44"/>
          <w:sz w:val="44"/>
          <w:szCs w:val="44"/>
          <w:lang w:val="en-US" w:eastAsia="zh-CN" w:bidi="ar-SA"/>
        </w:rPr>
        <w:t xml:space="preserve">第六章 </w:t>
      </w:r>
      <w:r>
        <w:rPr>
          <w:rFonts w:hint="eastAsia" w:ascii="宋体" w:hAnsi="宋体" w:eastAsia="宋体" w:cs="宋体"/>
          <w:color w:val="auto"/>
          <w:sz w:val="44"/>
          <w:szCs w:val="44"/>
          <w:highlight w:val="none"/>
          <w:lang w:val="en-US" w:eastAsia="zh-CN"/>
        </w:rPr>
        <w:t>投标文件格式</w:t>
      </w:r>
      <w:bookmarkEnd w:id="167"/>
      <w:bookmarkEnd w:id="168"/>
      <w:bookmarkEnd w:id="169"/>
    </w:p>
    <w:p w14:paraId="6005E24A">
      <w:pPr>
        <w:pageBreakBefore w:val="0"/>
        <w:kinsoku/>
        <w:overflowPunct/>
        <w:topLinePunct w:val="0"/>
        <w:bidi w:val="0"/>
        <w:spacing w:line="240" w:lineRule="auto"/>
        <w:rPr>
          <w:rFonts w:hint="eastAsia" w:ascii="宋体" w:hAnsi="宋体" w:eastAsia="宋体" w:cs="宋体"/>
          <w:color w:val="auto"/>
          <w:sz w:val="21"/>
          <w:szCs w:val="21"/>
          <w:highlight w:val="none"/>
        </w:rPr>
      </w:pPr>
    </w:p>
    <w:p w14:paraId="651D939E">
      <w:pPr>
        <w:pageBreakBefore w:val="0"/>
        <w:kinsoku/>
        <w:overflowPunct/>
        <w:topLinePunct w:val="0"/>
        <w:bidi w:val="0"/>
        <w:spacing w:line="240" w:lineRule="auto"/>
        <w:rPr>
          <w:rFonts w:hint="eastAsia" w:ascii="宋体" w:hAnsi="宋体" w:eastAsia="宋体" w:cs="宋体"/>
          <w:b/>
          <w:color w:val="auto"/>
          <w:sz w:val="32"/>
          <w:szCs w:val="32"/>
          <w:highlight w:val="none"/>
        </w:rPr>
      </w:pPr>
      <w:bookmarkStart w:id="170" w:name="_Toc19686836"/>
      <w:r>
        <w:rPr>
          <w:rFonts w:hint="eastAsia" w:ascii="宋体" w:hAnsi="宋体" w:eastAsia="宋体" w:cs="宋体"/>
          <w:b/>
          <w:color w:val="auto"/>
          <w:sz w:val="32"/>
          <w:szCs w:val="32"/>
          <w:highlight w:val="none"/>
        </w:rPr>
        <w:t>一、报价文件格式</w:t>
      </w:r>
      <w:bookmarkEnd w:id="170"/>
    </w:p>
    <w:p w14:paraId="3384A742">
      <w:pPr>
        <w:pageBreakBefore w:val="0"/>
        <w:kinsoku/>
        <w:overflowPunct/>
        <w:topLinePunct w:val="0"/>
        <w:bidi w:val="0"/>
        <w:snapToGrid w:val="0"/>
        <w:spacing w:before="120" w:beforeLines="50" w:after="50" w:line="240" w:lineRule="auto"/>
        <w:ind w:left="142"/>
        <w:jc w:val="left"/>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 xml:space="preserve">1.报价文件封面格式： </w:t>
      </w:r>
    </w:p>
    <w:p w14:paraId="07D16D62">
      <w:pPr>
        <w:pageBreakBefore w:val="0"/>
        <w:kinsoku/>
        <w:overflowPunct/>
        <w:topLinePunct w:val="0"/>
        <w:bidi w:val="0"/>
        <w:snapToGrid w:val="0"/>
        <w:spacing w:before="120" w:beforeLines="50" w:after="50" w:line="240" w:lineRule="auto"/>
        <w:ind w:left="142"/>
        <w:jc w:val="left"/>
        <w:rPr>
          <w:rFonts w:hint="eastAsia" w:ascii="宋体" w:hAnsi="宋体" w:eastAsia="宋体" w:cs="宋体"/>
          <w:b/>
          <w:color w:val="auto"/>
          <w:sz w:val="32"/>
          <w:szCs w:val="32"/>
          <w:highlight w:val="none"/>
        </w:rPr>
      </w:pPr>
    </w:p>
    <w:p w14:paraId="6F9A68E7">
      <w:pPr>
        <w:pageBreakBefore w:val="0"/>
        <w:kinsoku/>
        <w:overflowPunct/>
        <w:topLinePunct w:val="0"/>
        <w:bidi w:val="0"/>
        <w:snapToGrid w:val="0"/>
        <w:spacing w:before="120" w:beforeLines="50" w:after="50" w:line="240" w:lineRule="auto"/>
        <w:ind w:left="142"/>
        <w:jc w:val="left"/>
        <w:rPr>
          <w:rFonts w:hint="eastAsia" w:ascii="宋体" w:hAnsi="宋体" w:eastAsia="宋体" w:cs="宋体"/>
          <w:b/>
          <w:color w:val="auto"/>
          <w:sz w:val="32"/>
          <w:szCs w:val="32"/>
          <w:highlight w:val="none"/>
        </w:rPr>
      </w:pPr>
    </w:p>
    <w:p w14:paraId="4AFD21D1">
      <w:pPr>
        <w:pageBreakBefore w:val="0"/>
        <w:kinsoku/>
        <w:overflowPunct/>
        <w:topLinePunct w:val="0"/>
        <w:bidi w:val="0"/>
        <w:snapToGrid w:val="0"/>
        <w:spacing w:before="120" w:beforeLines="50" w:after="50" w:line="24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电子投标文件</w:t>
      </w:r>
    </w:p>
    <w:p w14:paraId="26DFC12E">
      <w:pPr>
        <w:pageBreakBefore w:val="0"/>
        <w:kinsoku/>
        <w:overflowPunct/>
        <w:topLinePunct w:val="0"/>
        <w:bidi w:val="0"/>
        <w:snapToGrid w:val="0"/>
        <w:spacing w:before="120" w:beforeLines="50" w:after="50" w:line="240" w:lineRule="auto"/>
        <w:jc w:val="center"/>
        <w:rPr>
          <w:rFonts w:hint="eastAsia" w:ascii="宋体" w:hAnsi="宋体" w:eastAsia="宋体" w:cs="宋体"/>
          <w:bCs/>
          <w:color w:val="auto"/>
          <w:sz w:val="44"/>
          <w:szCs w:val="44"/>
          <w:highlight w:val="none"/>
        </w:rPr>
      </w:pPr>
    </w:p>
    <w:p w14:paraId="3538754B">
      <w:pPr>
        <w:pageBreakBefore w:val="0"/>
        <w:kinsoku/>
        <w:overflowPunct/>
        <w:topLinePunct w:val="0"/>
        <w:bidi w:val="0"/>
        <w:snapToGrid w:val="0"/>
        <w:spacing w:before="120" w:beforeLines="50" w:after="50" w:line="240" w:lineRule="auto"/>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报  价  文  件</w:t>
      </w:r>
    </w:p>
    <w:p w14:paraId="26616797">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6F13E8D8">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61674754">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737C4D3B">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2148C3F4">
      <w:pPr>
        <w:pageBreakBefore w:val="0"/>
        <w:kinsoku/>
        <w:overflowPunct/>
        <w:topLinePunct w:val="0"/>
        <w:bidi w:val="0"/>
        <w:snapToGrid w:val="0"/>
        <w:spacing w:before="120" w:beforeLines="50" w:after="50" w:line="240" w:lineRule="auto"/>
        <w:ind w:firstLine="420" w:firstLineChars="150"/>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 xml:space="preserve">项目名称： </w:t>
      </w:r>
    </w:p>
    <w:p w14:paraId="4AB5180C">
      <w:pPr>
        <w:pageBreakBefore w:val="0"/>
        <w:kinsoku/>
        <w:overflowPunct/>
        <w:topLinePunct w:val="0"/>
        <w:bidi w:val="0"/>
        <w:snapToGrid w:val="0"/>
        <w:spacing w:before="120" w:beforeLines="50" w:after="50" w:line="240" w:lineRule="auto"/>
        <w:ind w:firstLine="420" w:firstLineChars="150"/>
        <w:rPr>
          <w:rFonts w:hint="eastAsia" w:ascii="宋体" w:hAnsi="宋体" w:eastAsia="宋体" w:cs="宋体"/>
          <w:bCs/>
          <w:color w:val="auto"/>
          <w:sz w:val="28"/>
          <w:szCs w:val="28"/>
          <w:highlight w:val="none"/>
        </w:rPr>
      </w:pPr>
    </w:p>
    <w:p w14:paraId="5B14EA9D">
      <w:pPr>
        <w:pageBreakBefore w:val="0"/>
        <w:kinsoku/>
        <w:overflowPunct/>
        <w:topLinePunct w:val="0"/>
        <w:bidi w:val="0"/>
        <w:snapToGrid w:val="0"/>
        <w:spacing w:before="120" w:beforeLines="50" w:after="50" w:line="240" w:lineRule="auto"/>
        <w:ind w:firstLine="420" w:firstLineChars="150"/>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 xml:space="preserve">项目编号： </w:t>
      </w:r>
    </w:p>
    <w:p w14:paraId="18CD1C76">
      <w:pPr>
        <w:pageBreakBefore w:val="0"/>
        <w:kinsoku/>
        <w:overflowPunct/>
        <w:topLinePunct w:val="0"/>
        <w:bidi w:val="0"/>
        <w:snapToGrid w:val="0"/>
        <w:spacing w:before="120" w:beforeLines="50" w:after="50" w:line="240" w:lineRule="auto"/>
        <w:ind w:firstLine="420" w:firstLineChars="150"/>
        <w:rPr>
          <w:rFonts w:hint="eastAsia" w:ascii="宋体" w:hAnsi="宋体" w:eastAsia="宋体" w:cs="宋体"/>
          <w:bCs/>
          <w:color w:val="auto"/>
          <w:sz w:val="28"/>
          <w:szCs w:val="28"/>
          <w:highlight w:val="none"/>
          <w:lang w:val="en-US" w:eastAsia="zh-CN"/>
        </w:rPr>
      </w:pPr>
    </w:p>
    <w:p w14:paraId="70350664">
      <w:pPr>
        <w:pageBreakBefore w:val="0"/>
        <w:kinsoku/>
        <w:overflowPunct/>
        <w:topLinePunct w:val="0"/>
        <w:bidi w:val="0"/>
        <w:snapToGrid w:val="0"/>
        <w:spacing w:before="120" w:beforeLines="50" w:after="50" w:line="240" w:lineRule="auto"/>
        <w:ind w:firstLine="420" w:firstLineChars="150"/>
        <w:rPr>
          <w:rFonts w:hint="eastAsia" w:ascii="宋体" w:hAnsi="宋体" w:eastAsia="宋体" w:cs="宋体"/>
          <w:bCs/>
          <w:color w:val="auto"/>
          <w:sz w:val="28"/>
          <w:szCs w:val="28"/>
          <w:highlight w:val="none"/>
          <w:lang w:val="en-US" w:eastAsia="zh-CN"/>
        </w:rPr>
      </w:pPr>
      <w:r>
        <w:rPr>
          <w:rFonts w:hint="eastAsia" w:ascii="宋体" w:hAnsi="宋体" w:eastAsia="宋体" w:cs="宋体"/>
          <w:bCs/>
          <w:color w:val="auto"/>
          <w:sz w:val="28"/>
          <w:szCs w:val="28"/>
          <w:highlight w:val="none"/>
          <w:lang w:val="en-US" w:eastAsia="zh-CN"/>
        </w:rPr>
        <w:t>分标：</w:t>
      </w:r>
    </w:p>
    <w:p w14:paraId="3FF23B06">
      <w:pPr>
        <w:pageBreakBefore w:val="0"/>
        <w:kinsoku/>
        <w:overflowPunct/>
        <w:topLinePunct w:val="0"/>
        <w:bidi w:val="0"/>
        <w:snapToGrid w:val="0"/>
        <w:spacing w:before="120" w:beforeLines="50" w:after="50" w:line="240" w:lineRule="auto"/>
        <w:ind w:firstLine="420" w:firstLineChars="150"/>
        <w:rPr>
          <w:rFonts w:hint="eastAsia" w:ascii="宋体" w:hAnsi="宋体" w:eastAsia="宋体" w:cs="宋体"/>
          <w:bCs/>
          <w:color w:val="auto"/>
          <w:sz w:val="28"/>
          <w:szCs w:val="28"/>
          <w:highlight w:val="none"/>
        </w:rPr>
      </w:pPr>
    </w:p>
    <w:p w14:paraId="7F211A99">
      <w:pPr>
        <w:pageBreakBefore w:val="0"/>
        <w:kinsoku/>
        <w:overflowPunct/>
        <w:topLinePunct w:val="0"/>
        <w:bidi w:val="0"/>
        <w:snapToGrid w:val="0"/>
        <w:spacing w:before="120" w:beforeLines="50" w:after="50" w:line="240" w:lineRule="auto"/>
        <w:ind w:firstLine="420" w:firstLineChars="150"/>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投标人名称：</w:t>
      </w:r>
    </w:p>
    <w:p w14:paraId="009AF073">
      <w:pPr>
        <w:pageBreakBefore w:val="0"/>
        <w:kinsoku/>
        <w:overflowPunct/>
        <w:topLinePunct w:val="0"/>
        <w:bidi w:val="0"/>
        <w:snapToGrid w:val="0"/>
        <w:spacing w:before="120" w:beforeLines="50" w:after="50" w:line="240" w:lineRule="auto"/>
        <w:ind w:firstLine="420" w:firstLineChars="150"/>
        <w:rPr>
          <w:rFonts w:hint="eastAsia" w:ascii="宋体" w:hAnsi="宋体" w:eastAsia="宋体" w:cs="宋体"/>
          <w:bCs/>
          <w:color w:val="auto"/>
          <w:sz w:val="28"/>
          <w:szCs w:val="28"/>
          <w:highlight w:val="none"/>
        </w:rPr>
      </w:pPr>
    </w:p>
    <w:p w14:paraId="1DA81BA0">
      <w:pPr>
        <w:pageBreakBefore w:val="0"/>
        <w:kinsoku/>
        <w:overflowPunct/>
        <w:topLinePunct w:val="0"/>
        <w:bidi w:val="0"/>
        <w:snapToGrid w:val="0"/>
        <w:spacing w:before="120" w:beforeLines="50" w:after="50" w:line="240" w:lineRule="auto"/>
        <w:ind w:firstLine="420" w:firstLineChars="150"/>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投标人地址：</w:t>
      </w:r>
    </w:p>
    <w:p w14:paraId="3CB2C218">
      <w:pPr>
        <w:pStyle w:val="7"/>
        <w:pageBreakBefore w:val="0"/>
        <w:kinsoku/>
        <w:overflowPunct/>
        <w:topLinePunct w:val="0"/>
        <w:bidi w:val="0"/>
        <w:snapToGrid w:val="0"/>
        <w:spacing w:before="50" w:after="50" w:line="240" w:lineRule="auto"/>
        <w:ind w:firstLine="840" w:firstLineChars="400"/>
        <w:rPr>
          <w:rFonts w:hint="eastAsia" w:ascii="宋体" w:hAnsi="宋体" w:eastAsia="宋体" w:cs="宋体"/>
          <w:bCs/>
          <w:color w:val="auto"/>
          <w:sz w:val="21"/>
          <w:szCs w:val="21"/>
          <w:highlight w:val="none"/>
        </w:rPr>
      </w:pPr>
    </w:p>
    <w:p w14:paraId="30F02C6B">
      <w:pPr>
        <w:pageBreakBefore w:val="0"/>
        <w:kinsoku/>
        <w:overflowPunct/>
        <w:topLinePunct w:val="0"/>
        <w:bidi w:val="0"/>
        <w:snapToGrid w:val="0"/>
        <w:spacing w:before="120" w:beforeLines="50" w:after="5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8"/>
          <w:szCs w:val="28"/>
          <w:highlight w:val="none"/>
        </w:rPr>
        <w:t xml:space="preserve">  年  月  日</w:t>
      </w:r>
    </w:p>
    <w:p w14:paraId="55513755">
      <w:pPr>
        <w:rPr>
          <w:rFonts w:hint="eastAsia"/>
          <w:color w:val="auto"/>
        </w:rPr>
      </w:pPr>
      <w:r>
        <w:rPr>
          <w:rFonts w:hint="eastAsia" w:ascii="宋体" w:hAnsi="宋体" w:eastAsia="宋体" w:cs="宋体"/>
          <w:color w:val="auto"/>
          <w:sz w:val="21"/>
          <w:szCs w:val="21"/>
          <w:highlight w:val="none"/>
        </w:rPr>
        <w:br w:type="page"/>
      </w:r>
    </w:p>
    <w:p w14:paraId="32BAEA1B">
      <w:pPr>
        <w:pageBreakBefore w:val="0"/>
        <w:kinsoku/>
        <w:overflowPunct/>
        <w:topLinePunct w:val="0"/>
        <w:bidi w:val="0"/>
        <w:snapToGrid w:val="0"/>
        <w:spacing w:before="120" w:beforeLines="50" w:after="50" w:line="240" w:lineRule="auto"/>
        <w:jc w:val="left"/>
        <w:rPr>
          <w:rFonts w:hint="eastAsia" w:ascii="宋体" w:hAnsi="宋体" w:eastAsia="宋体" w:cs="宋体"/>
          <w:color w:val="auto"/>
          <w:sz w:val="30"/>
          <w:szCs w:val="30"/>
          <w:highlight w:val="none"/>
        </w:rPr>
      </w:pPr>
      <w:r>
        <w:rPr>
          <w:rFonts w:hint="eastAsia" w:ascii="宋体" w:hAnsi="宋体" w:eastAsia="宋体" w:cs="宋体"/>
          <w:b/>
          <w:color w:val="auto"/>
          <w:sz w:val="30"/>
          <w:szCs w:val="30"/>
          <w:highlight w:val="none"/>
        </w:rPr>
        <w:t>2.</w:t>
      </w:r>
      <w:r>
        <w:rPr>
          <w:rFonts w:hint="eastAsia" w:ascii="宋体" w:hAnsi="宋体" w:eastAsia="宋体" w:cs="宋体"/>
          <w:b/>
          <w:bCs/>
          <w:color w:val="auto"/>
          <w:sz w:val="30"/>
          <w:szCs w:val="30"/>
          <w:highlight w:val="none"/>
        </w:rPr>
        <w:t>报价文件目录</w:t>
      </w:r>
    </w:p>
    <w:p w14:paraId="4B1EE8A8">
      <w:pPr>
        <w:pageBreakBefore w:val="0"/>
        <w:kinsoku/>
        <w:overflowPunct/>
        <w:topLinePunct w:val="0"/>
        <w:bidi w:val="0"/>
        <w:snapToGrid w:val="0"/>
        <w:spacing w:before="50" w:after="120" w:afterLines="50" w:line="240" w:lineRule="auto"/>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根据</w:t>
      </w:r>
      <w:r>
        <w:rPr>
          <w:rFonts w:hint="eastAsia" w:ascii="宋体" w:hAnsi="宋体" w:cs="宋体"/>
          <w:color w:val="auto"/>
          <w:sz w:val="28"/>
          <w:szCs w:val="28"/>
          <w:highlight w:val="none"/>
          <w:lang w:eastAsia="zh-CN"/>
        </w:rPr>
        <w:t>采购</w:t>
      </w:r>
      <w:r>
        <w:rPr>
          <w:rFonts w:hint="eastAsia" w:ascii="宋体" w:hAnsi="宋体" w:eastAsia="宋体" w:cs="宋体"/>
          <w:color w:val="auto"/>
          <w:sz w:val="28"/>
          <w:szCs w:val="28"/>
          <w:highlight w:val="none"/>
        </w:rPr>
        <w:t>文件规定及投标人提供的材料自行编写目录。</w:t>
      </w:r>
    </w:p>
    <w:p w14:paraId="430CBD61">
      <w:pPr>
        <w:pageBreakBefore w:val="0"/>
        <w:kinsoku/>
        <w:overflowPunct/>
        <w:topLinePunct w:val="0"/>
        <w:bidi w:val="0"/>
        <w:snapToGrid w:val="0"/>
        <w:spacing w:before="120" w:beforeLines="50" w:after="50" w:line="240" w:lineRule="auto"/>
        <w:ind w:left="142"/>
        <w:jc w:val="lef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br w:type="page"/>
      </w:r>
      <w:r>
        <w:rPr>
          <w:rFonts w:hint="eastAsia" w:ascii="宋体" w:hAnsi="宋体" w:eastAsia="宋体" w:cs="宋体"/>
          <w:b/>
          <w:color w:val="auto"/>
          <w:sz w:val="30"/>
          <w:szCs w:val="30"/>
          <w:highlight w:val="none"/>
        </w:rPr>
        <w:t>3.投标函格式：</w:t>
      </w:r>
    </w:p>
    <w:p w14:paraId="7C80846A">
      <w:pPr>
        <w:pageBreakBefore w:val="0"/>
        <w:kinsoku/>
        <w:overflowPunct/>
        <w:topLinePunct w:val="0"/>
        <w:bidi w:val="0"/>
        <w:snapToGrid w:val="0"/>
        <w:spacing w:before="120" w:beforeLines="50" w:after="50" w:line="240" w:lineRule="auto"/>
        <w:jc w:val="center"/>
        <w:rPr>
          <w:rFonts w:hint="eastAsia" w:ascii="宋体" w:hAnsi="宋体" w:eastAsia="宋体" w:cs="宋体"/>
          <w:b/>
          <w:bCs w:val="0"/>
          <w:color w:val="auto"/>
          <w:sz w:val="28"/>
          <w:szCs w:val="28"/>
          <w:highlight w:val="none"/>
        </w:rPr>
      </w:pPr>
      <w:r>
        <w:rPr>
          <w:rFonts w:hint="eastAsia" w:ascii="宋体" w:hAnsi="宋体" w:eastAsia="宋体" w:cs="宋体"/>
          <w:b/>
          <w:bCs w:val="0"/>
          <w:color w:val="auto"/>
          <w:sz w:val="28"/>
          <w:szCs w:val="28"/>
          <w:highlight w:val="none"/>
        </w:rPr>
        <w:t>投 标 函</w:t>
      </w:r>
    </w:p>
    <w:p w14:paraId="79B79CD8">
      <w:pPr>
        <w:pageBreakBefore w:val="0"/>
        <w:kinsoku/>
        <w:overflowPunct/>
        <w:topLinePunct w:val="0"/>
        <w:bidi w:val="0"/>
        <w:spacing w:line="240" w:lineRule="auto"/>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采购人名称</w:t>
      </w:r>
      <w:r>
        <w:rPr>
          <w:rFonts w:hint="eastAsia" w:ascii="宋体" w:hAnsi="宋体" w:eastAsia="宋体" w:cs="宋体"/>
          <w:color w:val="auto"/>
          <w:sz w:val="24"/>
          <w:szCs w:val="24"/>
          <w:highlight w:val="none"/>
        </w:rPr>
        <w:t>：</w:t>
      </w:r>
    </w:p>
    <w:p w14:paraId="6230D873">
      <w:pPr>
        <w:pageBreakBefore w:val="0"/>
        <w:kinsoku/>
        <w:overflowPunct/>
        <w:topLinePunct w:val="0"/>
        <w:bidi w:val="0"/>
        <w:spacing w:line="240" w:lineRule="auto"/>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根据贵方</w:t>
      </w:r>
      <w:r>
        <w:rPr>
          <w:rFonts w:hint="eastAsia" w:ascii="宋体" w:hAnsi="宋体" w:eastAsia="宋体" w:cs="宋体"/>
          <w:color w:val="auto"/>
          <w:sz w:val="24"/>
          <w:szCs w:val="24"/>
          <w:highlight w:val="none"/>
          <w:u w:val="single"/>
        </w:rPr>
        <w:t xml:space="preserve"> 项目名称</w:t>
      </w: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）的</w:t>
      </w:r>
      <w:r>
        <w:rPr>
          <w:rFonts w:hint="eastAsia" w:ascii="宋体" w:hAnsi="宋体" w:cs="宋体"/>
          <w:color w:val="auto"/>
          <w:sz w:val="24"/>
          <w:szCs w:val="24"/>
          <w:highlight w:val="none"/>
          <w:lang w:eastAsia="zh-CN"/>
        </w:rPr>
        <w:t>采购</w:t>
      </w:r>
      <w:r>
        <w:rPr>
          <w:rFonts w:hint="eastAsia" w:ascii="宋体" w:hAnsi="宋体" w:eastAsia="宋体" w:cs="宋体"/>
          <w:color w:val="auto"/>
          <w:sz w:val="24"/>
          <w:szCs w:val="24"/>
          <w:highlight w:val="none"/>
        </w:rPr>
        <w:t>公告，签字代表</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（姓名）经正式授权并代表投标人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（投标人名称）提交投标文件。</w:t>
      </w:r>
    </w:p>
    <w:p w14:paraId="7DF5DCDA">
      <w:pPr>
        <w:pageBreakBefore w:val="0"/>
        <w:kinsoku/>
        <w:overflowPunct/>
        <w:topLinePunct w:val="0"/>
        <w:bidi w:val="0"/>
        <w:spacing w:line="24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据此函，我方宣布同意如下：</w:t>
      </w:r>
    </w:p>
    <w:p w14:paraId="166DBEC9">
      <w:pPr>
        <w:pageBreakBefore w:val="0"/>
        <w:kinsoku/>
        <w:overflowPunct/>
        <w:topLinePunct w:val="0"/>
        <w:bidi w:val="0"/>
        <w:spacing w:line="24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1.我方已详细审查全部“</w:t>
      </w:r>
      <w:r>
        <w:rPr>
          <w:rFonts w:hint="eastAsia" w:ascii="宋体" w:hAnsi="宋体" w:cs="宋体"/>
          <w:color w:val="auto"/>
          <w:sz w:val="24"/>
          <w:szCs w:val="24"/>
          <w:highlight w:val="none"/>
          <w:lang w:eastAsia="zh-CN"/>
        </w:rPr>
        <w:t>采购</w:t>
      </w:r>
      <w:r>
        <w:rPr>
          <w:rFonts w:hint="eastAsia" w:ascii="宋体" w:hAnsi="宋体" w:eastAsia="宋体" w:cs="宋体"/>
          <w:color w:val="auto"/>
          <w:sz w:val="24"/>
          <w:szCs w:val="24"/>
          <w:highlight w:val="none"/>
        </w:rPr>
        <w:t>文件”，包括修改文件（如有的话）以及全部参考资料和有关附件，已经了解我方对于</w:t>
      </w:r>
      <w:r>
        <w:rPr>
          <w:rFonts w:hint="eastAsia" w:ascii="宋体" w:hAnsi="宋体" w:cs="宋体"/>
          <w:color w:val="auto"/>
          <w:sz w:val="24"/>
          <w:szCs w:val="24"/>
          <w:highlight w:val="none"/>
          <w:lang w:eastAsia="zh-CN"/>
        </w:rPr>
        <w:t>采购</w:t>
      </w:r>
      <w:r>
        <w:rPr>
          <w:rFonts w:hint="eastAsia" w:ascii="宋体" w:hAnsi="宋体" w:eastAsia="宋体" w:cs="宋体"/>
          <w:color w:val="auto"/>
          <w:sz w:val="24"/>
          <w:szCs w:val="24"/>
          <w:highlight w:val="none"/>
        </w:rPr>
        <w:t>文件、采购过程、采购结果有依法进行询问、质疑、投诉的权利及相关渠道和要求。</w:t>
      </w:r>
    </w:p>
    <w:p w14:paraId="13D6C4F9">
      <w:pPr>
        <w:pageBreakBefore w:val="0"/>
        <w:kinsoku/>
        <w:overflowPunct/>
        <w:topLinePunct w:val="0"/>
        <w:bidi w:val="0"/>
        <w:spacing w:line="24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2.我方在投标之前已经完全理解并接受</w:t>
      </w:r>
      <w:r>
        <w:rPr>
          <w:rFonts w:hint="eastAsia" w:ascii="宋体" w:hAnsi="宋体" w:cs="宋体"/>
          <w:color w:val="auto"/>
          <w:sz w:val="24"/>
          <w:szCs w:val="24"/>
          <w:highlight w:val="none"/>
          <w:lang w:eastAsia="zh-CN"/>
        </w:rPr>
        <w:t>采购</w:t>
      </w:r>
      <w:r>
        <w:rPr>
          <w:rFonts w:hint="eastAsia" w:ascii="宋体" w:hAnsi="宋体" w:eastAsia="宋体" w:cs="宋体"/>
          <w:color w:val="auto"/>
          <w:sz w:val="24"/>
          <w:szCs w:val="24"/>
          <w:highlight w:val="none"/>
        </w:rPr>
        <w:t>文件的各项规定和要求，对</w:t>
      </w:r>
      <w:r>
        <w:rPr>
          <w:rFonts w:hint="eastAsia" w:ascii="宋体" w:hAnsi="宋体" w:cs="宋体"/>
          <w:color w:val="auto"/>
          <w:sz w:val="24"/>
          <w:szCs w:val="24"/>
          <w:highlight w:val="none"/>
          <w:lang w:eastAsia="zh-CN"/>
        </w:rPr>
        <w:t>采购</w:t>
      </w:r>
      <w:r>
        <w:rPr>
          <w:rFonts w:hint="eastAsia" w:ascii="宋体" w:hAnsi="宋体" w:eastAsia="宋体" w:cs="宋体"/>
          <w:color w:val="auto"/>
          <w:sz w:val="24"/>
          <w:szCs w:val="24"/>
          <w:highlight w:val="none"/>
        </w:rPr>
        <w:t>文件的合理性、合法性不再有异议。</w:t>
      </w:r>
    </w:p>
    <w:p w14:paraId="456749E8">
      <w:pPr>
        <w:pageBreakBefore w:val="0"/>
        <w:kinsoku/>
        <w:overflowPunct/>
        <w:topLinePunct w:val="0"/>
        <w:bidi w:val="0"/>
        <w:spacing w:line="24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3.本投标有效期自投标截止之日起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47AAC6E7">
      <w:pPr>
        <w:pageBreakBefore w:val="0"/>
        <w:kinsoku/>
        <w:overflowPunct/>
        <w:topLinePunct w:val="0"/>
        <w:bidi w:val="0"/>
        <w:spacing w:line="24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4.如中标，本投标文件至本项目合同履行完毕止均保持有效，我方将按“</w:t>
      </w:r>
      <w:r>
        <w:rPr>
          <w:rFonts w:hint="eastAsia" w:ascii="宋体" w:hAnsi="宋体" w:cs="宋体"/>
          <w:color w:val="auto"/>
          <w:sz w:val="24"/>
          <w:szCs w:val="24"/>
          <w:highlight w:val="none"/>
          <w:lang w:eastAsia="zh-CN"/>
        </w:rPr>
        <w:t>采购</w:t>
      </w:r>
      <w:r>
        <w:rPr>
          <w:rFonts w:hint="eastAsia" w:ascii="宋体" w:hAnsi="宋体" w:eastAsia="宋体" w:cs="宋体"/>
          <w:color w:val="auto"/>
          <w:sz w:val="24"/>
          <w:szCs w:val="24"/>
          <w:highlight w:val="none"/>
        </w:rPr>
        <w:t>文件”及政府采购法律、法规的规定履行合同责任和义务。</w:t>
      </w:r>
    </w:p>
    <w:p w14:paraId="5FD2AA2C">
      <w:pPr>
        <w:pageBreakBefore w:val="0"/>
        <w:kinsoku/>
        <w:overflowPunct/>
        <w:topLinePunct w:val="0"/>
        <w:bidi w:val="0"/>
        <w:spacing w:line="24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5.我方同意按照贵方要求提供与投标有关的一切数据或者资料。</w:t>
      </w:r>
    </w:p>
    <w:p w14:paraId="0455C6CC">
      <w:pPr>
        <w:pageBreakBefore w:val="0"/>
        <w:kinsoku/>
        <w:overflowPunct/>
        <w:topLinePunct w:val="0"/>
        <w:bidi w:val="0"/>
        <w:spacing w:line="24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6.我方向贵方提交的所有投标文件、资料都是准确的和真实的。</w:t>
      </w:r>
    </w:p>
    <w:p w14:paraId="79051FDE">
      <w:pPr>
        <w:pageBreakBefore w:val="0"/>
        <w:kinsoku/>
        <w:overflowPunct/>
        <w:topLinePunct w:val="0"/>
        <w:bidi w:val="0"/>
        <w:spacing w:line="24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7.以上事项如有虚假或者隐瞒，我方愿意承担一切后果，并不再寻求任何旨在减轻或者免除法律责任的辩解。</w:t>
      </w:r>
    </w:p>
    <w:p w14:paraId="07796EAE">
      <w:pPr>
        <w:pageBreakBefore w:val="0"/>
        <w:kinsoku/>
        <w:overflowPunct/>
        <w:topLinePunct w:val="0"/>
        <w:bidi w:val="0"/>
        <w:spacing w:line="24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根据《中华人民共和国政府采购法实施条例》第五十条要求对政府采购合同进行公告，但政府采购合同中涉及国家秘密、商业秘密的内容除外。我方就对本次投标文件进行注明如下：（两项内容中必须选择一项）</w:t>
      </w:r>
    </w:p>
    <w:p w14:paraId="2BDA9D7A">
      <w:pPr>
        <w:pageBreakBefore w:val="0"/>
        <w:kinsoku/>
        <w:overflowPunct/>
        <w:topLinePunct w:val="0"/>
        <w:bidi w:val="0"/>
        <w:spacing w:line="24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□我方本次投标文件</w:t>
      </w:r>
      <w:r>
        <w:rPr>
          <w:rFonts w:hint="eastAsia" w:ascii="宋体" w:hAnsi="宋体" w:eastAsia="宋体" w:cs="宋体"/>
          <w:color w:val="auto"/>
          <w:kern w:val="0"/>
          <w:sz w:val="24"/>
          <w:szCs w:val="24"/>
          <w:highlight w:val="none"/>
        </w:rPr>
        <w:t>内容中</w:t>
      </w:r>
      <w:r>
        <w:rPr>
          <w:rFonts w:hint="eastAsia" w:ascii="宋体" w:hAnsi="宋体" w:eastAsia="宋体" w:cs="宋体"/>
          <w:color w:val="auto"/>
          <w:sz w:val="24"/>
          <w:szCs w:val="24"/>
          <w:highlight w:val="none"/>
        </w:rPr>
        <w:t>未</w:t>
      </w:r>
      <w:r>
        <w:rPr>
          <w:rFonts w:hint="eastAsia" w:ascii="宋体" w:hAnsi="宋体" w:eastAsia="宋体" w:cs="宋体"/>
          <w:color w:val="auto"/>
          <w:kern w:val="0"/>
          <w:sz w:val="24"/>
          <w:szCs w:val="24"/>
          <w:highlight w:val="none"/>
        </w:rPr>
        <w:t>涉及商业秘密；</w:t>
      </w:r>
    </w:p>
    <w:p w14:paraId="38AFE70F">
      <w:pPr>
        <w:pageBreakBefore w:val="0"/>
        <w:kinsoku/>
        <w:overflowPunct/>
        <w:topLinePunct w:val="0"/>
        <w:bidi w:val="0"/>
        <w:spacing w:line="24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□我方本次投标文件</w:t>
      </w:r>
      <w:r>
        <w:rPr>
          <w:rFonts w:hint="eastAsia" w:ascii="宋体" w:hAnsi="宋体" w:eastAsia="宋体" w:cs="宋体"/>
          <w:color w:val="auto"/>
          <w:kern w:val="0"/>
          <w:sz w:val="24"/>
          <w:szCs w:val="24"/>
          <w:highlight w:val="none"/>
        </w:rPr>
        <w:t>涉及商业秘密的内容有：</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w:t>
      </w:r>
    </w:p>
    <w:p w14:paraId="38995776">
      <w:pPr>
        <w:pageBreakBefore w:val="0"/>
        <w:kinsoku/>
        <w:overflowPunct/>
        <w:topLinePunct w:val="0"/>
        <w:bidi w:val="0"/>
        <w:spacing w:line="24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9.与本投标有关的一切正式往来信函请寄：</w:t>
      </w:r>
    </w:p>
    <w:p w14:paraId="34F8F8D4">
      <w:pPr>
        <w:pageBreakBefore w:val="0"/>
        <w:kinsoku/>
        <w:overflowPunct/>
        <w:topLinePunct w:val="0"/>
        <w:bidi w:val="0"/>
        <w:spacing w:line="240" w:lineRule="auto"/>
        <w:ind w:firstLine="480" w:firstLineChars="200"/>
        <w:contextualSpacing/>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邮编：</w:t>
      </w:r>
      <w:r>
        <w:rPr>
          <w:rFonts w:hint="eastAsia" w:ascii="宋体" w:hAnsi="宋体" w:eastAsia="宋体" w:cs="宋体"/>
          <w:color w:val="auto"/>
          <w:sz w:val="24"/>
          <w:szCs w:val="24"/>
          <w:highlight w:val="none"/>
          <w:u w:val="single"/>
        </w:rPr>
        <w:t xml:space="preserve">            </w:t>
      </w:r>
    </w:p>
    <w:p w14:paraId="507EA323">
      <w:pPr>
        <w:pageBreakBefore w:val="0"/>
        <w:kinsoku/>
        <w:overflowPunct/>
        <w:topLinePunct w:val="0"/>
        <w:bidi w:val="0"/>
        <w:spacing w:line="24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传真：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电子邮箱：</w:t>
      </w:r>
      <w:r>
        <w:rPr>
          <w:rFonts w:hint="eastAsia" w:ascii="宋体" w:hAnsi="宋体" w:eastAsia="宋体" w:cs="宋体"/>
          <w:color w:val="auto"/>
          <w:sz w:val="24"/>
          <w:szCs w:val="24"/>
          <w:highlight w:val="none"/>
          <w:u w:val="single"/>
        </w:rPr>
        <w:t xml:space="preserve">         </w:t>
      </w:r>
    </w:p>
    <w:p w14:paraId="245623F3">
      <w:pPr>
        <w:pageBreakBefore w:val="0"/>
        <w:kinsoku/>
        <w:overflowPunct/>
        <w:topLinePunct w:val="0"/>
        <w:bidi w:val="0"/>
        <w:spacing w:line="24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rPr>
        <w:t xml:space="preserve">                </w:t>
      </w:r>
    </w:p>
    <w:p w14:paraId="57E2E170">
      <w:pPr>
        <w:pageBreakBefore w:val="0"/>
        <w:kinsoku/>
        <w:overflowPunct/>
        <w:topLinePunct w:val="0"/>
        <w:bidi w:val="0"/>
        <w:spacing w:line="24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银行帐号：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7220C819">
      <w:pPr>
        <w:pStyle w:val="11"/>
        <w:pageBreakBefore w:val="0"/>
        <w:kinsoku/>
        <w:overflowPunct/>
        <w:topLinePunct w:val="0"/>
        <w:bidi w:val="0"/>
        <w:spacing w:line="240" w:lineRule="auto"/>
        <w:rPr>
          <w:rFonts w:hint="eastAsia" w:ascii="宋体" w:hAnsi="宋体" w:eastAsia="宋体" w:cs="宋体"/>
          <w:color w:val="auto"/>
          <w:sz w:val="24"/>
          <w:szCs w:val="24"/>
          <w:highlight w:val="none"/>
        </w:rPr>
      </w:pPr>
    </w:p>
    <w:p w14:paraId="249727F6">
      <w:pPr>
        <w:pageBreakBefore w:val="0"/>
        <w:kinsoku/>
        <w:overflowPunct/>
        <w:topLinePunct w:val="0"/>
        <w:bidi w:val="0"/>
        <w:spacing w:line="24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法定代表人或者委托代理人（签名）</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_______ </w:t>
      </w:r>
    </w:p>
    <w:p w14:paraId="3C3C2CC6">
      <w:pPr>
        <w:pStyle w:val="14"/>
        <w:pageBreakBefore w:val="0"/>
        <w:kinsoku/>
        <w:overflowPunct/>
        <w:topLinePunct w:val="0"/>
        <w:bidi w:val="0"/>
        <w:spacing w:line="240" w:lineRule="auto"/>
        <w:contextualSpacing/>
        <w:jc w:val="center"/>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投标人名称（公章）：</w:t>
      </w:r>
    </w:p>
    <w:p w14:paraId="41EF34C1">
      <w:pPr>
        <w:pStyle w:val="14"/>
        <w:pageBreakBefore w:val="0"/>
        <w:kinsoku/>
        <w:overflowPunct/>
        <w:topLinePunct w:val="0"/>
        <w:bidi w:val="0"/>
        <w:spacing w:line="240" w:lineRule="auto"/>
        <w:contextualSpacing/>
        <w:rPr>
          <w:rFonts w:hint="eastAsia" w:ascii="宋体" w:hAnsi="宋体" w:eastAsia="宋体" w:cs="宋体"/>
          <w:color w:val="auto"/>
          <w:sz w:val="21"/>
          <w:szCs w:val="21"/>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6D575B41">
      <w:pPr>
        <w:pageBreakBefore w:val="0"/>
        <w:kinsoku/>
        <w:overflowPunct/>
        <w:topLinePunct w:val="0"/>
        <w:bidi w:val="0"/>
        <w:snapToGrid w:val="0"/>
        <w:spacing w:before="120" w:beforeLines="50" w:after="50" w:line="240" w:lineRule="auto"/>
        <w:jc w:val="left"/>
        <w:rPr>
          <w:rFonts w:hint="eastAsia" w:ascii="宋体" w:hAnsi="宋体" w:eastAsia="宋体" w:cs="宋体"/>
          <w:b/>
          <w:color w:val="auto"/>
          <w:sz w:val="21"/>
          <w:szCs w:val="21"/>
          <w:highlight w:val="none"/>
          <w:lang w:eastAsia="zh-CN"/>
        </w:rPr>
      </w:pPr>
      <w:r>
        <w:rPr>
          <w:rFonts w:hint="eastAsia"/>
          <w:color w:val="auto"/>
          <w:lang w:val="en-US" w:eastAsia="zh-CN"/>
        </w:rPr>
        <w:br w:type="page"/>
      </w:r>
      <w:r>
        <w:rPr>
          <w:rFonts w:hint="eastAsia" w:ascii="宋体" w:hAnsi="宋体" w:eastAsia="宋体" w:cs="宋体"/>
          <w:b/>
          <w:color w:val="auto"/>
          <w:sz w:val="30"/>
          <w:szCs w:val="30"/>
          <w:highlight w:val="none"/>
        </w:rPr>
        <w:t>4.</w:t>
      </w:r>
      <w:r>
        <w:rPr>
          <w:rFonts w:hint="eastAsia" w:ascii="宋体" w:hAnsi="宋体" w:eastAsia="宋体" w:cs="宋体"/>
          <w:b/>
          <w:color w:val="auto"/>
          <w:sz w:val="30"/>
          <w:szCs w:val="30"/>
          <w:highlight w:val="none"/>
          <w:lang w:eastAsia="zh-CN"/>
        </w:rPr>
        <w:t>开标一览表</w:t>
      </w:r>
    </w:p>
    <w:p w14:paraId="42307F0C">
      <w:pPr>
        <w:pageBreakBefore w:val="0"/>
        <w:kinsoku/>
        <w:overflowPunct/>
        <w:topLinePunct w:val="0"/>
        <w:bidi w:val="0"/>
        <w:snapToGrid w:val="0"/>
        <w:spacing w:before="50" w:after="50" w:line="240" w:lineRule="auto"/>
        <w:jc w:val="center"/>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t>开标一览表</w:t>
      </w:r>
    </w:p>
    <w:p w14:paraId="5ED9A3A3">
      <w:pPr>
        <w:pageBreakBefore w:val="0"/>
        <w:kinsoku/>
        <w:overflowPunct/>
        <w:topLinePunct w:val="0"/>
        <w:bidi w:val="0"/>
        <w:snapToGrid w:val="0"/>
        <w:spacing w:before="50" w:after="50" w:line="240" w:lineRule="auto"/>
        <w:jc w:val="center"/>
        <w:rPr>
          <w:rFonts w:hint="eastAsia" w:ascii="宋体" w:hAnsi="宋体" w:eastAsia="宋体" w:cs="宋体"/>
          <w:b/>
          <w:color w:val="auto"/>
          <w:sz w:val="21"/>
          <w:szCs w:val="21"/>
          <w:highlight w:val="none"/>
        </w:rPr>
      </w:pPr>
    </w:p>
    <w:p w14:paraId="352E8C1F">
      <w:pPr>
        <w:pageBreakBefore w:val="0"/>
        <w:kinsoku/>
        <w:overflowPunct/>
        <w:topLinePunct w:val="0"/>
        <w:bidi w:val="0"/>
        <w:snapToGrid w:val="0"/>
        <w:spacing w:before="50" w:after="50" w:line="24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项目名称：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项目编号：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分标：</w:t>
      </w:r>
      <w:r>
        <w:rPr>
          <w:rFonts w:hint="eastAsia" w:ascii="宋体" w:hAnsi="宋体" w:eastAsia="宋体" w:cs="宋体"/>
          <w:color w:val="auto"/>
          <w:sz w:val="21"/>
          <w:szCs w:val="21"/>
          <w:highlight w:val="none"/>
          <w:u w:val="single"/>
        </w:rPr>
        <w:t xml:space="preserve">      </w:t>
      </w:r>
    </w:p>
    <w:p w14:paraId="6A19551B">
      <w:pPr>
        <w:pageBreakBefore w:val="0"/>
        <w:kinsoku/>
        <w:overflowPunct/>
        <w:topLinePunct w:val="0"/>
        <w:bidi w:val="0"/>
        <w:snapToGrid w:val="0"/>
        <w:spacing w:before="50" w:after="50"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投标人名称：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单位：</w:t>
      </w:r>
      <w:r>
        <w:rPr>
          <w:rFonts w:hint="eastAsia" w:ascii="宋体" w:hAnsi="宋体" w:cs="宋体"/>
          <w:color w:val="auto"/>
          <w:sz w:val="21"/>
          <w:szCs w:val="21"/>
          <w:highlight w:val="none"/>
          <w:lang w:val="en-US" w:eastAsia="zh-CN"/>
        </w:rPr>
        <w:t>元</w:t>
      </w:r>
    </w:p>
    <w:tbl>
      <w:tblPr>
        <w:tblStyle w:val="20"/>
        <w:tblW w:w="9520"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2"/>
        <w:gridCol w:w="2712"/>
        <w:gridCol w:w="1521"/>
        <w:gridCol w:w="1418"/>
        <w:gridCol w:w="1673"/>
        <w:gridCol w:w="1184"/>
      </w:tblGrid>
      <w:tr w14:paraId="560E4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1012" w:type="dxa"/>
            <w:tcBorders>
              <w:top w:val="single" w:color="auto" w:sz="4" w:space="0"/>
              <w:left w:val="single" w:color="auto" w:sz="4" w:space="0"/>
              <w:bottom w:val="single" w:color="auto" w:sz="4" w:space="0"/>
              <w:right w:val="single" w:color="auto" w:sz="4" w:space="0"/>
            </w:tcBorders>
            <w:vAlign w:val="center"/>
          </w:tcPr>
          <w:p w14:paraId="64D26E08">
            <w:pPr>
              <w:pageBreakBefore w:val="0"/>
              <w:kinsoku/>
              <w:overflowPunct/>
              <w:topLinePunct w:val="0"/>
              <w:bidi w:val="0"/>
              <w:spacing w:line="240" w:lineRule="auto"/>
              <w:jc w:val="center"/>
              <w:rPr>
                <w:rFonts w:hint="eastAsia" w:ascii="宋体" w:hAnsi="宋体" w:cs="宋体"/>
                <w:color w:val="auto"/>
                <w:sz w:val="24"/>
              </w:rPr>
            </w:pPr>
            <w:r>
              <w:rPr>
                <w:rFonts w:hint="eastAsia" w:ascii="宋体" w:hAnsi="宋体" w:cs="宋体"/>
                <w:color w:val="auto"/>
                <w:sz w:val="24"/>
              </w:rPr>
              <w:t>序号</w:t>
            </w:r>
          </w:p>
        </w:tc>
        <w:tc>
          <w:tcPr>
            <w:tcW w:w="2712" w:type="dxa"/>
            <w:tcBorders>
              <w:top w:val="single" w:color="auto" w:sz="4" w:space="0"/>
              <w:left w:val="single" w:color="auto" w:sz="4" w:space="0"/>
              <w:bottom w:val="single" w:color="auto" w:sz="4" w:space="0"/>
              <w:right w:val="single" w:color="auto" w:sz="4" w:space="0"/>
            </w:tcBorders>
            <w:vAlign w:val="center"/>
          </w:tcPr>
          <w:p w14:paraId="558D9CC1">
            <w:pPr>
              <w:pageBreakBefore w:val="0"/>
              <w:kinsoku/>
              <w:overflowPunct/>
              <w:topLinePunct w:val="0"/>
              <w:bidi w:val="0"/>
              <w:spacing w:line="240" w:lineRule="auto"/>
              <w:jc w:val="center"/>
              <w:rPr>
                <w:rFonts w:hint="eastAsia" w:ascii="宋体" w:hAnsi="宋体" w:cs="宋体"/>
                <w:color w:val="auto"/>
                <w:sz w:val="24"/>
              </w:rPr>
            </w:pPr>
            <w:r>
              <w:rPr>
                <w:rFonts w:hint="eastAsia" w:ascii="宋体" w:hAnsi="宋体" w:cs="宋体"/>
                <w:b/>
                <w:color w:val="auto"/>
                <w:sz w:val="24"/>
              </w:rPr>
              <w:t>标的的名称</w:t>
            </w:r>
          </w:p>
        </w:tc>
        <w:tc>
          <w:tcPr>
            <w:tcW w:w="1521" w:type="dxa"/>
            <w:tcBorders>
              <w:top w:val="single" w:color="auto" w:sz="4" w:space="0"/>
              <w:left w:val="single" w:color="auto" w:sz="4" w:space="0"/>
              <w:bottom w:val="single" w:color="auto" w:sz="4" w:space="0"/>
              <w:right w:val="single" w:color="auto" w:sz="4" w:space="0"/>
            </w:tcBorders>
            <w:vAlign w:val="center"/>
          </w:tcPr>
          <w:p w14:paraId="4A3642EE">
            <w:pPr>
              <w:pageBreakBefore w:val="0"/>
              <w:kinsoku/>
              <w:overflowPunct/>
              <w:topLinePunct w:val="0"/>
              <w:bidi w:val="0"/>
              <w:spacing w:line="240" w:lineRule="auto"/>
              <w:jc w:val="center"/>
              <w:rPr>
                <w:rFonts w:hint="eastAsia" w:ascii="宋体" w:hAnsi="宋体" w:cs="宋体"/>
                <w:color w:val="auto"/>
                <w:sz w:val="24"/>
              </w:rPr>
            </w:pPr>
            <w:r>
              <w:rPr>
                <w:rFonts w:hint="eastAsia" w:ascii="宋体" w:hAnsi="宋体" w:cs="宋体"/>
                <w:color w:val="auto"/>
                <w:sz w:val="24"/>
              </w:rPr>
              <w:t>数量及单位</w:t>
            </w:r>
          </w:p>
        </w:tc>
        <w:tc>
          <w:tcPr>
            <w:tcW w:w="1418" w:type="dxa"/>
            <w:tcBorders>
              <w:top w:val="single" w:color="auto" w:sz="4" w:space="0"/>
              <w:left w:val="single" w:color="auto" w:sz="4" w:space="0"/>
              <w:bottom w:val="single" w:color="auto" w:sz="4" w:space="0"/>
              <w:right w:val="single" w:color="auto" w:sz="4" w:space="0"/>
            </w:tcBorders>
            <w:vAlign w:val="center"/>
          </w:tcPr>
          <w:p w14:paraId="06AFA709">
            <w:pPr>
              <w:pageBreakBefore w:val="0"/>
              <w:kinsoku/>
              <w:overflowPunct/>
              <w:topLinePunct w:val="0"/>
              <w:bidi w:val="0"/>
              <w:spacing w:line="240" w:lineRule="auto"/>
              <w:jc w:val="center"/>
              <w:rPr>
                <w:rFonts w:hint="eastAsia" w:ascii="宋体" w:hAnsi="宋体" w:cs="宋体"/>
                <w:color w:val="auto"/>
                <w:sz w:val="24"/>
              </w:rPr>
            </w:pPr>
            <w:r>
              <w:rPr>
                <w:rFonts w:hint="eastAsia" w:ascii="宋体" w:hAnsi="宋体" w:cs="宋体"/>
                <w:color w:val="auto"/>
                <w:sz w:val="24"/>
              </w:rPr>
              <w:t>单价</w:t>
            </w:r>
          </w:p>
        </w:tc>
        <w:tc>
          <w:tcPr>
            <w:tcW w:w="1673" w:type="dxa"/>
            <w:tcBorders>
              <w:top w:val="single" w:color="auto" w:sz="4" w:space="0"/>
              <w:left w:val="single" w:color="auto" w:sz="4" w:space="0"/>
              <w:bottom w:val="single" w:color="auto" w:sz="4" w:space="0"/>
              <w:right w:val="single" w:color="auto" w:sz="4" w:space="0"/>
            </w:tcBorders>
            <w:vAlign w:val="center"/>
          </w:tcPr>
          <w:p w14:paraId="779BD984">
            <w:pPr>
              <w:pageBreakBefore w:val="0"/>
              <w:kinsoku/>
              <w:overflowPunct/>
              <w:topLinePunct w:val="0"/>
              <w:bidi w:val="0"/>
              <w:spacing w:line="240" w:lineRule="auto"/>
              <w:jc w:val="center"/>
              <w:rPr>
                <w:rFonts w:hint="eastAsia" w:ascii="宋体" w:hAnsi="宋体" w:cs="宋体"/>
                <w:color w:val="auto"/>
                <w:sz w:val="24"/>
              </w:rPr>
            </w:pPr>
            <w:r>
              <w:rPr>
                <w:rFonts w:hint="eastAsia" w:ascii="宋体" w:hAnsi="宋体" w:cs="宋体"/>
                <w:color w:val="auto"/>
                <w:sz w:val="24"/>
              </w:rPr>
              <w:t>总价</w:t>
            </w:r>
          </w:p>
        </w:tc>
        <w:tc>
          <w:tcPr>
            <w:tcW w:w="1184" w:type="dxa"/>
            <w:tcBorders>
              <w:top w:val="single" w:color="auto" w:sz="4" w:space="0"/>
              <w:left w:val="single" w:color="auto" w:sz="4" w:space="0"/>
              <w:bottom w:val="single" w:color="auto" w:sz="4" w:space="0"/>
              <w:right w:val="single" w:color="auto" w:sz="4" w:space="0"/>
            </w:tcBorders>
            <w:vAlign w:val="center"/>
          </w:tcPr>
          <w:p w14:paraId="14805BB7">
            <w:pPr>
              <w:pageBreakBefore w:val="0"/>
              <w:kinsoku/>
              <w:overflowPunct/>
              <w:topLinePunct w:val="0"/>
              <w:bidi w:val="0"/>
              <w:spacing w:line="240" w:lineRule="auto"/>
              <w:jc w:val="center"/>
              <w:rPr>
                <w:rFonts w:hint="eastAsia" w:ascii="宋体" w:hAnsi="宋体" w:cs="宋体"/>
                <w:color w:val="auto"/>
                <w:sz w:val="24"/>
              </w:rPr>
            </w:pPr>
            <w:r>
              <w:rPr>
                <w:rFonts w:hint="eastAsia" w:ascii="宋体" w:hAnsi="宋体" w:cs="宋体"/>
                <w:color w:val="auto"/>
                <w:sz w:val="24"/>
              </w:rPr>
              <w:t>备注</w:t>
            </w:r>
          </w:p>
        </w:tc>
      </w:tr>
      <w:tr w14:paraId="3BDEC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right"/>
        </w:trPr>
        <w:tc>
          <w:tcPr>
            <w:tcW w:w="1012" w:type="dxa"/>
            <w:tcBorders>
              <w:top w:val="single" w:color="auto" w:sz="4" w:space="0"/>
              <w:left w:val="single" w:color="auto" w:sz="4" w:space="0"/>
              <w:bottom w:val="single" w:color="auto" w:sz="4" w:space="0"/>
              <w:right w:val="single" w:color="auto" w:sz="4" w:space="0"/>
            </w:tcBorders>
            <w:vAlign w:val="center"/>
          </w:tcPr>
          <w:p w14:paraId="5D7FB938">
            <w:pPr>
              <w:pageBreakBefore w:val="0"/>
              <w:kinsoku/>
              <w:overflowPunct/>
              <w:topLinePunct w:val="0"/>
              <w:bidi w:val="0"/>
              <w:spacing w:line="240" w:lineRule="auto"/>
              <w:jc w:val="center"/>
              <w:rPr>
                <w:rFonts w:hint="eastAsia" w:ascii="宋体" w:hAnsi="宋体" w:cs="宋体"/>
                <w:color w:val="auto"/>
                <w:sz w:val="24"/>
              </w:rPr>
            </w:pPr>
            <w:r>
              <w:rPr>
                <w:rFonts w:hint="eastAsia" w:ascii="宋体" w:hAnsi="宋体" w:cs="宋体"/>
                <w:color w:val="auto"/>
                <w:sz w:val="24"/>
              </w:rPr>
              <w:t>1</w:t>
            </w:r>
          </w:p>
        </w:tc>
        <w:tc>
          <w:tcPr>
            <w:tcW w:w="2712" w:type="dxa"/>
            <w:tcBorders>
              <w:top w:val="single" w:color="auto" w:sz="4" w:space="0"/>
              <w:left w:val="single" w:color="auto" w:sz="4" w:space="0"/>
              <w:bottom w:val="single" w:color="auto" w:sz="4" w:space="0"/>
              <w:right w:val="single" w:color="auto" w:sz="4" w:space="0"/>
            </w:tcBorders>
            <w:vAlign w:val="center"/>
          </w:tcPr>
          <w:p w14:paraId="765D3F36">
            <w:pPr>
              <w:pageBreakBefore w:val="0"/>
              <w:kinsoku/>
              <w:overflowPunct/>
              <w:topLinePunct w:val="0"/>
              <w:bidi w:val="0"/>
              <w:spacing w:line="240" w:lineRule="auto"/>
              <w:jc w:val="center"/>
              <w:rPr>
                <w:rFonts w:hint="eastAsia" w:ascii="宋体" w:hAnsi="宋体" w:cs="宋体"/>
                <w:color w:val="auto"/>
                <w:sz w:val="24"/>
              </w:rPr>
            </w:pPr>
          </w:p>
        </w:tc>
        <w:tc>
          <w:tcPr>
            <w:tcW w:w="1521" w:type="dxa"/>
            <w:tcBorders>
              <w:top w:val="single" w:color="auto" w:sz="4" w:space="0"/>
              <w:left w:val="single" w:color="auto" w:sz="4" w:space="0"/>
              <w:bottom w:val="single" w:color="auto" w:sz="4" w:space="0"/>
              <w:right w:val="single" w:color="auto" w:sz="4" w:space="0"/>
            </w:tcBorders>
            <w:vAlign w:val="center"/>
          </w:tcPr>
          <w:p w14:paraId="45C0F2C4">
            <w:pPr>
              <w:pageBreakBefore w:val="0"/>
              <w:kinsoku/>
              <w:overflowPunct/>
              <w:topLinePunct w:val="0"/>
              <w:bidi w:val="0"/>
              <w:spacing w:line="240" w:lineRule="auto"/>
              <w:rPr>
                <w:rFonts w:hint="eastAsia" w:ascii="宋体" w:hAnsi="宋体" w:cs="宋体"/>
                <w:color w:val="auto"/>
                <w:sz w:val="24"/>
              </w:rPr>
            </w:pPr>
          </w:p>
        </w:tc>
        <w:tc>
          <w:tcPr>
            <w:tcW w:w="1418" w:type="dxa"/>
            <w:tcBorders>
              <w:top w:val="single" w:color="auto" w:sz="4" w:space="0"/>
              <w:left w:val="single" w:color="auto" w:sz="4" w:space="0"/>
              <w:bottom w:val="single" w:color="auto" w:sz="4" w:space="0"/>
              <w:right w:val="single" w:color="auto" w:sz="4" w:space="0"/>
            </w:tcBorders>
          </w:tcPr>
          <w:p w14:paraId="058874B6">
            <w:pPr>
              <w:pageBreakBefore w:val="0"/>
              <w:kinsoku/>
              <w:overflowPunct/>
              <w:topLinePunct w:val="0"/>
              <w:bidi w:val="0"/>
              <w:spacing w:line="240" w:lineRule="auto"/>
              <w:rPr>
                <w:rFonts w:hint="eastAsia" w:ascii="宋体" w:hAnsi="宋体" w:cs="宋体"/>
                <w:color w:val="auto"/>
                <w:sz w:val="24"/>
              </w:rPr>
            </w:pPr>
          </w:p>
        </w:tc>
        <w:tc>
          <w:tcPr>
            <w:tcW w:w="1673" w:type="dxa"/>
            <w:tcBorders>
              <w:top w:val="single" w:color="auto" w:sz="4" w:space="0"/>
              <w:left w:val="single" w:color="auto" w:sz="4" w:space="0"/>
              <w:bottom w:val="single" w:color="auto" w:sz="4" w:space="0"/>
              <w:right w:val="single" w:color="auto" w:sz="4" w:space="0"/>
            </w:tcBorders>
          </w:tcPr>
          <w:p w14:paraId="462E3BC0">
            <w:pPr>
              <w:pageBreakBefore w:val="0"/>
              <w:kinsoku/>
              <w:overflowPunct/>
              <w:topLinePunct w:val="0"/>
              <w:bidi w:val="0"/>
              <w:spacing w:line="240" w:lineRule="auto"/>
              <w:rPr>
                <w:rFonts w:hint="eastAsia" w:ascii="宋体" w:hAnsi="宋体" w:cs="宋体"/>
                <w:color w:val="auto"/>
                <w:sz w:val="24"/>
              </w:rPr>
            </w:pPr>
          </w:p>
        </w:tc>
        <w:tc>
          <w:tcPr>
            <w:tcW w:w="1184" w:type="dxa"/>
            <w:tcBorders>
              <w:top w:val="single" w:color="auto" w:sz="4" w:space="0"/>
              <w:left w:val="single" w:color="auto" w:sz="4" w:space="0"/>
              <w:bottom w:val="single" w:color="auto" w:sz="4" w:space="0"/>
              <w:right w:val="single" w:color="auto" w:sz="4" w:space="0"/>
            </w:tcBorders>
            <w:vAlign w:val="center"/>
          </w:tcPr>
          <w:p w14:paraId="0B589ABB">
            <w:pPr>
              <w:pageBreakBefore w:val="0"/>
              <w:kinsoku/>
              <w:overflowPunct/>
              <w:topLinePunct w:val="0"/>
              <w:bidi w:val="0"/>
              <w:spacing w:line="240" w:lineRule="auto"/>
              <w:rPr>
                <w:rFonts w:hint="eastAsia" w:ascii="宋体" w:hAnsi="宋体" w:cs="宋体"/>
                <w:color w:val="auto"/>
                <w:sz w:val="24"/>
              </w:rPr>
            </w:pPr>
          </w:p>
        </w:tc>
      </w:tr>
      <w:tr w14:paraId="3498D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right"/>
        </w:trPr>
        <w:tc>
          <w:tcPr>
            <w:tcW w:w="1012" w:type="dxa"/>
            <w:tcBorders>
              <w:top w:val="single" w:color="auto" w:sz="4" w:space="0"/>
              <w:left w:val="single" w:color="auto" w:sz="4" w:space="0"/>
              <w:bottom w:val="single" w:color="auto" w:sz="4" w:space="0"/>
              <w:right w:val="single" w:color="auto" w:sz="4" w:space="0"/>
            </w:tcBorders>
            <w:vAlign w:val="center"/>
          </w:tcPr>
          <w:p w14:paraId="532BF9AB">
            <w:pPr>
              <w:pageBreakBefore w:val="0"/>
              <w:kinsoku/>
              <w:overflowPunct/>
              <w:topLinePunct w:val="0"/>
              <w:bidi w:val="0"/>
              <w:spacing w:line="240" w:lineRule="auto"/>
              <w:jc w:val="center"/>
              <w:rPr>
                <w:rFonts w:hint="eastAsia" w:ascii="宋体" w:hAnsi="宋体" w:cs="宋体"/>
                <w:color w:val="auto"/>
                <w:sz w:val="24"/>
              </w:rPr>
            </w:pPr>
            <w:r>
              <w:rPr>
                <w:rFonts w:hint="eastAsia" w:ascii="宋体" w:hAnsi="宋体" w:cs="宋体"/>
                <w:color w:val="auto"/>
                <w:sz w:val="24"/>
              </w:rPr>
              <w:t>2</w:t>
            </w:r>
          </w:p>
        </w:tc>
        <w:tc>
          <w:tcPr>
            <w:tcW w:w="2712" w:type="dxa"/>
            <w:tcBorders>
              <w:top w:val="single" w:color="auto" w:sz="4" w:space="0"/>
              <w:left w:val="single" w:color="auto" w:sz="4" w:space="0"/>
              <w:bottom w:val="single" w:color="auto" w:sz="4" w:space="0"/>
              <w:right w:val="single" w:color="auto" w:sz="4" w:space="0"/>
            </w:tcBorders>
            <w:vAlign w:val="center"/>
          </w:tcPr>
          <w:p w14:paraId="77C965DB">
            <w:pPr>
              <w:pageBreakBefore w:val="0"/>
              <w:kinsoku/>
              <w:overflowPunct/>
              <w:topLinePunct w:val="0"/>
              <w:bidi w:val="0"/>
              <w:spacing w:line="240" w:lineRule="auto"/>
              <w:jc w:val="center"/>
              <w:rPr>
                <w:rFonts w:hint="eastAsia" w:ascii="宋体" w:hAnsi="宋体" w:cs="宋体"/>
                <w:color w:val="auto"/>
                <w:sz w:val="24"/>
              </w:rPr>
            </w:pPr>
          </w:p>
        </w:tc>
        <w:tc>
          <w:tcPr>
            <w:tcW w:w="1521" w:type="dxa"/>
            <w:tcBorders>
              <w:top w:val="single" w:color="auto" w:sz="4" w:space="0"/>
              <w:left w:val="single" w:color="auto" w:sz="4" w:space="0"/>
              <w:bottom w:val="single" w:color="auto" w:sz="4" w:space="0"/>
              <w:right w:val="single" w:color="auto" w:sz="4" w:space="0"/>
            </w:tcBorders>
            <w:vAlign w:val="center"/>
          </w:tcPr>
          <w:p w14:paraId="1B599B51">
            <w:pPr>
              <w:pageBreakBefore w:val="0"/>
              <w:kinsoku/>
              <w:overflowPunct/>
              <w:topLinePunct w:val="0"/>
              <w:bidi w:val="0"/>
              <w:spacing w:line="240" w:lineRule="auto"/>
              <w:rPr>
                <w:rFonts w:hint="eastAsia" w:ascii="宋体" w:hAnsi="宋体" w:cs="宋体"/>
                <w:color w:val="auto"/>
                <w:sz w:val="24"/>
              </w:rPr>
            </w:pPr>
          </w:p>
        </w:tc>
        <w:tc>
          <w:tcPr>
            <w:tcW w:w="1418" w:type="dxa"/>
            <w:tcBorders>
              <w:top w:val="single" w:color="auto" w:sz="4" w:space="0"/>
              <w:left w:val="single" w:color="auto" w:sz="4" w:space="0"/>
              <w:bottom w:val="single" w:color="auto" w:sz="4" w:space="0"/>
              <w:right w:val="single" w:color="auto" w:sz="4" w:space="0"/>
            </w:tcBorders>
          </w:tcPr>
          <w:p w14:paraId="5767ECCF">
            <w:pPr>
              <w:pageBreakBefore w:val="0"/>
              <w:kinsoku/>
              <w:overflowPunct/>
              <w:topLinePunct w:val="0"/>
              <w:bidi w:val="0"/>
              <w:spacing w:line="240" w:lineRule="auto"/>
              <w:rPr>
                <w:rFonts w:hint="eastAsia" w:ascii="宋体" w:hAnsi="宋体" w:cs="宋体"/>
                <w:color w:val="auto"/>
                <w:sz w:val="24"/>
              </w:rPr>
            </w:pPr>
          </w:p>
        </w:tc>
        <w:tc>
          <w:tcPr>
            <w:tcW w:w="1673" w:type="dxa"/>
            <w:tcBorders>
              <w:top w:val="single" w:color="auto" w:sz="4" w:space="0"/>
              <w:left w:val="single" w:color="auto" w:sz="4" w:space="0"/>
              <w:bottom w:val="single" w:color="auto" w:sz="4" w:space="0"/>
              <w:right w:val="single" w:color="auto" w:sz="4" w:space="0"/>
            </w:tcBorders>
          </w:tcPr>
          <w:p w14:paraId="1B2B68F0">
            <w:pPr>
              <w:pageBreakBefore w:val="0"/>
              <w:kinsoku/>
              <w:overflowPunct/>
              <w:topLinePunct w:val="0"/>
              <w:bidi w:val="0"/>
              <w:spacing w:line="240" w:lineRule="auto"/>
              <w:rPr>
                <w:rFonts w:hint="eastAsia" w:ascii="宋体" w:hAnsi="宋体" w:cs="宋体"/>
                <w:color w:val="auto"/>
                <w:sz w:val="24"/>
              </w:rPr>
            </w:pPr>
          </w:p>
        </w:tc>
        <w:tc>
          <w:tcPr>
            <w:tcW w:w="1184" w:type="dxa"/>
            <w:tcBorders>
              <w:top w:val="single" w:color="auto" w:sz="4" w:space="0"/>
              <w:left w:val="single" w:color="auto" w:sz="4" w:space="0"/>
              <w:bottom w:val="single" w:color="auto" w:sz="4" w:space="0"/>
              <w:right w:val="single" w:color="auto" w:sz="4" w:space="0"/>
            </w:tcBorders>
            <w:vAlign w:val="center"/>
          </w:tcPr>
          <w:p w14:paraId="6646DAD4">
            <w:pPr>
              <w:pageBreakBefore w:val="0"/>
              <w:kinsoku/>
              <w:overflowPunct/>
              <w:topLinePunct w:val="0"/>
              <w:bidi w:val="0"/>
              <w:spacing w:line="240" w:lineRule="auto"/>
              <w:rPr>
                <w:rFonts w:hint="eastAsia" w:ascii="宋体" w:hAnsi="宋体" w:cs="宋体"/>
                <w:color w:val="auto"/>
                <w:sz w:val="24"/>
              </w:rPr>
            </w:pPr>
          </w:p>
        </w:tc>
      </w:tr>
      <w:tr w14:paraId="6CE10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7" w:hRule="atLeast"/>
          <w:jc w:val="right"/>
        </w:trPr>
        <w:tc>
          <w:tcPr>
            <w:tcW w:w="1012" w:type="dxa"/>
            <w:tcBorders>
              <w:top w:val="single" w:color="auto" w:sz="4" w:space="0"/>
              <w:left w:val="single" w:color="auto" w:sz="4" w:space="0"/>
              <w:bottom w:val="single" w:color="auto" w:sz="4" w:space="0"/>
              <w:right w:val="single" w:color="auto" w:sz="4" w:space="0"/>
            </w:tcBorders>
            <w:vAlign w:val="center"/>
          </w:tcPr>
          <w:p w14:paraId="5E4CF93E">
            <w:pPr>
              <w:pageBreakBefore w:val="0"/>
              <w:kinsoku/>
              <w:overflowPunct/>
              <w:topLinePunct w:val="0"/>
              <w:bidi w:val="0"/>
              <w:spacing w:line="240" w:lineRule="auto"/>
              <w:jc w:val="center"/>
              <w:rPr>
                <w:rFonts w:hint="eastAsia" w:ascii="宋体" w:hAnsi="宋体" w:cs="宋体"/>
                <w:color w:val="auto"/>
                <w:sz w:val="24"/>
              </w:rPr>
            </w:pPr>
            <w:r>
              <w:rPr>
                <w:rFonts w:hint="eastAsia" w:ascii="宋体" w:hAnsi="宋体" w:cs="宋体"/>
                <w:b/>
                <w:color w:val="auto"/>
                <w:sz w:val="24"/>
              </w:rPr>
              <w:t>……</w:t>
            </w:r>
          </w:p>
        </w:tc>
        <w:tc>
          <w:tcPr>
            <w:tcW w:w="2712" w:type="dxa"/>
            <w:tcBorders>
              <w:top w:val="single" w:color="auto" w:sz="4" w:space="0"/>
              <w:left w:val="single" w:color="auto" w:sz="4" w:space="0"/>
              <w:bottom w:val="single" w:color="auto" w:sz="4" w:space="0"/>
              <w:right w:val="single" w:color="auto" w:sz="4" w:space="0"/>
            </w:tcBorders>
            <w:vAlign w:val="center"/>
          </w:tcPr>
          <w:p w14:paraId="63B89003">
            <w:pPr>
              <w:pageBreakBefore w:val="0"/>
              <w:kinsoku/>
              <w:overflowPunct/>
              <w:topLinePunct w:val="0"/>
              <w:bidi w:val="0"/>
              <w:spacing w:line="240" w:lineRule="auto"/>
              <w:jc w:val="center"/>
              <w:rPr>
                <w:rFonts w:hint="eastAsia" w:ascii="宋体" w:hAnsi="宋体" w:cs="宋体"/>
                <w:color w:val="auto"/>
                <w:sz w:val="24"/>
              </w:rPr>
            </w:pPr>
            <w:r>
              <w:rPr>
                <w:rFonts w:hint="eastAsia" w:ascii="宋体" w:hAnsi="宋体" w:cs="宋体"/>
                <w:b/>
                <w:color w:val="auto"/>
                <w:sz w:val="24"/>
              </w:rPr>
              <w:t>……</w:t>
            </w:r>
          </w:p>
        </w:tc>
        <w:tc>
          <w:tcPr>
            <w:tcW w:w="1521" w:type="dxa"/>
            <w:tcBorders>
              <w:top w:val="single" w:color="auto" w:sz="4" w:space="0"/>
              <w:left w:val="single" w:color="auto" w:sz="4" w:space="0"/>
              <w:bottom w:val="single" w:color="auto" w:sz="4" w:space="0"/>
              <w:right w:val="single" w:color="auto" w:sz="4" w:space="0"/>
            </w:tcBorders>
            <w:vAlign w:val="center"/>
          </w:tcPr>
          <w:p w14:paraId="6D155D98">
            <w:pPr>
              <w:pageBreakBefore w:val="0"/>
              <w:kinsoku/>
              <w:overflowPunct/>
              <w:topLinePunct w:val="0"/>
              <w:bidi w:val="0"/>
              <w:spacing w:line="240" w:lineRule="auto"/>
              <w:rPr>
                <w:rFonts w:hint="eastAsia" w:ascii="宋体" w:hAnsi="宋体" w:cs="宋体"/>
                <w:color w:val="auto"/>
                <w:sz w:val="24"/>
              </w:rPr>
            </w:pPr>
          </w:p>
        </w:tc>
        <w:tc>
          <w:tcPr>
            <w:tcW w:w="1418" w:type="dxa"/>
            <w:tcBorders>
              <w:top w:val="single" w:color="auto" w:sz="4" w:space="0"/>
              <w:left w:val="single" w:color="auto" w:sz="4" w:space="0"/>
              <w:bottom w:val="single" w:color="auto" w:sz="4" w:space="0"/>
              <w:right w:val="single" w:color="auto" w:sz="4" w:space="0"/>
            </w:tcBorders>
          </w:tcPr>
          <w:p w14:paraId="4330AB36">
            <w:pPr>
              <w:pageBreakBefore w:val="0"/>
              <w:kinsoku/>
              <w:overflowPunct/>
              <w:topLinePunct w:val="0"/>
              <w:bidi w:val="0"/>
              <w:spacing w:line="240" w:lineRule="auto"/>
              <w:rPr>
                <w:rFonts w:hint="eastAsia" w:ascii="宋体" w:hAnsi="宋体" w:cs="宋体"/>
                <w:color w:val="auto"/>
                <w:sz w:val="24"/>
              </w:rPr>
            </w:pPr>
          </w:p>
        </w:tc>
        <w:tc>
          <w:tcPr>
            <w:tcW w:w="1673" w:type="dxa"/>
            <w:tcBorders>
              <w:top w:val="single" w:color="auto" w:sz="4" w:space="0"/>
              <w:left w:val="single" w:color="auto" w:sz="4" w:space="0"/>
              <w:bottom w:val="single" w:color="auto" w:sz="4" w:space="0"/>
              <w:right w:val="single" w:color="auto" w:sz="4" w:space="0"/>
            </w:tcBorders>
          </w:tcPr>
          <w:p w14:paraId="55084728">
            <w:pPr>
              <w:pageBreakBefore w:val="0"/>
              <w:kinsoku/>
              <w:overflowPunct/>
              <w:topLinePunct w:val="0"/>
              <w:bidi w:val="0"/>
              <w:spacing w:line="240" w:lineRule="auto"/>
              <w:rPr>
                <w:rFonts w:hint="eastAsia" w:ascii="宋体" w:hAnsi="宋体" w:cs="宋体"/>
                <w:color w:val="auto"/>
                <w:sz w:val="24"/>
              </w:rPr>
            </w:pPr>
          </w:p>
        </w:tc>
        <w:tc>
          <w:tcPr>
            <w:tcW w:w="1184" w:type="dxa"/>
            <w:tcBorders>
              <w:top w:val="single" w:color="auto" w:sz="4" w:space="0"/>
              <w:left w:val="single" w:color="auto" w:sz="4" w:space="0"/>
              <w:bottom w:val="single" w:color="auto" w:sz="4" w:space="0"/>
              <w:right w:val="single" w:color="auto" w:sz="4" w:space="0"/>
            </w:tcBorders>
            <w:vAlign w:val="center"/>
          </w:tcPr>
          <w:p w14:paraId="0A4F5DE7">
            <w:pPr>
              <w:pageBreakBefore w:val="0"/>
              <w:kinsoku/>
              <w:overflowPunct/>
              <w:topLinePunct w:val="0"/>
              <w:bidi w:val="0"/>
              <w:spacing w:line="240" w:lineRule="auto"/>
              <w:rPr>
                <w:rFonts w:hint="eastAsia" w:ascii="宋体" w:hAnsi="宋体" w:cs="宋体"/>
                <w:color w:val="auto"/>
                <w:sz w:val="24"/>
              </w:rPr>
            </w:pPr>
          </w:p>
        </w:tc>
      </w:tr>
      <w:tr w14:paraId="36E3E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jc w:val="right"/>
        </w:trPr>
        <w:tc>
          <w:tcPr>
            <w:tcW w:w="9520" w:type="dxa"/>
            <w:gridSpan w:val="6"/>
            <w:tcBorders>
              <w:top w:val="single" w:color="auto" w:sz="4" w:space="0"/>
              <w:left w:val="single" w:color="auto" w:sz="4" w:space="0"/>
              <w:bottom w:val="single" w:color="auto" w:sz="4" w:space="0"/>
              <w:right w:val="single" w:color="auto" w:sz="4" w:space="0"/>
            </w:tcBorders>
            <w:vAlign w:val="center"/>
          </w:tcPr>
          <w:p w14:paraId="08FBC7FD">
            <w:pPr>
              <w:pageBreakBefore w:val="0"/>
              <w:kinsoku/>
              <w:overflowPunct/>
              <w:topLinePunct w:val="0"/>
              <w:bidi w:val="0"/>
              <w:snapToGrid w:val="0"/>
              <w:spacing w:before="50" w:after="50" w:line="240" w:lineRule="auto"/>
              <w:rPr>
                <w:rFonts w:hint="eastAsia" w:ascii="宋体" w:hAnsi="宋体" w:cs="宋体"/>
                <w:color w:val="auto"/>
                <w:sz w:val="24"/>
              </w:rPr>
            </w:pPr>
            <w:r>
              <w:rPr>
                <w:rFonts w:hint="eastAsia" w:ascii="宋体" w:hAnsi="宋体" w:cs="宋体"/>
                <w:color w:val="auto"/>
                <w:sz w:val="24"/>
              </w:rPr>
              <w:t>合计金额大写：人民币（￥）</w:t>
            </w:r>
          </w:p>
        </w:tc>
      </w:tr>
    </w:tbl>
    <w:p w14:paraId="38AC54A5">
      <w:pPr>
        <w:pageBreakBefore w:val="0"/>
        <w:kinsoku/>
        <w:overflowPunct/>
        <w:topLinePunct w:val="0"/>
        <w:bidi w:val="0"/>
        <w:snapToGrid w:val="0"/>
        <w:spacing w:before="50" w:after="50" w:line="240" w:lineRule="auto"/>
        <w:jc w:val="left"/>
        <w:rPr>
          <w:rFonts w:hint="eastAsia" w:ascii="宋体" w:hAnsi="宋体" w:eastAsia="宋体" w:cs="宋体"/>
          <w:color w:val="auto"/>
          <w:sz w:val="21"/>
          <w:szCs w:val="21"/>
          <w:highlight w:val="none"/>
        </w:rPr>
      </w:pPr>
    </w:p>
    <w:p w14:paraId="45081ABB">
      <w:pPr>
        <w:pageBreakBefore w:val="0"/>
        <w:kinsoku/>
        <w:overflowPunct/>
        <w:topLinePunct w:val="0"/>
        <w:bidi w:val="0"/>
        <w:snapToGrid w:val="0"/>
        <w:spacing w:before="50" w:after="50" w:line="240" w:lineRule="auto"/>
        <w:jc w:val="left"/>
        <w:rPr>
          <w:rFonts w:hint="eastAsia" w:ascii="宋体" w:hAnsi="宋体" w:cs="宋体"/>
          <w:color w:val="auto"/>
          <w:sz w:val="24"/>
        </w:rPr>
      </w:pPr>
      <w:r>
        <w:rPr>
          <w:rFonts w:hint="eastAsia" w:ascii="宋体" w:hAnsi="宋体" w:cs="宋体"/>
          <w:color w:val="auto"/>
          <w:sz w:val="24"/>
        </w:rPr>
        <w:t>注</w:t>
      </w:r>
      <w:r>
        <w:rPr>
          <w:rFonts w:hint="eastAsia" w:ascii="宋体" w:hAnsi="宋体" w:cs="宋体"/>
          <w:color w:val="auto"/>
          <w:sz w:val="24"/>
          <w:lang w:eastAsia="zh-CN"/>
        </w:rPr>
        <w:t>：</w:t>
      </w:r>
      <w:r>
        <w:rPr>
          <w:rFonts w:hint="eastAsia" w:ascii="宋体" w:hAnsi="宋体" w:cs="宋体"/>
          <w:color w:val="auto"/>
          <w:sz w:val="24"/>
        </w:rPr>
        <w:t xml:space="preserve"> </w:t>
      </w:r>
    </w:p>
    <w:p w14:paraId="66CC3887">
      <w:pPr>
        <w:pageBreakBefore w:val="0"/>
        <w:kinsoku/>
        <w:overflowPunct/>
        <w:topLinePunct w:val="0"/>
        <w:bidi w:val="0"/>
        <w:snapToGrid w:val="0"/>
        <w:spacing w:before="50" w:after="50" w:line="240" w:lineRule="auto"/>
        <w:ind w:firstLine="480" w:firstLineChars="200"/>
        <w:jc w:val="left"/>
        <w:rPr>
          <w:rFonts w:hint="eastAsia" w:ascii="宋体" w:hAnsi="宋体" w:cs="宋体"/>
          <w:color w:val="auto"/>
          <w:sz w:val="24"/>
        </w:rPr>
      </w:pPr>
      <w:r>
        <w:rPr>
          <w:rFonts w:hint="eastAsia" w:ascii="宋体" w:hAnsi="宋体" w:cs="宋体"/>
          <w:color w:val="auto"/>
          <w:sz w:val="24"/>
        </w:rPr>
        <w:t>1.投标人的开标一览表必须加盖投标人公章并由法定代表人或者委托代理人签字，</w:t>
      </w:r>
      <w:r>
        <w:rPr>
          <w:rFonts w:hint="eastAsia" w:ascii="宋体" w:hAnsi="宋体" w:cs="宋体"/>
          <w:b/>
          <w:color w:val="auto"/>
          <w:sz w:val="24"/>
        </w:rPr>
        <w:t>否则其投标作无效标处理</w:t>
      </w:r>
      <w:r>
        <w:rPr>
          <w:rFonts w:hint="eastAsia" w:ascii="宋体" w:hAnsi="宋体" w:cs="宋体"/>
          <w:color w:val="auto"/>
          <w:sz w:val="24"/>
        </w:rPr>
        <w:t>。</w:t>
      </w:r>
    </w:p>
    <w:p w14:paraId="56865261">
      <w:pPr>
        <w:pageBreakBefore w:val="0"/>
        <w:kinsoku/>
        <w:overflowPunct/>
        <w:topLinePunct w:val="0"/>
        <w:bidi w:val="0"/>
        <w:snapToGrid w:val="0"/>
        <w:spacing w:before="50" w:after="50" w:line="240" w:lineRule="auto"/>
        <w:ind w:firstLine="480" w:firstLineChars="200"/>
        <w:jc w:val="left"/>
        <w:rPr>
          <w:rFonts w:hint="eastAsia" w:ascii="宋体" w:hAnsi="宋体" w:cs="宋体"/>
          <w:b/>
          <w:color w:val="auto"/>
          <w:sz w:val="24"/>
        </w:rPr>
      </w:pPr>
      <w:r>
        <w:rPr>
          <w:rFonts w:hint="eastAsia" w:ascii="宋体" w:hAnsi="宋体" w:cs="宋体"/>
          <w:bCs/>
          <w:color w:val="auto"/>
          <w:sz w:val="24"/>
        </w:rPr>
        <w:t>2.</w:t>
      </w:r>
      <w:r>
        <w:rPr>
          <w:rFonts w:hint="eastAsia" w:ascii="宋体" w:hAnsi="宋体" w:cs="宋体"/>
          <w:color w:val="auto"/>
          <w:sz w:val="24"/>
        </w:rPr>
        <w:t>报价一经涂改，应在涂改处加盖投标人公章或者由法定代表人或者委托代理人签字或者盖章</w:t>
      </w:r>
      <w:r>
        <w:rPr>
          <w:rFonts w:hint="eastAsia" w:ascii="宋体" w:hAnsi="宋体" w:cs="宋体"/>
          <w:b/>
          <w:color w:val="auto"/>
          <w:sz w:val="24"/>
        </w:rPr>
        <w:t>，否则其投标作无效标处理。</w:t>
      </w:r>
    </w:p>
    <w:p w14:paraId="5FBBEA29">
      <w:pPr>
        <w:pageBreakBefore w:val="0"/>
        <w:kinsoku/>
        <w:overflowPunct/>
        <w:topLinePunct w:val="0"/>
        <w:bidi w:val="0"/>
        <w:snapToGrid w:val="0"/>
        <w:spacing w:before="50" w:after="50" w:line="240" w:lineRule="auto"/>
        <w:ind w:firstLine="480" w:firstLineChars="200"/>
        <w:jc w:val="left"/>
        <w:rPr>
          <w:rFonts w:hint="eastAsia" w:ascii="宋体" w:hAnsi="宋体" w:cs="宋体"/>
          <w:color w:val="auto"/>
          <w:sz w:val="24"/>
        </w:rPr>
      </w:pPr>
      <w:r>
        <w:rPr>
          <w:rFonts w:hint="eastAsia" w:ascii="宋体" w:hAnsi="宋体" w:cs="宋体"/>
          <w:color w:val="auto"/>
          <w:sz w:val="24"/>
        </w:rPr>
        <w:t>3.如为联合体投标，“投标人名称”处必须列明联合体各方名称，并标注联合体牵头人名称，</w:t>
      </w:r>
      <w:r>
        <w:rPr>
          <w:rFonts w:hint="eastAsia" w:ascii="宋体" w:hAnsi="宋体" w:cs="宋体"/>
          <w:b/>
          <w:color w:val="auto"/>
          <w:sz w:val="24"/>
        </w:rPr>
        <w:t>否则其投标作无效标处理。</w:t>
      </w:r>
    </w:p>
    <w:p w14:paraId="7323BF86">
      <w:pPr>
        <w:pageBreakBefore w:val="0"/>
        <w:kinsoku/>
        <w:overflowPunct/>
        <w:topLinePunct w:val="0"/>
        <w:bidi w:val="0"/>
        <w:snapToGrid w:val="0"/>
        <w:spacing w:before="50" w:after="50" w:line="240" w:lineRule="auto"/>
        <w:ind w:firstLine="480" w:firstLineChars="200"/>
        <w:jc w:val="left"/>
        <w:rPr>
          <w:rFonts w:hint="eastAsia" w:ascii="宋体" w:hAnsi="宋体" w:cs="宋体"/>
          <w:color w:val="auto"/>
          <w:sz w:val="24"/>
        </w:rPr>
      </w:pPr>
      <w:r>
        <w:rPr>
          <w:rFonts w:hint="eastAsia" w:ascii="宋体" w:hAnsi="宋体" w:cs="宋体"/>
          <w:color w:val="auto"/>
          <w:sz w:val="24"/>
        </w:rPr>
        <w:t>4.如为联合体投标，盖章处须加盖联合体各方公章，</w:t>
      </w:r>
      <w:r>
        <w:rPr>
          <w:rFonts w:hint="eastAsia" w:ascii="宋体" w:hAnsi="宋体" w:cs="宋体"/>
          <w:b/>
          <w:color w:val="auto"/>
          <w:sz w:val="24"/>
        </w:rPr>
        <w:t>否则其投标作无效标处理。</w:t>
      </w:r>
    </w:p>
    <w:p w14:paraId="70A95FA9">
      <w:pPr>
        <w:pageBreakBefore w:val="0"/>
        <w:kinsoku/>
        <w:overflowPunct/>
        <w:topLinePunct w:val="0"/>
        <w:bidi w:val="0"/>
        <w:snapToGrid w:val="0"/>
        <w:spacing w:before="50" w:after="50" w:line="240" w:lineRule="auto"/>
        <w:ind w:firstLine="480" w:firstLineChars="200"/>
        <w:rPr>
          <w:rFonts w:hint="eastAsia" w:ascii="宋体" w:hAnsi="宋体" w:cs="宋体"/>
          <w:color w:val="auto"/>
          <w:sz w:val="24"/>
        </w:rPr>
      </w:pPr>
      <w:r>
        <w:rPr>
          <w:rFonts w:hint="eastAsia" w:ascii="宋体" w:hAnsi="宋体" w:cs="宋体"/>
          <w:color w:val="auto"/>
          <w:sz w:val="24"/>
        </w:rPr>
        <w:t>5.如有多分标，按分标分别提供开标一览表，</w:t>
      </w:r>
      <w:r>
        <w:rPr>
          <w:rFonts w:hint="eastAsia" w:ascii="宋体" w:hAnsi="宋体" w:cs="宋体"/>
          <w:b/>
          <w:color w:val="auto"/>
          <w:sz w:val="24"/>
        </w:rPr>
        <w:t>否则投标无效。</w:t>
      </w:r>
    </w:p>
    <w:p w14:paraId="7C7B510A">
      <w:pPr>
        <w:pageBreakBefore w:val="0"/>
        <w:kinsoku/>
        <w:overflowPunct/>
        <w:topLinePunct w:val="0"/>
        <w:bidi w:val="0"/>
        <w:snapToGrid w:val="0"/>
        <w:spacing w:before="50" w:after="50" w:line="240" w:lineRule="auto"/>
        <w:ind w:left="-2" w:right="-817" w:rightChars="-389"/>
        <w:rPr>
          <w:rFonts w:hint="eastAsia" w:ascii="宋体" w:hAnsi="宋体" w:cs="宋体"/>
          <w:color w:val="auto"/>
          <w:sz w:val="24"/>
        </w:rPr>
      </w:pPr>
    </w:p>
    <w:p w14:paraId="2A429577">
      <w:pPr>
        <w:pageBreakBefore w:val="0"/>
        <w:kinsoku/>
        <w:overflowPunct/>
        <w:topLinePunct w:val="0"/>
        <w:bidi w:val="0"/>
        <w:snapToGrid w:val="0"/>
        <w:spacing w:before="50" w:after="50" w:line="240" w:lineRule="auto"/>
        <w:ind w:left="-2" w:right="-817" w:rightChars="-389"/>
        <w:rPr>
          <w:rFonts w:hint="eastAsia" w:ascii="宋体" w:hAnsi="宋体" w:cs="宋体"/>
          <w:color w:val="auto"/>
          <w:sz w:val="24"/>
        </w:rPr>
      </w:pPr>
      <w:r>
        <w:rPr>
          <w:rFonts w:hint="eastAsia" w:ascii="宋体" w:hAnsi="宋体" w:cs="宋体"/>
          <w:color w:val="auto"/>
          <w:sz w:val="24"/>
        </w:rPr>
        <w:t xml:space="preserve">法定代表人或者委托代理人（签字）：                    </w:t>
      </w:r>
    </w:p>
    <w:p w14:paraId="543B4949">
      <w:pPr>
        <w:pageBreakBefore w:val="0"/>
        <w:kinsoku/>
        <w:overflowPunct/>
        <w:topLinePunct w:val="0"/>
        <w:bidi w:val="0"/>
        <w:snapToGrid w:val="0"/>
        <w:spacing w:before="50" w:after="50" w:line="240" w:lineRule="auto"/>
        <w:ind w:left="-3" w:leftChars="-72" w:right="-817" w:rightChars="-389" w:hanging="148" w:hangingChars="62"/>
        <w:rPr>
          <w:rFonts w:hint="eastAsia" w:ascii="宋体" w:hAnsi="宋体" w:cs="宋体"/>
          <w:color w:val="auto"/>
          <w:sz w:val="24"/>
        </w:rPr>
      </w:pPr>
    </w:p>
    <w:p w14:paraId="32256046">
      <w:pPr>
        <w:pageBreakBefore w:val="0"/>
        <w:kinsoku/>
        <w:overflowPunct/>
        <w:topLinePunct w:val="0"/>
        <w:bidi w:val="0"/>
        <w:snapToGrid w:val="0"/>
        <w:spacing w:before="50" w:after="50" w:line="240" w:lineRule="auto"/>
        <w:ind w:left="-3" w:leftChars="-15" w:right="-817" w:rightChars="-389" w:hanging="28" w:hangingChars="12"/>
        <w:rPr>
          <w:rFonts w:hint="eastAsia" w:ascii="宋体" w:hAnsi="宋体" w:cs="宋体"/>
          <w:color w:val="auto"/>
          <w:sz w:val="24"/>
        </w:rPr>
      </w:pPr>
      <w:r>
        <w:rPr>
          <w:rFonts w:hint="eastAsia" w:ascii="宋体" w:hAnsi="宋体" w:cs="宋体"/>
          <w:color w:val="auto"/>
          <w:sz w:val="24"/>
        </w:rPr>
        <w:t>投标人（盖公章）：                                 日期：    年   月   日</w:t>
      </w:r>
    </w:p>
    <w:p w14:paraId="23AA880A">
      <w:pPr>
        <w:rPr>
          <w:rFonts w:hint="eastAsia"/>
          <w:color w:val="auto"/>
        </w:rPr>
      </w:pPr>
      <w:r>
        <w:rPr>
          <w:rFonts w:hint="eastAsia" w:ascii="宋体" w:hAnsi="宋体" w:cs="宋体"/>
          <w:color w:val="auto"/>
          <w:sz w:val="24"/>
        </w:rPr>
        <w:br w:type="page"/>
      </w:r>
    </w:p>
    <w:p w14:paraId="4A9232BE">
      <w:pPr>
        <w:pageBreakBefore w:val="0"/>
        <w:numPr>
          <w:ilvl w:val="0"/>
          <w:numId w:val="0"/>
        </w:numPr>
        <w:kinsoku/>
        <w:overflowPunct/>
        <w:topLinePunct w:val="0"/>
        <w:bidi w:val="0"/>
        <w:snapToGrid w:val="0"/>
        <w:spacing w:before="120" w:beforeLines="50" w:after="50" w:line="240" w:lineRule="auto"/>
        <w:jc w:val="left"/>
        <w:rPr>
          <w:rFonts w:hint="eastAsia" w:ascii="微软雅黑" w:hAnsi="微软雅黑" w:eastAsia="微软雅黑" w:cs="微软雅黑"/>
          <w:bCs/>
          <w:color w:val="auto"/>
          <w:sz w:val="44"/>
          <w:szCs w:val="44"/>
        </w:rPr>
      </w:pPr>
      <w:bookmarkStart w:id="171" w:name="_Toc71366061"/>
      <w:bookmarkStart w:id="172" w:name="_Toc71365383"/>
      <w:r>
        <w:rPr>
          <w:rFonts w:hint="eastAsia" w:ascii="宋体" w:hAnsi="宋体" w:eastAsia="宋体" w:cs="宋体"/>
          <w:b/>
          <w:color w:val="auto"/>
          <w:sz w:val="30"/>
          <w:szCs w:val="30"/>
          <w:highlight w:val="none"/>
          <w:lang w:val="en-US" w:eastAsia="zh-CN"/>
        </w:rPr>
        <w:t>5.</w:t>
      </w:r>
      <w:r>
        <w:rPr>
          <w:rFonts w:hint="eastAsia" w:ascii="宋体" w:hAnsi="宋体" w:eastAsia="宋体" w:cs="宋体"/>
          <w:b/>
          <w:color w:val="auto"/>
          <w:sz w:val="30"/>
          <w:szCs w:val="30"/>
          <w:highlight w:val="none"/>
        </w:rPr>
        <w:t>中小企业声明函或监狱企业证明材料或</w:t>
      </w:r>
      <w:r>
        <w:rPr>
          <w:rFonts w:hint="eastAsia" w:ascii="宋体" w:hAnsi="宋体" w:eastAsia="宋体" w:cs="宋体"/>
          <w:b/>
          <w:color w:val="auto"/>
          <w:sz w:val="30"/>
          <w:szCs w:val="30"/>
          <w:highlight w:val="none"/>
          <w:lang w:val="en-US" w:eastAsia="zh-CN"/>
        </w:rPr>
        <w:t>残疾人福利性单位</w:t>
      </w:r>
      <w:r>
        <w:rPr>
          <w:rFonts w:hint="eastAsia" w:ascii="宋体" w:hAnsi="宋体" w:eastAsia="宋体" w:cs="宋体"/>
          <w:b/>
          <w:color w:val="auto"/>
          <w:sz w:val="30"/>
          <w:szCs w:val="30"/>
          <w:highlight w:val="none"/>
        </w:rPr>
        <w:t>声明函</w:t>
      </w:r>
    </w:p>
    <w:p w14:paraId="6178DAFD">
      <w:pPr>
        <w:adjustRightInd w:val="0"/>
        <w:snapToGrid w:val="0"/>
        <w:spacing w:line="240" w:lineRule="auto"/>
        <w:jc w:val="center"/>
        <w:rPr>
          <w:rFonts w:hint="eastAsia" w:ascii="微软雅黑" w:hAnsi="微软雅黑" w:eastAsia="微软雅黑" w:cs="微软雅黑"/>
          <w:bCs/>
          <w:color w:val="auto"/>
          <w:sz w:val="32"/>
          <w:szCs w:val="32"/>
        </w:rPr>
      </w:pPr>
    </w:p>
    <w:p w14:paraId="0FD0CBE6">
      <w:pPr>
        <w:adjustRightInd w:val="0"/>
        <w:snapToGrid w:val="0"/>
        <w:spacing w:line="240" w:lineRule="auto"/>
        <w:jc w:val="center"/>
        <w:rPr>
          <w:rFonts w:hint="eastAsia" w:ascii="微软雅黑" w:hAnsi="微软雅黑" w:eastAsia="微软雅黑" w:cs="微软雅黑"/>
          <w:bCs/>
          <w:color w:val="auto"/>
          <w:sz w:val="32"/>
          <w:szCs w:val="32"/>
        </w:rPr>
      </w:pPr>
      <w:r>
        <w:rPr>
          <w:rFonts w:hint="eastAsia" w:ascii="微软雅黑" w:hAnsi="微软雅黑" w:eastAsia="微软雅黑" w:cs="微软雅黑"/>
          <w:bCs/>
          <w:color w:val="auto"/>
          <w:sz w:val="32"/>
          <w:szCs w:val="32"/>
        </w:rPr>
        <w:t>中小企业声明函</w:t>
      </w:r>
      <w:bookmarkEnd w:id="171"/>
      <w:bookmarkEnd w:id="172"/>
    </w:p>
    <w:p w14:paraId="0396A80C">
      <w:pPr>
        <w:rPr>
          <w:rFonts w:hint="eastAsia"/>
          <w:color w:val="auto"/>
        </w:rPr>
      </w:pPr>
    </w:p>
    <w:p w14:paraId="671F7D9C">
      <w:pPr>
        <w:pageBreakBefore w:val="0"/>
        <w:kinsoku/>
        <w:overflowPunct/>
        <w:topLinePunct w:val="0"/>
        <w:bidi w:val="0"/>
        <w:spacing w:line="240" w:lineRule="auto"/>
        <w:ind w:left="-426" w:leftChars="-203" w:right="142" w:firstLine="480" w:firstLineChars="200"/>
        <w:contextualSpacing/>
        <w:rPr>
          <w:rFonts w:hint="eastAsia" w:ascii="宋体" w:hAnsi="宋体" w:eastAsia="宋体" w:cs="宋体"/>
          <w:color w:val="auto"/>
          <w:kern w:val="24"/>
          <w:sz w:val="24"/>
          <w:szCs w:val="24"/>
          <w:highlight w:val="none"/>
        </w:rPr>
      </w:pPr>
      <w:r>
        <w:rPr>
          <w:rFonts w:hint="eastAsia" w:ascii="宋体" w:hAnsi="宋体" w:eastAsia="宋体" w:cs="宋体"/>
          <w:color w:val="auto"/>
          <w:kern w:val="0"/>
          <w:sz w:val="24"/>
          <w:szCs w:val="24"/>
          <w:highlight w:val="none"/>
        </w:rPr>
        <w:t>本公司（联合体）郑重声明，根据《政府采购促进中小企业发展管理办法》（财库﹝2020﹞46号）的规定，本公司（联合体）参加</w:t>
      </w:r>
      <w:r>
        <w:rPr>
          <w:rFonts w:hint="eastAsia" w:ascii="宋体" w:hAnsi="宋体" w:eastAsia="宋体" w:cs="宋体"/>
          <w:color w:val="auto"/>
          <w:kern w:val="0"/>
          <w:sz w:val="24"/>
          <w:szCs w:val="24"/>
          <w:highlight w:val="none"/>
          <w:u w:val="single"/>
        </w:rPr>
        <w:t>（单位名称）</w:t>
      </w:r>
      <w:r>
        <w:rPr>
          <w:rFonts w:hint="eastAsia" w:ascii="宋体" w:hAnsi="宋体" w:eastAsia="宋体" w:cs="宋体"/>
          <w:color w:val="auto"/>
          <w:kern w:val="0"/>
          <w:sz w:val="24"/>
          <w:szCs w:val="24"/>
          <w:highlight w:val="none"/>
        </w:rPr>
        <w:t>的</w:t>
      </w:r>
      <w:r>
        <w:rPr>
          <w:rFonts w:hint="eastAsia" w:ascii="宋体" w:hAnsi="宋体" w:eastAsia="宋体" w:cs="宋体"/>
          <w:color w:val="auto"/>
          <w:kern w:val="0"/>
          <w:sz w:val="24"/>
          <w:szCs w:val="24"/>
          <w:highlight w:val="none"/>
          <w:u w:val="single"/>
        </w:rPr>
        <w:t>（项目名称）</w:t>
      </w:r>
      <w:r>
        <w:rPr>
          <w:rFonts w:hint="eastAsia" w:ascii="宋体" w:hAnsi="宋体" w:eastAsia="宋体" w:cs="宋体"/>
          <w:color w:val="auto"/>
          <w:kern w:val="0"/>
          <w:sz w:val="24"/>
          <w:szCs w:val="24"/>
          <w:highlight w:val="none"/>
        </w:rPr>
        <w:t>采购活动，服务全部由符合政策要求的中小企业承接。相关企业（含联合体中的中小企业、签订分包意向协议的中小企业）的具体情况如下：</w:t>
      </w:r>
    </w:p>
    <w:p w14:paraId="0CEC8CBF">
      <w:pPr>
        <w:pageBreakBefore w:val="0"/>
        <w:tabs>
          <w:tab w:val="left" w:pos="1384"/>
          <w:tab w:val="left" w:pos="4562"/>
          <w:tab w:val="left" w:pos="6803"/>
        </w:tabs>
        <w:kinsoku/>
        <w:overflowPunct/>
        <w:topLinePunct w:val="0"/>
        <w:bidi w:val="0"/>
        <w:spacing w:line="240" w:lineRule="auto"/>
        <w:ind w:left="-426" w:right="-58" w:firstLine="655"/>
        <w:contextualSpacing/>
        <w:rPr>
          <w:rFonts w:hint="eastAsia" w:ascii="宋体" w:hAnsi="宋体" w:eastAsia="宋体" w:cs="宋体"/>
          <w:color w:val="auto"/>
          <w:kern w:val="24"/>
          <w:sz w:val="24"/>
          <w:szCs w:val="24"/>
          <w:highlight w:val="none"/>
        </w:rPr>
      </w:pPr>
      <w:r>
        <w:rPr>
          <w:rFonts w:hint="eastAsia" w:ascii="宋体" w:hAnsi="宋体" w:eastAsia="宋体" w:cs="宋体"/>
          <w:color w:val="auto"/>
          <w:kern w:val="24"/>
          <w:sz w:val="24"/>
          <w:szCs w:val="24"/>
          <w:highlight w:val="none"/>
        </w:rPr>
        <w:t>1.</w:t>
      </w:r>
      <w:r>
        <w:rPr>
          <w:rFonts w:hint="eastAsia" w:ascii="宋体" w:hAnsi="宋体" w:eastAsia="宋体" w:cs="宋体"/>
          <w:color w:val="auto"/>
          <w:kern w:val="24"/>
          <w:sz w:val="24"/>
          <w:szCs w:val="24"/>
          <w:highlight w:val="none"/>
          <w:u w:val="single"/>
        </w:rPr>
        <w:t>（标的名称）</w:t>
      </w:r>
      <w:r>
        <w:rPr>
          <w:rFonts w:hint="eastAsia" w:ascii="宋体" w:hAnsi="宋体" w:eastAsia="宋体" w:cs="宋体"/>
          <w:color w:val="auto"/>
          <w:kern w:val="24"/>
          <w:sz w:val="24"/>
          <w:szCs w:val="24"/>
          <w:highlight w:val="none"/>
        </w:rPr>
        <w:t>，属于</w:t>
      </w:r>
      <w:r>
        <w:rPr>
          <w:rFonts w:hint="eastAsia" w:ascii="宋体" w:hAnsi="宋体" w:eastAsia="宋体" w:cs="宋体"/>
          <w:color w:val="auto"/>
          <w:kern w:val="24"/>
          <w:sz w:val="24"/>
          <w:szCs w:val="24"/>
          <w:highlight w:val="none"/>
          <w:u w:val="single"/>
        </w:rPr>
        <w:t>（采购文件中明确的所属行业）</w:t>
      </w:r>
      <w:r>
        <w:rPr>
          <w:rFonts w:hint="eastAsia" w:ascii="宋体" w:hAnsi="宋体" w:eastAsia="宋体" w:cs="宋体"/>
          <w:color w:val="auto"/>
          <w:kern w:val="24"/>
          <w:sz w:val="24"/>
          <w:szCs w:val="24"/>
          <w:highlight w:val="none"/>
        </w:rPr>
        <w:t>行业；承接企业为</w:t>
      </w:r>
      <w:r>
        <w:rPr>
          <w:rFonts w:hint="eastAsia" w:ascii="宋体" w:hAnsi="宋体" w:eastAsia="宋体" w:cs="宋体"/>
          <w:color w:val="auto"/>
          <w:kern w:val="24"/>
          <w:sz w:val="24"/>
          <w:szCs w:val="24"/>
          <w:highlight w:val="none"/>
          <w:u w:val="single"/>
        </w:rPr>
        <w:t>（企业名称）</w:t>
      </w:r>
      <w:r>
        <w:rPr>
          <w:rFonts w:hint="eastAsia" w:ascii="宋体" w:hAnsi="宋体" w:eastAsia="宋体" w:cs="宋体"/>
          <w:color w:val="auto"/>
          <w:kern w:val="24"/>
          <w:sz w:val="24"/>
          <w:szCs w:val="24"/>
          <w:highlight w:val="none"/>
        </w:rPr>
        <w:t>，从业人员</w:t>
      </w:r>
      <w:r>
        <w:rPr>
          <w:rFonts w:hint="eastAsia" w:ascii="宋体" w:hAnsi="宋体" w:eastAsia="宋体" w:cs="宋体"/>
          <w:color w:val="auto"/>
          <w:kern w:val="24"/>
          <w:sz w:val="24"/>
          <w:szCs w:val="24"/>
          <w:highlight w:val="none"/>
          <w:u w:val="single"/>
        </w:rPr>
        <w:t xml:space="preserve">      </w:t>
      </w:r>
      <w:r>
        <w:rPr>
          <w:rFonts w:hint="eastAsia" w:ascii="宋体" w:hAnsi="宋体" w:eastAsia="宋体" w:cs="宋体"/>
          <w:color w:val="auto"/>
          <w:kern w:val="24"/>
          <w:sz w:val="24"/>
          <w:szCs w:val="24"/>
          <w:highlight w:val="none"/>
        </w:rPr>
        <w:t>人，营业收入为</w:t>
      </w:r>
      <w:r>
        <w:rPr>
          <w:rFonts w:hint="eastAsia" w:ascii="宋体" w:hAnsi="宋体" w:eastAsia="宋体" w:cs="宋体"/>
          <w:color w:val="auto"/>
          <w:kern w:val="24"/>
          <w:sz w:val="24"/>
          <w:szCs w:val="24"/>
          <w:highlight w:val="none"/>
          <w:u w:val="single"/>
        </w:rPr>
        <w:t xml:space="preserve">      </w:t>
      </w:r>
      <w:r>
        <w:rPr>
          <w:rFonts w:hint="eastAsia" w:ascii="宋体" w:hAnsi="宋体" w:eastAsia="宋体" w:cs="宋体"/>
          <w:color w:val="auto"/>
          <w:kern w:val="24"/>
          <w:sz w:val="24"/>
          <w:szCs w:val="24"/>
          <w:highlight w:val="none"/>
        </w:rPr>
        <w:t>万元，资产总额为</w:t>
      </w:r>
      <w:r>
        <w:rPr>
          <w:rFonts w:hint="eastAsia" w:ascii="宋体" w:hAnsi="宋体" w:eastAsia="宋体" w:cs="宋体"/>
          <w:color w:val="auto"/>
          <w:kern w:val="24"/>
          <w:sz w:val="24"/>
          <w:szCs w:val="24"/>
          <w:highlight w:val="none"/>
          <w:u w:val="single"/>
        </w:rPr>
        <w:t xml:space="preserve">      </w:t>
      </w:r>
      <w:r>
        <w:rPr>
          <w:rFonts w:hint="eastAsia" w:ascii="宋体" w:hAnsi="宋体" w:eastAsia="宋体" w:cs="宋体"/>
          <w:color w:val="auto"/>
          <w:kern w:val="24"/>
          <w:sz w:val="24"/>
          <w:szCs w:val="24"/>
          <w:highlight w:val="none"/>
        </w:rPr>
        <w:t>万元，属于</w:t>
      </w:r>
      <w:r>
        <w:rPr>
          <w:rFonts w:hint="eastAsia" w:ascii="宋体" w:hAnsi="宋体" w:eastAsia="宋体" w:cs="宋体"/>
          <w:color w:val="auto"/>
          <w:kern w:val="24"/>
          <w:sz w:val="24"/>
          <w:szCs w:val="24"/>
          <w:highlight w:val="none"/>
          <w:u w:val="single"/>
        </w:rPr>
        <w:t>（中型企业、小型企业、微型企业）</w:t>
      </w:r>
      <w:r>
        <w:rPr>
          <w:rFonts w:hint="eastAsia" w:ascii="宋体" w:hAnsi="宋体" w:eastAsia="宋体" w:cs="宋体"/>
          <w:color w:val="auto"/>
          <w:kern w:val="24"/>
          <w:sz w:val="24"/>
          <w:szCs w:val="24"/>
          <w:highlight w:val="none"/>
        </w:rPr>
        <w:t>；</w:t>
      </w:r>
    </w:p>
    <w:p w14:paraId="2159212A">
      <w:pPr>
        <w:pageBreakBefore w:val="0"/>
        <w:tabs>
          <w:tab w:val="left" w:pos="1065"/>
          <w:tab w:val="left" w:pos="6477"/>
        </w:tabs>
        <w:kinsoku/>
        <w:overflowPunct/>
        <w:topLinePunct w:val="0"/>
        <w:bidi w:val="0"/>
        <w:spacing w:line="240" w:lineRule="auto"/>
        <w:ind w:left="-426" w:right="-58" w:firstLine="655"/>
        <w:contextualSpacing/>
        <w:rPr>
          <w:rFonts w:hint="eastAsia" w:ascii="宋体" w:hAnsi="宋体" w:eastAsia="宋体" w:cs="宋体"/>
          <w:color w:val="auto"/>
          <w:kern w:val="24"/>
          <w:sz w:val="24"/>
          <w:szCs w:val="24"/>
          <w:highlight w:val="none"/>
        </w:rPr>
      </w:pPr>
      <w:r>
        <w:rPr>
          <w:rFonts w:hint="eastAsia" w:ascii="宋体" w:hAnsi="宋体" w:eastAsia="宋体" w:cs="宋体"/>
          <w:color w:val="auto"/>
          <w:kern w:val="24"/>
          <w:sz w:val="24"/>
          <w:szCs w:val="24"/>
          <w:highlight w:val="none"/>
        </w:rPr>
        <w:t>2.</w:t>
      </w:r>
      <w:r>
        <w:rPr>
          <w:rFonts w:hint="eastAsia" w:ascii="宋体" w:hAnsi="宋体" w:eastAsia="宋体" w:cs="宋体"/>
          <w:color w:val="auto"/>
          <w:kern w:val="24"/>
          <w:sz w:val="24"/>
          <w:szCs w:val="24"/>
          <w:highlight w:val="none"/>
          <w:u w:val="single"/>
        </w:rPr>
        <w:t>（标的名称）</w:t>
      </w:r>
      <w:r>
        <w:rPr>
          <w:rFonts w:hint="eastAsia" w:ascii="宋体" w:hAnsi="宋体" w:eastAsia="宋体" w:cs="宋体"/>
          <w:color w:val="auto"/>
          <w:kern w:val="24"/>
          <w:sz w:val="24"/>
          <w:szCs w:val="24"/>
          <w:highlight w:val="none"/>
        </w:rPr>
        <w:t>，属于</w:t>
      </w:r>
      <w:r>
        <w:rPr>
          <w:rFonts w:hint="eastAsia" w:ascii="宋体" w:hAnsi="宋体" w:eastAsia="宋体" w:cs="宋体"/>
          <w:color w:val="auto"/>
          <w:kern w:val="24"/>
          <w:sz w:val="24"/>
          <w:szCs w:val="24"/>
          <w:highlight w:val="none"/>
          <w:u w:val="single"/>
        </w:rPr>
        <w:t>（采购文件中明确的所属行业）</w:t>
      </w:r>
      <w:r>
        <w:rPr>
          <w:rFonts w:hint="eastAsia" w:ascii="宋体" w:hAnsi="宋体" w:eastAsia="宋体" w:cs="宋体"/>
          <w:color w:val="auto"/>
          <w:kern w:val="24"/>
          <w:sz w:val="24"/>
          <w:szCs w:val="24"/>
          <w:highlight w:val="none"/>
        </w:rPr>
        <w:t>行业；承接企业为</w:t>
      </w:r>
      <w:r>
        <w:rPr>
          <w:rFonts w:hint="eastAsia" w:ascii="宋体" w:hAnsi="宋体" w:eastAsia="宋体" w:cs="宋体"/>
          <w:color w:val="auto"/>
          <w:kern w:val="24"/>
          <w:sz w:val="24"/>
          <w:szCs w:val="24"/>
          <w:highlight w:val="none"/>
          <w:u w:val="single"/>
        </w:rPr>
        <w:t>（企业名称）</w:t>
      </w:r>
      <w:r>
        <w:rPr>
          <w:rFonts w:hint="eastAsia" w:ascii="宋体" w:hAnsi="宋体" w:eastAsia="宋体" w:cs="宋体"/>
          <w:color w:val="auto"/>
          <w:kern w:val="24"/>
          <w:sz w:val="24"/>
          <w:szCs w:val="24"/>
          <w:highlight w:val="none"/>
        </w:rPr>
        <w:t>，从业人员</w:t>
      </w:r>
      <w:r>
        <w:rPr>
          <w:rFonts w:hint="eastAsia" w:ascii="宋体" w:hAnsi="宋体" w:eastAsia="宋体" w:cs="宋体"/>
          <w:color w:val="auto"/>
          <w:kern w:val="24"/>
          <w:sz w:val="24"/>
          <w:szCs w:val="24"/>
          <w:highlight w:val="none"/>
          <w:u w:val="single"/>
        </w:rPr>
        <w:t xml:space="preserve">      </w:t>
      </w:r>
      <w:r>
        <w:rPr>
          <w:rFonts w:hint="eastAsia" w:ascii="宋体" w:hAnsi="宋体" w:eastAsia="宋体" w:cs="宋体"/>
          <w:color w:val="auto"/>
          <w:kern w:val="24"/>
          <w:sz w:val="24"/>
          <w:szCs w:val="24"/>
          <w:highlight w:val="none"/>
        </w:rPr>
        <w:t>人，营业收入为</w:t>
      </w:r>
      <w:r>
        <w:rPr>
          <w:rFonts w:hint="eastAsia" w:ascii="宋体" w:hAnsi="宋体" w:eastAsia="宋体" w:cs="宋体"/>
          <w:color w:val="auto"/>
          <w:kern w:val="24"/>
          <w:sz w:val="24"/>
          <w:szCs w:val="24"/>
          <w:highlight w:val="none"/>
          <w:u w:val="single"/>
        </w:rPr>
        <w:t xml:space="preserve">      </w:t>
      </w:r>
      <w:r>
        <w:rPr>
          <w:rFonts w:hint="eastAsia" w:ascii="宋体" w:hAnsi="宋体" w:eastAsia="宋体" w:cs="宋体"/>
          <w:color w:val="auto"/>
          <w:kern w:val="24"/>
          <w:sz w:val="24"/>
          <w:szCs w:val="24"/>
          <w:highlight w:val="none"/>
        </w:rPr>
        <w:t>万元，资产总额为</w:t>
      </w:r>
      <w:r>
        <w:rPr>
          <w:rFonts w:hint="eastAsia" w:ascii="宋体" w:hAnsi="宋体" w:eastAsia="宋体" w:cs="宋体"/>
          <w:color w:val="auto"/>
          <w:kern w:val="24"/>
          <w:sz w:val="24"/>
          <w:szCs w:val="24"/>
          <w:highlight w:val="none"/>
          <w:u w:val="single"/>
        </w:rPr>
        <w:t xml:space="preserve">      </w:t>
      </w:r>
      <w:r>
        <w:rPr>
          <w:rFonts w:hint="eastAsia" w:ascii="宋体" w:hAnsi="宋体" w:eastAsia="宋体" w:cs="宋体"/>
          <w:color w:val="auto"/>
          <w:kern w:val="24"/>
          <w:sz w:val="24"/>
          <w:szCs w:val="24"/>
          <w:highlight w:val="none"/>
        </w:rPr>
        <w:t>万元，属于</w:t>
      </w:r>
      <w:r>
        <w:rPr>
          <w:rFonts w:hint="eastAsia" w:ascii="宋体" w:hAnsi="宋体" w:eastAsia="宋体" w:cs="宋体"/>
          <w:color w:val="auto"/>
          <w:kern w:val="24"/>
          <w:sz w:val="24"/>
          <w:szCs w:val="24"/>
          <w:highlight w:val="none"/>
          <w:u w:val="single"/>
        </w:rPr>
        <w:t>（中型企业、小型企业、微型企业）</w:t>
      </w:r>
      <w:r>
        <w:rPr>
          <w:rFonts w:hint="eastAsia" w:ascii="宋体" w:hAnsi="宋体" w:eastAsia="宋体" w:cs="宋体"/>
          <w:color w:val="auto"/>
          <w:kern w:val="24"/>
          <w:sz w:val="24"/>
          <w:szCs w:val="24"/>
          <w:highlight w:val="none"/>
        </w:rPr>
        <w:t>；</w:t>
      </w:r>
    </w:p>
    <w:p w14:paraId="39FC7FC7">
      <w:pPr>
        <w:pageBreakBefore w:val="0"/>
        <w:kinsoku/>
        <w:overflowPunct/>
        <w:topLinePunct w:val="0"/>
        <w:bidi w:val="0"/>
        <w:spacing w:line="240" w:lineRule="auto"/>
        <w:ind w:left="142" w:right="142"/>
        <w:contextualSpacing/>
        <w:rPr>
          <w:rFonts w:hint="eastAsia" w:ascii="宋体" w:hAnsi="宋体" w:eastAsia="宋体" w:cs="宋体"/>
          <w:color w:val="auto"/>
          <w:kern w:val="24"/>
          <w:sz w:val="24"/>
          <w:szCs w:val="24"/>
          <w:highlight w:val="none"/>
        </w:rPr>
      </w:pPr>
      <w:r>
        <w:rPr>
          <w:rFonts w:hint="eastAsia" w:ascii="宋体" w:hAnsi="宋体" w:eastAsia="宋体" w:cs="宋体"/>
          <w:color w:val="auto"/>
          <w:kern w:val="24"/>
          <w:sz w:val="24"/>
          <w:szCs w:val="24"/>
          <w:highlight w:val="none"/>
        </w:rPr>
        <w:t xml:space="preserve">…… </w:t>
      </w:r>
    </w:p>
    <w:p w14:paraId="106A626F">
      <w:pPr>
        <w:pageBreakBefore w:val="0"/>
        <w:kinsoku/>
        <w:overflowPunct/>
        <w:topLinePunct w:val="0"/>
        <w:bidi w:val="0"/>
        <w:spacing w:line="240" w:lineRule="auto"/>
        <w:ind w:left="-405" w:leftChars="-193" w:right="142" w:firstLine="453" w:firstLineChars="189"/>
        <w:contextualSpacing/>
        <w:rPr>
          <w:rFonts w:hint="eastAsia" w:ascii="宋体" w:hAnsi="宋体" w:eastAsia="宋体" w:cs="宋体"/>
          <w:color w:val="auto"/>
          <w:kern w:val="24"/>
          <w:sz w:val="24"/>
          <w:szCs w:val="24"/>
          <w:highlight w:val="none"/>
        </w:rPr>
      </w:pPr>
      <w:r>
        <w:rPr>
          <w:rFonts w:hint="eastAsia" w:ascii="宋体" w:hAnsi="宋体" w:eastAsia="宋体" w:cs="宋体"/>
          <w:color w:val="auto"/>
          <w:kern w:val="24"/>
          <w:sz w:val="24"/>
          <w:szCs w:val="24"/>
          <w:highlight w:val="none"/>
        </w:rPr>
        <w:t>以上企业，不属于大企业的分支机构，不存在控股股东为大企业的情形，也不存在与大企业的负责人为同一人的情形。</w:t>
      </w:r>
    </w:p>
    <w:p w14:paraId="1836E705">
      <w:pPr>
        <w:pageBreakBefore w:val="0"/>
        <w:kinsoku/>
        <w:overflowPunct/>
        <w:topLinePunct w:val="0"/>
        <w:bidi w:val="0"/>
        <w:spacing w:line="240" w:lineRule="auto"/>
        <w:ind w:left="-426" w:right="142" w:firstLine="567"/>
        <w:contextualSpacing/>
        <w:rPr>
          <w:rFonts w:hint="eastAsia" w:ascii="宋体" w:hAnsi="宋体" w:eastAsia="宋体" w:cs="宋体"/>
          <w:color w:val="auto"/>
          <w:kern w:val="24"/>
          <w:sz w:val="24"/>
          <w:szCs w:val="24"/>
          <w:highlight w:val="none"/>
        </w:rPr>
      </w:pPr>
      <w:r>
        <w:rPr>
          <w:rFonts w:hint="eastAsia" w:ascii="宋体" w:hAnsi="宋体" w:eastAsia="宋体" w:cs="宋体"/>
          <w:color w:val="auto"/>
          <w:kern w:val="24"/>
          <w:sz w:val="24"/>
          <w:szCs w:val="24"/>
          <w:highlight w:val="none"/>
        </w:rPr>
        <w:t>本企业对上述声明内容的真实性负责。如有虚假，将依法承担相应责任。</w:t>
      </w:r>
    </w:p>
    <w:p w14:paraId="09430383">
      <w:pPr>
        <w:pageBreakBefore w:val="0"/>
        <w:kinsoku/>
        <w:overflowPunct/>
        <w:topLinePunct w:val="0"/>
        <w:bidi w:val="0"/>
        <w:spacing w:line="240" w:lineRule="auto"/>
        <w:ind w:left="3960" w:right="1808"/>
        <w:contextualSpacing/>
        <w:rPr>
          <w:rFonts w:hint="eastAsia" w:ascii="宋体" w:hAnsi="宋体" w:eastAsia="宋体" w:cs="宋体"/>
          <w:color w:val="auto"/>
          <w:kern w:val="24"/>
          <w:sz w:val="24"/>
          <w:szCs w:val="24"/>
          <w:highlight w:val="none"/>
        </w:rPr>
      </w:pPr>
    </w:p>
    <w:p w14:paraId="1C444E3A">
      <w:pPr>
        <w:pageBreakBefore w:val="0"/>
        <w:kinsoku/>
        <w:overflowPunct/>
        <w:topLinePunct w:val="0"/>
        <w:bidi w:val="0"/>
        <w:spacing w:line="240" w:lineRule="auto"/>
        <w:ind w:left="3960" w:right="1808"/>
        <w:contextualSpacing/>
        <w:rPr>
          <w:rFonts w:hint="eastAsia" w:ascii="宋体" w:hAnsi="宋体" w:eastAsia="宋体" w:cs="宋体"/>
          <w:color w:val="auto"/>
          <w:kern w:val="24"/>
          <w:sz w:val="24"/>
          <w:szCs w:val="24"/>
          <w:highlight w:val="none"/>
        </w:rPr>
      </w:pPr>
      <w:r>
        <w:rPr>
          <w:rFonts w:hint="eastAsia" w:ascii="宋体" w:hAnsi="宋体" w:eastAsia="宋体" w:cs="宋体"/>
          <w:color w:val="auto"/>
          <w:kern w:val="24"/>
          <w:sz w:val="24"/>
          <w:szCs w:val="24"/>
          <w:highlight w:val="none"/>
        </w:rPr>
        <w:t>企业名称（</w:t>
      </w:r>
      <w:r>
        <w:rPr>
          <w:rFonts w:hint="eastAsia" w:ascii="宋体" w:hAnsi="宋体" w:eastAsia="宋体" w:cs="宋体"/>
          <w:color w:val="auto"/>
          <w:sz w:val="24"/>
          <w:szCs w:val="24"/>
          <w:highlight w:val="none"/>
        </w:rPr>
        <w:t>公章</w:t>
      </w:r>
      <w:r>
        <w:rPr>
          <w:rFonts w:hint="eastAsia" w:ascii="宋体" w:hAnsi="宋体" w:eastAsia="宋体" w:cs="宋体"/>
          <w:color w:val="auto"/>
          <w:kern w:val="24"/>
          <w:sz w:val="24"/>
          <w:szCs w:val="24"/>
          <w:highlight w:val="none"/>
        </w:rPr>
        <w:t>）：</w:t>
      </w:r>
    </w:p>
    <w:p w14:paraId="1A1AAFC6">
      <w:pPr>
        <w:pageBreakBefore w:val="0"/>
        <w:kinsoku/>
        <w:overflowPunct/>
        <w:topLinePunct w:val="0"/>
        <w:bidi w:val="0"/>
        <w:spacing w:line="240" w:lineRule="auto"/>
        <w:ind w:left="3960" w:right="1808"/>
        <w:contextualSpacing/>
        <w:rPr>
          <w:rFonts w:hint="eastAsia" w:ascii="宋体" w:hAnsi="宋体" w:eastAsia="宋体" w:cs="宋体"/>
          <w:color w:val="auto"/>
          <w:kern w:val="24"/>
          <w:sz w:val="24"/>
          <w:szCs w:val="24"/>
          <w:highlight w:val="none"/>
        </w:rPr>
      </w:pPr>
      <w:r>
        <w:rPr>
          <w:rFonts w:hint="eastAsia" w:ascii="宋体" w:hAnsi="宋体" w:eastAsia="宋体" w:cs="宋体"/>
          <w:color w:val="auto"/>
          <w:kern w:val="24"/>
          <w:sz w:val="24"/>
          <w:szCs w:val="24"/>
          <w:highlight w:val="none"/>
        </w:rPr>
        <w:t>日 期：</w:t>
      </w:r>
    </w:p>
    <w:p w14:paraId="4507F139">
      <w:pPr>
        <w:pageBreakBefore w:val="0"/>
        <w:kinsoku/>
        <w:overflowPunct/>
        <w:topLinePunct w:val="0"/>
        <w:bidi w:val="0"/>
        <w:spacing w:line="240" w:lineRule="auto"/>
        <w:ind w:left="3960" w:right="1808"/>
        <w:contextualSpacing/>
        <w:rPr>
          <w:rFonts w:hint="eastAsia" w:ascii="宋体" w:hAnsi="宋体" w:eastAsia="宋体" w:cs="宋体"/>
          <w:color w:val="auto"/>
          <w:kern w:val="24"/>
          <w:sz w:val="24"/>
          <w:szCs w:val="24"/>
          <w:highlight w:val="none"/>
        </w:rPr>
      </w:pPr>
    </w:p>
    <w:p w14:paraId="621F0182">
      <w:pPr>
        <w:pageBreakBefore w:val="0"/>
        <w:kinsoku/>
        <w:overflowPunct/>
        <w:topLinePunct w:val="0"/>
        <w:bidi w:val="0"/>
        <w:spacing w:line="240" w:lineRule="auto"/>
        <w:ind w:left="3960" w:right="1808"/>
        <w:contextualSpacing/>
        <w:rPr>
          <w:rFonts w:hint="eastAsia" w:ascii="宋体" w:hAnsi="宋体" w:eastAsia="宋体" w:cs="宋体"/>
          <w:color w:val="auto"/>
          <w:kern w:val="24"/>
          <w:sz w:val="24"/>
          <w:szCs w:val="24"/>
          <w:highlight w:val="none"/>
        </w:rPr>
      </w:pPr>
    </w:p>
    <w:p w14:paraId="18F774AB">
      <w:pPr>
        <w:pageBreakBefore w:val="0"/>
        <w:kinsoku/>
        <w:overflowPunct/>
        <w:topLinePunct w:val="0"/>
        <w:bidi w:val="0"/>
        <w:spacing w:line="240" w:lineRule="auto"/>
        <w:ind w:left="-426" w:right="142" w:firstLine="567"/>
        <w:contextualSpacing/>
        <w:rPr>
          <w:rFonts w:hint="eastAsia" w:ascii="宋体" w:hAnsi="宋体" w:eastAsia="宋体" w:cs="宋体"/>
          <w:color w:val="auto"/>
          <w:kern w:val="24"/>
          <w:sz w:val="24"/>
          <w:szCs w:val="24"/>
          <w:highlight w:val="none"/>
        </w:rPr>
      </w:pPr>
      <w:r>
        <w:rPr>
          <w:rFonts w:hint="eastAsia" w:ascii="宋体" w:hAnsi="宋体" w:eastAsia="宋体" w:cs="宋体"/>
          <w:color w:val="auto"/>
          <w:kern w:val="24"/>
          <w:sz w:val="24"/>
          <w:szCs w:val="24"/>
          <w:highlight w:val="none"/>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p>
    <w:p w14:paraId="1A2F64D4">
      <w:pPr>
        <w:spacing w:line="240" w:lineRule="auto"/>
        <w:jc w:val="center"/>
        <w:rPr>
          <w:rFonts w:hint="eastAsia" w:ascii="仿宋_GB2312" w:hAnsi="仿宋_GB2312" w:eastAsia="仿宋_GB2312" w:cs="仿宋_GB2312"/>
          <w:color w:val="auto"/>
          <w:sz w:val="32"/>
          <w:szCs w:val="32"/>
        </w:rPr>
      </w:pPr>
      <w:r>
        <w:rPr>
          <w:rFonts w:ascii="宋体" w:hAnsi="宋体"/>
          <w:color w:val="auto"/>
          <w:sz w:val="24"/>
        </w:rPr>
        <w:br w:type="page"/>
      </w:r>
      <w:r>
        <w:rPr>
          <w:rFonts w:hint="eastAsia" w:ascii="微软雅黑" w:hAnsi="微软雅黑" w:eastAsia="微软雅黑" w:cs="微软雅黑"/>
          <w:color w:val="auto"/>
          <w:sz w:val="32"/>
          <w:szCs w:val="32"/>
        </w:rPr>
        <w:t>残疾人福利性单位声明函</w:t>
      </w:r>
    </w:p>
    <w:p w14:paraId="019A4AB8">
      <w:pPr>
        <w:spacing w:line="520" w:lineRule="exact"/>
        <w:rPr>
          <w:rFonts w:hint="eastAsia" w:ascii="仿宋_GB2312" w:hAnsi="仿宋_GB2312" w:eastAsia="仿宋_GB2312" w:cs="仿宋_GB2312"/>
          <w:color w:val="auto"/>
          <w:sz w:val="32"/>
          <w:szCs w:val="32"/>
        </w:rPr>
      </w:pPr>
    </w:p>
    <w:p w14:paraId="43C2C32C">
      <w:pPr>
        <w:spacing w:line="360" w:lineRule="auto"/>
        <w:ind w:firstLine="480" w:firstLineChars="200"/>
        <w:contextualSpacing/>
        <w:rPr>
          <w:rFonts w:hint="eastAsia" w:ascii="宋体" w:hAnsi="宋体" w:cs="仿宋_GB2312"/>
          <w:color w:val="auto"/>
          <w:sz w:val="24"/>
        </w:rPr>
      </w:pPr>
      <w:r>
        <w:rPr>
          <w:rFonts w:hint="eastAsia" w:ascii="宋体" w:hAnsi="宋体" w:cs="仿宋_GB2312"/>
          <w:color w:val="auto"/>
          <w:sz w:val="24"/>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color w:val="auto"/>
          <w:sz w:val="24"/>
          <w:u w:val="single"/>
        </w:rPr>
        <w:t xml:space="preserve">       </w:t>
      </w:r>
      <w:r>
        <w:rPr>
          <w:rFonts w:hint="eastAsia" w:ascii="宋体" w:hAnsi="宋体" w:cs="仿宋_GB2312"/>
          <w:color w:val="auto"/>
          <w:sz w:val="24"/>
        </w:rPr>
        <w:t>单位的</w:t>
      </w:r>
      <w:r>
        <w:rPr>
          <w:rFonts w:hint="eastAsia" w:ascii="宋体" w:hAnsi="宋体" w:cs="仿宋_GB2312"/>
          <w:color w:val="auto"/>
          <w:sz w:val="24"/>
          <w:u w:val="single"/>
        </w:rPr>
        <w:t xml:space="preserve">        </w:t>
      </w:r>
      <w:r>
        <w:rPr>
          <w:rFonts w:hint="eastAsia" w:ascii="宋体" w:hAnsi="宋体" w:cs="仿宋_GB2312"/>
          <w:color w:val="auto"/>
          <w:sz w:val="24"/>
        </w:rPr>
        <w:t>项目采购活动提供本单位制造的货物（由本单位承担工程/提供服务），或者提供其他残疾人福利性单位制造的货物（不包括使用非残疾人福利性单位注册商标的货物）。</w:t>
      </w:r>
    </w:p>
    <w:p w14:paraId="0267BA2F">
      <w:pPr>
        <w:spacing w:line="360" w:lineRule="auto"/>
        <w:ind w:firstLine="480" w:firstLineChars="200"/>
        <w:contextualSpacing/>
        <w:rPr>
          <w:rFonts w:hint="eastAsia" w:ascii="宋体" w:hAnsi="宋体" w:cs="仿宋_GB2312"/>
          <w:color w:val="auto"/>
          <w:sz w:val="24"/>
        </w:rPr>
      </w:pPr>
      <w:r>
        <w:rPr>
          <w:rFonts w:hint="eastAsia" w:ascii="宋体" w:hAnsi="宋体" w:cs="仿宋_GB2312"/>
          <w:color w:val="auto"/>
          <w:sz w:val="24"/>
        </w:rPr>
        <w:t>本单位对上述声明的真实性负责。如有虚假，将依法承担相应责任。</w:t>
      </w:r>
    </w:p>
    <w:p w14:paraId="4A59E6BC">
      <w:pPr>
        <w:spacing w:line="360" w:lineRule="auto"/>
        <w:contextualSpacing/>
        <w:rPr>
          <w:rFonts w:hint="eastAsia" w:ascii="宋体" w:hAnsi="宋体" w:cs="仿宋_GB2312"/>
          <w:color w:val="auto"/>
          <w:sz w:val="24"/>
        </w:rPr>
      </w:pPr>
    </w:p>
    <w:p w14:paraId="3835CE1A">
      <w:pPr>
        <w:spacing w:line="360" w:lineRule="auto"/>
        <w:contextualSpacing/>
        <w:rPr>
          <w:rFonts w:hint="eastAsia" w:ascii="宋体" w:hAnsi="宋体" w:cs="仿宋_GB2312"/>
          <w:color w:val="auto"/>
          <w:sz w:val="24"/>
        </w:rPr>
      </w:pPr>
    </w:p>
    <w:p w14:paraId="6CC64A67">
      <w:pPr>
        <w:spacing w:line="360" w:lineRule="auto"/>
        <w:contextualSpacing/>
        <w:rPr>
          <w:rFonts w:hint="eastAsia" w:ascii="宋体" w:hAnsi="宋体" w:cs="仿宋_GB2312"/>
          <w:color w:val="auto"/>
          <w:sz w:val="24"/>
        </w:rPr>
      </w:pPr>
    </w:p>
    <w:p w14:paraId="7B1673BA">
      <w:pPr>
        <w:spacing w:line="360" w:lineRule="auto"/>
        <w:ind w:firstLine="2400" w:firstLineChars="1000"/>
        <w:contextualSpacing/>
        <w:rPr>
          <w:rFonts w:hint="eastAsia" w:ascii="宋体" w:hAnsi="宋体" w:cs="仿宋_GB2312"/>
          <w:color w:val="auto"/>
          <w:sz w:val="24"/>
        </w:rPr>
      </w:pPr>
      <w:r>
        <w:rPr>
          <w:rFonts w:hint="eastAsia" w:ascii="宋体" w:hAnsi="宋体" w:cs="仿宋_GB2312"/>
          <w:color w:val="auto"/>
          <w:sz w:val="24"/>
        </w:rPr>
        <w:t>单位名称（盖章）：</w:t>
      </w:r>
    </w:p>
    <w:p w14:paraId="7E3B21DF">
      <w:pPr>
        <w:spacing w:line="360" w:lineRule="auto"/>
        <w:ind w:firstLine="3600" w:firstLineChars="1500"/>
        <w:contextualSpacing/>
        <w:rPr>
          <w:rFonts w:hint="eastAsia" w:ascii="宋体" w:hAnsi="宋体" w:cs="仿宋_GB2312"/>
          <w:color w:val="auto"/>
          <w:sz w:val="24"/>
        </w:rPr>
      </w:pPr>
      <w:r>
        <w:rPr>
          <w:rFonts w:hint="eastAsia" w:ascii="宋体" w:hAnsi="宋体" w:cs="仿宋_GB2312"/>
          <w:color w:val="auto"/>
          <w:sz w:val="24"/>
        </w:rPr>
        <w:t>日  期：</w:t>
      </w:r>
    </w:p>
    <w:p w14:paraId="504C935D">
      <w:pPr>
        <w:spacing w:line="360" w:lineRule="auto"/>
        <w:contextualSpacing/>
        <w:rPr>
          <w:rFonts w:hint="eastAsia" w:ascii="宋体" w:hAnsi="宋体" w:cs="仿宋_GB2312"/>
          <w:color w:val="auto"/>
          <w:sz w:val="24"/>
        </w:rPr>
      </w:pPr>
    </w:p>
    <w:p w14:paraId="2CDE3354">
      <w:pPr>
        <w:spacing w:line="360" w:lineRule="auto"/>
        <w:contextualSpacing/>
        <w:rPr>
          <w:rFonts w:hint="eastAsia" w:ascii="宋体" w:hAnsi="宋体" w:cs="仿宋_GB2312"/>
          <w:color w:val="auto"/>
          <w:sz w:val="24"/>
        </w:rPr>
      </w:pPr>
    </w:p>
    <w:p w14:paraId="713DDDD9">
      <w:pPr>
        <w:spacing w:line="360" w:lineRule="auto"/>
        <w:contextualSpacing/>
        <w:rPr>
          <w:rFonts w:hint="eastAsia" w:ascii="宋体" w:hAnsi="宋体" w:cs="仿宋_GB2312"/>
          <w:color w:val="auto"/>
          <w:sz w:val="24"/>
        </w:rPr>
      </w:pPr>
    </w:p>
    <w:p w14:paraId="7A6DDDB2">
      <w:pPr>
        <w:spacing w:line="360" w:lineRule="auto"/>
        <w:contextualSpacing/>
        <w:rPr>
          <w:rFonts w:hint="eastAsia" w:ascii="宋体" w:hAnsi="宋体" w:cs="仿宋_GB2312"/>
          <w:color w:val="auto"/>
          <w:sz w:val="24"/>
        </w:rPr>
      </w:pPr>
      <w:r>
        <w:rPr>
          <w:rFonts w:hint="eastAsia" w:ascii="宋体" w:hAnsi="宋体" w:cs="仿宋_GB2312"/>
          <w:color w:val="auto"/>
          <w:sz w:val="24"/>
        </w:rPr>
        <w:t>注：请根据自己的真实情况出具《残疾人福利性单位声明函》。依法享受中小企业优惠政策的，采购人或者采购代理机构在公告成交结果时，同时公告其《残疾人福利性单位声明函》，接受社会监督。</w:t>
      </w:r>
    </w:p>
    <w:p w14:paraId="21C08441">
      <w:pPr>
        <w:rPr>
          <w:color w:val="auto"/>
          <w:lang w:val="en-US" w:eastAsia="zh-CN"/>
        </w:rPr>
      </w:pPr>
      <w:r>
        <w:rPr>
          <w:color w:val="auto"/>
          <w:lang w:val="en-US" w:eastAsia="zh-CN"/>
        </w:rPr>
        <w:br w:type="page"/>
      </w:r>
    </w:p>
    <w:p w14:paraId="0D751A66">
      <w:pPr>
        <w:pageBreakBefore w:val="0"/>
        <w:kinsoku/>
        <w:overflowPunct/>
        <w:topLinePunct w:val="0"/>
        <w:bidi w:val="0"/>
        <w:spacing w:line="240" w:lineRule="auto"/>
        <w:rPr>
          <w:rFonts w:hint="eastAsia" w:ascii="宋体" w:hAnsi="宋体" w:eastAsia="宋体" w:cs="宋体"/>
          <w:b/>
          <w:color w:val="auto"/>
          <w:sz w:val="32"/>
          <w:szCs w:val="32"/>
          <w:highlight w:val="none"/>
        </w:rPr>
      </w:pPr>
      <w:bookmarkStart w:id="173" w:name="_Toc19686837"/>
      <w:r>
        <w:rPr>
          <w:rFonts w:hint="eastAsia" w:ascii="宋体" w:hAnsi="宋体" w:eastAsia="宋体" w:cs="宋体"/>
          <w:b/>
          <w:color w:val="auto"/>
          <w:sz w:val="32"/>
          <w:szCs w:val="32"/>
          <w:highlight w:val="none"/>
        </w:rPr>
        <w:t>二、资格证明文件格式</w:t>
      </w:r>
      <w:bookmarkEnd w:id="173"/>
    </w:p>
    <w:p w14:paraId="1E2BCA48">
      <w:pPr>
        <w:pageBreakBefore w:val="0"/>
        <w:numPr>
          <w:ilvl w:val="0"/>
          <w:numId w:val="0"/>
        </w:numPr>
        <w:kinsoku/>
        <w:overflowPunct/>
        <w:topLinePunct w:val="0"/>
        <w:bidi w:val="0"/>
        <w:snapToGrid w:val="0"/>
        <w:spacing w:before="120" w:beforeLines="50" w:after="50" w:line="240" w:lineRule="auto"/>
        <w:jc w:val="left"/>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lang w:val="en-US" w:eastAsia="zh-CN"/>
        </w:rPr>
        <w:t>1.</w:t>
      </w:r>
      <w:r>
        <w:rPr>
          <w:rFonts w:hint="eastAsia" w:ascii="宋体" w:hAnsi="宋体" w:eastAsia="宋体" w:cs="宋体"/>
          <w:b/>
          <w:color w:val="auto"/>
          <w:sz w:val="30"/>
          <w:szCs w:val="30"/>
          <w:highlight w:val="none"/>
        </w:rPr>
        <w:t xml:space="preserve">资格证明文件封面格式： </w:t>
      </w:r>
    </w:p>
    <w:p w14:paraId="02D67B2B">
      <w:pPr>
        <w:pageBreakBefore w:val="0"/>
        <w:numPr>
          <w:ilvl w:val="0"/>
          <w:numId w:val="0"/>
        </w:numPr>
        <w:kinsoku/>
        <w:overflowPunct/>
        <w:topLinePunct w:val="0"/>
        <w:bidi w:val="0"/>
        <w:snapToGrid w:val="0"/>
        <w:spacing w:before="120" w:beforeLines="50" w:after="50" w:line="240" w:lineRule="auto"/>
        <w:jc w:val="left"/>
        <w:rPr>
          <w:rFonts w:hint="eastAsia" w:ascii="宋体" w:hAnsi="宋体" w:eastAsia="宋体" w:cs="宋体"/>
          <w:b/>
          <w:color w:val="auto"/>
          <w:sz w:val="30"/>
          <w:szCs w:val="30"/>
          <w:highlight w:val="none"/>
        </w:rPr>
      </w:pPr>
    </w:p>
    <w:p w14:paraId="77B356DE">
      <w:pPr>
        <w:pageBreakBefore w:val="0"/>
        <w:kinsoku/>
        <w:overflowPunct/>
        <w:topLinePunct w:val="0"/>
        <w:bidi w:val="0"/>
        <w:snapToGrid w:val="0"/>
        <w:spacing w:before="120" w:beforeLines="50" w:after="50" w:line="24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电子投标文件</w:t>
      </w:r>
    </w:p>
    <w:p w14:paraId="64DC3C3F">
      <w:pPr>
        <w:pageBreakBefore w:val="0"/>
        <w:kinsoku/>
        <w:overflowPunct/>
        <w:topLinePunct w:val="0"/>
        <w:bidi w:val="0"/>
        <w:snapToGrid w:val="0"/>
        <w:spacing w:before="120" w:beforeLines="50" w:after="50" w:line="240" w:lineRule="auto"/>
        <w:jc w:val="center"/>
        <w:rPr>
          <w:rFonts w:hint="eastAsia" w:ascii="宋体" w:hAnsi="宋体" w:eastAsia="宋体" w:cs="宋体"/>
          <w:b/>
          <w:color w:val="auto"/>
          <w:sz w:val="44"/>
          <w:szCs w:val="44"/>
          <w:highlight w:val="none"/>
        </w:rPr>
      </w:pPr>
    </w:p>
    <w:p w14:paraId="5530EEA0">
      <w:pPr>
        <w:pageBreakBefore w:val="0"/>
        <w:kinsoku/>
        <w:overflowPunct/>
        <w:topLinePunct w:val="0"/>
        <w:bidi w:val="0"/>
        <w:snapToGrid w:val="0"/>
        <w:spacing w:before="120" w:beforeLines="50" w:after="50" w:line="240" w:lineRule="auto"/>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资</w:t>
      </w:r>
      <w:r>
        <w:rPr>
          <w:rFonts w:hint="eastAsia" w:ascii="宋体" w:hAnsi="宋体" w:eastAsia="宋体" w:cs="宋体"/>
          <w:b/>
          <w:color w:val="auto"/>
          <w:sz w:val="44"/>
          <w:szCs w:val="44"/>
          <w:highlight w:val="none"/>
          <w:lang w:val="en-US" w:eastAsia="zh-CN"/>
        </w:rPr>
        <w:t xml:space="preserve"> </w:t>
      </w:r>
      <w:r>
        <w:rPr>
          <w:rFonts w:hint="eastAsia" w:ascii="宋体" w:hAnsi="宋体" w:eastAsia="宋体" w:cs="宋体"/>
          <w:b/>
          <w:color w:val="auto"/>
          <w:sz w:val="44"/>
          <w:szCs w:val="44"/>
          <w:highlight w:val="none"/>
        </w:rPr>
        <w:t>格</w:t>
      </w:r>
      <w:r>
        <w:rPr>
          <w:rFonts w:hint="eastAsia" w:ascii="宋体" w:hAnsi="宋体" w:eastAsia="宋体" w:cs="宋体"/>
          <w:b/>
          <w:color w:val="auto"/>
          <w:sz w:val="44"/>
          <w:szCs w:val="44"/>
          <w:highlight w:val="none"/>
          <w:lang w:val="en-US" w:eastAsia="zh-CN"/>
        </w:rPr>
        <w:t xml:space="preserve"> </w:t>
      </w:r>
      <w:r>
        <w:rPr>
          <w:rFonts w:hint="eastAsia" w:ascii="宋体" w:hAnsi="宋体" w:eastAsia="宋体" w:cs="宋体"/>
          <w:b/>
          <w:color w:val="auto"/>
          <w:sz w:val="44"/>
          <w:szCs w:val="44"/>
          <w:highlight w:val="none"/>
        </w:rPr>
        <w:t>证</w:t>
      </w:r>
      <w:r>
        <w:rPr>
          <w:rFonts w:hint="eastAsia" w:ascii="宋体" w:hAnsi="宋体" w:eastAsia="宋体" w:cs="宋体"/>
          <w:b/>
          <w:color w:val="auto"/>
          <w:sz w:val="44"/>
          <w:szCs w:val="44"/>
          <w:highlight w:val="none"/>
          <w:lang w:val="en-US" w:eastAsia="zh-CN"/>
        </w:rPr>
        <w:t xml:space="preserve"> </w:t>
      </w:r>
      <w:r>
        <w:rPr>
          <w:rFonts w:hint="eastAsia" w:ascii="宋体" w:hAnsi="宋体" w:eastAsia="宋体" w:cs="宋体"/>
          <w:b/>
          <w:color w:val="auto"/>
          <w:sz w:val="44"/>
          <w:szCs w:val="44"/>
          <w:highlight w:val="none"/>
        </w:rPr>
        <w:t>明</w:t>
      </w:r>
      <w:r>
        <w:rPr>
          <w:rFonts w:hint="eastAsia" w:ascii="宋体" w:hAnsi="宋体" w:eastAsia="宋体" w:cs="宋体"/>
          <w:b/>
          <w:color w:val="auto"/>
          <w:sz w:val="44"/>
          <w:szCs w:val="44"/>
          <w:highlight w:val="none"/>
          <w:lang w:val="en-US" w:eastAsia="zh-CN"/>
        </w:rPr>
        <w:t xml:space="preserve"> </w:t>
      </w:r>
      <w:r>
        <w:rPr>
          <w:rFonts w:hint="eastAsia" w:ascii="宋体" w:hAnsi="宋体" w:eastAsia="宋体" w:cs="宋体"/>
          <w:b/>
          <w:color w:val="auto"/>
          <w:sz w:val="44"/>
          <w:szCs w:val="44"/>
          <w:highlight w:val="none"/>
        </w:rPr>
        <w:t>文</w:t>
      </w:r>
      <w:r>
        <w:rPr>
          <w:rFonts w:hint="eastAsia" w:ascii="宋体" w:hAnsi="宋体" w:eastAsia="宋体" w:cs="宋体"/>
          <w:b/>
          <w:color w:val="auto"/>
          <w:sz w:val="44"/>
          <w:szCs w:val="44"/>
          <w:highlight w:val="none"/>
          <w:lang w:val="en-US" w:eastAsia="zh-CN"/>
        </w:rPr>
        <w:t xml:space="preserve"> </w:t>
      </w:r>
      <w:r>
        <w:rPr>
          <w:rFonts w:hint="eastAsia" w:ascii="宋体" w:hAnsi="宋体" w:eastAsia="宋体" w:cs="宋体"/>
          <w:b/>
          <w:color w:val="auto"/>
          <w:sz w:val="44"/>
          <w:szCs w:val="44"/>
          <w:highlight w:val="none"/>
        </w:rPr>
        <w:t>件</w:t>
      </w:r>
    </w:p>
    <w:p w14:paraId="7C321AA0">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4872815E">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3E9423BF">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02C3FC47">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24B64691">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637805CA">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541696E7">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6BD6E129">
      <w:pPr>
        <w:pageBreakBefore w:val="0"/>
        <w:kinsoku/>
        <w:overflowPunct/>
        <w:topLinePunct w:val="0"/>
        <w:bidi w:val="0"/>
        <w:snapToGrid w:val="0"/>
        <w:spacing w:before="120" w:beforeLines="50" w:after="50" w:line="240" w:lineRule="auto"/>
        <w:ind w:firstLine="630" w:firstLineChars="225"/>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项目名称：</w:t>
      </w:r>
    </w:p>
    <w:p w14:paraId="7888CE06">
      <w:pPr>
        <w:pageBreakBefore w:val="0"/>
        <w:kinsoku/>
        <w:overflowPunct/>
        <w:topLinePunct w:val="0"/>
        <w:bidi w:val="0"/>
        <w:snapToGrid w:val="0"/>
        <w:spacing w:before="120" w:beforeLines="50" w:after="50" w:line="240" w:lineRule="auto"/>
        <w:ind w:firstLine="630" w:firstLineChars="225"/>
        <w:rPr>
          <w:rFonts w:hint="eastAsia" w:ascii="宋体" w:hAnsi="宋体" w:eastAsia="宋体" w:cs="宋体"/>
          <w:bCs/>
          <w:color w:val="auto"/>
          <w:sz w:val="28"/>
          <w:szCs w:val="28"/>
          <w:highlight w:val="none"/>
        </w:rPr>
      </w:pPr>
    </w:p>
    <w:p w14:paraId="2476CC54">
      <w:pPr>
        <w:pageBreakBefore w:val="0"/>
        <w:kinsoku/>
        <w:overflowPunct/>
        <w:topLinePunct w:val="0"/>
        <w:bidi w:val="0"/>
        <w:snapToGrid w:val="0"/>
        <w:spacing w:before="120" w:beforeLines="50" w:after="50" w:line="240" w:lineRule="auto"/>
        <w:ind w:firstLine="630" w:firstLineChars="225"/>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项目编号：</w:t>
      </w:r>
    </w:p>
    <w:p w14:paraId="703766E2">
      <w:pPr>
        <w:pageBreakBefore w:val="0"/>
        <w:kinsoku/>
        <w:overflowPunct/>
        <w:topLinePunct w:val="0"/>
        <w:bidi w:val="0"/>
        <w:snapToGrid w:val="0"/>
        <w:spacing w:before="120" w:beforeLines="50" w:after="50" w:line="240" w:lineRule="auto"/>
        <w:ind w:firstLine="630" w:firstLineChars="225"/>
        <w:rPr>
          <w:rFonts w:hint="eastAsia" w:ascii="宋体" w:hAnsi="宋体" w:eastAsia="宋体" w:cs="宋体"/>
          <w:bCs/>
          <w:color w:val="auto"/>
          <w:sz w:val="28"/>
          <w:szCs w:val="28"/>
          <w:highlight w:val="none"/>
          <w:lang w:val="en-US" w:eastAsia="zh-CN"/>
        </w:rPr>
      </w:pPr>
    </w:p>
    <w:p w14:paraId="12B77B42">
      <w:pPr>
        <w:pageBreakBefore w:val="0"/>
        <w:kinsoku/>
        <w:overflowPunct/>
        <w:topLinePunct w:val="0"/>
        <w:bidi w:val="0"/>
        <w:snapToGrid w:val="0"/>
        <w:spacing w:before="120" w:beforeLines="50" w:after="50" w:line="240" w:lineRule="auto"/>
        <w:ind w:firstLine="630" w:firstLineChars="225"/>
        <w:rPr>
          <w:rFonts w:hint="eastAsia" w:ascii="宋体" w:hAnsi="宋体" w:eastAsia="宋体" w:cs="宋体"/>
          <w:bCs/>
          <w:color w:val="auto"/>
          <w:sz w:val="28"/>
          <w:szCs w:val="28"/>
          <w:highlight w:val="none"/>
          <w:lang w:val="en-US" w:eastAsia="zh-CN"/>
        </w:rPr>
      </w:pPr>
      <w:r>
        <w:rPr>
          <w:rFonts w:hint="eastAsia" w:ascii="宋体" w:hAnsi="宋体" w:eastAsia="宋体" w:cs="宋体"/>
          <w:bCs/>
          <w:color w:val="auto"/>
          <w:sz w:val="28"/>
          <w:szCs w:val="28"/>
          <w:highlight w:val="none"/>
          <w:lang w:val="en-US" w:eastAsia="zh-CN"/>
        </w:rPr>
        <w:t>分标：</w:t>
      </w:r>
    </w:p>
    <w:p w14:paraId="0210006F">
      <w:pPr>
        <w:pageBreakBefore w:val="0"/>
        <w:kinsoku/>
        <w:overflowPunct/>
        <w:topLinePunct w:val="0"/>
        <w:bidi w:val="0"/>
        <w:snapToGrid w:val="0"/>
        <w:spacing w:before="120" w:beforeLines="50" w:after="50" w:line="240" w:lineRule="auto"/>
        <w:ind w:firstLine="630" w:firstLineChars="225"/>
        <w:rPr>
          <w:rFonts w:hint="eastAsia" w:ascii="宋体" w:hAnsi="宋体" w:eastAsia="宋体" w:cs="宋体"/>
          <w:bCs/>
          <w:color w:val="auto"/>
          <w:sz w:val="28"/>
          <w:szCs w:val="28"/>
          <w:highlight w:val="none"/>
        </w:rPr>
      </w:pPr>
    </w:p>
    <w:p w14:paraId="50AABA35">
      <w:pPr>
        <w:pStyle w:val="7"/>
        <w:pageBreakBefore w:val="0"/>
        <w:kinsoku/>
        <w:overflowPunct/>
        <w:topLinePunct w:val="0"/>
        <w:bidi w:val="0"/>
        <w:snapToGrid w:val="0"/>
        <w:spacing w:before="50" w:after="50" w:line="240" w:lineRule="auto"/>
        <w:ind w:firstLine="630" w:firstLineChars="225"/>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投标人名称：</w:t>
      </w:r>
    </w:p>
    <w:p w14:paraId="57C3F403">
      <w:pPr>
        <w:pStyle w:val="7"/>
        <w:pageBreakBefore w:val="0"/>
        <w:kinsoku/>
        <w:overflowPunct/>
        <w:topLinePunct w:val="0"/>
        <w:bidi w:val="0"/>
        <w:snapToGrid w:val="0"/>
        <w:spacing w:before="50" w:after="50" w:line="240" w:lineRule="auto"/>
        <w:ind w:firstLine="630" w:firstLineChars="225"/>
        <w:rPr>
          <w:rFonts w:hint="eastAsia" w:ascii="宋体" w:hAnsi="宋体" w:eastAsia="宋体" w:cs="宋体"/>
          <w:bCs/>
          <w:color w:val="auto"/>
          <w:sz w:val="28"/>
          <w:szCs w:val="28"/>
          <w:highlight w:val="none"/>
        </w:rPr>
      </w:pPr>
    </w:p>
    <w:p w14:paraId="06739DE9">
      <w:pPr>
        <w:pStyle w:val="7"/>
        <w:pageBreakBefore w:val="0"/>
        <w:kinsoku/>
        <w:overflowPunct/>
        <w:topLinePunct w:val="0"/>
        <w:bidi w:val="0"/>
        <w:snapToGrid w:val="0"/>
        <w:spacing w:before="50" w:after="50" w:line="240" w:lineRule="auto"/>
        <w:ind w:firstLine="630" w:firstLineChars="225"/>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投标人地址：</w:t>
      </w:r>
    </w:p>
    <w:p w14:paraId="1C34C123">
      <w:pPr>
        <w:pStyle w:val="7"/>
        <w:pageBreakBefore w:val="0"/>
        <w:kinsoku/>
        <w:overflowPunct/>
        <w:topLinePunct w:val="0"/>
        <w:bidi w:val="0"/>
        <w:snapToGrid w:val="0"/>
        <w:spacing w:before="50" w:after="50" w:line="240" w:lineRule="auto"/>
        <w:ind w:firstLine="630" w:firstLineChars="225"/>
        <w:rPr>
          <w:rFonts w:hint="eastAsia" w:ascii="宋体" w:hAnsi="宋体" w:eastAsia="宋体" w:cs="宋体"/>
          <w:bCs/>
          <w:color w:val="auto"/>
          <w:sz w:val="28"/>
          <w:szCs w:val="28"/>
          <w:highlight w:val="none"/>
        </w:rPr>
      </w:pPr>
    </w:p>
    <w:p w14:paraId="20521AC9">
      <w:pPr>
        <w:pStyle w:val="7"/>
        <w:pageBreakBefore w:val="0"/>
        <w:kinsoku/>
        <w:overflowPunct/>
        <w:topLinePunct w:val="0"/>
        <w:bidi w:val="0"/>
        <w:snapToGrid w:val="0"/>
        <w:spacing w:before="50" w:after="50" w:line="240" w:lineRule="auto"/>
        <w:ind w:firstLine="1120" w:firstLineChars="400"/>
        <w:rPr>
          <w:rFonts w:hint="eastAsia" w:ascii="宋体" w:hAnsi="宋体" w:eastAsia="宋体" w:cs="宋体"/>
          <w:bCs/>
          <w:color w:val="auto"/>
          <w:sz w:val="28"/>
          <w:szCs w:val="28"/>
          <w:highlight w:val="none"/>
        </w:rPr>
      </w:pPr>
    </w:p>
    <w:p w14:paraId="5D4BB5D0">
      <w:pPr>
        <w:pageBreakBefore w:val="0"/>
        <w:kinsoku/>
        <w:overflowPunct/>
        <w:topLinePunct w:val="0"/>
        <w:bidi w:val="0"/>
        <w:snapToGrid w:val="0"/>
        <w:spacing w:before="120" w:beforeLines="50" w:after="50" w:line="240" w:lineRule="auto"/>
        <w:ind w:firstLine="645"/>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年  月  日</w:t>
      </w:r>
    </w:p>
    <w:p w14:paraId="07AA49BB">
      <w:pPr>
        <w:rPr>
          <w:rFonts w:hint="eastAsia"/>
          <w:color w:val="auto"/>
          <w:lang w:val="en-US" w:eastAsia="zh-CN"/>
        </w:rPr>
      </w:pPr>
      <w:r>
        <w:rPr>
          <w:rFonts w:hint="eastAsia"/>
          <w:color w:val="auto"/>
          <w:lang w:val="en-US" w:eastAsia="zh-CN"/>
        </w:rPr>
        <w:br w:type="page"/>
      </w:r>
    </w:p>
    <w:p w14:paraId="0E79037B">
      <w:pPr>
        <w:pageBreakBefore w:val="0"/>
        <w:numPr>
          <w:ilvl w:val="0"/>
          <w:numId w:val="0"/>
        </w:numPr>
        <w:kinsoku/>
        <w:overflowPunct/>
        <w:topLinePunct w:val="0"/>
        <w:bidi w:val="0"/>
        <w:snapToGrid w:val="0"/>
        <w:spacing w:before="120" w:beforeLines="50" w:after="50" w:line="240" w:lineRule="auto"/>
        <w:jc w:val="left"/>
        <w:rPr>
          <w:rFonts w:hint="eastAsia" w:ascii="宋体" w:hAnsi="宋体" w:eastAsia="宋体" w:cs="宋体"/>
          <w:color w:val="auto"/>
          <w:sz w:val="30"/>
          <w:szCs w:val="30"/>
          <w:highlight w:val="none"/>
        </w:rPr>
      </w:pPr>
      <w:r>
        <w:rPr>
          <w:rFonts w:hint="eastAsia" w:ascii="宋体" w:hAnsi="宋体" w:eastAsia="宋体" w:cs="宋体"/>
          <w:b/>
          <w:bCs/>
          <w:color w:val="auto"/>
          <w:sz w:val="30"/>
          <w:szCs w:val="30"/>
          <w:highlight w:val="none"/>
          <w:lang w:val="en-US" w:eastAsia="zh-CN"/>
        </w:rPr>
        <w:t>2.</w:t>
      </w:r>
      <w:r>
        <w:rPr>
          <w:rFonts w:hint="eastAsia" w:ascii="宋体" w:hAnsi="宋体" w:eastAsia="宋体" w:cs="宋体"/>
          <w:b/>
          <w:bCs/>
          <w:color w:val="auto"/>
          <w:sz w:val="30"/>
          <w:szCs w:val="30"/>
          <w:highlight w:val="none"/>
        </w:rPr>
        <w:t>资格证明文件目录</w:t>
      </w:r>
    </w:p>
    <w:p w14:paraId="636EBFD7">
      <w:pPr>
        <w:pageBreakBefore w:val="0"/>
        <w:kinsoku/>
        <w:overflowPunct/>
        <w:topLinePunct w:val="0"/>
        <w:bidi w:val="0"/>
        <w:snapToGrid w:val="0"/>
        <w:spacing w:line="240" w:lineRule="auto"/>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根据</w:t>
      </w:r>
      <w:r>
        <w:rPr>
          <w:rFonts w:hint="eastAsia" w:ascii="宋体" w:hAnsi="宋体" w:cs="宋体"/>
          <w:color w:val="auto"/>
          <w:sz w:val="28"/>
          <w:szCs w:val="28"/>
          <w:highlight w:val="none"/>
          <w:lang w:eastAsia="zh-CN"/>
        </w:rPr>
        <w:t>采购</w:t>
      </w:r>
      <w:r>
        <w:rPr>
          <w:rFonts w:hint="eastAsia" w:ascii="宋体" w:hAnsi="宋体" w:eastAsia="宋体" w:cs="宋体"/>
          <w:color w:val="auto"/>
          <w:sz w:val="28"/>
          <w:szCs w:val="28"/>
          <w:highlight w:val="none"/>
        </w:rPr>
        <w:t>文件规定及投标人提供的材料自行编写目录。</w:t>
      </w:r>
    </w:p>
    <w:p w14:paraId="303E4816">
      <w:pP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br w:type="page"/>
      </w:r>
    </w:p>
    <w:p w14:paraId="40F1BA4B">
      <w:pP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lang w:val="en-US" w:eastAsia="zh-CN"/>
        </w:rPr>
        <w:t>3.</w:t>
      </w:r>
      <w:r>
        <w:rPr>
          <w:rFonts w:hint="eastAsia" w:ascii="宋体" w:hAnsi="宋体" w:eastAsia="宋体" w:cs="宋体"/>
          <w:b/>
          <w:color w:val="auto"/>
          <w:sz w:val="30"/>
          <w:szCs w:val="30"/>
          <w:highlight w:val="none"/>
        </w:rPr>
        <w:t>防城港市政府采购供应商信用承诺函</w:t>
      </w:r>
    </w:p>
    <w:p w14:paraId="5F2F839B">
      <w:pPr>
        <w:pStyle w:val="15"/>
        <w:pageBreakBefore w:val="0"/>
        <w:kinsoku/>
        <w:overflowPunct/>
        <w:topLinePunct w:val="0"/>
        <w:bidi w:val="0"/>
        <w:spacing w:line="240" w:lineRule="auto"/>
        <w:rPr>
          <w:rFonts w:hint="eastAsia" w:ascii="宋体" w:hAnsi="宋体" w:eastAsia="宋体" w:cs="宋体"/>
          <w:color w:val="auto"/>
          <w:sz w:val="21"/>
          <w:szCs w:val="21"/>
          <w:highlight w:val="none"/>
        </w:rPr>
      </w:pPr>
    </w:p>
    <w:p w14:paraId="4883B891">
      <w:pPr>
        <w:pageBreakBefore w:val="0"/>
        <w:kinsoku/>
        <w:overflowPunct/>
        <w:topLinePunct w:val="0"/>
        <w:bidi w:val="0"/>
        <w:spacing w:line="240"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防城港市政府采购供应商信用承诺函</w:t>
      </w:r>
    </w:p>
    <w:p w14:paraId="6DC8867C">
      <w:pPr>
        <w:pageBreakBefore w:val="0"/>
        <w:kinsoku/>
        <w:overflowPunct/>
        <w:topLinePunct w:val="0"/>
        <w:bidi w:val="0"/>
        <w:spacing w:line="240" w:lineRule="auto"/>
        <w:ind w:firstLine="420" w:firstLineChars="200"/>
        <w:rPr>
          <w:rFonts w:hint="eastAsia" w:ascii="宋体" w:hAnsi="宋体" w:eastAsia="宋体" w:cs="宋体"/>
          <w:color w:val="auto"/>
          <w:sz w:val="21"/>
          <w:szCs w:val="21"/>
          <w:highlight w:val="none"/>
        </w:rPr>
      </w:pPr>
    </w:p>
    <w:p w14:paraId="5ACDEED1">
      <w:pPr>
        <w:pageBreakBefore w:val="0"/>
        <w:kinsoku/>
        <w:overflowPunct/>
        <w:topLinePunct w:val="0"/>
        <w:bidi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致（采购人或采购代理机构） ：</w:t>
      </w:r>
    </w:p>
    <w:p w14:paraId="3D3573D2">
      <w:pPr>
        <w:pageBreakBefore w:val="0"/>
        <w:kinsoku/>
        <w:overflowPunct/>
        <w:topLinePunct w:val="0"/>
        <w:bidi w:val="0"/>
        <w:spacing w:line="24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我方自愿参加</w:t>
      </w:r>
      <w:r>
        <w:rPr>
          <w:rFonts w:hint="eastAsia" w:ascii="宋体" w:hAnsi="宋体" w:eastAsia="宋体" w:cs="宋体"/>
          <w:color w:val="auto"/>
          <w:sz w:val="24"/>
          <w:szCs w:val="24"/>
          <w:highlight w:val="none"/>
          <w:u w:val="single"/>
        </w:rPr>
        <w:t xml:space="preserve"> （项目名称） </w:t>
      </w:r>
      <w:r>
        <w:rPr>
          <w:rFonts w:hint="eastAsia" w:ascii="宋体" w:hAnsi="宋体" w:eastAsia="宋体" w:cs="宋体"/>
          <w:color w:val="auto"/>
          <w:sz w:val="24"/>
          <w:szCs w:val="24"/>
          <w:highlight w:val="none"/>
        </w:rPr>
        <w:t>项目（</w:t>
      </w:r>
      <w:r>
        <w:rPr>
          <w:rFonts w:hint="eastAsia" w:ascii="宋体" w:hAnsi="宋体" w:eastAsia="宋体" w:cs="宋体"/>
          <w:color w:val="auto"/>
          <w:sz w:val="24"/>
          <w:szCs w:val="24"/>
          <w:highlight w:val="none"/>
          <w:u w:val="single"/>
        </w:rPr>
        <w:t xml:space="preserve">项目编号：         </w:t>
      </w:r>
      <w:r>
        <w:rPr>
          <w:rFonts w:hint="eastAsia" w:ascii="宋体" w:hAnsi="宋体" w:eastAsia="宋体" w:cs="宋体"/>
          <w:color w:val="auto"/>
          <w:sz w:val="24"/>
          <w:szCs w:val="24"/>
          <w:highlight w:val="none"/>
        </w:rPr>
        <w:t xml:space="preserve">）的政府采购活动，严格遵守《中华人民共和国政府采购法》及相关法律法规，依法诚信经营，无条件遵守本次政府采购活动的各项规定，并郑重承诺： </w:t>
      </w:r>
    </w:p>
    <w:p w14:paraId="67B8D5B9">
      <w:pPr>
        <w:pageBreakBefore w:val="0"/>
        <w:kinsoku/>
        <w:overflowPunct/>
        <w:topLinePunct w:val="0"/>
        <w:bidi w:val="0"/>
        <w:spacing w:line="24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1.我方具有符合采购文件资格要求的财务状况报告。 </w:t>
      </w:r>
    </w:p>
    <w:p w14:paraId="5B3AFE33">
      <w:pPr>
        <w:pageBreakBefore w:val="0"/>
        <w:kinsoku/>
        <w:overflowPunct/>
        <w:topLinePunct w:val="0"/>
        <w:bidi w:val="0"/>
        <w:spacing w:line="24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2.我方具有符合采购文件资格要求的依法缴纳税收和社会保障资金的良好记录。 </w:t>
      </w:r>
    </w:p>
    <w:p w14:paraId="5414A664">
      <w:pPr>
        <w:pageBreakBefore w:val="0"/>
        <w:kinsoku/>
        <w:overflowPunct/>
        <w:topLinePunct w:val="0"/>
        <w:bidi w:val="0"/>
        <w:spacing w:line="24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3.我方参加政府采购活动前三年内在经营活动中没有重大违法记录。 </w:t>
      </w:r>
    </w:p>
    <w:p w14:paraId="4903EA42">
      <w:pPr>
        <w:pageBreakBefore w:val="0"/>
        <w:kinsoku/>
        <w:overflowPunct/>
        <w:topLinePunct w:val="0"/>
        <w:bidi w:val="0"/>
        <w:spacing w:line="24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我方对以上承诺内容的真实性负责。如有虚假，将依法承担相应责任。</w:t>
      </w:r>
    </w:p>
    <w:p w14:paraId="3DB2E2C1">
      <w:pPr>
        <w:pageBreakBefore w:val="0"/>
        <w:kinsoku/>
        <w:overflowPunct/>
        <w:topLinePunct w:val="0"/>
        <w:bidi w:val="0"/>
        <w:spacing w:line="240" w:lineRule="auto"/>
        <w:ind w:firstLine="2760" w:firstLineChars="1150"/>
        <w:rPr>
          <w:rFonts w:hint="eastAsia" w:ascii="宋体" w:hAnsi="宋体" w:eastAsia="宋体" w:cs="宋体"/>
          <w:color w:val="auto"/>
          <w:sz w:val="24"/>
          <w:szCs w:val="24"/>
          <w:highlight w:val="none"/>
        </w:rPr>
      </w:pPr>
    </w:p>
    <w:p w14:paraId="619F3ABB">
      <w:pPr>
        <w:pageBreakBefore w:val="0"/>
        <w:kinsoku/>
        <w:overflowPunct/>
        <w:topLinePunct w:val="0"/>
        <w:bidi w:val="0"/>
        <w:spacing w:line="240" w:lineRule="auto"/>
        <w:ind w:firstLine="2760" w:firstLineChars="1150"/>
        <w:rPr>
          <w:rFonts w:hint="eastAsia" w:ascii="宋体" w:hAnsi="宋体" w:eastAsia="宋体" w:cs="宋体"/>
          <w:color w:val="auto"/>
          <w:sz w:val="24"/>
          <w:szCs w:val="24"/>
          <w:highlight w:val="none"/>
        </w:rPr>
      </w:pPr>
    </w:p>
    <w:p w14:paraId="4F4BF707">
      <w:pPr>
        <w:pageBreakBefore w:val="0"/>
        <w:kinsoku/>
        <w:overflowPunct/>
        <w:topLinePunct w:val="0"/>
        <w:bidi w:val="0"/>
        <w:spacing w:line="240" w:lineRule="auto"/>
        <w:ind w:firstLine="2760" w:firstLineChars="1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供应商名称（公章）：</w:t>
      </w:r>
      <w:r>
        <w:rPr>
          <w:rFonts w:hint="eastAsia" w:ascii="宋体" w:hAnsi="宋体" w:eastAsia="宋体" w:cs="宋体"/>
          <w:color w:val="auto"/>
          <w:sz w:val="24"/>
          <w:szCs w:val="24"/>
          <w:highlight w:val="none"/>
          <w:u w:val="single"/>
        </w:rPr>
        <w:t xml:space="preserve">               </w:t>
      </w:r>
    </w:p>
    <w:p w14:paraId="77FAAA13">
      <w:pPr>
        <w:pageBreakBefore w:val="0"/>
        <w:kinsoku/>
        <w:overflowPunct/>
        <w:topLinePunct w:val="0"/>
        <w:bidi w:val="0"/>
        <w:spacing w:line="240" w:lineRule="auto"/>
        <w:ind w:firstLine="2640" w:firstLineChars="1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统一社会信用代码：</w:t>
      </w:r>
      <w:r>
        <w:rPr>
          <w:rFonts w:hint="eastAsia" w:ascii="宋体" w:hAnsi="宋体" w:eastAsia="宋体" w:cs="宋体"/>
          <w:color w:val="auto"/>
          <w:sz w:val="24"/>
          <w:szCs w:val="24"/>
          <w:highlight w:val="none"/>
          <w:u w:val="single"/>
        </w:rPr>
        <w:t xml:space="preserve">                  </w:t>
      </w:r>
    </w:p>
    <w:p w14:paraId="071933DC">
      <w:pPr>
        <w:pageBreakBefore w:val="0"/>
        <w:kinsoku/>
        <w:overflowPunct/>
        <w:topLinePunct w:val="0"/>
        <w:bidi w:val="0"/>
        <w:spacing w:line="240" w:lineRule="auto"/>
        <w:ind w:firstLine="1680" w:firstLineChars="7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法定代表人或授权代表(签名)：</w:t>
      </w:r>
      <w:r>
        <w:rPr>
          <w:rFonts w:hint="eastAsia" w:ascii="宋体" w:hAnsi="宋体" w:eastAsia="宋体" w:cs="宋体"/>
          <w:color w:val="auto"/>
          <w:sz w:val="24"/>
          <w:szCs w:val="24"/>
          <w:highlight w:val="none"/>
          <w:u w:val="single"/>
        </w:rPr>
        <w:t xml:space="preserve">                </w:t>
      </w:r>
    </w:p>
    <w:p w14:paraId="725E9A2D">
      <w:pPr>
        <w:pageBreakBefore w:val="0"/>
        <w:kinsoku/>
        <w:overflowPunct/>
        <w:topLinePunct w:val="0"/>
        <w:bidi w:val="0"/>
        <w:spacing w:line="240" w:lineRule="auto"/>
        <w:ind w:firstLine="3120" w:firstLineChars="1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     年    月    日</w:t>
      </w:r>
    </w:p>
    <w:p w14:paraId="42E50238">
      <w:pPr>
        <w:pageBreakBefore w:val="0"/>
        <w:kinsoku/>
        <w:overflowPunct/>
        <w:topLinePunct w:val="0"/>
        <w:bidi w:val="0"/>
        <w:spacing w:line="240" w:lineRule="auto"/>
        <w:ind w:firstLine="480" w:firstLineChars="200"/>
        <w:rPr>
          <w:rFonts w:hint="eastAsia" w:ascii="宋体" w:hAnsi="宋体" w:eastAsia="宋体" w:cs="宋体"/>
          <w:color w:val="auto"/>
          <w:sz w:val="24"/>
          <w:szCs w:val="24"/>
          <w:highlight w:val="none"/>
        </w:rPr>
      </w:pPr>
    </w:p>
    <w:p w14:paraId="3B9132F4">
      <w:pPr>
        <w:pageBreakBefore w:val="0"/>
        <w:kinsoku/>
        <w:overflowPunct/>
        <w:topLinePunct w:val="0"/>
        <w:bidi w:val="0"/>
        <w:spacing w:line="24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注：1.</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须在投标（响应）文件中按此模板提供承诺函，未提供视为未实质性响应</w:t>
      </w:r>
      <w:r>
        <w:rPr>
          <w:rFonts w:hint="eastAsia" w:ascii="宋体" w:hAnsi="宋体" w:cs="宋体"/>
          <w:color w:val="auto"/>
          <w:sz w:val="24"/>
          <w:szCs w:val="24"/>
          <w:highlight w:val="none"/>
          <w:lang w:eastAsia="zh-CN"/>
        </w:rPr>
        <w:t>采购</w:t>
      </w:r>
      <w:r>
        <w:rPr>
          <w:rFonts w:hint="eastAsia" w:ascii="宋体" w:hAnsi="宋体" w:eastAsia="宋体" w:cs="宋体"/>
          <w:color w:val="auto"/>
          <w:sz w:val="24"/>
          <w:szCs w:val="24"/>
          <w:highlight w:val="none"/>
        </w:rPr>
        <w:t>（采购）文件要求，按无效投标（响应）处理。</w:t>
      </w:r>
    </w:p>
    <w:p w14:paraId="543BDCB5">
      <w:pPr>
        <w:pageBreakBefore w:val="0"/>
        <w:kinsoku/>
        <w:overflowPunct/>
        <w:topLinePunct w:val="0"/>
        <w:bidi w:val="0"/>
        <w:spacing w:line="24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的法定代表人（其他组织的为负责人）或者授权代表的签名或盖章应真实、有效，如由授权代表签名或盖章的，应提供“法定代表人授权书”。</w:t>
      </w:r>
    </w:p>
    <w:p w14:paraId="5D3A1B7F">
      <w:pPr>
        <w:rPr>
          <w:rFonts w:hint="eastAsia"/>
          <w:color w:val="auto"/>
          <w:lang w:val="en-US" w:eastAsia="zh-CN"/>
        </w:rPr>
      </w:pPr>
      <w:r>
        <w:rPr>
          <w:rFonts w:hint="eastAsia"/>
          <w:color w:val="auto"/>
          <w:lang w:val="en-US" w:eastAsia="zh-CN"/>
        </w:rPr>
        <w:br w:type="page"/>
      </w:r>
    </w:p>
    <w:p w14:paraId="2C399FD4">
      <w:pPr>
        <w:pageBreakBefore w:val="0"/>
        <w:numPr>
          <w:ilvl w:val="0"/>
          <w:numId w:val="0"/>
        </w:numPr>
        <w:kinsoku/>
        <w:overflowPunct/>
        <w:topLinePunct w:val="0"/>
        <w:bidi w:val="0"/>
        <w:snapToGrid w:val="0"/>
        <w:spacing w:before="120" w:beforeLines="50" w:after="50" w:line="240" w:lineRule="auto"/>
        <w:jc w:val="left"/>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lang w:val="en-US" w:eastAsia="zh-CN"/>
        </w:rPr>
        <w:t>4.</w:t>
      </w:r>
      <w:r>
        <w:rPr>
          <w:rFonts w:hint="eastAsia" w:ascii="宋体" w:hAnsi="宋体" w:eastAsia="宋体" w:cs="宋体"/>
          <w:b/>
          <w:color w:val="auto"/>
          <w:sz w:val="30"/>
          <w:szCs w:val="30"/>
          <w:highlight w:val="none"/>
        </w:rPr>
        <w:t>投标人直接控股、管理关系信息表</w:t>
      </w:r>
    </w:p>
    <w:p w14:paraId="398F46A5">
      <w:pPr>
        <w:pageBreakBefore w:val="0"/>
        <w:kinsoku/>
        <w:overflowPunct/>
        <w:topLinePunct w:val="0"/>
        <w:bidi w:val="0"/>
        <w:snapToGrid w:val="0"/>
        <w:spacing w:before="50" w:after="120" w:afterLines="50" w:line="240" w:lineRule="auto"/>
        <w:jc w:val="center"/>
        <w:rPr>
          <w:rFonts w:hint="eastAsia" w:ascii="宋体" w:hAnsi="宋体" w:eastAsia="宋体" w:cs="宋体"/>
          <w:b/>
          <w:color w:val="auto"/>
          <w:sz w:val="28"/>
          <w:szCs w:val="28"/>
          <w:highlight w:val="none"/>
        </w:rPr>
      </w:pPr>
    </w:p>
    <w:p w14:paraId="230BCC67">
      <w:pPr>
        <w:pageBreakBefore w:val="0"/>
        <w:kinsoku/>
        <w:overflowPunct/>
        <w:topLinePunct w:val="0"/>
        <w:bidi w:val="0"/>
        <w:snapToGrid w:val="0"/>
        <w:spacing w:before="50" w:after="120" w:afterLines="50" w:line="24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投标人直接控股股东信息表</w:t>
      </w:r>
    </w:p>
    <w:tbl>
      <w:tblPr>
        <w:tblStyle w:val="20"/>
        <w:tblW w:w="9476" w:type="dxa"/>
        <w:jc w:val="center"/>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2BC3BABA">
        <w:tblPrEx>
          <w:shd w:val="clear" w:color="auto" w:fill="FBFBFB"/>
          <w:tblCellMar>
            <w:top w:w="0" w:type="dxa"/>
            <w:left w:w="0" w:type="dxa"/>
            <w:bottom w:w="0" w:type="dxa"/>
            <w:right w:w="0" w:type="dxa"/>
          </w:tblCellMar>
        </w:tblPrEx>
        <w:trPr>
          <w:tblHeader/>
          <w:jc w:val="cent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C93DF6D">
            <w:pPr>
              <w:pageBreakBefore w:val="0"/>
              <w:kinsoku/>
              <w:overflowPunct/>
              <w:topLinePunct w:val="0"/>
              <w:bidi w:val="0"/>
              <w:spacing w:line="240" w:lineRule="auto"/>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007B6CE">
            <w:pPr>
              <w:pageBreakBefore w:val="0"/>
              <w:kinsoku/>
              <w:overflowPunct/>
              <w:topLinePunct w:val="0"/>
              <w:bidi w:val="0"/>
              <w:spacing w:line="240" w:lineRule="auto"/>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841FFDB">
            <w:pPr>
              <w:pageBreakBefore w:val="0"/>
              <w:kinsoku/>
              <w:overflowPunct/>
              <w:topLinePunct w:val="0"/>
              <w:bidi w:val="0"/>
              <w:spacing w:line="240" w:lineRule="auto"/>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43773A0">
            <w:pPr>
              <w:pageBreakBefore w:val="0"/>
              <w:kinsoku/>
              <w:overflowPunct/>
              <w:topLinePunct w:val="0"/>
              <w:bidi w:val="0"/>
              <w:spacing w:line="240" w:lineRule="auto"/>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E80758E">
            <w:pPr>
              <w:pageBreakBefore w:val="0"/>
              <w:kinsoku/>
              <w:overflowPunct/>
              <w:topLinePunct w:val="0"/>
              <w:bidi w:val="0"/>
              <w:spacing w:line="240" w:lineRule="auto"/>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备注</w:t>
            </w:r>
          </w:p>
        </w:tc>
      </w:tr>
      <w:tr w14:paraId="73E34170">
        <w:tblPrEx>
          <w:tblCellMar>
            <w:top w:w="0" w:type="dxa"/>
            <w:left w:w="0" w:type="dxa"/>
            <w:bottom w:w="0" w:type="dxa"/>
            <w:right w:w="0" w:type="dxa"/>
          </w:tblCellMar>
        </w:tblPrEx>
        <w:trPr>
          <w:jc w:val="center"/>
        </w:trPr>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D26DF33">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5AC0CC7">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06C3698">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0495AB9">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355E90E">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r>
      <w:tr w14:paraId="068D69F3">
        <w:tblPrEx>
          <w:tblCellMar>
            <w:top w:w="0" w:type="dxa"/>
            <w:left w:w="0" w:type="dxa"/>
            <w:bottom w:w="0" w:type="dxa"/>
            <w:right w:w="0" w:type="dxa"/>
          </w:tblCellMar>
        </w:tblPrEx>
        <w:trPr>
          <w:jc w:val="center"/>
        </w:trPr>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40753CB">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735F00F">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1A07D9F">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B294B78">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AB24C7C">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r>
      <w:tr w14:paraId="374D3EBD">
        <w:tblPrEx>
          <w:shd w:val="clear" w:color="auto" w:fill="FBFBFB"/>
          <w:tblCellMar>
            <w:top w:w="0" w:type="dxa"/>
            <w:left w:w="0" w:type="dxa"/>
            <w:bottom w:w="0" w:type="dxa"/>
            <w:right w:w="0" w:type="dxa"/>
          </w:tblCellMar>
        </w:tblPrEx>
        <w:trPr>
          <w:jc w:val="center"/>
        </w:trPr>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DD8DF6B">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42DD2DC">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ADDC6A1">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F0CAA9D">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F79BF0E">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r>
      <w:tr w14:paraId="55AFB4C3">
        <w:tblPrEx>
          <w:tblCellMar>
            <w:top w:w="0" w:type="dxa"/>
            <w:left w:w="0" w:type="dxa"/>
            <w:bottom w:w="0" w:type="dxa"/>
            <w:right w:w="0" w:type="dxa"/>
          </w:tblCellMar>
        </w:tblPrEx>
        <w:trPr>
          <w:jc w:val="center"/>
        </w:trPr>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1A9C325">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178B09B">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C03E8F6">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D2C45B1">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FAC097F">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r>
    </w:tbl>
    <w:p w14:paraId="3E929B72">
      <w:pPr>
        <w:pageBreakBefore w:val="0"/>
        <w:kinsoku/>
        <w:overflowPunct/>
        <w:topLinePunct w:val="0"/>
        <w:bidi w:val="0"/>
        <w:snapToGrid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78F2F8CF">
      <w:pPr>
        <w:pageBreakBefore w:val="0"/>
        <w:kinsoku/>
        <w:overflowPunct/>
        <w:topLinePunct w:val="0"/>
        <w:bidi w:val="0"/>
        <w:snapToGrid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F299677">
      <w:pPr>
        <w:pageBreakBefore w:val="0"/>
        <w:kinsoku/>
        <w:overflowPunct/>
        <w:topLinePunct w:val="0"/>
        <w:bidi w:val="0"/>
        <w:snapToGrid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2.本表所指的控股关系仅限于直接控股关系，不包括间接的控股关系。公司实际控制人与公司之间的关系不属于本表所指的直接控股关系。</w:t>
      </w:r>
    </w:p>
    <w:p w14:paraId="2BE2353C">
      <w:pPr>
        <w:pageBreakBefore w:val="0"/>
        <w:kinsoku/>
        <w:overflowPunct/>
        <w:topLinePunct w:val="0"/>
        <w:bidi w:val="0"/>
        <w:snapToGrid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不存在直接控股股东的，则在“</w:t>
      </w:r>
      <w:r>
        <w:rPr>
          <w:rFonts w:hint="eastAsia" w:ascii="宋体" w:hAnsi="宋体" w:eastAsia="宋体" w:cs="宋体"/>
          <w:b/>
          <w:bCs/>
          <w:color w:val="auto"/>
          <w:kern w:val="0"/>
          <w:sz w:val="24"/>
          <w:szCs w:val="24"/>
          <w:highlight w:val="none"/>
        </w:rPr>
        <w:t>直接控股股东名称</w:t>
      </w:r>
      <w:r>
        <w:rPr>
          <w:rFonts w:hint="eastAsia" w:ascii="宋体" w:hAnsi="宋体" w:eastAsia="宋体" w:cs="宋体"/>
          <w:color w:val="auto"/>
          <w:sz w:val="24"/>
          <w:szCs w:val="24"/>
          <w:highlight w:val="none"/>
        </w:rPr>
        <w:t>”中填“无”。</w:t>
      </w:r>
    </w:p>
    <w:p w14:paraId="478E209D">
      <w:pPr>
        <w:pageBreakBefore w:val="0"/>
        <w:kinsoku/>
        <w:overflowPunct/>
        <w:topLinePunct w:val="0"/>
        <w:bidi w:val="0"/>
        <w:snapToGrid w:val="0"/>
        <w:spacing w:line="240" w:lineRule="auto"/>
        <w:jc w:val="left"/>
        <w:rPr>
          <w:rFonts w:hint="eastAsia" w:ascii="宋体" w:hAnsi="宋体" w:eastAsia="宋体" w:cs="宋体"/>
          <w:color w:val="auto"/>
          <w:sz w:val="24"/>
          <w:szCs w:val="24"/>
          <w:highlight w:val="none"/>
        </w:rPr>
      </w:pPr>
    </w:p>
    <w:p w14:paraId="7FCB531C">
      <w:pPr>
        <w:pageBreakBefore w:val="0"/>
        <w:kinsoku/>
        <w:overflowPunct/>
        <w:topLinePunct w:val="0"/>
        <w:bidi w:val="0"/>
        <w:snapToGrid w:val="0"/>
        <w:spacing w:line="240" w:lineRule="auto"/>
        <w:jc w:val="left"/>
        <w:rPr>
          <w:rFonts w:hint="eastAsia" w:ascii="宋体" w:hAnsi="宋体" w:eastAsia="宋体" w:cs="宋体"/>
          <w:color w:val="auto"/>
          <w:sz w:val="24"/>
          <w:szCs w:val="24"/>
          <w:highlight w:val="none"/>
        </w:rPr>
      </w:pPr>
    </w:p>
    <w:p w14:paraId="630A9A51">
      <w:pPr>
        <w:pageBreakBefore w:val="0"/>
        <w:kinsoku/>
        <w:overflowPunct/>
        <w:topLinePunct w:val="0"/>
        <w:bidi w:val="0"/>
        <w:snapToGrid w:val="0"/>
        <w:spacing w:line="240" w:lineRule="auto"/>
        <w:ind w:left="-2" w:right="-817" w:rightChars="-38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法定代表人或者委托代理人（签名）： </w:t>
      </w:r>
    </w:p>
    <w:p w14:paraId="529D05DB">
      <w:pPr>
        <w:pageBreakBefore w:val="0"/>
        <w:kinsoku/>
        <w:overflowPunct/>
        <w:topLinePunct w:val="0"/>
        <w:bidi w:val="0"/>
        <w:snapToGrid w:val="0"/>
        <w:spacing w:line="240" w:lineRule="auto"/>
        <w:ind w:left="-3" w:leftChars="-15" w:right="-817" w:rightChars="-389" w:hanging="28" w:hangingChars="1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投标人名称（公章）：</w:t>
      </w:r>
    </w:p>
    <w:p w14:paraId="2F8406FA">
      <w:pPr>
        <w:pageBreakBefore w:val="0"/>
        <w:kinsoku/>
        <w:overflowPunct/>
        <w:topLinePunct w:val="0"/>
        <w:bidi w:val="0"/>
        <w:snapToGrid w:val="0"/>
        <w:spacing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4"/>
          <w:szCs w:val="24"/>
          <w:highlight w:val="none"/>
        </w:rPr>
        <w:t xml:space="preserve">                                    日期：    年   月   日</w:t>
      </w:r>
    </w:p>
    <w:p w14:paraId="50C23F18">
      <w:pPr>
        <w:rPr>
          <w:rFonts w:hint="eastAsia"/>
          <w:color w:val="auto"/>
          <w:lang w:val="en-US" w:eastAsia="zh-CN"/>
        </w:rPr>
      </w:pPr>
      <w:r>
        <w:rPr>
          <w:rFonts w:hint="eastAsia"/>
          <w:color w:val="auto"/>
          <w:lang w:val="en-US" w:eastAsia="zh-CN"/>
        </w:rPr>
        <w:br w:type="page"/>
      </w:r>
    </w:p>
    <w:p w14:paraId="4AF1FD30">
      <w:pPr>
        <w:keepNext w:val="0"/>
        <w:keepLines w:val="0"/>
        <w:pageBreakBefore w:val="0"/>
        <w:widowControl w:val="0"/>
        <w:kinsoku/>
        <w:wordWrap/>
        <w:overflowPunct/>
        <w:topLinePunct w:val="0"/>
        <w:autoSpaceDE/>
        <w:autoSpaceDN/>
        <w:bidi w:val="0"/>
        <w:adjustRightInd/>
        <w:snapToGrid w:val="0"/>
        <w:spacing w:after="157" w:afterLines="50" w:line="240" w:lineRule="auto"/>
        <w:jc w:val="center"/>
        <w:textAlignment w:val="auto"/>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投标人直接管理关系信息表</w:t>
      </w:r>
    </w:p>
    <w:tbl>
      <w:tblPr>
        <w:tblStyle w:val="20"/>
        <w:tblW w:w="9652" w:type="dxa"/>
        <w:jc w:val="center"/>
        <w:shd w:val="clear" w:color="auto" w:fill="FBFBFB"/>
        <w:tblLayout w:type="fixed"/>
        <w:tblCellMar>
          <w:top w:w="0" w:type="dxa"/>
          <w:left w:w="0" w:type="dxa"/>
          <w:bottom w:w="0" w:type="dxa"/>
          <w:right w:w="0" w:type="dxa"/>
        </w:tblCellMar>
      </w:tblPr>
      <w:tblGrid>
        <w:gridCol w:w="1005"/>
        <w:gridCol w:w="2659"/>
        <w:gridCol w:w="3924"/>
        <w:gridCol w:w="2064"/>
      </w:tblGrid>
      <w:tr w14:paraId="37581B03">
        <w:tblPrEx>
          <w:shd w:val="clear" w:color="auto" w:fill="FBFBFB"/>
          <w:tblCellMar>
            <w:top w:w="0" w:type="dxa"/>
            <w:left w:w="0" w:type="dxa"/>
            <w:bottom w:w="0" w:type="dxa"/>
            <w:right w:w="0" w:type="dxa"/>
          </w:tblCellMar>
        </w:tblPrEx>
        <w:trPr>
          <w:tblHeader/>
          <w:jc w:val="cent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D57F701">
            <w:pPr>
              <w:pageBreakBefore w:val="0"/>
              <w:kinsoku/>
              <w:overflowPunct/>
              <w:topLinePunct w:val="0"/>
              <w:bidi w:val="0"/>
              <w:spacing w:line="240" w:lineRule="auto"/>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7C5BE3D">
            <w:pPr>
              <w:pageBreakBefore w:val="0"/>
              <w:kinsoku/>
              <w:overflowPunct/>
              <w:topLinePunct w:val="0"/>
              <w:bidi w:val="0"/>
              <w:spacing w:line="240" w:lineRule="auto"/>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383A95C">
            <w:pPr>
              <w:pageBreakBefore w:val="0"/>
              <w:kinsoku/>
              <w:overflowPunct/>
              <w:topLinePunct w:val="0"/>
              <w:bidi w:val="0"/>
              <w:spacing w:line="240" w:lineRule="auto"/>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2176A81">
            <w:pPr>
              <w:pageBreakBefore w:val="0"/>
              <w:kinsoku/>
              <w:overflowPunct/>
              <w:topLinePunct w:val="0"/>
              <w:bidi w:val="0"/>
              <w:spacing w:line="240" w:lineRule="auto"/>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备注</w:t>
            </w:r>
          </w:p>
        </w:tc>
      </w:tr>
      <w:tr w14:paraId="0861DD5F">
        <w:tblPrEx>
          <w:shd w:val="clear" w:color="auto" w:fill="FBFBFB"/>
          <w:tblCellMar>
            <w:top w:w="0" w:type="dxa"/>
            <w:left w:w="0" w:type="dxa"/>
            <w:bottom w:w="0" w:type="dxa"/>
            <w:right w:w="0" w:type="dxa"/>
          </w:tblCellMar>
        </w:tblPrEx>
        <w:trPr>
          <w:jc w:val="center"/>
        </w:trPr>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F8BCE2F">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9022D25">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1C3BA42">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E084EE4">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r>
      <w:tr w14:paraId="7DE4F61A">
        <w:tblPrEx>
          <w:shd w:val="clear" w:color="auto" w:fill="FBFBFB"/>
          <w:tblCellMar>
            <w:top w:w="0" w:type="dxa"/>
            <w:left w:w="0" w:type="dxa"/>
            <w:bottom w:w="0" w:type="dxa"/>
            <w:right w:w="0" w:type="dxa"/>
          </w:tblCellMar>
        </w:tblPrEx>
        <w:trPr>
          <w:jc w:val="center"/>
        </w:trPr>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E50F7D5">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1C5F177">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C620088">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A15747D">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r>
      <w:tr w14:paraId="4A716151">
        <w:tblPrEx>
          <w:shd w:val="clear" w:color="auto" w:fill="FBFBFB"/>
          <w:tblCellMar>
            <w:top w:w="0" w:type="dxa"/>
            <w:left w:w="0" w:type="dxa"/>
            <w:bottom w:w="0" w:type="dxa"/>
            <w:right w:w="0" w:type="dxa"/>
          </w:tblCellMar>
        </w:tblPrEx>
        <w:trPr>
          <w:jc w:val="center"/>
        </w:trPr>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DE487DD">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8A35E85">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A81A887">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59A2197">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r>
      <w:tr w14:paraId="61BEAE38">
        <w:tblPrEx>
          <w:shd w:val="clear" w:color="auto" w:fill="FBFBFB"/>
          <w:tblCellMar>
            <w:top w:w="0" w:type="dxa"/>
            <w:left w:w="0" w:type="dxa"/>
            <w:bottom w:w="0" w:type="dxa"/>
            <w:right w:w="0" w:type="dxa"/>
          </w:tblCellMar>
        </w:tblPrEx>
        <w:trPr>
          <w:jc w:val="center"/>
        </w:trPr>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8FF5E86">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86943A0">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234AD4D">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876B35B">
            <w:pPr>
              <w:pageBreakBefore w:val="0"/>
              <w:kinsoku/>
              <w:overflowPunct/>
              <w:topLinePunct w:val="0"/>
              <w:bidi w:val="0"/>
              <w:spacing w:line="240" w:lineRule="auto"/>
              <w:jc w:val="center"/>
              <w:rPr>
                <w:rFonts w:hint="eastAsia" w:ascii="宋体" w:hAnsi="宋体" w:eastAsia="宋体" w:cs="宋体"/>
                <w:color w:val="auto"/>
                <w:kern w:val="0"/>
                <w:sz w:val="24"/>
                <w:szCs w:val="24"/>
                <w:highlight w:val="none"/>
              </w:rPr>
            </w:pPr>
          </w:p>
        </w:tc>
      </w:tr>
    </w:tbl>
    <w:p w14:paraId="304E3CBF">
      <w:pPr>
        <w:pageBreakBefore w:val="0"/>
        <w:kinsoku/>
        <w:overflowPunct/>
        <w:topLinePunct w:val="0"/>
        <w:bidi w:val="0"/>
        <w:snapToGrid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7F5A4E9F">
      <w:pPr>
        <w:pageBreakBefore w:val="0"/>
        <w:kinsoku/>
        <w:overflowPunct/>
        <w:topLinePunct w:val="0"/>
        <w:bidi w:val="0"/>
        <w:snapToGrid w:val="0"/>
        <w:spacing w:line="24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1.管理关系：是指不具有出资持股关系的其他单位之间存在的管理与被管理关系，如一些上下级关系的事业单位和团体组织。</w:t>
      </w:r>
    </w:p>
    <w:p w14:paraId="00BC112B">
      <w:pPr>
        <w:pageBreakBefore w:val="0"/>
        <w:kinsoku/>
        <w:overflowPunct/>
        <w:topLinePunct w:val="0"/>
        <w:bidi w:val="0"/>
        <w:snapToGrid w:val="0"/>
        <w:spacing w:line="24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pacing w:val="-6"/>
          <w:sz w:val="24"/>
          <w:szCs w:val="24"/>
          <w:highlight w:val="none"/>
        </w:rPr>
        <w:t>本表所指的管理关系仅限于直接管理关系，不包括间接的管理关系。</w:t>
      </w:r>
    </w:p>
    <w:p w14:paraId="1570AF64">
      <w:pPr>
        <w:pageBreakBefore w:val="0"/>
        <w:kinsoku/>
        <w:overflowPunct/>
        <w:topLinePunct w:val="0"/>
        <w:bidi w:val="0"/>
        <w:snapToGrid w:val="0"/>
        <w:spacing w:line="24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不存在直接管理关系的，则在“</w:t>
      </w:r>
      <w:r>
        <w:rPr>
          <w:rFonts w:hint="eastAsia" w:ascii="宋体" w:hAnsi="宋体" w:eastAsia="宋体" w:cs="宋体"/>
          <w:b/>
          <w:bCs/>
          <w:color w:val="auto"/>
          <w:kern w:val="0"/>
          <w:sz w:val="24"/>
          <w:szCs w:val="24"/>
          <w:highlight w:val="none"/>
        </w:rPr>
        <w:t>直接管理关系单位名称</w:t>
      </w:r>
      <w:r>
        <w:rPr>
          <w:rFonts w:hint="eastAsia" w:ascii="宋体" w:hAnsi="宋体" w:eastAsia="宋体" w:cs="宋体"/>
          <w:color w:val="auto"/>
          <w:sz w:val="24"/>
          <w:szCs w:val="24"/>
          <w:highlight w:val="none"/>
        </w:rPr>
        <w:t>”中填“无”。</w:t>
      </w:r>
    </w:p>
    <w:p w14:paraId="269DF699">
      <w:pPr>
        <w:pageBreakBefore w:val="0"/>
        <w:kinsoku/>
        <w:overflowPunct/>
        <w:topLinePunct w:val="0"/>
        <w:bidi w:val="0"/>
        <w:snapToGrid w:val="0"/>
        <w:spacing w:line="240" w:lineRule="auto"/>
        <w:jc w:val="left"/>
        <w:rPr>
          <w:rFonts w:hint="eastAsia" w:ascii="宋体" w:hAnsi="宋体" w:eastAsia="宋体" w:cs="宋体"/>
          <w:color w:val="auto"/>
          <w:sz w:val="24"/>
          <w:szCs w:val="24"/>
          <w:highlight w:val="none"/>
        </w:rPr>
      </w:pPr>
    </w:p>
    <w:p w14:paraId="6244540B">
      <w:pPr>
        <w:pageBreakBefore w:val="0"/>
        <w:kinsoku/>
        <w:overflowPunct/>
        <w:topLinePunct w:val="0"/>
        <w:bidi w:val="0"/>
        <w:snapToGrid w:val="0"/>
        <w:spacing w:line="240" w:lineRule="auto"/>
        <w:jc w:val="left"/>
        <w:rPr>
          <w:rFonts w:hint="eastAsia" w:ascii="宋体" w:hAnsi="宋体" w:eastAsia="宋体" w:cs="宋体"/>
          <w:color w:val="auto"/>
          <w:sz w:val="24"/>
          <w:szCs w:val="24"/>
          <w:highlight w:val="none"/>
        </w:rPr>
      </w:pPr>
    </w:p>
    <w:p w14:paraId="1040CDDE">
      <w:pPr>
        <w:pageBreakBefore w:val="0"/>
        <w:kinsoku/>
        <w:overflowPunct/>
        <w:topLinePunct w:val="0"/>
        <w:bidi w:val="0"/>
        <w:snapToGrid w:val="0"/>
        <w:spacing w:line="240" w:lineRule="auto"/>
        <w:jc w:val="left"/>
        <w:rPr>
          <w:rFonts w:hint="eastAsia" w:ascii="宋体" w:hAnsi="宋体" w:eastAsia="宋体" w:cs="宋体"/>
          <w:color w:val="auto"/>
          <w:sz w:val="24"/>
          <w:szCs w:val="24"/>
          <w:highlight w:val="none"/>
        </w:rPr>
      </w:pPr>
    </w:p>
    <w:p w14:paraId="3C27E6C6">
      <w:pPr>
        <w:pageBreakBefore w:val="0"/>
        <w:kinsoku/>
        <w:overflowPunct/>
        <w:topLinePunct w:val="0"/>
        <w:bidi w:val="0"/>
        <w:snapToGrid w:val="0"/>
        <w:spacing w:line="240" w:lineRule="auto"/>
        <w:ind w:left="-2" w:right="-817" w:rightChars="-38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法定代表人或者委托代理人（签名）： </w:t>
      </w:r>
    </w:p>
    <w:p w14:paraId="54787C8B">
      <w:pPr>
        <w:pageBreakBefore w:val="0"/>
        <w:kinsoku/>
        <w:overflowPunct/>
        <w:topLinePunct w:val="0"/>
        <w:bidi w:val="0"/>
        <w:snapToGrid w:val="0"/>
        <w:spacing w:line="240" w:lineRule="auto"/>
        <w:ind w:left="-3" w:leftChars="-15" w:right="-817" w:rightChars="-389" w:hanging="28" w:hangingChars="1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投标人名称（公章）：</w:t>
      </w:r>
    </w:p>
    <w:p w14:paraId="4AE75AE4">
      <w:pPr>
        <w:pageBreakBefore w:val="0"/>
        <w:kinsoku/>
        <w:overflowPunct/>
        <w:topLinePunct w:val="0"/>
        <w:bidi w:val="0"/>
        <w:snapToGrid w:val="0"/>
        <w:spacing w:line="240" w:lineRule="auto"/>
        <w:ind w:right="480" w:firstLine="24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4"/>
          <w:szCs w:val="24"/>
          <w:highlight w:val="none"/>
        </w:rPr>
        <w:t xml:space="preserve">                                日期：    年   月   日</w:t>
      </w:r>
    </w:p>
    <w:p w14:paraId="1CCFE75C">
      <w:pPr>
        <w:rPr>
          <w:rFonts w:hint="eastAsia"/>
          <w:color w:val="auto"/>
          <w:lang w:val="en-US" w:eastAsia="zh-CN"/>
        </w:rPr>
      </w:pPr>
      <w:r>
        <w:rPr>
          <w:rFonts w:hint="eastAsia"/>
          <w:color w:val="auto"/>
          <w:lang w:val="en-US" w:eastAsia="zh-CN"/>
        </w:rPr>
        <w:br w:type="page"/>
      </w:r>
    </w:p>
    <w:p w14:paraId="460E66BB">
      <w:pPr>
        <w:pageBreakBefore w:val="0"/>
        <w:numPr>
          <w:ilvl w:val="0"/>
          <w:numId w:val="0"/>
        </w:numPr>
        <w:kinsoku/>
        <w:overflowPunct/>
        <w:topLinePunct w:val="0"/>
        <w:bidi w:val="0"/>
        <w:snapToGrid w:val="0"/>
        <w:spacing w:before="120" w:beforeLines="50" w:after="50" w:line="240" w:lineRule="auto"/>
        <w:jc w:val="left"/>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lang w:val="en-US" w:eastAsia="zh-CN"/>
        </w:rPr>
        <w:t>5.</w:t>
      </w:r>
      <w:r>
        <w:rPr>
          <w:rFonts w:hint="eastAsia" w:ascii="宋体" w:hAnsi="宋体" w:eastAsia="宋体" w:cs="宋体"/>
          <w:b/>
          <w:color w:val="auto"/>
          <w:sz w:val="30"/>
          <w:szCs w:val="30"/>
          <w:highlight w:val="none"/>
        </w:rPr>
        <w:t>投标声明</w:t>
      </w:r>
    </w:p>
    <w:p w14:paraId="5E265DD2">
      <w:pPr>
        <w:pageBreakBefore w:val="0"/>
        <w:kinsoku/>
        <w:overflowPunct/>
        <w:topLinePunct w:val="0"/>
        <w:bidi w:val="0"/>
        <w:snapToGrid w:val="0"/>
        <w:spacing w:before="50" w:after="120" w:afterLines="50" w:line="240" w:lineRule="auto"/>
        <w:jc w:val="left"/>
        <w:rPr>
          <w:rFonts w:hint="eastAsia" w:ascii="宋体" w:hAnsi="宋体" w:eastAsia="宋体" w:cs="宋体"/>
          <w:color w:val="auto"/>
          <w:sz w:val="21"/>
          <w:szCs w:val="21"/>
          <w:highlight w:val="none"/>
        </w:rPr>
      </w:pPr>
    </w:p>
    <w:p w14:paraId="2EA87CF1">
      <w:pPr>
        <w:pageBreakBefore w:val="0"/>
        <w:kinsoku/>
        <w:overflowPunct/>
        <w:topLinePunct w:val="0"/>
        <w:bidi w:val="0"/>
        <w:snapToGrid w:val="0"/>
        <w:spacing w:before="50" w:after="120" w:afterLines="50" w:line="240" w:lineRule="auto"/>
        <w:jc w:val="center"/>
        <w:rPr>
          <w:rFonts w:hint="eastAsia" w:ascii="宋体" w:hAnsi="宋体" w:eastAsia="宋体" w:cs="宋体"/>
          <w:b/>
          <w:bCs w:val="0"/>
          <w:color w:val="auto"/>
          <w:sz w:val="28"/>
          <w:szCs w:val="28"/>
          <w:highlight w:val="none"/>
        </w:rPr>
      </w:pPr>
      <w:r>
        <w:rPr>
          <w:rFonts w:hint="eastAsia" w:ascii="宋体" w:hAnsi="宋体" w:eastAsia="宋体" w:cs="宋体"/>
          <w:b/>
          <w:bCs w:val="0"/>
          <w:color w:val="auto"/>
          <w:sz w:val="28"/>
          <w:szCs w:val="28"/>
          <w:highlight w:val="none"/>
        </w:rPr>
        <w:t>投标声明</w:t>
      </w:r>
    </w:p>
    <w:p w14:paraId="16A3C419">
      <w:pPr>
        <w:pageBreakBefore w:val="0"/>
        <w:kinsoku/>
        <w:overflowPunct/>
        <w:topLinePunct w:val="0"/>
        <w:bidi w:val="0"/>
        <w:spacing w:line="240" w:lineRule="auto"/>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（采购人名称）：</w:t>
      </w:r>
    </w:p>
    <w:p w14:paraId="4F9EC527">
      <w:pPr>
        <w:pageBreakBefore w:val="0"/>
        <w:kinsoku/>
        <w:overflowPunct/>
        <w:topLinePunct w:val="0"/>
        <w:bidi w:val="0"/>
        <w:spacing w:line="240" w:lineRule="auto"/>
        <w:ind w:firstLine="523" w:firstLineChars="218"/>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我方参加贵单位组织</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项目（项目编号：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）的政府采购活动。我方在此郑重声明：</w:t>
      </w:r>
    </w:p>
    <w:p w14:paraId="6B00D1D8">
      <w:pPr>
        <w:pageBreakBefore w:val="0"/>
        <w:kinsoku/>
        <w:overflowPunct/>
        <w:topLinePunct w:val="0"/>
        <w:bidi w:val="0"/>
        <w:spacing w:line="24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338CBBF5">
      <w:pPr>
        <w:pageBreakBefore w:val="0"/>
        <w:kinsoku/>
        <w:overflowPunct/>
        <w:topLinePunct w:val="0"/>
        <w:bidi w:val="0"/>
        <w:spacing w:line="24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2.我方不是为本次采购项目提供整体设计、规范编制或者项目管理、监理、检测等服务的供应商。</w:t>
      </w:r>
    </w:p>
    <w:p w14:paraId="7063EF72">
      <w:pPr>
        <w:pageBreakBefore w:val="0"/>
        <w:kinsoku/>
        <w:overflowPunct/>
        <w:topLinePunct w:val="0"/>
        <w:bidi w:val="0"/>
        <w:spacing w:line="24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我方承诺符合《中华人民共和国政府采购法》第二十二条规定：</w:t>
      </w:r>
    </w:p>
    <w:p w14:paraId="43DBD351">
      <w:pPr>
        <w:pageBreakBefore w:val="0"/>
        <w:kinsoku/>
        <w:overflowPunct/>
        <w:topLinePunct w:val="0"/>
        <w:bidi w:val="0"/>
        <w:spacing w:line="24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（一）具有独立承担民事责任的能力；</w:t>
      </w:r>
    </w:p>
    <w:p w14:paraId="705290D8">
      <w:pPr>
        <w:pageBreakBefore w:val="0"/>
        <w:kinsoku/>
        <w:overflowPunct/>
        <w:topLinePunct w:val="0"/>
        <w:bidi w:val="0"/>
        <w:spacing w:line="24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（二）具有良好的商业信誉和健全的财务会计制度；</w:t>
      </w:r>
    </w:p>
    <w:p w14:paraId="7C1A7C62">
      <w:pPr>
        <w:pageBreakBefore w:val="0"/>
        <w:kinsoku/>
        <w:overflowPunct/>
        <w:topLinePunct w:val="0"/>
        <w:bidi w:val="0"/>
        <w:spacing w:line="24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（三）具有履行合同所必需的设备和专业技术能力；</w:t>
      </w:r>
    </w:p>
    <w:p w14:paraId="4DFF1163">
      <w:pPr>
        <w:pageBreakBefore w:val="0"/>
        <w:kinsoku/>
        <w:overflowPunct/>
        <w:topLinePunct w:val="0"/>
        <w:bidi w:val="0"/>
        <w:spacing w:line="24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（四）有依法缴纳税收和社会保障资金的良好记录；</w:t>
      </w:r>
    </w:p>
    <w:p w14:paraId="3ACFEE42">
      <w:pPr>
        <w:pageBreakBefore w:val="0"/>
        <w:kinsoku/>
        <w:overflowPunct/>
        <w:topLinePunct w:val="0"/>
        <w:bidi w:val="0"/>
        <w:spacing w:line="24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（五）参加政府采购活动前三年内，在经营活动中没有重大违法记录；</w:t>
      </w:r>
    </w:p>
    <w:p w14:paraId="1C8349C7">
      <w:pPr>
        <w:pageBreakBefore w:val="0"/>
        <w:kinsoku/>
        <w:overflowPunct/>
        <w:topLinePunct w:val="0"/>
        <w:bidi w:val="0"/>
        <w:spacing w:line="24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（六）法律、行政法规规定的其他条件。</w:t>
      </w:r>
    </w:p>
    <w:p w14:paraId="56BFA8F4">
      <w:pPr>
        <w:pageBreakBefore w:val="0"/>
        <w:kinsoku/>
        <w:overflowPunct/>
        <w:topLinePunct w:val="0"/>
        <w:bidi w:val="0"/>
        <w:spacing w:line="24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4.以上事项如有虚假或者隐瞒，我方愿意承担一切后果，并不再寻求任何旨在减轻或者免除法律责任的辩解。</w:t>
      </w:r>
    </w:p>
    <w:p w14:paraId="62EFCFC2">
      <w:pPr>
        <w:pageBreakBefore w:val="0"/>
        <w:kinsoku/>
        <w:overflowPunct/>
        <w:topLinePunct w:val="0"/>
        <w:bidi w:val="0"/>
        <w:spacing w:line="240" w:lineRule="auto"/>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特此承诺。</w:t>
      </w:r>
    </w:p>
    <w:p w14:paraId="7F62D092">
      <w:pPr>
        <w:pageBreakBefore w:val="0"/>
        <w:kinsoku/>
        <w:overflowPunct/>
        <w:topLinePunct w:val="0"/>
        <w:bidi w:val="0"/>
        <w:spacing w:line="240" w:lineRule="auto"/>
        <w:contextualSpacing/>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xml:space="preserve">    </w:t>
      </w:r>
      <w:r>
        <w:rPr>
          <w:rFonts w:hint="eastAsia" w:ascii="宋体" w:hAnsi="宋体" w:eastAsia="宋体" w:cs="宋体"/>
          <w:color w:val="auto"/>
          <w:sz w:val="24"/>
          <w:szCs w:val="24"/>
          <w:highlight w:val="none"/>
        </w:rPr>
        <w:t xml:space="preserve">            法定代表人（签名）：</w:t>
      </w:r>
      <w:r>
        <w:rPr>
          <w:rFonts w:hint="eastAsia" w:ascii="宋体" w:hAnsi="宋体" w:eastAsia="宋体" w:cs="宋体"/>
          <w:color w:val="auto"/>
          <w:sz w:val="24"/>
          <w:szCs w:val="24"/>
          <w:highlight w:val="none"/>
          <w:u w:val="single"/>
        </w:rPr>
        <w:t xml:space="preserve">             </w:t>
      </w:r>
    </w:p>
    <w:p w14:paraId="5769C643">
      <w:pPr>
        <w:pageBreakBefore w:val="0"/>
        <w:kinsoku/>
        <w:overflowPunct/>
        <w:topLinePunct w:val="0"/>
        <w:bidi w:val="0"/>
        <w:spacing w:line="240" w:lineRule="auto"/>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投标人名称（公章）：</w:t>
      </w:r>
      <w:r>
        <w:rPr>
          <w:rFonts w:hint="eastAsia" w:ascii="宋体" w:hAnsi="宋体" w:eastAsia="宋体" w:cs="宋体"/>
          <w:color w:val="auto"/>
          <w:sz w:val="24"/>
          <w:szCs w:val="24"/>
          <w:highlight w:val="none"/>
          <w:u w:val="single"/>
        </w:rPr>
        <w:t xml:space="preserve">                 </w:t>
      </w:r>
    </w:p>
    <w:p w14:paraId="6857496B">
      <w:pPr>
        <w:pageBreakBefore w:val="0"/>
        <w:kinsoku/>
        <w:overflowPunct/>
        <w:topLinePunct w:val="0"/>
        <w:bidi w:val="0"/>
        <w:spacing w:line="240" w:lineRule="auto"/>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4"/>
          <w:szCs w:val="24"/>
          <w:highlight w:val="none"/>
        </w:rPr>
        <w:t xml:space="preserve">                                                  年    月    日</w:t>
      </w:r>
    </w:p>
    <w:p w14:paraId="78F301B7">
      <w:pPr>
        <w:rPr>
          <w:rFonts w:hint="eastAsia"/>
          <w:color w:val="auto"/>
          <w:lang w:val="en-US" w:eastAsia="zh-CN"/>
        </w:rPr>
      </w:pPr>
      <w:r>
        <w:rPr>
          <w:rFonts w:hint="eastAsia"/>
          <w:color w:val="auto"/>
          <w:lang w:val="en-US" w:eastAsia="zh-CN"/>
        </w:rPr>
        <w:br w:type="page"/>
      </w:r>
    </w:p>
    <w:p w14:paraId="7340BA71">
      <w:pPr>
        <w:spacing w:line="500" w:lineRule="exact"/>
        <w:jc w:val="left"/>
        <w:rPr>
          <w:rFonts w:hint="eastAsia" w:ascii="宋体" w:hAnsi="宋体" w:eastAsia="宋体" w:cs="宋体"/>
          <w:b/>
          <w:color w:val="auto"/>
          <w:sz w:val="30"/>
          <w:szCs w:val="30"/>
          <w:lang w:eastAsia="zh-CN"/>
        </w:rPr>
      </w:pPr>
      <w:r>
        <w:rPr>
          <w:rFonts w:hint="eastAsia" w:ascii="宋体" w:hAnsi="宋体" w:eastAsia="宋体" w:cs="宋体"/>
          <w:b/>
          <w:color w:val="auto"/>
          <w:sz w:val="30"/>
          <w:szCs w:val="30"/>
          <w:lang w:val="en-US" w:eastAsia="zh-CN"/>
        </w:rPr>
        <w:t>6.</w:t>
      </w:r>
      <w:r>
        <w:rPr>
          <w:rFonts w:hint="eastAsia" w:ascii="宋体" w:hAnsi="宋体" w:eastAsia="宋体" w:cs="宋体"/>
          <w:b/>
          <w:color w:val="auto"/>
          <w:sz w:val="30"/>
          <w:szCs w:val="30"/>
          <w:lang w:eastAsia="zh-CN"/>
        </w:rPr>
        <w:t>具备履行合同所必需的设备</w:t>
      </w:r>
      <w:r>
        <w:rPr>
          <w:rFonts w:hint="eastAsia" w:ascii="宋体" w:hAnsi="宋体" w:eastAsia="宋体" w:cs="宋体"/>
          <w:b/>
          <w:color w:val="auto"/>
          <w:sz w:val="30"/>
          <w:szCs w:val="30"/>
          <w:lang w:val="en-US" w:eastAsia="zh-CN"/>
        </w:rPr>
        <w:t>或</w:t>
      </w:r>
      <w:r>
        <w:rPr>
          <w:rFonts w:hint="eastAsia" w:ascii="宋体" w:hAnsi="宋体" w:eastAsia="宋体" w:cs="宋体"/>
          <w:b/>
          <w:color w:val="auto"/>
          <w:sz w:val="30"/>
          <w:szCs w:val="30"/>
          <w:lang w:eastAsia="zh-CN"/>
        </w:rPr>
        <w:t>专业技术能力的证明材料</w:t>
      </w:r>
    </w:p>
    <w:p w14:paraId="3C584C14">
      <w:pPr>
        <w:jc w:val="both"/>
        <w:rPr>
          <w:rFonts w:hint="eastAsia" w:ascii="宋体" w:hAnsi="宋体" w:cs="Times New Roman"/>
          <w:color w:val="auto"/>
          <w:kern w:val="2"/>
          <w:sz w:val="24"/>
          <w:szCs w:val="24"/>
          <w:lang w:val="en-US" w:eastAsia="zh-CN" w:bidi="ar-SA"/>
        </w:rPr>
      </w:pPr>
    </w:p>
    <w:p w14:paraId="7E241BE4">
      <w:pPr>
        <w:pageBreakBefore w:val="0"/>
        <w:kinsoku/>
        <w:overflowPunct/>
        <w:topLinePunct w:val="0"/>
        <w:bidi w:val="0"/>
        <w:spacing w:line="240" w:lineRule="auto"/>
        <w:jc w:val="center"/>
        <w:rPr>
          <w:rFonts w:hint="eastAsia" w:ascii="宋体" w:hAnsi="宋体" w:eastAsia="宋体" w:cs="宋体"/>
          <w:color w:val="auto"/>
          <w:sz w:val="24"/>
          <w:szCs w:val="24"/>
          <w:highlight w:val="none"/>
        </w:rPr>
      </w:pPr>
      <w:r>
        <w:rPr>
          <w:rFonts w:hint="eastAsia" w:ascii="宋体" w:hAnsi="宋体" w:cs="Times New Roman"/>
          <w:b/>
          <w:bCs/>
          <w:color w:val="auto"/>
          <w:kern w:val="2"/>
          <w:sz w:val="24"/>
          <w:szCs w:val="24"/>
          <w:lang w:val="en-US" w:eastAsia="zh-CN" w:bidi="ar-SA"/>
        </w:rPr>
        <w:t>【</w:t>
      </w:r>
      <w:r>
        <w:rPr>
          <w:rFonts w:hint="eastAsia" w:ascii="宋体" w:hAnsi="宋体" w:eastAsia="宋体" w:cs="Times New Roman"/>
          <w:b/>
          <w:bCs/>
          <w:color w:val="auto"/>
          <w:kern w:val="2"/>
          <w:sz w:val="24"/>
          <w:szCs w:val="24"/>
          <w:lang w:val="en-US" w:eastAsia="zh-CN" w:bidi="ar-SA"/>
        </w:rPr>
        <w:t>必须提供，格式自拟</w:t>
      </w:r>
      <w:r>
        <w:rPr>
          <w:rFonts w:hint="eastAsia" w:ascii="宋体" w:hAnsi="宋体" w:cs="Times New Roman"/>
          <w:b/>
          <w:bCs/>
          <w:color w:val="auto"/>
          <w:kern w:val="2"/>
          <w:sz w:val="24"/>
          <w:szCs w:val="24"/>
          <w:lang w:val="en-US" w:eastAsia="zh-CN" w:bidi="ar-SA"/>
        </w:rPr>
        <w:t>】</w:t>
      </w:r>
    </w:p>
    <w:p w14:paraId="761D79E6">
      <w:pPr>
        <w:rPr>
          <w:color w:val="auto"/>
          <w:lang w:val="en-US" w:eastAsia="zh-CN"/>
        </w:rPr>
      </w:pPr>
      <w:r>
        <w:rPr>
          <w:color w:val="auto"/>
          <w:lang w:val="en-US" w:eastAsia="zh-CN"/>
        </w:rPr>
        <w:br w:type="page"/>
      </w:r>
    </w:p>
    <w:p w14:paraId="6E4A7442">
      <w:pPr>
        <w:pageBreakBefore w:val="0"/>
        <w:kinsoku/>
        <w:overflowPunct/>
        <w:topLinePunct w:val="0"/>
        <w:bidi w:val="0"/>
        <w:spacing w:line="240" w:lineRule="auto"/>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三、商务文件格式</w:t>
      </w:r>
    </w:p>
    <w:p w14:paraId="1A46B519">
      <w:pPr>
        <w:pageBreakBefore w:val="0"/>
        <w:kinsoku/>
        <w:overflowPunct/>
        <w:topLinePunct w:val="0"/>
        <w:bidi w:val="0"/>
        <w:snapToGrid w:val="0"/>
        <w:spacing w:before="120" w:beforeLines="50" w:after="50" w:line="240" w:lineRule="auto"/>
        <w:jc w:val="left"/>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 xml:space="preserve">1.商务文件封面格式： </w:t>
      </w:r>
    </w:p>
    <w:p w14:paraId="5E40A069">
      <w:pPr>
        <w:pageBreakBefore w:val="0"/>
        <w:kinsoku/>
        <w:overflowPunct/>
        <w:topLinePunct w:val="0"/>
        <w:bidi w:val="0"/>
        <w:snapToGrid w:val="0"/>
        <w:spacing w:before="120" w:beforeLines="50" w:after="50" w:line="240" w:lineRule="auto"/>
        <w:jc w:val="left"/>
        <w:rPr>
          <w:rFonts w:hint="eastAsia" w:ascii="宋体" w:hAnsi="宋体" w:eastAsia="宋体" w:cs="宋体"/>
          <w:b/>
          <w:color w:val="auto"/>
          <w:sz w:val="30"/>
          <w:szCs w:val="30"/>
          <w:highlight w:val="none"/>
        </w:rPr>
      </w:pPr>
    </w:p>
    <w:p w14:paraId="2BBDA1A6">
      <w:pPr>
        <w:pageBreakBefore w:val="0"/>
        <w:kinsoku/>
        <w:overflowPunct/>
        <w:topLinePunct w:val="0"/>
        <w:bidi w:val="0"/>
        <w:snapToGrid w:val="0"/>
        <w:spacing w:before="120" w:beforeLines="50" w:after="50" w:line="24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电子投标文件</w:t>
      </w:r>
    </w:p>
    <w:p w14:paraId="1CB543F4">
      <w:pPr>
        <w:pageBreakBefore w:val="0"/>
        <w:kinsoku/>
        <w:overflowPunct/>
        <w:topLinePunct w:val="0"/>
        <w:bidi w:val="0"/>
        <w:snapToGrid w:val="0"/>
        <w:spacing w:before="120" w:beforeLines="50" w:after="50" w:line="240" w:lineRule="auto"/>
        <w:jc w:val="center"/>
        <w:rPr>
          <w:rFonts w:hint="eastAsia" w:ascii="宋体" w:hAnsi="宋体" w:eastAsia="宋体" w:cs="宋体"/>
          <w:color w:val="auto"/>
          <w:sz w:val="44"/>
          <w:szCs w:val="44"/>
          <w:highlight w:val="none"/>
        </w:rPr>
      </w:pPr>
    </w:p>
    <w:p w14:paraId="3AD991D4">
      <w:pPr>
        <w:pageBreakBefore w:val="0"/>
        <w:kinsoku/>
        <w:overflowPunct/>
        <w:topLinePunct w:val="0"/>
        <w:bidi w:val="0"/>
        <w:snapToGrid w:val="0"/>
        <w:spacing w:before="120" w:beforeLines="50" w:after="50" w:line="240" w:lineRule="auto"/>
        <w:jc w:val="center"/>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44"/>
          <w:szCs w:val="44"/>
          <w:highlight w:val="none"/>
        </w:rPr>
        <w:t>商  务  文  件</w:t>
      </w:r>
    </w:p>
    <w:p w14:paraId="2EF6D939">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0CF3872D">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371A2930">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0F106A05">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64A26909">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0A5307DF">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6C39E20E">
      <w:pPr>
        <w:pageBreakBefore w:val="0"/>
        <w:kinsoku/>
        <w:overflowPunct/>
        <w:topLinePunct w:val="0"/>
        <w:bidi w:val="0"/>
        <w:snapToGrid w:val="0"/>
        <w:spacing w:before="120" w:beforeLines="50" w:after="50" w:line="240" w:lineRule="auto"/>
        <w:ind w:firstLine="630" w:firstLineChars="225"/>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项目名称：</w:t>
      </w:r>
    </w:p>
    <w:p w14:paraId="399C1B24">
      <w:pPr>
        <w:pageBreakBefore w:val="0"/>
        <w:kinsoku/>
        <w:overflowPunct/>
        <w:topLinePunct w:val="0"/>
        <w:bidi w:val="0"/>
        <w:snapToGrid w:val="0"/>
        <w:spacing w:before="120" w:beforeLines="50" w:after="50" w:line="240" w:lineRule="auto"/>
        <w:ind w:firstLine="630" w:firstLineChars="225"/>
        <w:rPr>
          <w:rFonts w:hint="eastAsia" w:ascii="宋体" w:hAnsi="宋体" w:eastAsia="宋体" w:cs="宋体"/>
          <w:bCs/>
          <w:color w:val="auto"/>
          <w:sz w:val="28"/>
          <w:szCs w:val="28"/>
          <w:highlight w:val="none"/>
        </w:rPr>
      </w:pPr>
    </w:p>
    <w:p w14:paraId="529D65D5">
      <w:pPr>
        <w:pageBreakBefore w:val="0"/>
        <w:kinsoku/>
        <w:overflowPunct/>
        <w:topLinePunct w:val="0"/>
        <w:bidi w:val="0"/>
        <w:snapToGrid w:val="0"/>
        <w:spacing w:before="120" w:beforeLines="50" w:after="50" w:line="240" w:lineRule="auto"/>
        <w:ind w:firstLine="630" w:firstLineChars="225"/>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项目编号：</w:t>
      </w:r>
    </w:p>
    <w:p w14:paraId="471DC223">
      <w:pPr>
        <w:pageBreakBefore w:val="0"/>
        <w:kinsoku/>
        <w:overflowPunct/>
        <w:topLinePunct w:val="0"/>
        <w:bidi w:val="0"/>
        <w:snapToGrid w:val="0"/>
        <w:spacing w:before="120" w:beforeLines="50" w:after="50" w:line="240" w:lineRule="auto"/>
        <w:ind w:firstLine="630" w:firstLineChars="225"/>
        <w:rPr>
          <w:rFonts w:hint="eastAsia" w:ascii="宋体" w:hAnsi="宋体" w:eastAsia="宋体" w:cs="宋体"/>
          <w:bCs/>
          <w:color w:val="auto"/>
          <w:sz w:val="28"/>
          <w:szCs w:val="28"/>
          <w:highlight w:val="none"/>
          <w:lang w:val="en-US" w:eastAsia="zh-CN"/>
        </w:rPr>
      </w:pPr>
    </w:p>
    <w:p w14:paraId="1925E2DF">
      <w:pPr>
        <w:pageBreakBefore w:val="0"/>
        <w:kinsoku/>
        <w:overflowPunct/>
        <w:topLinePunct w:val="0"/>
        <w:bidi w:val="0"/>
        <w:snapToGrid w:val="0"/>
        <w:spacing w:before="120" w:beforeLines="50" w:after="50" w:line="240" w:lineRule="auto"/>
        <w:ind w:firstLine="630" w:firstLineChars="225"/>
        <w:rPr>
          <w:rFonts w:hint="eastAsia" w:ascii="宋体" w:hAnsi="宋体" w:eastAsia="宋体" w:cs="宋体"/>
          <w:bCs/>
          <w:color w:val="auto"/>
          <w:sz w:val="28"/>
          <w:szCs w:val="28"/>
          <w:highlight w:val="none"/>
          <w:lang w:val="en-US" w:eastAsia="zh-CN"/>
        </w:rPr>
      </w:pPr>
      <w:r>
        <w:rPr>
          <w:rFonts w:hint="eastAsia" w:ascii="宋体" w:hAnsi="宋体" w:eastAsia="宋体" w:cs="宋体"/>
          <w:bCs/>
          <w:color w:val="auto"/>
          <w:sz w:val="28"/>
          <w:szCs w:val="28"/>
          <w:highlight w:val="none"/>
          <w:lang w:val="en-US" w:eastAsia="zh-CN"/>
        </w:rPr>
        <w:t>分标：</w:t>
      </w:r>
    </w:p>
    <w:p w14:paraId="135F39B1">
      <w:pPr>
        <w:pageBreakBefore w:val="0"/>
        <w:kinsoku/>
        <w:overflowPunct/>
        <w:topLinePunct w:val="0"/>
        <w:bidi w:val="0"/>
        <w:snapToGrid w:val="0"/>
        <w:spacing w:before="120" w:beforeLines="50" w:after="50" w:line="240" w:lineRule="auto"/>
        <w:ind w:firstLine="630" w:firstLineChars="225"/>
        <w:rPr>
          <w:rFonts w:hint="eastAsia" w:ascii="宋体" w:hAnsi="宋体" w:eastAsia="宋体" w:cs="宋体"/>
          <w:bCs/>
          <w:color w:val="auto"/>
          <w:sz w:val="28"/>
          <w:szCs w:val="28"/>
          <w:highlight w:val="none"/>
        </w:rPr>
      </w:pPr>
    </w:p>
    <w:p w14:paraId="3895DE63">
      <w:pPr>
        <w:pStyle w:val="7"/>
        <w:pageBreakBefore w:val="0"/>
        <w:kinsoku/>
        <w:overflowPunct/>
        <w:topLinePunct w:val="0"/>
        <w:bidi w:val="0"/>
        <w:snapToGrid w:val="0"/>
        <w:spacing w:before="50" w:after="50" w:line="240" w:lineRule="auto"/>
        <w:ind w:firstLine="630" w:firstLineChars="225"/>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投标人名称：</w:t>
      </w:r>
    </w:p>
    <w:p w14:paraId="2ADAF113">
      <w:pPr>
        <w:pStyle w:val="7"/>
        <w:pageBreakBefore w:val="0"/>
        <w:kinsoku/>
        <w:overflowPunct/>
        <w:topLinePunct w:val="0"/>
        <w:bidi w:val="0"/>
        <w:snapToGrid w:val="0"/>
        <w:spacing w:before="50" w:after="50" w:line="240" w:lineRule="auto"/>
        <w:ind w:firstLine="630" w:firstLineChars="225"/>
        <w:rPr>
          <w:rFonts w:hint="eastAsia" w:ascii="宋体" w:hAnsi="宋体" w:eastAsia="宋体" w:cs="宋体"/>
          <w:bCs/>
          <w:color w:val="auto"/>
          <w:sz w:val="28"/>
          <w:szCs w:val="28"/>
          <w:highlight w:val="none"/>
        </w:rPr>
      </w:pPr>
    </w:p>
    <w:p w14:paraId="6A0A18FA">
      <w:pPr>
        <w:pStyle w:val="7"/>
        <w:pageBreakBefore w:val="0"/>
        <w:kinsoku/>
        <w:overflowPunct/>
        <w:topLinePunct w:val="0"/>
        <w:bidi w:val="0"/>
        <w:snapToGrid w:val="0"/>
        <w:spacing w:before="50" w:after="50" w:line="240" w:lineRule="auto"/>
        <w:ind w:firstLine="630" w:firstLineChars="225"/>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投标人地址：</w:t>
      </w:r>
    </w:p>
    <w:p w14:paraId="4DE454F8">
      <w:pPr>
        <w:pStyle w:val="7"/>
        <w:pageBreakBefore w:val="0"/>
        <w:kinsoku/>
        <w:overflowPunct/>
        <w:topLinePunct w:val="0"/>
        <w:bidi w:val="0"/>
        <w:snapToGrid w:val="0"/>
        <w:spacing w:before="50" w:after="50" w:line="240" w:lineRule="auto"/>
        <w:ind w:firstLine="1120" w:firstLineChars="400"/>
        <w:rPr>
          <w:rFonts w:hint="eastAsia" w:ascii="宋体" w:hAnsi="宋体" w:eastAsia="宋体" w:cs="宋体"/>
          <w:bCs/>
          <w:color w:val="auto"/>
          <w:sz w:val="28"/>
          <w:szCs w:val="28"/>
          <w:highlight w:val="none"/>
        </w:rPr>
      </w:pPr>
    </w:p>
    <w:p w14:paraId="23E75BC7">
      <w:pPr>
        <w:pageBreakBefore w:val="0"/>
        <w:kinsoku/>
        <w:overflowPunct/>
        <w:topLinePunct w:val="0"/>
        <w:bidi w:val="0"/>
        <w:snapToGrid w:val="0"/>
        <w:spacing w:before="120" w:beforeLines="50" w:after="50" w:line="240" w:lineRule="auto"/>
        <w:ind w:firstLine="645"/>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年  月  日</w:t>
      </w:r>
    </w:p>
    <w:p w14:paraId="0BA0920B">
      <w:pPr>
        <w:rPr>
          <w:rFonts w:hint="eastAsia"/>
          <w:color w:val="auto"/>
          <w:lang w:val="en-US" w:eastAsia="zh-CN"/>
        </w:rPr>
      </w:pPr>
      <w:r>
        <w:rPr>
          <w:rFonts w:hint="eastAsia"/>
          <w:color w:val="auto"/>
          <w:lang w:val="en-US" w:eastAsia="zh-CN"/>
        </w:rPr>
        <w:br w:type="page"/>
      </w:r>
    </w:p>
    <w:p w14:paraId="5808215C">
      <w:pPr>
        <w:pageBreakBefore w:val="0"/>
        <w:kinsoku/>
        <w:overflowPunct/>
        <w:topLinePunct w:val="0"/>
        <w:bidi w:val="0"/>
        <w:snapToGrid w:val="0"/>
        <w:spacing w:line="240" w:lineRule="auto"/>
        <w:jc w:val="left"/>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2.商务文件目录</w:t>
      </w:r>
    </w:p>
    <w:p w14:paraId="306637ED">
      <w:pPr>
        <w:pageBreakBefore w:val="0"/>
        <w:kinsoku/>
        <w:overflowPunct/>
        <w:topLinePunct w:val="0"/>
        <w:bidi w:val="0"/>
        <w:snapToGrid w:val="0"/>
        <w:spacing w:before="50" w:after="120" w:afterLines="50" w:line="240" w:lineRule="auto"/>
        <w:jc w:val="left"/>
        <w:rPr>
          <w:rFonts w:hint="eastAsia" w:ascii="宋体" w:hAnsi="宋体" w:eastAsia="宋体" w:cs="宋体"/>
          <w:b/>
          <w:bCs/>
          <w:color w:val="auto"/>
          <w:sz w:val="28"/>
          <w:szCs w:val="28"/>
          <w:highlight w:val="none"/>
        </w:rPr>
      </w:pPr>
      <w:r>
        <w:rPr>
          <w:rFonts w:hint="eastAsia" w:ascii="宋体" w:hAnsi="宋体" w:eastAsia="宋体" w:cs="宋体"/>
          <w:color w:val="auto"/>
          <w:sz w:val="28"/>
          <w:szCs w:val="28"/>
          <w:highlight w:val="none"/>
        </w:rPr>
        <w:t>根据</w:t>
      </w:r>
      <w:r>
        <w:rPr>
          <w:rFonts w:hint="eastAsia" w:ascii="宋体" w:hAnsi="宋体" w:cs="宋体"/>
          <w:color w:val="auto"/>
          <w:sz w:val="28"/>
          <w:szCs w:val="28"/>
          <w:highlight w:val="none"/>
          <w:lang w:eastAsia="zh-CN"/>
        </w:rPr>
        <w:t>采购</w:t>
      </w:r>
      <w:r>
        <w:rPr>
          <w:rFonts w:hint="eastAsia" w:ascii="宋体" w:hAnsi="宋体" w:eastAsia="宋体" w:cs="宋体"/>
          <w:color w:val="auto"/>
          <w:sz w:val="28"/>
          <w:szCs w:val="28"/>
          <w:highlight w:val="none"/>
        </w:rPr>
        <w:t>文件规定及投标人提供的材料自行编写目录。</w:t>
      </w:r>
    </w:p>
    <w:p w14:paraId="7A423C69">
      <w:pPr>
        <w:rPr>
          <w:rFonts w:hint="eastAsia"/>
          <w:color w:val="auto"/>
          <w:lang w:val="en-US" w:eastAsia="zh-CN"/>
        </w:rPr>
      </w:pPr>
      <w:r>
        <w:rPr>
          <w:rFonts w:hint="eastAsia"/>
          <w:color w:val="auto"/>
          <w:lang w:val="en-US" w:eastAsia="zh-CN"/>
        </w:rPr>
        <w:br w:type="page"/>
      </w:r>
    </w:p>
    <w:p w14:paraId="5EC07DDB">
      <w:pPr>
        <w:pageBreakBefore w:val="0"/>
        <w:kinsoku/>
        <w:overflowPunct/>
        <w:topLinePunct w:val="0"/>
        <w:bidi w:val="0"/>
        <w:snapToGrid w:val="0"/>
        <w:spacing w:before="120" w:beforeLines="50" w:after="50" w:line="240" w:lineRule="auto"/>
        <w:jc w:val="left"/>
        <w:rPr>
          <w:rFonts w:hint="eastAsia" w:ascii="宋体" w:hAnsi="宋体" w:eastAsia="宋体" w:cs="宋体"/>
          <w:b/>
          <w:color w:val="auto"/>
          <w:sz w:val="30"/>
          <w:szCs w:val="30"/>
          <w:highlight w:val="none"/>
          <w:lang w:val="en-US" w:eastAsia="zh-CN"/>
        </w:rPr>
      </w:pPr>
      <w:r>
        <w:rPr>
          <w:rFonts w:hint="eastAsia" w:ascii="宋体" w:hAnsi="宋体" w:eastAsia="宋体" w:cs="宋体"/>
          <w:b/>
          <w:color w:val="auto"/>
          <w:sz w:val="30"/>
          <w:szCs w:val="30"/>
          <w:highlight w:val="none"/>
        </w:rPr>
        <w:t>3.投标人参加本项目无围标串标行为的承诺</w:t>
      </w:r>
      <w:r>
        <w:rPr>
          <w:rFonts w:hint="eastAsia" w:ascii="宋体" w:hAnsi="宋体" w:eastAsia="宋体" w:cs="宋体"/>
          <w:b/>
          <w:color w:val="auto"/>
          <w:sz w:val="30"/>
          <w:szCs w:val="30"/>
          <w:highlight w:val="none"/>
          <w:lang w:val="en-US" w:eastAsia="zh-CN"/>
        </w:rPr>
        <w:t>函</w:t>
      </w:r>
    </w:p>
    <w:p w14:paraId="7DC60FD3">
      <w:pPr>
        <w:pageBreakBefore w:val="0"/>
        <w:kinsoku/>
        <w:overflowPunct/>
        <w:topLinePunct w:val="0"/>
        <w:bidi w:val="0"/>
        <w:snapToGrid w:val="0"/>
        <w:spacing w:before="120" w:beforeLines="50" w:after="50" w:line="240" w:lineRule="auto"/>
        <w:jc w:val="left"/>
        <w:rPr>
          <w:rFonts w:hint="eastAsia" w:ascii="宋体" w:hAnsi="宋体" w:eastAsia="宋体" w:cs="宋体"/>
          <w:b/>
          <w:bCs w:val="0"/>
          <w:color w:val="auto"/>
          <w:sz w:val="28"/>
          <w:szCs w:val="28"/>
          <w:highlight w:val="none"/>
        </w:rPr>
      </w:pPr>
    </w:p>
    <w:p w14:paraId="579B8C8B">
      <w:pPr>
        <w:pageBreakBefore w:val="0"/>
        <w:kinsoku/>
        <w:overflowPunct/>
        <w:topLinePunct w:val="0"/>
        <w:bidi w:val="0"/>
        <w:spacing w:line="240" w:lineRule="auto"/>
        <w:ind w:left="420"/>
        <w:contextualSpacing/>
        <w:jc w:val="center"/>
        <w:rPr>
          <w:rFonts w:hint="eastAsia" w:ascii="宋体" w:hAnsi="宋体" w:eastAsia="宋体" w:cs="宋体"/>
          <w:b/>
          <w:bCs w:val="0"/>
          <w:color w:val="auto"/>
          <w:sz w:val="28"/>
          <w:szCs w:val="28"/>
          <w:highlight w:val="none"/>
        </w:rPr>
      </w:pPr>
      <w:r>
        <w:rPr>
          <w:rFonts w:hint="eastAsia" w:ascii="宋体" w:hAnsi="宋体" w:eastAsia="宋体" w:cs="宋体"/>
          <w:b/>
          <w:bCs w:val="0"/>
          <w:color w:val="auto"/>
          <w:spacing w:val="-11"/>
          <w:sz w:val="28"/>
          <w:szCs w:val="28"/>
          <w:highlight w:val="none"/>
        </w:rPr>
        <w:t>投标人参加本项目无围标串标行为的承诺函</w:t>
      </w:r>
    </w:p>
    <w:p w14:paraId="48A003C2">
      <w:pPr>
        <w:pageBreakBefore w:val="0"/>
        <w:kinsoku/>
        <w:overflowPunct/>
        <w:topLinePunct w:val="0"/>
        <w:bidi w:val="0"/>
        <w:spacing w:line="240" w:lineRule="auto"/>
        <w:contextualSpacing/>
        <w:jc w:val="left"/>
        <w:rPr>
          <w:rFonts w:hint="eastAsia" w:ascii="宋体" w:hAnsi="宋体" w:eastAsia="宋体" w:cs="宋体"/>
          <w:b/>
          <w:color w:val="auto"/>
          <w:sz w:val="21"/>
          <w:szCs w:val="21"/>
          <w:highlight w:val="none"/>
        </w:rPr>
      </w:pPr>
    </w:p>
    <w:p w14:paraId="0D269C01">
      <w:pPr>
        <w:pageBreakBefore w:val="0"/>
        <w:kinsoku/>
        <w:overflowPunct/>
        <w:topLinePunct w:val="0"/>
        <w:bidi w:val="0"/>
        <w:spacing w:line="240" w:lineRule="auto"/>
        <w:contextualSpacing/>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一、我方承诺无下列相互串通投标的情形：</w:t>
      </w:r>
    </w:p>
    <w:p w14:paraId="6E61F082">
      <w:pPr>
        <w:pageBreakBefore w:val="0"/>
        <w:kinsoku/>
        <w:overflowPunct/>
        <w:topLinePunct w:val="0"/>
        <w:bidi w:val="0"/>
        <w:spacing w:line="240" w:lineRule="auto"/>
        <w:ind w:firstLine="470" w:firstLineChars="196"/>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1.不同投标人的投标文件由同一单位或者个人编制；</w:t>
      </w:r>
    </w:p>
    <w:p w14:paraId="46BA0309">
      <w:pPr>
        <w:pageBreakBefore w:val="0"/>
        <w:kinsoku/>
        <w:overflowPunct/>
        <w:topLinePunct w:val="0"/>
        <w:bidi w:val="0"/>
        <w:spacing w:line="240" w:lineRule="auto"/>
        <w:ind w:firstLine="470" w:firstLineChars="196"/>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2.不同投标人委托同一单位或者个人办理投标事宜；</w:t>
      </w:r>
    </w:p>
    <w:p w14:paraId="589D6842">
      <w:pPr>
        <w:pageBreakBefore w:val="0"/>
        <w:kinsoku/>
        <w:overflowPunct/>
        <w:topLinePunct w:val="0"/>
        <w:bidi w:val="0"/>
        <w:spacing w:line="240" w:lineRule="auto"/>
        <w:ind w:firstLine="470" w:firstLineChars="196"/>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3.不同的投标人的投标文件载明的项目管理员为同一个人；</w:t>
      </w:r>
    </w:p>
    <w:p w14:paraId="49A6E80D">
      <w:pPr>
        <w:pageBreakBefore w:val="0"/>
        <w:kinsoku/>
        <w:overflowPunct/>
        <w:topLinePunct w:val="0"/>
        <w:bidi w:val="0"/>
        <w:spacing w:line="240" w:lineRule="auto"/>
        <w:ind w:firstLine="470" w:firstLineChars="196"/>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4.不同投标人的投标文件异常一致或者投标报价呈规律性差异；</w:t>
      </w:r>
    </w:p>
    <w:p w14:paraId="7A3EA6C6">
      <w:pPr>
        <w:pageBreakBefore w:val="0"/>
        <w:kinsoku/>
        <w:overflowPunct/>
        <w:topLinePunct w:val="0"/>
        <w:bidi w:val="0"/>
        <w:spacing w:line="240" w:lineRule="auto"/>
        <w:ind w:firstLine="470" w:firstLineChars="196"/>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5.不同投标人的投标文件相互混装；</w:t>
      </w:r>
    </w:p>
    <w:p w14:paraId="1009AA06">
      <w:pPr>
        <w:pageBreakBefore w:val="0"/>
        <w:kinsoku/>
        <w:overflowPunct/>
        <w:topLinePunct w:val="0"/>
        <w:bidi w:val="0"/>
        <w:spacing w:line="240" w:lineRule="auto"/>
        <w:ind w:firstLine="470" w:firstLineChars="196"/>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6.不同投标人的投标保证金从同一单位或者个人账户转出。</w:t>
      </w:r>
    </w:p>
    <w:p w14:paraId="50557940">
      <w:pPr>
        <w:pageBreakBefore w:val="0"/>
        <w:kinsoku/>
        <w:overflowPunct/>
        <w:topLinePunct w:val="0"/>
        <w:bidi w:val="0"/>
        <w:spacing w:line="240" w:lineRule="auto"/>
        <w:contextualSpacing/>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二、我方承诺无下列恶意串通的情形：</w:t>
      </w:r>
    </w:p>
    <w:p w14:paraId="161E44D0">
      <w:pPr>
        <w:pageBreakBefore w:val="0"/>
        <w:kinsoku/>
        <w:overflowPunct/>
        <w:topLinePunct w:val="0"/>
        <w:bidi w:val="0"/>
        <w:spacing w:line="240" w:lineRule="auto"/>
        <w:ind w:firstLine="470" w:firstLineChars="196"/>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1.投标人直接或者间接从采购人或者采购代理机构处获得其他投标人的相关信息并修改其投标文件或者投标文件；</w:t>
      </w:r>
    </w:p>
    <w:p w14:paraId="7C25A301">
      <w:pPr>
        <w:pageBreakBefore w:val="0"/>
        <w:kinsoku/>
        <w:overflowPunct/>
        <w:topLinePunct w:val="0"/>
        <w:bidi w:val="0"/>
        <w:spacing w:line="240" w:lineRule="auto"/>
        <w:ind w:firstLine="470" w:firstLineChars="196"/>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2.投标人按照采购人或者采购代理机构的授意撤换、修改投标文件或者投标文件；</w:t>
      </w:r>
    </w:p>
    <w:p w14:paraId="7E056916">
      <w:pPr>
        <w:pageBreakBefore w:val="0"/>
        <w:kinsoku/>
        <w:overflowPunct/>
        <w:topLinePunct w:val="0"/>
        <w:bidi w:val="0"/>
        <w:spacing w:line="240" w:lineRule="auto"/>
        <w:ind w:firstLine="470" w:firstLineChars="196"/>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3.投标人之间协商报价、技术方案等投标文件或者投标文件的实质性内容；</w:t>
      </w:r>
    </w:p>
    <w:p w14:paraId="24F0C02D">
      <w:pPr>
        <w:pageBreakBefore w:val="0"/>
        <w:kinsoku/>
        <w:overflowPunct/>
        <w:topLinePunct w:val="0"/>
        <w:bidi w:val="0"/>
        <w:spacing w:line="240" w:lineRule="auto"/>
        <w:ind w:firstLine="470" w:firstLineChars="196"/>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4.属于同一集团、协会、商会等组织成员的投标人按照该组织要求协同参加政府采购活动；</w:t>
      </w:r>
    </w:p>
    <w:p w14:paraId="1BFBED05">
      <w:pPr>
        <w:pageBreakBefore w:val="0"/>
        <w:kinsoku/>
        <w:overflowPunct/>
        <w:topLinePunct w:val="0"/>
        <w:bidi w:val="0"/>
        <w:spacing w:line="240" w:lineRule="auto"/>
        <w:ind w:firstLine="470" w:firstLineChars="196"/>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5.投标人之间事先约定一致抬高或者压低投标报价，或者在</w:t>
      </w:r>
      <w:r>
        <w:rPr>
          <w:rFonts w:hint="eastAsia" w:ascii="宋体" w:hAnsi="宋体" w:cs="宋体"/>
          <w:color w:val="auto"/>
          <w:sz w:val="24"/>
          <w:szCs w:val="24"/>
          <w:highlight w:val="none"/>
          <w:lang w:eastAsia="zh-CN"/>
        </w:rPr>
        <w:t>采购</w:t>
      </w:r>
      <w:r>
        <w:rPr>
          <w:rFonts w:hint="eastAsia" w:ascii="宋体" w:hAnsi="宋体" w:eastAsia="宋体" w:cs="宋体"/>
          <w:color w:val="auto"/>
          <w:sz w:val="24"/>
          <w:szCs w:val="24"/>
          <w:highlight w:val="none"/>
        </w:rPr>
        <w:t>项目中事先约定轮流以高价位或者低价位中标，或者事先约定由某一特定投标人中标，然后再参加投标；</w:t>
      </w:r>
    </w:p>
    <w:p w14:paraId="1298B4CF">
      <w:pPr>
        <w:pageBreakBefore w:val="0"/>
        <w:kinsoku/>
        <w:overflowPunct/>
        <w:topLinePunct w:val="0"/>
        <w:bidi w:val="0"/>
        <w:spacing w:line="240" w:lineRule="auto"/>
        <w:ind w:firstLine="470" w:firstLineChars="196"/>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6.投标人之间商定部分投标人放弃参加政府采购活动或者放弃中标；</w:t>
      </w:r>
    </w:p>
    <w:p w14:paraId="3515E5FD">
      <w:pPr>
        <w:pageBreakBefore w:val="0"/>
        <w:kinsoku/>
        <w:overflowPunct/>
        <w:topLinePunct w:val="0"/>
        <w:bidi w:val="0"/>
        <w:spacing w:line="240" w:lineRule="auto"/>
        <w:ind w:firstLine="470" w:firstLineChars="196"/>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7.投标人与采购人或者采购代理机构之间、投标人相互之间，为谋求特定投标人中标或者排斥其他投标人的其他串通行为。</w:t>
      </w:r>
    </w:p>
    <w:p w14:paraId="72380DA8">
      <w:pPr>
        <w:pageBreakBefore w:val="0"/>
        <w:kinsoku/>
        <w:overflowPunct/>
        <w:topLinePunct w:val="0"/>
        <w:bidi w:val="0"/>
        <w:spacing w:line="240" w:lineRule="auto"/>
        <w:ind w:firstLine="472" w:firstLineChars="196"/>
        <w:contextualSpacing/>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以上情形一经核查属实，我方愿意承担一切后果，并不再寻求任何旨在减轻或者免除法律责任的辩解。</w:t>
      </w:r>
    </w:p>
    <w:p w14:paraId="33142F66">
      <w:pPr>
        <w:pStyle w:val="14"/>
        <w:pageBreakBefore w:val="0"/>
        <w:kinsoku/>
        <w:overflowPunct/>
        <w:topLinePunct w:val="0"/>
        <w:bidi w:val="0"/>
        <w:spacing w:line="240" w:lineRule="auto"/>
        <w:ind w:firstLine="6840" w:firstLineChars="2850"/>
        <w:contextualSpacing/>
        <w:rPr>
          <w:rFonts w:hint="eastAsia" w:ascii="宋体" w:hAnsi="宋体" w:eastAsia="宋体" w:cs="宋体"/>
          <w:color w:val="auto"/>
          <w:sz w:val="24"/>
          <w:szCs w:val="24"/>
          <w:highlight w:val="none"/>
        </w:rPr>
      </w:pPr>
    </w:p>
    <w:p w14:paraId="0E8489D3">
      <w:pPr>
        <w:pStyle w:val="14"/>
        <w:pageBreakBefore w:val="0"/>
        <w:kinsoku/>
        <w:overflowPunct/>
        <w:topLinePunct w:val="0"/>
        <w:bidi w:val="0"/>
        <w:spacing w:line="240" w:lineRule="auto"/>
        <w:contextualSpacing/>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投标人名称（公章）</w:t>
      </w:r>
    </w:p>
    <w:p w14:paraId="5FD864C7">
      <w:pPr>
        <w:pStyle w:val="14"/>
        <w:pageBreakBefore w:val="0"/>
        <w:kinsoku/>
        <w:overflowPunct/>
        <w:topLinePunct w:val="0"/>
        <w:bidi w:val="0"/>
        <w:spacing w:line="240" w:lineRule="auto"/>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01FCC218">
      <w:pPr>
        <w:rPr>
          <w:rFonts w:hint="eastAsia"/>
          <w:color w:val="auto"/>
          <w:lang w:val="en-US" w:eastAsia="zh-CN"/>
        </w:rPr>
      </w:pPr>
      <w:r>
        <w:rPr>
          <w:rFonts w:hint="eastAsia"/>
          <w:color w:val="auto"/>
          <w:lang w:val="en-US" w:eastAsia="zh-CN"/>
        </w:rPr>
        <w:br w:type="page"/>
      </w:r>
    </w:p>
    <w:p w14:paraId="4E817793">
      <w:pPr>
        <w:pageBreakBefore w:val="0"/>
        <w:kinsoku/>
        <w:overflowPunct/>
        <w:topLinePunct w:val="0"/>
        <w:bidi w:val="0"/>
        <w:snapToGrid w:val="0"/>
        <w:spacing w:before="120" w:beforeLines="50" w:after="50" w:line="240" w:lineRule="auto"/>
        <w:jc w:val="left"/>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4.法定代表人身份证明</w:t>
      </w:r>
    </w:p>
    <w:p w14:paraId="7D5B792E">
      <w:pPr>
        <w:pageBreakBefore w:val="0"/>
        <w:kinsoku/>
        <w:overflowPunct/>
        <w:topLinePunct w:val="0"/>
        <w:bidi w:val="0"/>
        <w:spacing w:before="240" w:beforeLines="100" w:after="120" w:afterLines="50" w:line="240" w:lineRule="auto"/>
        <w:ind w:left="540"/>
        <w:jc w:val="center"/>
        <w:rPr>
          <w:rFonts w:hint="eastAsia" w:ascii="宋体" w:hAnsi="宋体" w:eastAsia="宋体" w:cs="宋体"/>
          <w:b/>
          <w:color w:val="auto"/>
          <w:sz w:val="21"/>
          <w:szCs w:val="21"/>
          <w:highlight w:val="none"/>
        </w:rPr>
      </w:pPr>
    </w:p>
    <w:p w14:paraId="1C0BC7BC">
      <w:pPr>
        <w:pageBreakBefore w:val="0"/>
        <w:kinsoku/>
        <w:overflowPunct/>
        <w:topLinePunct w:val="0"/>
        <w:bidi w:val="0"/>
        <w:spacing w:before="240" w:beforeLines="100" w:after="120" w:afterLines="50" w:line="240" w:lineRule="auto"/>
        <w:ind w:left="540"/>
        <w:jc w:val="center"/>
        <w:rPr>
          <w:rFonts w:hint="eastAsia" w:ascii="宋体" w:hAnsi="宋体" w:eastAsia="宋体" w:cs="宋体"/>
          <w:b/>
          <w:bCs w:val="0"/>
          <w:color w:val="auto"/>
          <w:sz w:val="28"/>
          <w:szCs w:val="28"/>
          <w:highlight w:val="none"/>
        </w:rPr>
      </w:pPr>
      <w:r>
        <w:rPr>
          <w:rFonts w:hint="eastAsia" w:ascii="宋体" w:hAnsi="宋体" w:eastAsia="宋体" w:cs="宋体"/>
          <w:b/>
          <w:bCs w:val="0"/>
          <w:color w:val="auto"/>
          <w:sz w:val="28"/>
          <w:szCs w:val="28"/>
          <w:highlight w:val="none"/>
        </w:rPr>
        <w:t>法定代表人身份证明</w:t>
      </w:r>
    </w:p>
    <w:p w14:paraId="2FFA2FCC">
      <w:pPr>
        <w:pageBreakBefore w:val="0"/>
        <w:kinsoku/>
        <w:overflowPunct/>
        <w:topLinePunct w:val="0"/>
        <w:bidi w:val="0"/>
        <w:spacing w:line="240" w:lineRule="auto"/>
        <w:ind w:left="5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 标 人：</w:t>
      </w:r>
      <w:r>
        <w:rPr>
          <w:rFonts w:hint="eastAsia" w:ascii="宋体" w:hAnsi="宋体" w:eastAsia="宋体" w:cs="宋体"/>
          <w:color w:val="auto"/>
          <w:sz w:val="24"/>
          <w:szCs w:val="24"/>
          <w:highlight w:val="none"/>
          <w:u w:val="single"/>
        </w:rPr>
        <w:t xml:space="preserve">                                                        </w:t>
      </w:r>
    </w:p>
    <w:p w14:paraId="128FD246">
      <w:pPr>
        <w:pageBreakBefore w:val="0"/>
        <w:kinsoku/>
        <w:overflowPunct/>
        <w:topLinePunct w:val="0"/>
        <w:bidi w:val="0"/>
        <w:spacing w:line="240" w:lineRule="auto"/>
        <w:ind w:left="5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w:t>
      </w:r>
    </w:p>
    <w:p w14:paraId="5DC8586C">
      <w:pPr>
        <w:pageBreakBefore w:val="0"/>
        <w:kinsoku/>
        <w:overflowPunct/>
        <w:topLinePunct w:val="0"/>
        <w:bidi w:val="0"/>
        <w:spacing w:line="240" w:lineRule="auto"/>
        <w:ind w:left="5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    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性      别：</w:t>
      </w:r>
      <w:r>
        <w:rPr>
          <w:rFonts w:hint="eastAsia" w:ascii="宋体" w:hAnsi="宋体" w:eastAsia="宋体" w:cs="宋体"/>
          <w:color w:val="auto"/>
          <w:sz w:val="24"/>
          <w:szCs w:val="24"/>
          <w:highlight w:val="none"/>
          <w:u w:val="single"/>
        </w:rPr>
        <w:t xml:space="preserve">                </w:t>
      </w:r>
    </w:p>
    <w:p w14:paraId="7CCDEC0C">
      <w:pPr>
        <w:pageBreakBefore w:val="0"/>
        <w:kinsoku/>
        <w:overflowPunct/>
        <w:topLinePunct w:val="0"/>
        <w:bidi w:val="0"/>
        <w:spacing w:line="240" w:lineRule="auto"/>
        <w:ind w:left="54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年    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      务：</w:t>
      </w:r>
      <w:r>
        <w:rPr>
          <w:rFonts w:hint="eastAsia" w:ascii="宋体" w:hAnsi="宋体" w:eastAsia="宋体" w:cs="宋体"/>
          <w:color w:val="auto"/>
          <w:sz w:val="24"/>
          <w:szCs w:val="24"/>
          <w:highlight w:val="none"/>
          <w:u w:val="single"/>
        </w:rPr>
        <w:t xml:space="preserve">                </w:t>
      </w:r>
    </w:p>
    <w:p w14:paraId="5A8A0D9F">
      <w:pPr>
        <w:pageBreakBefore w:val="0"/>
        <w:kinsoku/>
        <w:overflowPunct/>
        <w:topLinePunct w:val="0"/>
        <w:bidi w:val="0"/>
        <w:spacing w:line="240" w:lineRule="auto"/>
        <w:ind w:left="5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身份证号码：</w:t>
      </w:r>
      <w:r>
        <w:rPr>
          <w:rFonts w:hint="eastAsia" w:ascii="宋体" w:hAnsi="宋体" w:eastAsia="宋体" w:cs="宋体"/>
          <w:color w:val="auto"/>
          <w:sz w:val="24"/>
          <w:szCs w:val="24"/>
          <w:highlight w:val="none"/>
          <w:u w:val="single"/>
        </w:rPr>
        <w:t xml:space="preserve">                                 </w:t>
      </w:r>
    </w:p>
    <w:p w14:paraId="13949B3C">
      <w:pPr>
        <w:pageBreakBefore w:val="0"/>
        <w:kinsoku/>
        <w:overflowPunct/>
        <w:topLinePunct w:val="0"/>
        <w:bidi w:val="0"/>
        <w:spacing w:line="240" w:lineRule="auto"/>
        <w:ind w:left="5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u w:val="single"/>
        </w:rPr>
        <w:t xml:space="preserve">            （投标人名称）              </w:t>
      </w:r>
      <w:r>
        <w:rPr>
          <w:rFonts w:hint="eastAsia" w:ascii="宋体" w:hAnsi="宋体" w:eastAsia="宋体" w:cs="宋体"/>
          <w:color w:val="auto"/>
          <w:sz w:val="24"/>
          <w:szCs w:val="24"/>
          <w:highlight w:val="none"/>
        </w:rPr>
        <w:t>的法定代表人。</w:t>
      </w:r>
    </w:p>
    <w:p w14:paraId="68E83E9A">
      <w:pPr>
        <w:pageBreakBefore w:val="0"/>
        <w:kinsoku/>
        <w:overflowPunct/>
        <w:topLinePunct w:val="0"/>
        <w:bidi w:val="0"/>
        <w:spacing w:line="240" w:lineRule="auto"/>
        <w:ind w:left="5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特此证明。</w:t>
      </w:r>
    </w:p>
    <w:p w14:paraId="036B2357">
      <w:pPr>
        <w:pageBreakBefore w:val="0"/>
        <w:kinsoku/>
        <w:overflowPunct/>
        <w:topLinePunct w:val="0"/>
        <w:bidi w:val="0"/>
        <w:spacing w:line="240" w:lineRule="auto"/>
        <w:ind w:left="540"/>
        <w:rPr>
          <w:rFonts w:hint="eastAsia" w:ascii="宋体" w:hAnsi="宋体" w:eastAsia="宋体" w:cs="宋体"/>
          <w:color w:val="auto"/>
          <w:sz w:val="24"/>
          <w:szCs w:val="24"/>
          <w:highlight w:val="none"/>
        </w:rPr>
      </w:pPr>
    </w:p>
    <w:p w14:paraId="7D6B10EA">
      <w:pPr>
        <w:pageBreakBefore w:val="0"/>
        <w:kinsoku/>
        <w:overflowPunct/>
        <w:topLinePunct w:val="0"/>
        <w:bidi w:val="0"/>
        <w:spacing w:line="240" w:lineRule="auto"/>
        <w:ind w:left="540"/>
        <w:rPr>
          <w:rFonts w:hint="eastAsia" w:ascii="宋体" w:hAnsi="宋体" w:eastAsia="宋体" w:cs="宋体"/>
          <w:color w:val="auto"/>
          <w:sz w:val="24"/>
          <w:szCs w:val="24"/>
          <w:highlight w:val="none"/>
        </w:rPr>
      </w:pPr>
    </w:p>
    <w:p w14:paraId="681693B6">
      <w:pPr>
        <w:pageBreakBefore w:val="0"/>
        <w:kinsoku/>
        <w:overflowPunct/>
        <w:topLinePunct w:val="0"/>
        <w:bidi w:val="0"/>
        <w:spacing w:line="240" w:lineRule="auto"/>
        <w:ind w:left="5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附件：法定代表人有效身份证正反面复印件</w:t>
      </w:r>
    </w:p>
    <w:p w14:paraId="11ACA169">
      <w:pPr>
        <w:pageBreakBefore w:val="0"/>
        <w:kinsoku/>
        <w:overflowPunct/>
        <w:topLinePunct w:val="0"/>
        <w:bidi w:val="0"/>
        <w:spacing w:line="240" w:lineRule="auto"/>
        <w:ind w:left="540"/>
        <w:rPr>
          <w:rFonts w:hint="eastAsia" w:ascii="宋体" w:hAnsi="宋体" w:eastAsia="宋体" w:cs="宋体"/>
          <w:color w:val="auto"/>
          <w:sz w:val="24"/>
          <w:szCs w:val="24"/>
          <w:highlight w:val="none"/>
        </w:rPr>
      </w:pPr>
    </w:p>
    <w:p w14:paraId="41154117">
      <w:pPr>
        <w:pageBreakBefore w:val="0"/>
        <w:kinsoku/>
        <w:overflowPunct/>
        <w:topLinePunct w:val="0"/>
        <w:bidi w:val="0"/>
        <w:spacing w:line="240" w:lineRule="auto"/>
        <w:ind w:left="540"/>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投标人名称（公章）</w:t>
      </w:r>
    </w:p>
    <w:p w14:paraId="60B96812">
      <w:pPr>
        <w:pageBreakBefore w:val="0"/>
        <w:kinsoku/>
        <w:overflowPunct/>
        <w:topLinePunct w:val="0"/>
        <w:bidi w:val="0"/>
        <w:spacing w:line="240" w:lineRule="auto"/>
        <w:ind w:left="540"/>
        <w:jc w:val="right"/>
        <w:rPr>
          <w:rFonts w:hint="eastAsia" w:ascii="宋体" w:hAnsi="宋体" w:eastAsia="宋体" w:cs="宋体"/>
          <w:color w:val="auto"/>
          <w:sz w:val="24"/>
          <w:szCs w:val="24"/>
          <w:highlight w:val="none"/>
        </w:rPr>
      </w:pPr>
    </w:p>
    <w:p w14:paraId="78354A0A">
      <w:pPr>
        <w:pageBreakBefore w:val="0"/>
        <w:kinsoku/>
        <w:overflowPunct/>
        <w:topLinePunct w:val="0"/>
        <w:bidi w:val="0"/>
        <w:snapToGrid w:val="0"/>
        <w:spacing w:before="120" w:beforeLines="50" w:after="50" w:line="240" w:lineRule="auto"/>
        <w:ind w:left="540"/>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4AC73BED">
      <w:pPr>
        <w:pageBreakBefore w:val="0"/>
        <w:kinsoku/>
        <w:overflowPunct/>
        <w:topLinePunct w:val="0"/>
        <w:bidi w:val="0"/>
        <w:snapToGrid w:val="0"/>
        <w:spacing w:before="120" w:beforeLines="50" w:after="50" w:line="240" w:lineRule="auto"/>
        <w:jc w:val="center"/>
        <w:rPr>
          <w:rFonts w:hint="eastAsia" w:ascii="宋体" w:hAnsi="宋体" w:eastAsia="宋体" w:cs="宋体"/>
          <w:b/>
          <w:color w:val="auto"/>
          <w:sz w:val="24"/>
          <w:szCs w:val="24"/>
          <w:highlight w:val="none"/>
        </w:rPr>
      </w:pPr>
    </w:p>
    <w:p w14:paraId="63C31855">
      <w:pPr>
        <w:pageBreakBefore w:val="0"/>
        <w:kinsoku/>
        <w:overflowPunct/>
        <w:topLinePunct w:val="0"/>
        <w:bidi w:val="0"/>
        <w:snapToGrid w:val="0"/>
        <w:spacing w:before="120" w:beforeLines="50" w:after="50" w:line="240" w:lineRule="auto"/>
        <w:jc w:val="left"/>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注：自然人投标的无需提供</w:t>
      </w:r>
    </w:p>
    <w:p w14:paraId="3760095D">
      <w:pPr>
        <w:rPr>
          <w:rFonts w:hint="eastAsia"/>
          <w:color w:val="auto"/>
          <w:lang w:val="en-US" w:eastAsia="zh-CN"/>
        </w:rPr>
      </w:pPr>
      <w:r>
        <w:rPr>
          <w:rFonts w:hint="eastAsia"/>
          <w:color w:val="auto"/>
          <w:lang w:val="en-US" w:eastAsia="zh-CN"/>
        </w:rPr>
        <w:br w:type="page"/>
      </w:r>
    </w:p>
    <w:p w14:paraId="5C24CBED">
      <w:pPr>
        <w:pageBreakBefore w:val="0"/>
        <w:kinsoku/>
        <w:overflowPunct/>
        <w:topLinePunct w:val="0"/>
        <w:bidi w:val="0"/>
        <w:snapToGrid w:val="0"/>
        <w:spacing w:before="120" w:beforeLines="50" w:after="50" w:line="240" w:lineRule="auto"/>
        <w:jc w:val="left"/>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5.授权委托书格式</w:t>
      </w:r>
    </w:p>
    <w:p w14:paraId="11151EF8">
      <w:pPr>
        <w:pageBreakBefore w:val="0"/>
        <w:kinsoku/>
        <w:overflowPunct/>
        <w:topLinePunct w:val="0"/>
        <w:bidi w:val="0"/>
        <w:snapToGrid w:val="0"/>
        <w:spacing w:before="120" w:beforeLines="50" w:after="50" w:line="240" w:lineRule="auto"/>
        <w:jc w:val="center"/>
        <w:rPr>
          <w:rFonts w:hint="eastAsia" w:ascii="宋体" w:hAnsi="宋体" w:eastAsia="宋体" w:cs="宋体"/>
          <w:b/>
          <w:color w:val="auto"/>
          <w:sz w:val="21"/>
          <w:szCs w:val="21"/>
          <w:highlight w:val="none"/>
        </w:rPr>
      </w:pPr>
    </w:p>
    <w:p w14:paraId="4FAB09AD">
      <w:pPr>
        <w:pageBreakBefore w:val="0"/>
        <w:kinsoku/>
        <w:overflowPunct/>
        <w:topLinePunct w:val="0"/>
        <w:bidi w:val="0"/>
        <w:spacing w:line="240" w:lineRule="auto"/>
        <w:contextualSpacing/>
        <w:jc w:val="center"/>
        <w:rPr>
          <w:rFonts w:hint="eastAsia" w:ascii="宋体" w:hAnsi="宋体" w:eastAsia="宋体" w:cs="宋体"/>
          <w:b/>
          <w:bCs w:val="0"/>
          <w:color w:val="auto"/>
          <w:sz w:val="28"/>
          <w:szCs w:val="28"/>
          <w:highlight w:val="none"/>
        </w:rPr>
      </w:pPr>
      <w:r>
        <w:rPr>
          <w:rFonts w:hint="eastAsia" w:ascii="宋体" w:hAnsi="宋体" w:eastAsia="宋体" w:cs="宋体"/>
          <w:b/>
          <w:bCs w:val="0"/>
          <w:color w:val="auto"/>
          <w:sz w:val="28"/>
          <w:szCs w:val="28"/>
          <w:highlight w:val="none"/>
        </w:rPr>
        <w:t>授权委托书</w:t>
      </w:r>
    </w:p>
    <w:p w14:paraId="04B00A07">
      <w:pPr>
        <w:pageBreakBefore w:val="0"/>
        <w:kinsoku/>
        <w:overflowPunct/>
        <w:topLinePunct w:val="0"/>
        <w:bidi w:val="0"/>
        <w:spacing w:line="240" w:lineRule="auto"/>
        <w:contextualSpacing/>
        <w:jc w:val="center"/>
        <w:rPr>
          <w:rFonts w:hint="eastAsia" w:ascii="宋体" w:hAnsi="宋体" w:eastAsia="宋体" w:cs="宋体"/>
          <w:b/>
          <w:bCs w:val="0"/>
          <w:color w:val="auto"/>
          <w:sz w:val="28"/>
          <w:szCs w:val="28"/>
          <w:highlight w:val="none"/>
        </w:rPr>
      </w:pPr>
      <w:r>
        <w:rPr>
          <w:rFonts w:hint="eastAsia" w:ascii="宋体" w:hAnsi="宋体" w:eastAsia="宋体" w:cs="宋体"/>
          <w:b/>
          <w:bCs w:val="0"/>
          <w:color w:val="auto"/>
          <w:sz w:val="28"/>
          <w:szCs w:val="28"/>
          <w:highlight w:val="none"/>
        </w:rPr>
        <w:t>（如有委托时）</w:t>
      </w:r>
    </w:p>
    <w:p w14:paraId="43BAEFEF">
      <w:pPr>
        <w:pageBreakBefore w:val="0"/>
        <w:kinsoku/>
        <w:overflowPunct/>
        <w:topLinePunct w:val="0"/>
        <w:bidi w:val="0"/>
        <w:spacing w:line="240" w:lineRule="auto"/>
        <w:contextualSpacing/>
        <w:jc w:val="center"/>
        <w:rPr>
          <w:rFonts w:hint="eastAsia" w:ascii="宋体" w:hAnsi="宋体" w:eastAsia="宋体" w:cs="宋体"/>
          <w:b/>
          <w:color w:val="auto"/>
          <w:sz w:val="21"/>
          <w:szCs w:val="21"/>
          <w:highlight w:val="none"/>
        </w:rPr>
      </w:pPr>
    </w:p>
    <w:p w14:paraId="0423815D">
      <w:pPr>
        <w:pageBreakBefore w:val="0"/>
        <w:kinsoku/>
        <w:overflowPunct/>
        <w:topLinePunct w:val="0"/>
        <w:bidi w:val="0"/>
        <w:spacing w:line="240" w:lineRule="auto"/>
        <w:contextualSpacing/>
        <w:rPr>
          <w:rFonts w:hint="eastAsia" w:ascii="宋体" w:hAnsi="宋体" w:eastAsia="宋体" w:cs="宋体"/>
          <w:b/>
          <w:bCs/>
          <w:color w:val="auto"/>
          <w:sz w:val="24"/>
          <w:szCs w:val="24"/>
          <w:highlight w:val="none"/>
        </w:rPr>
      </w:pPr>
      <w:r>
        <w:rPr>
          <w:rFonts w:hint="eastAsia" w:ascii="宋体" w:hAnsi="宋体" w:eastAsia="宋体" w:cs="宋体"/>
          <w:bCs/>
          <w:color w:val="auto"/>
          <w:sz w:val="24"/>
          <w:szCs w:val="24"/>
          <w:highlight w:val="none"/>
        </w:rPr>
        <w:t>致：</w:t>
      </w:r>
      <w:r>
        <w:rPr>
          <w:rFonts w:hint="eastAsia" w:ascii="宋体" w:hAnsi="宋体" w:eastAsia="宋体" w:cs="宋体"/>
          <w:color w:val="auto"/>
          <w:sz w:val="24"/>
          <w:szCs w:val="24"/>
          <w:highlight w:val="none"/>
          <w:u w:val="single"/>
        </w:rPr>
        <w:t>采购人名称</w:t>
      </w:r>
      <w:r>
        <w:rPr>
          <w:rFonts w:hint="eastAsia" w:ascii="宋体" w:hAnsi="宋体" w:eastAsia="宋体" w:cs="宋体"/>
          <w:color w:val="auto"/>
          <w:sz w:val="24"/>
          <w:szCs w:val="24"/>
          <w:highlight w:val="none"/>
        </w:rPr>
        <w:t>：</w:t>
      </w:r>
    </w:p>
    <w:p w14:paraId="74AC5EC4">
      <w:pPr>
        <w:pageBreakBefore w:val="0"/>
        <w:kinsoku/>
        <w:overflowPunct/>
        <w:topLinePunct w:val="0"/>
        <w:bidi w:val="0"/>
        <w:spacing w:line="240" w:lineRule="auto"/>
        <w:ind w:firstLine="566" w:firstLineChars="236"/>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（姓名）系</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（投标人名称）的法定代表人，现授权委托</w:t>
      </w:r>
      <w:r>
        <w:rPr>
          <w:rFonts w:hint="eastAsia" w:ascii="宋体" w:hAnsi="宋体" w:eastAsia="宋体" w:cs="宋体"/>
          <w:color w:val="auto"/>
          <w:sz w:val="24"/>
          <w:szCs w:val="24"/>
          <w:highlight w:val="none"/>
          <w:u w:val="single"/>
        </w:rPr>
        <w:t xml:space="preserve">              （姓名）</w:t>
      </w:r>
      <w:r>
        <w:rPr>
          <w:rFonts w:hint="eastAsia" w:ascii="宋体" w:hAnsi="宋体" w:eastAsia="宋体" w:cs="宋体"/>
          <w:color w:val="auto"/>
          <w:sz w:val="24"/>
          <w:szCs w:val="24"/>
          <w:highlight w:val="none"/>
        </w:rPr>
        <w:t>以我方的名义参加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项目的投标活动，并代表我方全权办理针对上述项目的所有采购程序和环节的具体事务和签署相关文件。</w:t>
      </w:r>
    </w:p>
    <w:p w14:paraId="23C1C99B">
      <w:pPr>
        <w:pageBreakBefore w:val="0"/>
        <w:kinsoku/>
        <w:overflowPunct/>
        <w:topLinePunct w:val="0"/>
        <w:bidi w:val="0"/>
        <w:spacing w:line="240" w:lineRule="auto"/>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我方对委托代理人的签字或者电子签名事项负全部责任。</w:t>
      </w:r>
    </w:p>
    <w:p w14:paraId="7132C5E7">
      <w:pPr>
        <w:pageBreakBefore w:val="0"/>
        <w:kinsoku/>
        <w:overflowPunct/>
        <w:topLinePunct w:val="0"/>
        <w:bidi w:val="0"/>
        <w:spacing w:line="240" w:lineRule="auto"/>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本授权书自签署之日起生效，在撤销授权的书面通知以前，本授权书一直有效。委托代理人在授权书有效期内签署的所有文件不因授权的撤销而失效。</w:t>
      </w:r>
    </w:p>
    <w:p w14:paraId="343B3097">
      <w:pPr>
        <w:pageBreakBefore w:val="0"/>
        <w:kinsoku/>
        <w:overflowPunct/>
        <w:topLinePunct w:val="0"/>
        <w:bidi w:val="0"/>
        <w:spacing w:line="240" w:lineRule="auto"/>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委托代理人无转委托权，特此委托。</w:t>
      </w:r>
    </w:p>
    <w:p w14:paraId="3AB8680F">
      <w:pPr>
        <w:pageBreakBefore w:val="0"/>
        <w:kinsoku/>
        <w:overflowPunct/>
        <w:topLinePunct w:val="0"/>
        <w:bidi w:val="0"/>
        <w:spacing w:line="240" w:lineRule="auto"/>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附：法定代表人身份证明及委托代理人有效身份证正反面复印件</w:t>
      </w:r>
    </w:p>
    <w:p w14:paraId="54388E3F">
      <w:pPr>
        <w:pageBreakBefore w:val="0"/>
        <w:kinsoku/>
        <w:overflowPunct/>
        <w:topLinePunct w:val="0"/>
        <w:bidi w:val="0"/>
        <w:spacing w:line="240" w:lineRule="auto"/>
        <w:contextualSpacing/>
        <w:rPr>
          <w:rFonts w:hint="eastAsia" w:ascii="宋体" w:hAnsi="宋体" w:eastAsia="宋体" w:cs="宋体"/>
          <w:color w:val="auto"/>
          <w:sz w:val="24"/>
          <w:szCs w:val="24"/>
          <w:highlight w:val="none"/>
        </w:rPr>
      </w:pPr>
    </w:p>
    <w:p w14:paraId="6E002108">
      <w:pPr>
        <w:pageBreakBefore w:val="0"/>
        <w:kinsoku/>
        <w:overflowPunct/>
        <w:topLinePunct w:val="0"/>
        <w:bidi w:val="0"/>
        <w:spacing w:line="240" w:lineRule="auto"/>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委托代理人（签名）：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351FF52E">
      <w:pPr>
        <w:pageBreakBefore w:val="0"/>
        <w:kinsoku/>
        <w:overflowPunct/>
        <w:topLinePunct w:val="0"/>
        <w:bidi w:val="0"/>
        <w:spacing w:line="240" w:lineRule="auto"/>
        <w:contextualSpacing/>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委托代理人身份证号码：</w:t>
      </w:r>
      <w:r>
        <w:rPr>
          <w:rFonts w:hint="eastAsia" w:ascii="宋体" w:hAnsi="宋体" w:eastAsia="宋体" w:cs="宋体"/>
          <w:color w:val="auto"/>
          <w:sz w:val="24"/>
          <w:szCs w:val="24"/>
          <w:highlight w:val="none"/>
          <w:u w:val="single"/>
        </w:rPr>
        <w:t xml:space="preserve">                             </w:t>
      </w:r>
    </w:p>
    <w:p w14:paraId="182C8867">
      <w:pPr>
        <w:pageBreakBefore w:val="0"/>
        <w:kinsoku/>
        <w:overflowPunct/>
        <w:topLinePunct w:val="0"/>
        <w:bidi w:val="0"/>
        <w:spacing w:line="240" w:lineRule="auto"/>
        <w:contextualSpacing/>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法定代表人（签名）：</w:t>
      </w:r>
      <w:r>
        <w:rPr>
          <w:rFonts w:hint="eastAsia" w:ascii="宋体" w:hAnsi="宋体" w:eastAsia="宋体" w:cs="宋体"/>
          <w:color w:val="auto"/>
          <w:sz w:val="24"/>
          <w:szCs w:val="24"/>
          <w:highlight w:val="none"/>
          <w:u w:val="single"/>
        </w:rPr>
        <w:t xml:space="preserve">              </w:t>
      </w:r>
    </w:p>
    <w:p w14:paraId="62D89168">
      <w:pPr>
        <w:pageBreakBefore w:val="0"/>
        <w:kinsoku/>
        <w:overflowPunct/>
        <w:topLinePunct w:val="0"/>
        <w:bidi w:val="0"/>
        <w:spacing w:line="240" w:lineRule="auto"/>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63AF6D31">
      <w:pPr>
        <w:pageBreakBefore w:val="0"/>
        <w:kinsoku/>
        <w:overflowPunct/>
        <w:topLinePunct w:val="0"/>
        <w:bidi w:val="0"/>
        <w:spacing w:line="240" w:lineRule="auto"/>
        <w:contextualSpacing/>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投标人名称（公章）：</w:t>
      </w:r>
    </w:p>
    <w:p w14:paraId="70156E1D">
      <w:pPr>
        <w:pageBreakBefore w:val="0"/>
        <w:kinsoku/>
        <w:overflowPunct/>
        <w:topLinePunct w:val="0"/>
        <w:bidi w:val="0"/>
        <w:spacing w:line="240" w:lineRule="auto"/>
        <w:contextualSpacing/>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年    月    日</w:t>
      </w:r>
    </w:p>
    <w:p w14:paraId="286EC406">
      <w:pPr>
        <w:pageBreakBefore w:val="0"/>
        <w:kinsoku/>
        <w:overflowPunct/>
        <w:topLinePunct w:val="0"/>
        <w:bidi w:val="0"/>
        <w:spacing w:line="240" w:lineRule="auto"/>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注：1.</w:t>
      </w:r>
      <w:bookmarkStart w:id="174" w:name="_Hlk65851555"/>
      <w:bookmarkStart w:id="175" w:name="_Hlk65851620"/>
      <w:r>
        <w:rPr>
          <w:rFonts w:hint="eastAsia" w:ascii="宋体" w:hAnsi="宋体" w:eastAsia="宋体" w:cs="宋体"/>
          <w:color w:val="auto"/>
          <w:sz w:val="24"/>
          <w:szCs w:val="24"/>
          <w:highlight w:val="none"/>
        </w:rPr>
        <w:t>法定代表人必须在授权委托书上签字或者盖章或者电子签名，</w:t>
      </w:r>
      <w:bookmarkEnd w:id="174"/>
      <w:r>
        <w:rPr>
          <w:rFonts w:hint="eastAsia" w:ascii="宋体" w:hAnsi="宋体" w:eastAsia="宋体" w:cs="宋体"/>
          <w:color w:val="auto"/>
          <w:sz w:val="24"/>
          <w:szCs w:val="24"/>
          <w:highlight w:val="none"/>
        </w:rPr>
        <w:t>委托代理人必须在授权委托书上签字或者电子签名，</w:t>
      </w:r>
      <w:r>
        <w:rPr>
          <w:rFonts w:hint="eastAsia" w:ascii="宋体" w:hAnsi="宋体" w:eastAsia="宋体" w:cs="宋体"/>
          <w:b/>
          <w:bCs/>
          <w:color w:val="auto"/>
          <w:sz w:val="24"/>
          <w:szCs w:val="24"/>
          <w:highlight w:val="none"/>
        </w:rPr>
        <w:t>否则按无效投标处理</w:t>
      </w:r>
      <w:r>
        <w:rPr>
          <w:rFonts w:hint="eastAsia" w:ascii="宋体" w:hAnsi="宋体" w:eastAsia="宋体" w:cs="宋体"/>
          <w:color w:val="auto"/>
          <w:sz w:val="24"/>
          <w:szCs w:val="24"/>
          <w:highlight w:val="none"/>
        </w:rPr>
        <w:t>；</w:t>
      </w:r>
      <w:bookmarkEnd w:id="175"/>
    </w:p>
    <w:p w14:paraId="4DC6C6CA">
      <w:pPr>
        <w:pageBreakBefore w:val="0"/>
        <w:kinsoku/>
        <w:overflowPunct/>
        <w:topLinePunct w:val="0"/>
        <w:bidi w:val="0"/>
        <w:spacing w:line="240" w:lineRule="auto"/>
        <w:ind w:firstLine="480" w:firstLineChars="200"/>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4"/>
          <w:szCs w:val="24"/>
          <w:highlight w:val="none"/>
        </w:rPr>
        <w:t>2.法人、其他组织投标时“我方”是指“我单位”，自然人投标时“我方”是指“本人”。</w:t>
      </w:r>
    </w:p>
    <w:p w14:paraId="572BB1F6">
      <w:pPr>
        <w:rPr>
          <w:rFonts w:hint="eastAsia"/>
          <w:color w:val="auto"/>
          <w:lang w:val="en-US" w:eastAsia="zh-CN"/>
        </w:rPr>
      </w:pPr>
      <w:r>
        <w:rPr>
          <w:rFonts w:hint="eastAsia"/>
          <w:color w:val="auto"/>
          <w:lang w:val="en-US" w:eastAsia="zh-CN"/>
        </w:rPr>
        <w:br w:type="page"/>
      </w:r>
    </w:p>
    <w:p w14:paraId="621E7DE4">
      <w:pPr>
        <w:pageBreakBefore w:val="0"/>
        <w:numPr>
          <w:ilvl w:val="0"/>
          <w:numId w:val="13"/>
        </w:numPr>
        <w:kinsoku/>
        <w:overflowPunct/>
        <w:topLinePunct w:val="0"/>
        <w:bidi w:val="0"/>
        <w:spacing w:line="240" w:lineRule="auto"/>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商务要求偏离表格式</w:t>
      </w:r>
    </w:p>
    <w:p w14:paraId="48BFA5AE">
      <w:pPr>
        <w:spacing w:line="500" w:lineRule="exact"/>
        <w:jc w:val="center"/>
        <w:rPr>
          <w:rFonts w:hint="eastAsia" w:ascii="Times New Roman" w:hAnsi="Times New Roman" w:eastAsia="宋体" w:cs="Times New Roman"/>
          <w:b/>
          <w:color w:val="auto"/>
          <w:sz w:val="28"/>
          <w:szCs w:val="28"/>
          <w:lang w:eastAsia="zh-CN"/>
        </w:rPr>
      </w:pPr>
      <w:r>
        <w:rPr>
          <w:rFonts w:hint="eastAsia" w:ascii="Times New Roman" w:hAnsi="Times New Roman" w:eastAsia="宋体" w:cs="Times New Roman"/>
          <w:b/>
          <w:color w:val="auto"/>
          <w:sz w:val="28"/>
          <w:szCs w:val="28"/>
          <w:lang w:eastAsia="zh-CN"/>
        </w:rPr>
        <w:t>商务要求偏离表</w:t>
      </w:r>
    </w:p>
    <w:p w14:paraId="559ACBF1">
      <w:pPr>
        <w:pageBreakBefore w:val="0"/>
        <w:numPr>
          <w:ilvl w:val="0"/>
          <w:numId w:val="0"/>
        </w:numPr>
        <w:kinsoku/>
        <w:overflowPunct/>
        <w:topLinePunct w:val="0"/>
        <w:bidi w:val="0"/>
        <w:spacing w:line="240" w:lineRule="auto"/>
        <w:rPr>
          <w:rFonts w:hint="eastAsia" w:ascii="宋体" w:hAnsi="宋体" w:eastAsia="宋体" w:cs="宋体"/>
          <w:b/>
          <w:color w:val="auto"/>
          <w:sz w:val="30"/>
          <w:szCs w:val="30"/>
          <w:highlight w:val="none"/>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1934"/>
      </w:tblGrid>
      <w:tr w14:paraId="06079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vAlign w:val="center"/>
          </w:tcPr>
          <w:p w14:paraId="1ACA06D0">
            <w:pPr>
              <w:pageBreakBefore w:val="0"/>
              <w:kinsoku/>
              <w:overflowPunct/>
              <w:topLinePunct w:val="0"/>
              <w:bidi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项号</w:t>
            </w:r>
          </w:p>
        </w:tc>
        <w:tc>
          <w:tcPr>
            <w:tcW w:w="2143" w:type="dxa"/>
            <w:vAlign w:val="center"/>
          </w:tcPr>
          <w:p w14:paraId="7FFAB4E9">
            <w:pPr>
              <w:pageBreakBefore w:val="0"/>
              <w:kinsoku/>
              <w:overflowPunct/>
              <w:topLinePunct w:val="0"/>
              <w:bidi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标的的名称</w:t>
            </w:r>
          </w:p>
        </w:tc>
        <w:tc>
          <w:tcPr>
            <w:tcW w:w="1834" w:type="dxa"/>
            <w:vAlign w:val="center"/>
          </w:tcPr>
          <w:p w14:paraId="1FA0E427">
            <w:pPr>
              <w:pageBreakBefore w:val="0"/>
              <w:kinsoku/>
              <w:overflowPunct/>
              <w:topLinePunct w:val="0"/>
              <w:bidi w:val="0"/>
              <w:spacing w:line="240" w:lineRule="auto"/>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采购</w:t>
            </w:r>
            <w:r>
              <w:rPr>
                <w:rFonts w:hint="eastAsia" w:ascii="宋体" w:hAnsi="宋体" w:eastAsia="宋体" w:cs="宋体"/>
                <w:color w:val="auto"/>
                <w:sz w:val="24"/>
                <w:szCs w:val="24"/>
                <w:highlight w:val="none"/>
              </w:rPr>
              <w:t>文件商务要求</w:t>
            </w:r>
          </w:p>
        </w:tc>
        <w:tc>
          <w:tcPr>
            <w:tcW w:w="2181" w:type="dxa"/>
            <w:vAlign w:val="center"/>
          </w:tcPr>
          <w:p w14:paraId="53D17E15">
            <w:pPr>
              <w:pageBreakBefore w:val="0"/>
              <w:kinsoku/>
              <w:overflowPunct/>
              <w:topLinePunct w:val="0"/>
              <w:bidi w:val="0"/>
              <w:spacing w:line="240" w:lineRule="auto"/>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采购</w:t>
            </w:r>
            <w:r>
              <w:rPr>
                <w:rFonts w:hint="eastAsia" w:ascii="宋体" w:hAnsi="宋体" w:eastAsia="宋体" w:cs="宋体"/>
                <w:color w:val="auto"/>
                <w:sz w:val="24"/>
                <w:szCs w:val="24"/>
                <w:highlight w:val="none"/>
              </w:rPr>
              <w:t>文件商务要求</w:t>
            </w:r>
          </w:p>
        </w:tc>
        <w:tc>
          <w:tcPr>
            <w:tcW w:w="1934" w:type="dxa"/>
            <w:vAlign w:val="center"/>
          </w:tcPr>
          <w:p w14:paraId="3B3A085D">
            <w:pPr>
              <w:pageBreakBefore w:val="0"/>
              <w:kinsoku/>
              <w:overflowPunct/>
              <w:topLinePunct w:val="0"/>
              <w:bidi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偏离说明</w:t>
            </w:r>
          </w:p>
        </w:tc>
      </w:tr>
      <w:tr w14:paraId="4FEA3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6E955E94">
            <w:pPr>
              <w:pageBreakBefore w:val="0"/>
              <w:kinsoku/>
              <w:overflowPunct/>
              <w:topLinePunct w:val="0"/>
              <w:bidi w:val="0"/>
              <w:spacing w:line="240" w:lineRule="auto"/>
              <w:jc w:val="center"/>
              <w:rPr>
                <w:rFonts w:hint="eastAsia" w:ascii="宋体" w:hAnsi="宋体" w:eastAsia="宋体" w:cs="宋体"/>
                <w:color w:val="auto"/>
                <w:sz w:val="24"/>
                <w:szCs w:val="24"/>
                <w:highlight w:val="none"/>
              </w:rPr>
            </w:pPr>
          </w:p>
        </w:tc>
        <w:tc>
          <w:tcPr>
            <w:tcW w:w="2143" w:type="dxa"/>
            <w:vAlign w:val="center"/>
          </w:tcPr>
          <w:p w14:paraId="0653DFF9">
            <w:pPr>
              <w:pageBreakBefore w:val="0"/>
              <w:kinsoku/>
              <w:overflowPunct/>
              <w:topLinePunct w:val="0"/>
              <w:bidi w:val="0"/>
              <w:spacing w:line="240" w:lineRule="auto"/>
              <w:jc w:val="center"/>
              <w:rPr>
                <w:rFonts w:hint="eastAsia" w:ascii="宋体" w:hAnsi="宋体" w:eastAsia="宋体" w:cs="宋体"/>
                <w:color w:val="auto"/>
                <w:sz w:val="24"/>
                <w:szCs w:val="24"/>
                <w:highlight w:val="none"/>
              </w:rPr>
            </w:pPr>
          </w:p>
        </w:tc>
        <w:tc>
          <w:tcPr>
            <w:tcW w:w="1834" w:type="dxa"/>
            <w:vAlign w:val="center"/>
          </w:tcPr>
          <w:p w14:paraId="0796720F">
            <w:pPr>
              <w:pageBreakBefore w:val="0"/>
              <w:kinsoku/>
              <w:overflowPunct/>
              <w:topLinePunct w:val="0"/>
              <w:bidi w:val="0"/>
              <w:spacing w:line="240" w:lineRule="auto"/>
              <w:jc w:val="center"/>
              <w:rPr>
                <w:rFonts w:hint="eastAsia" w:ascii="宋体" w:hAnsi="宋体" w:eastAsia="宋体" w:cs="宋体"/>
                <w:color w:val="auto"/>
                <w:sz w:val="24"/>
                <w:szCs w:val="24"/>
                <w:highlight w:val="none"/>
              </w:rPr>
            </w:pPr>
          </w:p>
        </w:tc>
        <w:tc>
          <w:tcPr>
            <w:tcW w:w="2181" w:type="dxa"/>
            <w:vAlign w:val="center"/>
          </w:tcPr>
          <w:p w14:paraId="082C926D">
            <w:pPr>
              <w:pageBreakBefore w:val="0"/>
              <w:kinsoku/>
              <w:overflowPunct/>
              <w:topLinePunct w:val="0"/>
              <w:bidi w:val="0"/>
              <w:spacing w:line="240" w:lineRule="auto"/>
              <w:jc w:val="center"/>
              <w:rPr>
                <w:rFonts w:hint="eastAsia" w:ascii="宋体" w:hAnsi="宋体" w:eastAsia="宋体" w:cs="宋体"/>
                <w:color w:val="auto"/>
                <w:sz w:val="24"/>
                <w:szCs w:val="24"/>
                <w:highlight w:val="none"/>
              </w:rPr>
            </w:pPr>
          </w:p>
        </w:tc>
        <w:tc>
          <w:tcPr>
            <w:tcW w:w="1934" w:type="dxa"/>
            <w:vAlign w:val="center"/>
          </w:tcPr>
          <w:p w14:paraId="5420A086">
            <w:pPr>
              <w:pageBreakBefore w:val="0"/>
              <w:kinsoku/>
              <w:overflowPunct/>
              <w:topLinePunct w:val="0"/>
              <w:bidi w:val="0"/>
              <w:spacing w:line="240" w:lineRule="auto"/>
              <w:jc w:val="center"/>
              <w:rPr>
                <w:rFonts w:hint="eastAsia" w:ascii="宋体" w:hAnsi="宋体" w:eastAsia="宋体" w:cs="宋体"/>
                <w:color w:val="auto"/>
                <w:sz w:val="24"/>
                <w:szCs w:val="24"/>
                <w:highlight w:val="none"/>
              </w:rPr>
            </w:pPr>
          </w:p>
        </w:tc>
      </w:tr>
      <w:tr w14:paraId="14C25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0D3C79C9">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2143" w:type="dxa"/>
          </w:tcPr>
          <w:p w14:paraId="6698DD3D">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1834" w:type="dxa"/>
          </w:tcPr>
          <w:p w14:paraId="51BEBA49">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2181" w:type="dxa"/>
          </w:tcPr>
          <w:p w14:paraId="561A5D40">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1934" w:type="dxa"/>
          </w:tcPr>
          <w:p w14:paraId="38A27ED1">
            <w:pPr>
              <w:pageBreakBefore w:val="0"/>
              <w:kinsoku/>
              <w:overflowPunct/>
              <w:topLinePunct w:val="0"/>
              <w:bidi w:val="0"/>
              <w:spacing w:line="240" w:lineRule="auto"/>
              <w:rPr>
                <w:rFonts w:hint="eastAsia" w:ascii="宋体" w:hAnsi="宋体" w:eastAsia="宋体" w:cs="宋体"/>
                <w:color w:val="auto"/>
                <w:sz w:val="24"/>
                <w:szCs w:val="24"/>
                <w:highlight w:val="none"/>
              </w:rPr>
            </w:pPr>
          </w:p>
        </w:tc>
      </w:tr>
      <w:tr w14:paraId="01198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12D20483">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2143" w:type="dxa"/>
          </w:tcPr>
          <w:p w14:paraId="290121FB">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1834" w:type="dxa"/>
          </w:tcPr>
          <w:p w14:paraId="71EB2251">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2181" w:type="dxa"/>
          </w:tcPr>
          <w:p w14:paraId="7A33597F">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1934" w:type="dxa"/>
          </w:tcPr>
          <w:p w14:paraId="457A3E15">
            <w:pPr>
              <w:pageBreakBefore w:val="0"/>
              <w:kinsoku/>
              <w:overflowPunct/>
              <w:topLinePunct w:val="0"/>
              <w:bidi w:val="0"/>
              <w:spacing w:line="240" w:lineRule="auto"/>
              <w:rPr>
                <w:rFonts w:hint="eastAsia" w:ascii="宋体" w:hAnsi="宋体" w:eastAsia="宋体" w:cs="宋体"/>
                <w:color w:val="auto"/>
                <w:sz w:val="24"/>
                <w:szCs w:val="24"/>
                <w:highlight w:val="none"/>
              </w:rPr>
            </w:pPr>
          </w:p>
        </w:tc>
      </w:tr>
      <w:tr w14:paraId="1556F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752F7575">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2143" w:type="dxa"/>
          </w:tcPr>
          <w:p w14:paraId="7B827BE5">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1834" w:type="dxa"/>
          </w:tcPr>
          <w:p w14:paraId="0669CFE0">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2181" w:type="dxa"/>
          </w:tcPr>
          <w:p w14:paraId="6ED88E60">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1934" w:type="dxa"/>
          </w:tcPr>
          <w:p w14:paraId="4D034BBC">
            <w:pPr>
              <w:pageBreakBefore w:val="0"/>
              <w:kinsoku/>
              <w:overflowPunct/>
              <w:topLinePunct w:val="0"/>
              <w:bidi w:val="0"/>
              <w:spacing w:line="240" w:lineRule="auto"/>
              <w:rPr>
                <w:rFonts w:hint="eastAsia" w:ascii="宋体" w:hAnsi="宋体" w:eastAsia="宋体" w:cs="宋体"/>
                <w:color w:val="auto"/>
                <w:sz w:val="24"/>
                <w:szCs w:val="24"/>
                <w:highlight w:val="none"/>
              </w:rPr>
            </w:pPr>
          </w:p>
        </w:tc>
      </w:tr>
      <w:tr w14:paraId="7506B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5086AA3A">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2143" w:type="dxa"/>
          </w:tcPr>
          <w:p w14:paraId="2E5D4387">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1834" w:type="dxa"/>
          </w:tcPr>
          <w:p w14:paraId="4A82D71A">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2181" w:type="dxa"/>
          </w:tcPr>
          <w:p w14:paraId="15FAAE2F">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1934" w:type="dxa"/>
          </w:tcPr>
          <w:p w14:paraId="784BCEBD">
            <w:pPr>
              <w:pageBreakBefore w:val="0"/>
              <w:kinsoku/>
              <w:overflowPunct/>
              <w:topLinePunct w:val="0"/>
              <w:bidi w:val="0"/>
              <w:spacing w:line="240" w:lineRule="auto"/>
              <w:rPr>
                <w:rFonts w:hint="eastAsia" w:ascii="宋体" w:hAnsi="宋体" w:eastAsia="宋体" w:cs="宋体"/>
                <w:color w:val="auto"/>
                <w:sz w:val="24"/>
                <w:szCs w:val="24"/>
                <w:highlight w:val="none"/>
              </w:rPr>
            </w:pPr>
          </w:p>
        </w:tc>
      </w:tr>
      <w:tr w14:paraId="54112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4FB0A0BD">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2143" w:type="dxa"/>
          </w:tcPr>
          <w:p w14:paraId="1A52C82A">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1834" w:type="dxa"/>
          </w:tcPr>
          <w:p w14:paraId="133D7120">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2181" w:type="dxa"/>
          </w:tcPr>
          <w:p w14:paraId="4BD514FC">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1934" w:type="dxa"/>
          </w:tcPr>
          <w:p w14:paraId="7716706F">
            <w:pPr>
              <w:pageBreakBefore w:val="0"/>
              <w:kinsoku/>
              <w:overflowPunct/>
              <w:topLinePunct w:val="0"/>
              <w:bidi w:val="0"/>
              <w:spacing w:line="240" w:lineRule="auto"/>
              <w:rPr>
                <w:rFonts w:hint="eastAsia" w:ascii="宋体" w:hAnsi="宋体" w:eastAsia="宋体" w:cs="宋体"/>
                <w:color w:val="auto"/>
                <w:sz w:val="24"/>
                <w:szCs w:val="24"/>
                <w:highlight w:val="none"/>
              </w:rPr>
            </w:pPr>
          </w:p>
        </w:tc>
      </w:tr>
    </w:tbl>
    <w:p w14:paraId="191D2A77">
      <w:pPr>
        <w:pStyle w:val="10"/>
        <w:pageBreakBefore w:val="0"/>
        <w:kinsoku/>
        <w:overflowPunct/>
        <w:topLinePunct w:val="0"/>
        <w:bidi w:val="0"/>
        <w:spacing w:line="240" w:lineRule="auto"/>
        <w:rPr>
          <w:rFonts w:hint="eastAsia" w:ascii="宋体" w:hAnsi="宋体" w:eastAsia="宋体" w:cs="宋体"/>
          <w:color w:val="auto"/>
          <w:sz w:val="24"/>
          <w:szCs w:val="24"/>
          <w:highlight w:val="none"/>
        </w:rPr>
      </w:pPr>
    </w:p>
    <w:p w14:paraId="478B16BF">
      <w:pPr>
        <w:pStyle w:val="10"/>
        <w:pageBreakBefore w:val="0"/>
        <w:kinsoku/>
        <w:overflowPunct/>
        <w:topLinePunct w:val="0"/>
        <w:bidi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7F7D8F55">
      <w:pPr>
        <w:pStyle w:val="13"/>
        <w:pageBreakBefore w:val="0"/>
        <w:kinsoku/>
        <w:overflowPunct/>
        <w:topLinePunct w:val="0"/>
        <w:bidi w:val="0"/>
        <w:spacing w:line="24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说明：应对照</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文件“第二章 采购需求”中的商务要求逐条作明确的投标响应，并作出偏离说明。</w:t>
      </w:r>
    </w:p>
    <w:p w14:paraId="77A607EC">
      <w:pPr>
        <w:pStyle w:val="10"/>
        <w:pageBreakBefore w:val="0"/>
        <w:kinsoku/>
        <w:overflowPunct/>
        <w:topLinePunct w:val="0"/>
        <w:bidi w:val="0"/>
        <w:spacing w:line="24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2.投标人应根据自身的承诺，对照</w:t>
      </w:r>
      <w:r>
        <w:rPr>
          <w:rFonts w:hint="eastAsia" w:ascii="宋体" w:hAnsi="宋体" w:cs="宋体"/>
          <w:b w:val="0"/>
          <w:bCs w:val="0"/>
          <w:color w:val="auto"/>
          <w:sz w:val="24"/>
          <w:szCs w:val="24"/>
          <w:highlight w:val="none"/>
          <w:lang w:eastAsia="zh-CN"/>
        </w:rPr>
        <w:t>采购</w:t>
      </w:r>
      <w:r>
        <w:rPr>
          <w:rFonts w:hint="eastAsia" w:ascii="宋体" w:hAnsi="宋体" w:eastAsia="宋体" w:cs="宋体"/>
          <w:b w:val="0"/>
          <w:bCs w:val="0"/>
          <w:color w:val="auto"/>
          <w:sz w:val="24"/>
          <w:szCs w:val="24"/>
          <w:highlight w:val="none"/>
        </w:rPr>
        <w:t>文件要求在“偏离说明”中注明“</w:t>
      </w:r>
      <w:r>
        <w:rPr>
          <w:rFonts w:hint="eastAsia" w:ascii="宋体" w:hAnsi="宋体" w:eastAsia="宋体" w:cs="宋体"/>
          <w:color w:val="auto"/>
          <w:sz w:val="24"/>
          <w:szCs w:val="24"/>
          <w:highlight w:val="none"/>
        </w:rPr>
        <w:t>正偏离</w:t>
      </w:r>
      <w:r>
        <w:rPr>
          <w:rFonts w:hint="eastAsia" w:ascii="宋体" w:hAnsi="宋体" w:eastAsia="宋体" w:cs="宋体"/>
          <w:b w:val="0"/>
          <w:bCs w:val="0"/>
          <w:color w:val="auto"/>
          <w:sz w:val="24"/>
          <w:szCs w:val="24"/>
          <w:highlight w:val="none"/>
        </w:rPr>
        <w:t>”、“</w:t>
      </w:r>
      <w:r>
        <w:rPr>
          <w:rFonts w:hint="eastAsia" w:ascii="宋体" w:hAnsi="宋体" w:eastAsia="宋体" w:cs="宋体"/>
          <w:color w:val="auto"/>
          <w:sz w:val="24"/>
          <w:szCs w:val="24"/>
          <w:highlight w:val="none"/>
        </w:rPr>
        <w:t>负偏离</w:t>
      </w:r>
      <w:r>
        <w:rPr>
          <w:rFonts w:hint="eastAsia" w:ascii="宋体" w:hAnsi="宋体" w:eastAsia="宋体" w:cs="宋体"/>
          <w:b w:val="0"/>
          <w:bCs w:val="0"/>
          <w:color w:val="auto"/>
          <w:sz w:val="24"/>
          <w:szCs w:val="24"/>
          <w:highlight w:val="none"/>
        </w:rPr>
        <w:t>”或者“</w:t>
      </w:r>
      <w:r>
        <w:rPr>
          <w:rFonts w:hint="eastAsia" w:ascii="宋体" w:hAnsi="宋体" w:eastAsia="宋体" w:cs="宋体"/>
          <w:color w:val="auto"/>
          <w:sz w:val="24"/>
          <w:szCs w:val="24"/>
          <w:highlight w:val="none"/>
        </w:rPr>
        <w:t>无偏离</w:t>
      </w:r>
      <w:r>
        <w:rPr>
          <w:rFonts w:hint="eastAsia" w:ascii="宋体" w:hAnsi="宋体" w:eastAsia="宋体" w:cs="宋体"/>
          <w:b w:val="0"/>
          <w:bCs w:val="0"/>
          <w:color w:val="auto"/>
          <w:sz w:val="24"/>
          <w:szCs w:val="24"/>
          <w:highlight w:val="none"/>
        </w:rPr>
        <w:t>”。既不属于“</w:t>
      </w:r>
      <w:r>
        <w:rPr>
          <w:rFonts w:hint="eastAsia" w:ascii="宋体" w:hAnsi="宋体" w:eastAsia="宋体" w:cs="宋体"/>
          <w:color w:val="auto"/>
          <w:sz w:val="24"/>
          <w:szCs w:val="24"/>
          <w:highlight w:val="none"/>
        </w:rPr>
        <w:t>正偏离</w:t>
      </w:r>
      <w:r>
        <w:rPr>
          <w:rFonts w:hint="eastAsia" w:ascii="宋体" w:hAnsi="宋体" w:eastAsia="宋体" w:cs="宋体"/>
          <w:b w:val="0"/>
          <w:bCs w:val="0"/>
          <w:color w:val="auto"/>
          <w:sz w:val="24"/>
          <w:szCs w:val="24"/>
          <w:highlight w:val="none"/>
        </w:rPr>
        <w:t>”也不属于“</w:t>
      </w:r>
      <w:r>
        <w:rPr>
          <w:rFonts w:hint="eastAsia" w:ascii="宋体" w:hAnsi="宋体" w:eastAsia="宋体" w:cs="宋体"/>
          <w:color w:val="auto"/>
          <w:sz w:val="24"/>
          <w:szCs w:val="24"/>
          <w:highlight w:val="none"/>
        </w:rPr>
        <w:t>负偏离</w:t>
      </w:r>
      <w:r>
        <w:rPr>
          <w:rFonts w:hint="eastAsia" w:ascii="宋体" w:hAnsi="宋体" w:eastAsia="宋体" w:cs="宋体"/>
          <w:b w:val="0"/>
          <w:bCs w:val="0"/>
          <w:color w:val="auto"/>
          <w:sz w:val="24"/>
          <w:szCs w:val="24"/>
          <w:highlight w:val="none"/>
        </w:rPr>
        <w:t>”即为“</w:t>
      </w:r>
      <w:r>
        <w:rPr>
          <w:rFonts w:hint="eastAsia" w:ascii="宋体" w:hAnsi="宋体" w:eastAsia="宋体" w:cs="宋体"/>
          <w:color w:val="auto"/>
          <w:sz w:val="24"/>
          <w:szCs w:val="24"/>
          <w:highlight w:val="none"/>
        </w:rPr>
        <w:t>无偏离</w:t>
      </w:r>
      <w:r>
        <w:rPr>
          <w:rFonts w:hint="eastAsia" w:ascii="宋体" w:hAnsi="宋体" w:eastAsia="宋体" w:cs="宋体"/>
          <w:b w:val="0"/>
          <w:bCs w:val="0"/>
          <w:color w:val="auto"/>
          <w:sz w:val="24"/>
          <w:szCs w:val="24"/>
          <w:highlight w:val="none"/>
        </w:rPr>
        <w:t>”。</w:t>
      </w:r>
    </w:p>
    <w:p w14:paraId="43AA563A">
      <w:pPr>
        <w:pageBreakBefore w:val="0"/>
        <w:kinsoku/>
        <w:overflowPunct/>
        <w:topLinePunct w:val="0"/>
        <w:bidi w:val="0"/>
        <w:snapToGrid w:val="0"/>
        <w:spacing w:before="50" w:after="50" w:line="240" w:lineRule="auto"/>
        <w:rPr>
          <w:rFonts w:hint="eastAsia" w:ascii="宋体" w:hAnsi="宋体" w:eastAsia="宋体" w:cs="宋体"/>
          <w:color w:val="auto"/>
          <w:sz w:val="24"/>
          <w:szCs w:val="24"/>
          <w:highlight w:val="none"/>
        </w:rPr>
      </w:pPr>
    </w:p>
    <w:p w14:paraId="3BDC6BED">
      <w:pPr>
        <w:pageBreakBefore w:val="0"/>
        <w:kinsoku/>
        <w:overflowPunct/>
        <w:topLinePunct w:val="0"/>
        <w:bidi w:val="0"/>
        <w:snapToGrid w:val="0"/>
        <w:spacing w:before="50" w:after="50" w:line="240" w:lineRule="auto"/>
        <w:rPr>
          <w:rFonts w:hint="eastAsia" w:ascii="宋体" w:hAnsi="宋体" w:eastAsia="宋体" w:cs="宋体"/>
          <w:color w:val="auto"/>
          <w:spacing w:val="20"/>
          <w:sz w:val="24"/>
          <w:szCs w:val="24"/>
          <w:highlight w:val="none"/>
          <w:u w:val="single"/>
        </w:rPr>
      </w:pPr>
      <w:r>
        <w:rPr>
          <w:rFonts w:hint="eastAsia" w:ascii="宋体" w:hAnsi="宋体" w:eastAsia="宋体" w:cs="宋体"/>
          <w:color w:val="auto"/>
          <w:sz w:val="24"/>
          <w:szCs w:val="24"/>
          <w:highlight w:val="none"/>
        </w:rPr>
        <w:t>法定代表人或者委托代理人</w:t>
      </w:r>
      <w:r>
        <w:rPr>
          <w:rFonts w:hint="eastAsia" w:ascii="宋体" w:hAnsi="宋体" w:eastAsia="宋体" w:cs="宋体"/>
          <w:color w:val="auto"/>
          <w:spacing w:val="20"/>
          <w:sz w:val="24"/>
          <w:szCs w:val="24"/>
          <w:highlight w:val="none"/>
        </w:rPr>
        <w:t>（签名）：</w:t>
      </w:r>
      <w:r>
        <w:rPr>
          <w:rFonts w:hint="eastAsia" w:ascii="宋体" w:hAnsi="宋体" w:eastAsia="宋体" w:cs="宋体"/>
          <w:color w:val="auto"/>
          <w:spacing w:val="20"/>
          <w:sz w:val="24"/>
          <w:szCs w:val="24"/>
          <w:highlight w:val="none"/>
          <w:u w:val="single"/>
        </w:rPr>
        <w:t xml:space="preserve">        </w:t>
      </w:r>
    </w:p>
    <w:p w14:paraId="4E96513B">
      <w:pPr>
        <w:pageBreakBefore w:val="0"/>
        <w:kinsoku/>
        <w:overflowPunct/>
        <w:topLinePunct w:val="0"/>
        <w:bidi w:val="0"/>
        <w:snapToGrid w:val="0"/>
        <w:spacing w:before="120" w:beforeLines="50" w:line="240" w:lineRule="auto"/>
        <w:rPr>
          <w:rFonts w:hint="eastAsia" w:ascii="宋体" w:hAnsi="宋体" w:eastAsia="宋体" w:cs="宋体"/>
          <w:color w:val="auto"/>
          <w:spacing w:val="20"/>
          <w:sz w:val="24"/>
          <w:szCs w:val="24"/>
          <w:highlight w:val="none"/>
        </w:rPr>
      </w:pPr>
      <w:r>
        <w:rPr>
          <w:rFonts w:hint="eastAsia" w:ascii="宋体" w:hAnsi="宋体" w:eastAsia="宋体" w:cs="宋体"/>
          <w:color w:val="auto"/>
          <w:spacing w:val="20"/>
          <w:sz w:val="24"/>
          <w:szCs w:val="24"/>
          <w:highlight w:val="none"/>
        </w:rPr>
        <w:t>投标人名称（</w:t>
      </w:r>
      <w:r>
        <w:rPr>
          <w:rFonts w:hint="eastAsia" w:ascii="宋体" w:hAnsi="宋体" w:eastAsia="宋体" w:cs="宋体"/>
          <w:color w:val="auto"/>
          <w:sz w:val="24"/>
          <w:szCs w:val="24"/>
          <w:highlight w:val="none"/>
        </w:rPr>
        <w:t>公章</w:t>
      </w:r>
      <w:r>
        <w:rPr>
          <w:rFonts w:hint="eastAsia" w:ascii="宋体" w:hAnsi="宋体" w:eastAsia="宋体" w:cs="宋体"/>
          <w:color w:val="auto"/>
          <w:spacing w:val="20"/>
          <w:sz w:val="24"/>
          <w:szCs w:val="24"/>
          <w:highlight w:val="none"/>
        </w:rPr>
        <w:t>）：</w:t>
      </w:r>
      <w:r>
        <w:rPr>
          <w:rFonts w:hint="eastAsia" w:ascii="宋体" w:hAnsi="宋体" w:eastAsia="宋体" w:cs="宋体"/>
          <w:color w:val="auto"/>
          <w:spacing w:val="20"/>
          <w:sz w:val="24"/>
          <w:szCs w:val="24"/>
          <w:highlight w:val="none"/>
          <w:u w:val="single"/>
        </w:rPr>
        <w:t xml:space="preserve">            </w:t>
      </w:r>
      <w:r>
        <w:rPr>
          <w:rFonts w:hint="eastAsia" w:ascii="宋体" w:hAnsi="宋体" w:eastAsia="宋体" w:cs="宋体"/>
          <w:color w:val="auto"/>
          <w:spacing w:val="20"/>
          <w:sz w:val="24"/>
          <w:szCs w:val="24"/>
          <w:highlight w:val="none"/>
        </w:rPr>
        <w:t xml:space="preserve">   </w:t>
      </w:r>
    </w:p>
    <w:p w14:paraId="2505F346">
      <w:pPr>
        <w:pageBreakBefore w:val="0"/>
        <w:kinsoku/>
        <w:overflowPunct/>
        <w:topLinePunct w:val="0"/>
        <w:bidi w:val="0"/>
        <w:snapToGrid w:val="0"/>
        <w:spacing w:before="120" w:beforeLines="50" w:line="240" w:lineRule="auto"/>
        <w:rPr>
          <w:rFonts w:hint="eastAsia" w:ascii="宋体" w:hAnsi="宋体" w:eastAsia="宋体" w:cs="宋体"/>
          <w:color w:val="auto"/>
          <w:sz w:val="21"/>
          <w:szCs w:val="21"/>
          <w:highlight w:val="none"/>
        </w:rPr>
      </w:pPr>
      <w:r>
        <w:rPr>
          <w:rFonts w:hint="eastAsia" w:ascii="宋体" w:hAnsi="宋体" w:eastAsia="宋体" w:cs="宋体"/>
          <w:color w:val="auto"/>
          <w:spacing w:val="20"/>
          <w:sz w:val="24"/>
          <w:szCs w:val="24"/>
          <w:highlight w:val="none"/>
        </w:rPr>
        <w:t>日  期：</w:t>
      </w:r>
      <w:r>
        <w:rPr>
          <w:rFonts w:hint="eastAsia" w:ascii="宋体" w:hAnsi="宋体" w:eastAsia="宋体" w:cs="宋体"/>
          <w:color w:val="auto"/>
          <w:spacing w:val="20"/>
          <w:sz w:val="24"/>
          <w:szCs w:val="24"/>
          <w:highlight w:val="none"/>
          <w:u w:val="single"/>
        </w:rPr>
        <w:t xml:space="preserve">         </w:t>
      </w:r>
    </w:p>
    <w:p w14:paraId="0BA08233">
      <w:pPr>
        <w:numPr>
          <w:ilvl w:val="0"/>
          <w:numId w:val="0"/>
        </w:numPr>
        <w:ind w:leftChars="0"/>
        <w:rPr>
          <w:rFonts w:hint="eastAsia"/>
          <w:color w:val="auto"/>
          <w:lang w:val="en-US" w:eastAsia="zh-CN"/>
        </w:rPr>
        <w:sectPr>
          <w:footerReference r:id="rId5" w:type="default"/>
          <w:pgSz w:w="11906" w:h="16838"/>
          <w:pgMar w:top="1440" w:right="1080" w:bottom="1440" w:left="1080" w:header="851" w:footer="992" w:gutter="0"/>
          <w:pgNumType w:fmt="decimal"/>
          <w:cols w:space="425" w:num="1"/>
          <w:docGrid w:type="lines" w:linePitch="312" w:charSpace="0"/>
        </w:sectPr>
      </w:pPr>
      <w:r>
        <w:rPr>
          <w:rFonts w:hint="eastAsia"/>
          <w:color w:val="auto"/>
          <w:lang w:val="en-US" w:eastAsia="zh-CN"/>
        </w:rPr>
        <w:br w:type="page"/>
      </w:r>
    </w:p>
    <w:p w14:paraId="46125A4A">
      <w:pPr>
        <w:pageBreakBefore w:val="0"/>
        <w:numPr>
          <w:ilvl w:val="0"/>
          <w:numId w:val="0"/>
        </w:numPr>
        <w:kinsoku/>
        <w:overflowPunct/>
        <w:topLinePunct w:val="0"/>
        <w:bidi w:val="0"/>
        <w:spacing w:line="240" w:lineRule="auto"/>
        <w:rPr>
          <w:rFonts w:hint="default" w:ascii="宋体" w:hAnsi="宋体" w:eastAsia="宋体" w:cs="宋体"/>
          <w:b/>
          <w:color w:val="auto"/>
          <w:sz w:val="30"/>
          <w:szCs w:val="30"/>
          <w:highlight w:val="none"/>
          <w:lang w:val="en-US" w:eastAsia="zh-CN"/>
        </w:rPr>
      </w:pPr>
      <w:r>
        <w:rPr>
          <w:rFonts w:hint="eastAsia" w:ascii="宋体" w:hAnsi="宋体" w:eastAsia="宋体" w:cs="宋体"/>
          <w:b/>
          <w:color w:val="auto"/>
          <w:sz w:val="30"/>
          <w:szCs w:val="30"/>
          <w:highlight w:val="none"/>
          <w:lang w:val="en-US" w:eastAsia="zh-CN"/>
        </w:rPr>
        <w:t>7.服务承诺</w:t>
      </w:r>
    </w:p>
    <w:p w14:paraId="6640FA64">
      <w:pPr>
        <w:pageBreakBefore w:val="0"/>
        <w:kinsoku/>
        <w:overflowPunct/>
        <w:topLinePunct w:val="0"/>
        <w:bidi w:val="0"/>
        <w:spacing w:line="240" w:lineRule="auto"/>
        <w:jc w:val="center"/>
        <w:rPr>
          <w:rFonts w:hint="eastAsia" w:ascii="宋体" w:hAnsi="宋体" w:cs="Times New Roman"/>
          <w:b/>
          <w:bCs/>
          <w:color w:val="auto"/>
          <w:kern w:val="2"/>
          <w:sz w:val="24"/>
          <w:szCs w:val="24"/>
          <w:lang w:val="en-US" w:eastAsia="zh-CN" w:bidi="ar-SA"/>
        </w:rPr>
      </w:pPr>
    </w:p>
    <w:p w14:paraId="22BD24D1">
      <w:pPr>
        <w:pageBreakBefore w:val="0"/>
        <w:kinsoku/>
        <w:overflowPunct/>
        <w:topLinePunct w:val="0"/>
        <w:bidi w:val="0"/>
        <w:spacing w:line="240" w:lineRule="auto"/>
        <w:jc w:val="center"/>
        <w:rPr>
          <w:rFonts w:hint="eastAsia" w:ascii="宋体" w:hAnsi="宋体" w:eastAsia="宋体" w:cs="宋体"/>
          <w:color w:val="auto"/>
          <w:sz w:val="24"/>
          <w:szCs w:val="24"/>
          <w:highlight w:val="none"/>
        </w:rPr>
      </w:pPr>
      <w:r>
        <w:rPr>
          <w:rFonts w:hint="eastAsia" w:ascii="宋体" w:hAnsi="宋体" w:cs="Times New Roman"/>
          <w:b/>
          <w:bCs/>
          <w:color w:val="auto"/>
          <w:kern w:val="2"/>
          <w:sz w:val="24"/>
          <w:szCs w:val="24"/>
          <w:lang w:val="en-US" w:eastAsia="zh-CN" w:bidi="ar-SA"/>
        </w:rPr>
        <w:t>【</w:t>
      </w:r>
      <w:r>
        <w:rPr>
          <w:rFonts w:hint="eastAsia" w:ascii="宋体" w:hAnsi="宋体" w:eastAsia="宋体" w:cs="Times New Roman"/>
          <w:b/>
          <w:bCs/>
          <w:color w:val="auto"/>
          <w:kern w:val="2"/>
          <w:sz w:val="24"/>
          <w:szCs w:val="24"/>
          <w:lang w:val="en-US" w:eastAsia="zh-CN" w:bidi="ar-SA"/>
        </w:rPr>
        <w:t>必须提供，格式自拟</w:t>
      </w:r>
      <w:r>
        <w:rPr>
          <w:rFonts w:hint="eastAsia" w:ascii="宋体" w:hAnsi="宋体" w:cs="Times New Roman"/>
          <w:b/>
          <w:bCs/>
          <w:color w:val="auto"/>
          <w:kern w:val="2"/>
          <w:sz w:val="24"/>
          <w:szCs w:val="24"/>
          <w:lang w:val="en-US" w:eastAsia="zh-CN" w:bidi="ar-SA"/>
        </w:rPr>
        <w:t>】</w:t>
      </w:r>
    </w:p>
    <w:p w14:paraId="54E3C8AD">
      <w:pPr>
        <w:numPr>
          <w:ilvl w:val="0"/>
          <w:numId w:val="0"/>
        </w:numPr>
        <w:ind w:leftChars="0"/>
        <w:rPr>
          <w:rFonts w:hint="eastAsia"/>
          <w:color w:val="auto"/>
          <w:lang w:val="en-US" w:eastAsia="zh-CN"/>
        </w:rPr>
        <w:sectPr>
          <w:pgSz w:w="11906" w:h="16838"/>
          <w:pgMar w:top="1440" w:right="1080" w:bottom="1440" w:left="1080" w:header="851" w:footer="992" w:gutter="0"/>
          <w:pgNumType w:fmt="decimal"/>
          <w:cols w:space="425" w:num="1"/>
          <w:docGrid w:type="lines" w:linePitch="312" w:charSpace="0"/>
        </w:sectPr>
      </w:pPr>
    </w:p>
    <w:p w14:paraId="4EEAF4E8">
      <w:pPr>
        <w:pageBreakBefore w:val="0"/>
        <w:kinsoku/>
        <w:overflowPunct/>
        <w:topLinePunct w:val="0"/>
        <w:bidi w:val="0"/>
        <w:snapToGrid w:val="0"/>
        <w:spacing w:before="120" w:beforeLines="50" w:after="50" w:line="240" w:lineRule="auto"/>
        <w:jc w:val="lef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四、技术文件格式</w:t>
      </w:r>
    </w:p>
    <w:p w14:paraId="16DB95B4">
      <w:pPr>
        <w:pageBreakBefore w:val="0"/>
        <w:kinsoku/>
        <w:overflowPunct/>
        <w:topLinePunct w:val="0"/>
        <w:bidi w:val="0"/>
        <w:snapToGrid w:val="0"/>
        <w:spacing w:before="120" w:beforeLines="50" w:after="50" w:line="240" w:lineRule="auto"/>
        <w:ind w:left="142"/>
        <w:jc w:val="left"/>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 xml:space="preserve">1.技术文件封面格式： </w:t>
      </w:r>
    </w:p>
    <w:p w14:paraId="39E2619E">
      <w:pPr>
        <w:pageBreakBefore w:val="0"/>
        <w:kinsoku/>
        <w:overflowPunct/>
        <w:topLinePunct w:val="0"/>
        <w:bidi w:val="0"/>
        <w:snapToGrid w:val="0"/>
        <w:spacing w:before="120" w:beforeLines="50" w:after="50" w:line="240" w:lineRule="auto"/>
        <w:ind w:left="142"/>
        <w:jc w:val="left"/>
        <w:rPr>
          <w:rFonts w:hint="eastAsia" w:ascii="宋体" w:hAnsi="宋体" w:eastAsia="宋体" w:cs="宋体"/>
          <w:b/>
          <w:color w:val="auto"/>
          <w:sz w:val="30"/>
          <w:szCs w:val="30"/>
          <w:highlight w:val="none"/>
        </w:rPr>
      </w:pPr>
    </w:p>
    <w:p w14:paraId="3936917C">
      <w:pPr>
        <w:pageBreakBefore w:val="0"/>
        <w:kinsoku/>
        <w:overflowPunct/>
        <w:topLinePunct w:val="0"/>
        <w:bidi w:val="0"/>
        <w:snapToGrid w:val="0"/>
        <w:spacing w:before="120" w:beforeLines="50" w:after="50" w:line="24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电子投标文件</w:t>
      </w:r>
    </w:p>
    <w:p w14:paraId="1DEC58C3">
      <w:pPr>
        <w:pageBreakBefore w:val="0"/>
        <w:kinsoku/>
        <w:overflowPunct/>
        <w:topLinePunct w:val="0"/>
        <w:bidi w:val="0"/>
        <w:snapToGrid w:val="0"/>
        <w:spacing w:before="120" w:beforeLines="50" w:after="50" w:line="240" w:lineRule="auto"/>
        <w:jc w:val="center"/>
        <w:rPr>
          <w:rFonts w:hint="eastAsia" w:ascii="宋体" w:hAnsi="宋体" w:eastAsia="宋体" w:cs="宋体"/>
          <w:b/>
          <w:bCs/>
          <w:color w:val="auto"/>
          <w:sz w:val="44"/>
          <w:szCs w:val="44"/>
          <w:highlight w:val="none"/>
        </w:rPr>
      </w:pPr>
    </w:p>
    <w:p w14:paraId="2BDD8DA6">
      <w:pPr>
        <w:pageBreakBefore w:val="0"/>
        <w:kinsoku/>
        <w:overflowPunct/>
        <w:topLinePunct w:val="0"/>
        <w:bidi w:val="0"/>
        <w:snapToGrid w:val="0"/>
        <w:spacing w:before="120" w:beforeLines="50" w:after="50" w:line="240" w:lineRule="auto"/>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技</w:t>
      </w:r>
      <w:r>
        <w:rPr>
          <w:rFonts w:hint="eastAsia" w:ascii="宋体" w:hAnsi="宋体" w:eastAsia="宋体" w:cs="宋体"/>
          <w:b/>
          <w:bCs/>
          <w:color w:val="auto"/>
          <w:sz w:val="44"/>
          <w:szCs w:val="44"/>
          <w:highlight w:val="none"/>
          <w:lang w:val="en-US" w:eastAsia="zh-CN"/>
        </w:rPr>
        <w:t xml:space="preserve"> </w:t>
      </w:r>
      <w:r>
        <w:rPr>
          <w:rFonts w:hint="eastAsia" w:ascii="宋体" w:hAnsi="宋体" w:eastAsia="宋体" w:cs="宋体"/>
          <w:b/>
          <w:bCs/>
          <w:color w:val="auto"/>
          <w:sz w:val="44"/>
          <w:szCs w:val="44"/>
          <w:highlight w:val="none"/>
        </w:rPr>
        <w:t>术</w:t>
      </w:r>
      <w:r>
        <w:rPr>
          <w:rFonts w:hint="eastAsia" w:ascii="宋体" w:hAnsi="宋体" w:eastAsia="宋体" w:cs="宋体"/>
          <w:b/>
          <w:bCs/>
          <w:color w:val="auto"/>
          <w:sz w:val="44"/>
          <w:szCs w:val="44"/>
          <w:highlight w:val="none"/>
          <w:lang w:val="en-US" w:eastAsia="zh-CN"/>
        </w:rPr>
        <w:t xml:space="preserve"> </w:t>
      </w:r>
      <w:r>
        <w:rPr>
          <w:rFonts w:hint="eastAsia" w:ascii="宋体" w:hAnsi="宋体" w:eastAsia="宋体" w:cs="宋体"/>
          <w:b/>
          <w:bCs/>
          <w:color w:val="auto"/>
          <w:sz w:val="44"/>
          <w:szCs w:val="44"/>
          <w:highlight w:val="none"/>
        </w:rPr>
        <w:t>文</w:t>
      </w:r>
      <w:r>
        <w:rPr>
          <w:rFonts w:hint="eastAsia" w:ascii="宋体" w:hAnsi="宋体" w:eastAsia="宋体" w:cs="宋体"/>
          <w:b/>
          <w:bCs/>
          <w:color w:val="auto"/>
          <w:sz w:val="44"/>
          <w:szCs w:val="44"/>
          <w:highlight w:val="none"/>
          <w:lang w:val="en-US" w:eastAsia="zh-CN"/>
        </w:rPr>
        <w:t xml:space="preserve"> </w:t>
      </w:r>
      <w:r>
        <w:rPr>
          <w:rFonts w:hint="eastAsia" w:ascii="宋体" w:hAnsi="宋体" w:eastAsia="宋体" w:cs="宋体"/>
          <w:b/>
          <w:bCs/>
          <w:color w:val="auto"/>
          <w:sz w:val="44"/>
          <w:szCs w:val="44"/>
          <w:highlight w:val="none"/>
        </w:rPr>
        <w:t>件</w:t>
      </w:r>
    </w:p>
    <w:p w14:paraId="10576056">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12453E9D">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79518CA7">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06608DEE">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7A0C26BA">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392C95E1">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274B84E6">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297B0068">
      <w:pPr>
        <w:pageBreakBefore w:val="0"/>
        <w:kinsoku/>
        <w:overflowPunct/>
        <w:topLinePunct w:val="0"/>
        <w:bidi w:val="0"/>
        <w:snapToGrid w:val="0"/>
        <w:spacing w:before="120" w:beforeLines="50" w:after="50" w:line="240" w:lineRule="auto"/>
        <w:ind w:firstLine="420" w:firstLineChars="150"/>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 xml:space="preserve">项目名称： </w:t>
      </w:r>
    </w:p>
    <w:p w14:paraId="325EDB07">
      <w:pPr>
        <w:pageBreakBefore w:val="0"/>
        <w:kinsoku/>
        <w:overflowPunct/>
        <w:topLinePunct w:val="0"/>
        <w:bidi w:val="0"/>
        <w:snapToGrid w:val="0"/>
        <w:spacing w:before="120" w:beforeLines="50" w:after="50" w:line="240" w:lineRule="auto"/>
        <w:ind w:firstLine="420" w:firstLineChars="150"/>
        <w:rPr>
          <w:rFonts w:hint="eastAsia" w:ascii="宋体" w:hAnsi="宋体" w:eastAsia="宋体" w:cs="宋体"/>
          <w:bCs/>
          <w:color w:val="auto"/>
          <w:sz w:val="28"/>
          <w:szCs w:val="28"/>
          <w:highlight w:val="none"/>
        </w:rPr>
      </w:pPr>
    </w:p>
    <w:p w14:paraId="082946D9">
      <w:pPr>
        <w:pageBreakBefore w:val="0"/>
        <w:kinsoku/>
        <w:overflowPunct/>
        <w:topLinePunct w:val="0"/>
        <w:bidi w:val="0"/>
        <w:snapToGrid w:val="0"/>
        <w:spacing w:before="120" w:beforeLines="50" w:after="50" w:line="240" w:lineRule="auto"/>
        <w:ind w:firstLine="420" w:firstLineChars="150"/>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项目编号：</w:t>
      </w:r>
    </w:p>
    <w:p w14:paraId="702C47A8">
      <w:pPr>
        <w:pageBreakBefore w:val="0"/>
        <w:kinsoku/>
        <w:overflowPunct/>
        <w:topLinePunct w:val="0"/>
        <w:bidi w:val="0"/>
        <w:snapToGrid w:val="0"/>
        <w:spacing w:before="120" w:beforeLines="50" w:after="50" w:line="240" w:lineRule="auto"/>
        <w:ind w:firstLine="420" w:firstLineChars="150"/>
        <w:rPr>
          <w:rFonts w:hint="eastAsia" w:ascii="宋体" w:hAnsi="宋体" w:eastAsia="宋体" w:cs="宋体"/>
          <w:bCs/>
          <w:color w:val="auto"/>
          <w:sz w:val="28"/>
          <w:szCs w:val="28"/>
          <w:highlight w:val="none"/>
          <w:lang w:val="en-US" w:eastAsia="zh-CN"/>
        </w:rPr>
      </w:pPr>
    </w:p>
    <w:p w14:paraId="2A718F9E">
      <w:pPr>
        <w:pageBreakBefore w:val="0"/>
        <w:kinsoku/>
        <w:overflowPunct/>
        <w:topLinePunct w:val="0"/>
        <w:bidi w:val="0"/>
        <w:snapToGrid w:val="0"/>
        <w:spacing w:before="120" w:beforeLines="50" w:after="50" w:line="240" w:lineRule="auto"/>
        <w:ind w:firstLine="420" w:firstLineChars="150"/>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lang w:val="en-US" w:eastAsia="zh-CN"/>
        </w:rPr>
        <w:t>分标：</w:t>
      </w:r>
      <w:r>
        <w:rPr>
          <w:rFonts w:hint="eastAsia" w:ascii="宋体" w:hAnsi="宋体" w:eastAsia="宋体" w:cs="宋体"/>
          <w:bCs/>
          <w:color w:val="auto"/>
          <w:sz w:val="28"/>
          <w:szCs w:val="28"/>
          <w:highlight w:val="none"/>
        </w:rPr>
        <w:t xml:space="preserve"> </w:t>
      </w:r>
    </w:p>
    <w:p w14:paraId="28A402FD">
      <w:pPr>
        <w:pageBreakBefore w:val="0"/>
        <w:kinsoku/>
        <w:overflowPunct/>
        <w:topLinePunct w:val="0"/>
        <w:bidi w:val="0"/>
        <w:snapToGrid w:val="0"/>
        <w:spacing w:before="120" w:beforeLines="50" w:after="50" w:line="240" w:lineRule="auto"/>
        <w:ind w:firstLine="420" w:firstLineChars="150"/>
        <w:rPr>
          <w:rFonts w:hint="eastAsia" w:ascii="宋体" w:hAnsi="宋体" w:eastAsia="宋体" w:cs="宋体"/>
          <w:bCs/>
          <w:color w:val="auto"/>
          <w:sz w:val="28"/>
          <w:szCs w:val="28"/>
          <w:highlight w:val="none"/>
        </w:rPr>
      </w:pPr>
    </w:p>
    <w:p w14:paraId="47F38785">
      <w:pPr>
        <w:pageBreakBefore w:val="0"/>
        <w:kinsoku/>
        <w:overflowPunct/>
        <w:topLinePunct w:val="0"/>
        <w:bidi w:val="0"/>
        <w:snapToGrid w:val="0"/>
        <w:spacing w:before="120" w:beforeLines="50" w:after="50" w:line="240" w:lineRule="auto"/>
        <w:ind w:firstLine="420" w:firstLineChars="150"/>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投标人名称：</w:t>
      </w:r>
    </w:p>
    <w:p w14:paraId="1450C0A5">
      <w:pPr>
        <w:pageBreakBefore w:val="0"/>
        <w:kinsoku/>
        <w:overflowPunct/>
        <w:topLinePunct w:val="0"/>
        <w:bidi w:val="0"/>
        <w:snapToGrid w:val="0"/>
        <w:spacing w:before="120" w:beforeLines="50" w:after="50" w:line="240" w:lineRule="auto"/>
        <w:ind w:firstLine="420" w:firstLineChars="150"/>
        <w:rPr>
          <w:rFonts w:hint="eastAsia" w:ascii="宋体" w:hAnsi="宋体" w:eastAsia="宋体" w:cs="宋体"/>
          <w:bCs/>
          <w:color w:val="auto"/>
          <w:sz w:val="28"/>
          <w:szCs w:val="28"/>
          <w:highlight w:val="none"/>
        </w:rPr>
      </w:pPr>
    </w:p>
    <w:p w14:paraId="2F26AA74">
      <w:pPr>
        <w:pageBreakBefore w:val="0"/>
        <w:kinsoku/>
        <w:overflowPunct/>
        <w:topLinePunct w:val="0"/>
        <w:bidi w:val="0"/>
        <w:snapToGrid w:val="0"/>
        <w:spacing w:before="120" w:beforeLines="50" w:after="50" w:line="240" w:lineRule="auto"/>
        <w:ind w:firstLine="420" w:firstLineChars="150"/>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投标人地址：</w:t>
      </w:r>
    </w:p>
    <w:p w14:paraId="653F1891">
      <w:pPr>
        <w:pageBreakBefore w:val="0"/>
        <w:kinsoku/>
        <w:overflowPunct/>
        <w:topLinePunct w:val="0"/>
        <w:bidi w:val="0"/>
        <w:snapToGrid w:val="0"/>
        <w:spacing w:before="120" w:beforeLines="50" w:after="50" w:line="240" w:lineRule="auto"/>
        <w:ind w:firstLine="645"/>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年    月    日</w:t>
      </w:r>
    </w:p>
    <w:p w14:paraId="1B4B86BE">
      <w:pPr>
        <w:rPr>
          <w:rFonts w:hint="eastAsia"/>
          <w:color w:val="auto"/>
          <w:lang w:val="en-US" w:eastAsia="zh-CN"/>
        </w:rPr>
      </w:pPr>
      <w:r>
        <w:rPr>
          <w:rFonts w:hint="eastAsia"/>
          <w:color w:val="auto"/>
          <w:lang w:val="en-US" w:eastAsia="zh-CN"/>
        </w:rPr>
        <w:br w:type="page"/>
      </w:r>
    </w:p>
    <w:p w14:paraId="6104E30D">
      <w:pPr>
        <w:pageBreakBefore w:val="0"/>
        <w:kinsoku/>
        <w:overflowPunct/>
        <w:topLinePunct w:val="0"/>
        <w:bidi w:val="0"/>
        <w:snapToGrid w:val="0"/>
        <w:spacing w:before="120" w:beforeLines="50" w:after="50" w:line="240" w:lineRule="auto"/>
        <w:ind w:left="142"/>
        <w:jc w:val="left"/>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2.技术文件目录</w:t>
      </w:r>
    </w:p>
    <w:p w14:paraId="422A5951">
      <w:pPr>
        <w:pageBreakBefore w:val="0"/>
        <w:kinsoku/>
        <w:overflowPunct/>
        <w:topLinePunct w:val="0"/>
        <w:bidi w:val="0"/>
        <w:snapToGrid w:val="0"/>
        <w:spacing w:before="50" w:after="120" w:afterLines="50" w:line="240" w:lineRule="auto"/>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根据</w:t>
      </w:r>
      <w:r>
        <w:rPr>
          <w:rFonts w:hint="eastAsia" w:ascii="宋体" w:hAnsi="宋体" w:cs="宋体"/>
          <w:color w:val="auto"/>
          <w:sz w:val="28"/>
          <w:szCs w:val="28"/>
          <w:highlight w:val="none"/>
          <w:lang w:eastAsia="zh-CN"/>
        </w:rPr>
        <w:t>采购</w:t>
      </w:r>
      <w:r>
        <w:rPr>
          <w:rFonts w:hint="eastAsia" w:ascii="宋体" w:hAnsi="宋体" w:eastAsia="宋体" w:cs="宋体"/>
          <w:color w:val="auto"/>
          <w:sz w:val="28"/>
          <w:szCs w:val="28"/>
          <w:highlight w:val="none"/>
        </w:rPr>
        <w:t>文件规定及投标人提供的材料自行编写目录。</w:t>
      </w:r>
    </w:p>
    <w:p w14:paraId="6A72968F">
      <w:pPr>
        <w:rPr>
          <w:rFonts w:hint="eastAsia"/>
          <w:color w:val="auto"/>
          <w:lang w:val="en-US" w:eastAsia="zh-CN"/>
        </w:rPr>
      </w:pPr>
      <w:r>
        <w:rPr>
          <w:rFonts w:hint="eastAsia"/>
          <w:color w:val="auto"/>
          <w:lang w:val="en-US" w:eastAsia="zh-CN"/>
        </w:rPr>
        <w:br w:type="page"/>
      </w:r>
    </w:p>
    <w:p w14:paraId="778E75A1">
      <w:pPr>
        <w:pageBreakBefore w:val="0"/>
        <w:kinsoku/>
        <w:overflowPunct/>
        <w:topLinePunct w:val="0"/>
        <w:bidi w:val="0"/>
        <w:snapToGrid w:val="0"/>
        <w:spacing w:before="120" w:beforeLines="50" w:after="50" w:line="240" w:lineRule="auto"/>
        <w:ind w:left="142"/>
        <w:jc w:val="left"/>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3.技术要求偏离表格式</w:t>
      </w:r>
    </w:p>
    <w:p w14:paraId="18506AFA">
      <w:pPr>
        <w:pageBreakBefore w:val="0"/>
        <w:kinsoku/>
        <w:overflowPunct/>
        <w:topLinePunct w:val="0"/>
        <w:bidi w:val="0"/>
        <w:snapToGrid w:val="0"/>
        <w:spacing w:before="120" w:beforeLines="50" w:after="50" w:line="240" w:lineRule="auto"/>
        <w:ind w:left="142"/>
        <w:jc w:val="left"/>
        <w:rPr>
          <w:rFonts w:hint="eastAsia" w:ascii="宋体" w:hAnsi="宋体" w:eastAsia="宋体" w:cs="宋体"/>
          <w:b/>
          <w:color w:val="auto"/>
          <w:sz w:val="21"/>
          <w:szCs w:val="21"/>
          <w:highlight w:val="none"/>
        </w:rPr>
      </w:pPr>
    </w:p>
    <w:p w14:paraId="1A0B18EE">
      <w:pPr>
        <w:pageBreakBefore w:val="0"/>
        <w:kinsoku/>
        <w:overflowPunct/>
        <w:topLinePunct w:val="0"/>
        <w:bidi w:val="0"/>
        <w:snapToGrid w:val="0"/>
        <w:spacing w:before="120" w:beforeLines="50" w:after="50" w:line="240" w:lineRule="auto"/>
        <w:ind w:left="142"/>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技术要求偏离表</w:t>
      </w:r>
    </w:p>
    <w:p w14:paraId="6C4284AB">
      <w:pPr>
        <w:pageBreakBefore w:val="0"/>
        <w:kinsoku/>
        <w:overflowPunct/>
        <w:topLinePunct w:val="0"/>
        <w:bidi w:val="0"/>
        <w:spacing w:line="240" w:lineRule="auto"/>
        <w:rPr>
          <w:rFonts w:hint="eastAsia" w:ascii="宋体" w:hAnsi="宋体" w:eastAsia="宋体" w:cs="宋体"/>
          <w:color w:val="auto"/>
          <w:kern w:val="0"/>
          <w:sz w:val="21"/>
          <w:szCs w:val="21"/>
          <w:highlight w:val="none"/>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1934"/>
      </w:tblGrid>
      <w:tr w14:paraId="2FB34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vAlign w:val="center"/>
          </w:tcPr>
          <w:p w14:paraId="0751E4A4">
            <w:pPr>
              <w:pageBreakBefore w:val="0"/>
              <w:kinsoku/>
              <w:overflowPunct/>
              <w:topLinePunct w:val="0"/>
              <w:bidi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项号</w:t>
            </w:r>
          </w:p>
        </w:tc>
        <w:tc>
          <w:tcPr>
            <w:tcW w:w="2143" w:type="dxa"/>
            <w:vAlign w:val="center"/>
          </w:tcPr>
          <w:p w14:paraId="2D3AFF5B">
            <w:pPr>
              <w:pageBreakBefore w:val="0"/>
              <w:kinsoku/>
              <w:overflowPunct/>
              <w:topLinePunct w:val="0"/>
              <w:bidi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标的的名称</w:t>
            </w:r>
          </w:p>
        </w:tc>
        <w:tc>
          <w:tcPr>
            <w:tcW w:w="1834" w:type="dxa"/>
            <w:vAlign w:val="center"/>
          </w:tcPr>
          <w:p w14:paraId="06C116D8">
            <w:pPr>
              <w:pageBreakBefore w:val="0"/>
              <w:kinsoku/>
              <w:overflowPunct/>
              <w:topLinePunct w:val="0"/>
              <w:bidi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技术要求</w:t>
            </w:r>
          </w:p>
        </w:tc>
        <w:tc>
          <w:tcPr>
            <w:tcW w:w="2181" w:type="dxa"/>
            <w:vAlign w:val="center"/>
          </w:tcPr>
          <w:p w14:paraId="2BC376EF">
            <w:pPr>
              <w:pageBreakBefore w:val="0"/>
              <w:kinsoku/>
              <w:overflowPunct/>
              <w:topLinePunct w:val="0"/>
              <w:bidi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投标响应</w:t>
            </w:r>
          </w:p>
        </w:tc>
        <w:tc>
          <w:tcPr>
            <w:tcW w:w="1934" w:type="dxa"/>
            <w:vAlign w:val="center"/>
          </w:tcPr>
          <w:p w14:paraId="0AFF3050">
            <w:pPr>
              <w:pageBreakBefore w:val="0"/>
              <w:kinsoku/>
              <w:overflowPunct/>
              <w:topLinePunct w:val="0"/>
              <w:bidi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偏离说明</w:t>
            </w:r>
          </w:p>
        </w:tc>
      </w:tr>
      <w:tr w14:paraId="34047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243F0D6C">
            <w:pPr>
              <w:pageBreakBefore w:val="0"/>
              <w:kinsoku/>
              <w:overflowPunct/>
              <w:topLinePunct w:val="0"/>
              <w:bidi w:val="0"/>
              <w:spacing w:line="240" w:lineRule="auto"/>
              <w:jc w:val="center"/>
              <w:rPr>
                <w:rFonts w:hint="eastAsia" w:ascii="宋体" w:hAnsi="宋体" w:eastAsia="宋体" w:cs="宋体"/>
                <w:color w:val="auto"/>
                <w:sz w:val="24"/>
                <w:szCs w:val="24"/>
                <w:highlight w:val="none"/>
              </w:rPr>
            </w:pPr>
          </w:p>
        </w:tc>
        <w:tc>
          <w:tcPr>
            <w:tcW w:w="2143" w:type="dxa"/>
            <w:vAlign w:val="center"/>
          </w:tcPr>
          <w:p w14:paraId="3738EFC0">
            <w:pPr>
              <w:pageBreakBefore w:val="0"/>
              <w:kinsoku/>
              <w:overflowPunct/>
              <w:topLinePunct w:val="0"/>
              <w:bidi w:val="0"/>
              <w:spacing w:line="240" w:lineRule="auto"/>
              <w:jc w:val="center"/>
              <w:rPr>
                <w:rFonts w:hint="eastAsia" w:ascii="宋体" w:hAnsi="宋体" w:eastAsia="宋体" w:cs="宋体"/>
                <w:color w:val="auto"/>
                <w:sz w:val="24"/>
                <w:szCs w:val="24"/>
                <w:highlight w:val="none"/>
              </w:rPr>
            </w:pPr>
          </w:p>
        </w:tc>
        <w:tc>
          <w:tcPr>
            <w:tcW w:w="1834" w:type="dxa"/>
            <w:vAlign w:val="center"/>
          </w:tcPr>
          <w:p w14:paraId="4242291C">
            <w:pPr>
              <w:pageBreakBefore w:val="0"/>
              <w:kinsoku/>
              <w:overflowPunct/>
              <w:topLinePunct w:val="0"/>
              <w:bidi w:val="0"/>
              <w:spacing w:line="240" w:lineRule="auto"/>
              <w:jc w:val="center"/>
              <w:rPr>
                <w:rFonts w:hint="eastAsia" w:ascii="宋体" w:hAnsi="宋体" w:eastAsia="宋体" w:cs="宋体"/>
                <w:color w:val="auto"/>
                <w:sz w:val="24"/>
                <w:szCs w:val="24"/>
                <w:highlight w:val="none"/>
              </w:rPr>
            </w:pPr>
          </w:p>
        </w:tc>
        <w:tc>
          <w:tcPr>
            <w:tcW w:w="2181" w:type="dxa"/>
            <w:vAlign w:val="center"/>
          </w:tcPr>
          <w:p w14:paraId="74B81501">
            <w:pPr>
              <w:pageBreakBefore w:val="0"/>
              <w:kinsoku/>
              <w:overflowPunct/>
              <w:topLinePunct w:val="0"/>
              <w:bidi w:val="0"/>
              <w:spacing w:line="240" w:lineRule="auto"/>
              <w:jc w:val="center"/>
              <w:rPr>
                <w:rFonts w:hint="eastAsia" w:ascii="宋体" w:hAnsi="宋体" w:eastAsia="宋体" w:cs="宋体"/>
                <w:color w:val="auto"/>
                <w:sz w:val="24"/>
                <w:szCs w:val="24"/>
                <w:highlight w:val="none"/>
              </w:rPr>
            </w:pPr>
          </w:p>
        </w:tc>
        <w:tc>
          <w:tcPr>
            <w:tcW w:w="1934" w:type="dxa"/>
            <w:vAlign w:val="center"/>
          </w:tcPr>
          <w:p w14:paraId="271C3303">
            <w:pPr>
              <w:pageBreakBefore w:val="0"/>
              <w:kinsoku/>
              <w:overflowPunct/>
              <w:topLinePunct w:val="0"/>
              <w:bidi w:val="0"/>
              <w:spacing w:line="240" w:lineRule="auto"/>
              <w:jc w:val="center"/>
              <w:rPr>
                <w:rFonts w:hint="eastAsia" w:ascii="宋体" w:hAnsi="宋体" w:eastAsia="宋体" w:cs="宋体"/>
                <w:color w:val="auto"/>
                <w:sz w:val="24"/>
                <w:szCs w:val="24"/>
                <w:highlight w:val="none"/>
              </w:rPr>
            </w:pPr>
          </w:p>
        </w:tc>
      </w:tr>
      <w:tr w14:paraId="37B63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537B5B42">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2143" w:type="dxa"/>
          </w:tcPr>
          <w:p w14:paraId="4D61AC15">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1834" w:type="dxa"/>
          </w:tcPr>
          <w:p w14:paraId="6B732C82">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2181" w:type="dxa"/>
          </w:tcPr>
          <w:p w14:paraId="0122281E">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1934" w:type="dxa"/>
          </w:tcPr>
          <w:p w14:paraId="750B2FA4">
            <w:pPr>
              <w:pageBreakBefore w:val="0"/>
              <w:kinsoku/>
              <w:overflowPunct/>
              <w:topLinePunct w:val="0"/>
              <w:bidi w:val="0"/>
              <w:spacing w:line="240" w:lineRule="auto"/>
              <w:rPr>
                <w:rFonts w:hint="eastAsia" w:ascii="宋体" w:hAnsi="宋体" w:eastAsia="宋体" w:cs="宋体"/>
                <w:color w:val="auto"/>
                <w:sz w:val="24"/>
                <w:szCs w:val="24"/>
                <w:highlight w:val="none"/>
              </w:rPr>
            </w:pPr>
          </w:p>
        </w:tc>
      </w:tr>
      <w:tr w14:paraId="21257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40C1BC4B">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2143" w:type="dxa"/>
          </w:tcPr>
          <w:p w14:paraId="59D6F177">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1834" w:type="dxa"/>
          </w:tcPr>
          <w:p w14:paraId="1CD05AF4">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2181" w:type="dxa"/>
          </w:tcPr>
          <w:p w14:paraId="5EB47495">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1934" w:type="dxa"/>
          </w:tcPr>
          <w:p w14:paraId="2CE038C2">
            <w:pPr>
              <w:pageBreakBefore w:val="0"/>
              <w:kinsoku/>
              <w:overflowPunct/>
              <w:topLinePunct w:val="0"/>
              <w:bidi w:val="0"/>
              <w:spacing w:line="240" w:lineRule="auto"/>
              <w:rPr>
                <w:rFonts w:hint="eastAsia" w:ascii="宋体" w:hAnsi="宋体" w:eastAsia="宋体" w:cs="宋体"/>
                <w:color w:val="auto"/>
                <w:sz w:val="24"/>
                <w:szCs w:val="24"/>
                <w:highlight w:val="none"/>
              </w:rPr>
            </w:pPr>
          </w:p>
        </w:tc>
      </w:tr>
      <w:tr w14:paraId="1A3BF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1C2C760A">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2143" w:type="dxa"/>
          </w:tcPr>
          <w:p w14:paraId="5C862E3C">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1834" w:type="dxa"/>
          </w:tcPr>
          <w:p w14:paraId="52836183">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2181" w:type="dxa"/>
          </w:tcPr>
          <w:p w14:paraId="37568A5B">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1934" w:type="dxa"/>
          </w:tcPr>
          <w:p w14:paraId="15D618FF">
            <w:pPr>
              <w:pageBreakBefore w:val="0"/>
              <w:kinsoku/>
              <w:overflowPunct/>
              <w:topLinePunct w:val="0"/>
              <w:bidi w:val="0"/>
              <w:spacing w:line="240" w:lineRule="auto"/>
              <w:rPr>
                <w:rFonts w:hint="eastAsia" w:ascii="宋体" w:hAnsi="宋体" w:eastAsia="宋体" w:cs="宋体"/>
                <w:color w:val="auto"/>
                <w:sz w:val="24"/>
                <w:szCs w:val="24"/>
                <w:highlight w:val="none"/>
              </w:rPr>
            </w:pPr>
          </w:p>
        </w:tc>
      </w:tr>
      <w:tr w14:paraId="50141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4E1B04EA">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2143" w:type="dxa"/>
          </w:tcPr>
          <w:p w14:paraId="43B14E0C">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1834" w:type="dxa"/>
          </w:tcPr>
          <w:p w14:paraId="5730A79E">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2181" w:type="dxa"/>
          </w:tcPr>
          <w:p w14:paraId="52F566DF">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1934" w:type="dxa"/>
          </w:tcPr>
          <w:p w14:paraId="0D8CD381">
            <w:pPr>
              <w:pageBreakBefore w:val="0"/>
              <w:kinsoku/>
              <w:overflowPunct/>
              <w:topLinePunct w:val="0"/>
              <w:bidi w:val="0"/>
              <w:spacing w:line="240" w:lineRule="auto"/>
              <w:rPr>
                <w:rFonts w:hint="eastAsia" w:ascii="宋体" w:hAnsi="宋体" w:eastAsia="宋体" w:cs="宋体"/>
                <w:color w:val="auto"/>
                <w:sz w:val="24"/>
                <w:szCs w:val="24"/>
                <w:highlight w:val="none"/>
              </w:rPr>
            </w:pPr>
          </w:p>
        </w:tc>
      </w:tr>
      <w:tr w14:paraId="73653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1A19E197">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2143" w:type="dxa"/>
          </w:tcPr>
          <w:p w14:paraId="3A29698B">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1834" w:type="dxa"/>
          </w:tcPr>
          <w:p w14:paraId="7F9DE190">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2181" w:type="dxa"/>
          </w:tcPr>
          <w:p w14:paraId="0DA2E28F">
            <w:pPr>
              <w:pageBreakBefore w:val="0"/>
              <w:kinsoku/>
              <w:overflowPunct/>
              <w:topLinePunct w:val="0"/>
              <w:bidi w:val="0"/>
              <w:spacing w:line="240" w:lineRule="auto"/>
              <w:rPr>
                <w:rFonts w:hint="eastAsia" w:ascii="宋体" w:hAnsi="宋体" w:eastAsia="宋体" w:cs="宋体"/>
                <w:color w:val="auto"/>
                <w:sz w:val="24"/>
                <w:szCs w:val="24"/>
                <w:highlight w:val="none"/>
              </w:rPr>
            </w:pPr>
          </w:p>
        </w:tc>
        <w:tc>
          <w:tcPr>
            <w:tcW w:w="1934" w:type="dxa"/>
          </w:tcPr>
          <w:p w14:paraId="3A0D089C">
            <w:pPr>
              <w:pageBreakBefore w:val="0"/>
              <w:kinsoku/>
              <w:overflowPunct/>
              <w:topLinePunct w:val="0"/>
              <w:bidi w:val="0"/>
              <w:spacing w:line="240" w:lineRule="auto"/>
              <w:rPr>
                <w:rFonts w:hint="eastAsia" w:ascii="宋体" w:hAnsi="宋体" w:eastAsia="宋体" w:cs="宋体"/>
                <w:color w:val="auto"/>
                <w:sz w:val="24"/>
                <w:szCs w:val="24"/>
                <w:highlight w:val="none"/>
              </w:rPr>
            </w:pPr>
          </w:p>
        </w:tc>
      </w:tr>
    </w:tbl>
    <w:p w14:paraId="6655FD62">
      <w:pPr>
        <w:pageBreakBefore w:val="0"/>
        <w:kinsoku/>
        <w:overflowPunct/>
        <w:topLinePunct w:val="0"/>
        <w:bidi w:val="0"/>
        <w:spacing w:line="240" w:lineRule="auto"/>
        <w:rPr>
          <w:rFonts w:hint="eastAsia" w:ascii="宋体" w:hAnsi="宋体" w:eastAsia="宋体" w:cs="宋体"/>
          <w:b/>
          <w:bCs/>
          <w:color w:val="auto"/>
          <w:kern w:val="0"/>
          <w:sz w:val="24"/>
          <w:szCs w:val="24"/>
          <w:highlight w:val="none"/>
        </w:rPr>
      </w:pPr>
    </w:p>
    <w:p w14:paraId="541CA36A">
      <w:pPr>
        <w:pageBreakBefore w:val="0"/>
        <w:kinsoku/>
        <w:overflowPunct/>
        <w:topLinePunct w:val="0"/>
        <w:bidi w:val="0"/>
        <w:spacing w:line="240" w:lineRule="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注：</w:t>
      </w:r>
    </w:p>
    <w:p w14:paraId="7D1F6AD5">
      <w:pPr>
        <w:pageBreakBefore w:val="0"/>
        <w:kinsoku/>
        <w:overflowPunct/>
        <w:topLinePunct w:val="0"/>
        <w:bidi w:val="0"/>
        <w:spacing w:line="240" w:lineRule="auto"/>
        <w:contextualSpacing/>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1.说明：应对照</w:t>
      </w:r>
      <w:r>
        <w:rPr>
          <w:rFonts w:hint="eastAsia" w:ascii="宋体" w:hAnsi="宋体" w:cs="宋体"/>
          <w:color w:val="auto"/>
          <w:kern w:val="0"/>
          <w:sz w:val="24"/>
          <w:szCs w:val="24"/>
          <w:highlight w:val="none"/>
          <w:lang w:eastAsia="zh-CN"/>
        </w:rPr>
        <w:t>采购</w:t>
      </w:r>
      <w:r>
        <w:rPr>
          <w:rFonts w:hint="eastAsia" w:ascii="宋体" w:hAnsi="宋体" w:eastAsia="宋体" w:cs="宋体"/>
          <w:color w:val="auto"/>
          <w:kern w:val="0"/>
          <w:sz w:val="24"/>
          <w:szCs w:val="24"/>
          <w:highlight w:val="none"/>
        </w:rPr>
        <w:t>文件“第二章 采购需求”中的“技术要求”</w:t>
      </w:r>
      <w:r>
        <w:rPr>
          <w:rFonts w:hint="eastAsia" w:ascii="宋体" w:hAnsi="宋体" w:eastAsia="宋体" w:cs="宋体"/>
          <w:b/>
          <w:bCs/>
          <w:color w:val="auto"/>
          <w:kern w:val="0"/>
          <w:sz w:val="24"/>
          <w:szCs w:val="24"/>
          <w:highlight w:val="none"/>
        </w:rPr>
        <w:t>逐条</w:t>
      </w:r>
      <w:r>
        <w:rPr>
          <w:rFonts w:hint="eastAsia" w:ascii="宋体" w:hAnsi="宋体" w:eastAsia="宋体" w:cs="宋体"/>
          <w:color w:val="auto"/>
          <w:kern w:val="0"/>
          <w:sz w:val="24"/>
          <w:szCs w:val="24"/>
          <w:highlight w:val="none"/>
        </w:rPr>
        <w:t>作明确的投标响应，并作出偏离说明。</w:t>
      </w:r>
    </w:p>
    <w:p w14:paraId="2F8157CF">
      <w:pPr>
        <w:pageBreakBefore w:val="0"/>
        <w:kinsoku/>
        <w:overflowPunct/>
        <w:topLinePunct w:val="0"/>
        <w:bidi w:val="0"/>
        <w:spacing w:line="240" w:lineRule="auto"/>
        <w:contextualSpacing/>
        <w:rPr>
          <w:rFonts w:hint="eastAsia" w:ascii="宋体" w:hAnsi="宋体" w:eastAsia="宋体" w:cs="宋体"/>
          <w:b/>
          <w:bCs/>
          <w:color w:val="auto"/>
          <w:kern w:val="0"/>
          <w:sz w:val="24"/>
          <w:szCs w:val="24"/>
          <w:highlight w:val="none"/>
        </w:rPr>
      </w:pPr>
      <w:r>
        <w:rPr>
          <w:rFonts w:hint="eastAsia" w:ascii="宋体" w:hAnsi="宋体" w:eastAsia="宋体" w:cs="宋体"/>
          <w:color w:val="auto"/>
          <w:kern w:val="0"/>
          <w:sz w:val="24"/>
          <w:szCs w:val="24"/>
          <w:highlight w:val="none"/>
        </w:rPr>
        <w:t>2.投标人应根据自身的承诺，对照</w:t>
      </w:r>
      <w:r>
        <w:rPr>
          <w:rFonts w:hint="eastAsia" w:ascii="宋体" w:hAnsi="宋体" w:cs="宋体"/>
          <w:color w:val="auto"/>
          <w:kern w:val="0"/>
          <w:sz w:val="24"/>
          <w:szCs w:val="24"/>
          <w:highlight w:val="none"/>
          <w:lang w:eastAsia="zh-CN"/>
        </w:rPr>
        <w:t>采购</w:t>
      </w:r>
      <w:r>
        <w:rPr>
          <w:rFonts w:hint="eastAsia" w:ascii="宋体" w:hAnsi="宋体" w:eastAsia="宋体" w:cs="宋体"/>
          <w:color w:val="auto"/>
          <w:kern w:val="0"/>
          <w:sz w:val="24"/>
          <w:szCs w:val="24"/>
          <w:highlight w:val="none"/>
        </w:rPr>
        <w:t>文件要求，在“偏离说明”中注明“</w:t>
      </w:r>
      <w:r>
        <w:rPr>
          <w:rFonts w:hint="eastAsia" w:ascii="宋体" w:hAnsi="宋体" w:eastAsia="宋体" w:cs="宋体"/>
          <w:b/>
          <w:bCs/>
          <w:color w:val="auto"/>
          <w:kern w:val="0"/>
          <w:sz w:val="24"/>
          <w:szCs w:val="24"/>
          <w:highlight w:val="none"/>
        </w:rPr>
        <w:t>正偏离</w:t>
      </w:r>
      <w:r>
        <w:rPr>
          <w:rFonts w:hint="eastAsia" w:ascii="宋体" w:hAnsi="宋体" w:eastAsia="宋体" w:cs="宋体"/>
          <w:color w:val="auto"/>
          <w:kern w:val="0"/>
          <w:sz w:val="24"/>
          <w:szCs w:val="24"/>
          <w:highlight w:val="none"/>
        </w:rPr>
        <w:t>”、“</w:t>
      </w:r>
      <w:r>
        <w:rPr>
          <w:rFonts w:hint="eastAsia" w:ascii="宋体" w:hAnsi="宋体" w:eastAsia="宋体" w:cs="宋体"/>
          <w:b/>
          <w:bCs/>
          <w:color w:val="auto"/>
          <w:kern w:val="0"/>
          <w:sz w:val="24"/>
          <w:szCs w:val="24"/>
          <w:highlight w:val="none"/>
        </w:rPr>
        <w:t>负偏离</w:t>
      </w:r>
      <w:r>
        <w:rPr>
          <w:rFonts w:hint="eastAsia" w:ascii="宋体" w:hAnsi="宋体" w:eastAsia="宋体" w:cs="宋体"/>
          <w:color w:val="auto"/>
          <w:kern w:val="0"/>
          <w:sz w:val="24"/>
          <w:szCs w:val="24"/>
          <w:highlight w:val="none"/>
        </w:rPr>
        <w:t>”或者“</w:t>
      </w:r>
      <w:r>
        <w:rPr>
          <w:rFonts w:hint="eastAsia" w:ascii="宋体" w:hAnsi="宋体" w:eastAsia="宋体" w:cs="宋体"/>
          <w:b/>
          <w:bCs/>
          <w:color w:val="auto"/>
          <w:kern w:val="0"/>
          <w:sz w:val="24"/>
          <w:szCs w:val="24"/>
          <w:highlight w:val="none"/>
        </w:rPr>
        <w:t>无偏离</w:t>
      </w:r>
      <w:r>
        <w:rPr>
          <w:rFonts w:hint="eastAsia" w:ascii="宋体" w:hAnsi="宋体" w:eastAsia="宋体" w:cs="宋体"/>
          <w:color w:val="auto"/>
          <w:kern w:val="0"/>
          <w:sz w:val="24"/>
          <w:szCs w:val="24"/>
          <w:highlight w:val="none"/>
        </w:rPr>
        <w:t>”。既不属于“</w:t>
      </w:r>
      <w:r>
        <w:rPr>
          <w:rFonts w:hint="eastAsia" w:ascii="宋体" w:hAnsi="宋体" w:eastAsia="宋体" w:cs="宋体"/>
          <w:b/>
          <w:bCs/>
          <w:color w:val="auto"/>
          <w:kern w:val="0"/>
          <w:sz w:val="24"/>
          <w:szCs w:val="24"/>
          <w:highlight w:val="none"/>
        </w:rPr>
        <w:t>正偏离</w:t>
      </w:r>
      <w:r>
        <w:rPr>
          <w:rFonts w:hint="eastAsia" w:ascii="宋体" w:hAnsi="宋体" w:eastAsia="宋体" w:cs="宋体"/>
          <w:color w:val="auto"/>
          <w:kern w:val="0"/>
          <w:sz w:val="24"/>
          <w:szCs w:val="24"/>
          <w:highlight w:val="none"/>
        </w:rPr>
        <w:t>”也不属于“</w:t>
      </w:r>
      <w:r>
        <w:rPr>
          <w:rFonts w:hint="eastAsia" w:ascii="宋体" w:hAnsi="宋体" w:eastAsia="宋体" w:cs="宋体"/>
          <w:b/>
          <w:bCs/>
          <w:color w:val="auto"/>
          <w:kern w:val="0"/>
          <w:sz w:val="24"/>
          <w:szCs w:val="24"/>
          <w:highlight w:val="none"/>
        </w:rPr>
        <w:t>负偏离</w:t>
      </w:r>
      <w:r>
        <w:rPr>
          <w:rFonts w:hint="eastAsia" w:ascii="宋体" w:hAnsi="宋体" w:eastAsia="宋体" w:cs="宋体"/>
          <w:color w:val="auto"/>
          <w:kern w:val="0"/>
          <w:sz w:val="24"/>
          <w:szCs w:val="24"/>
          <w:highlight w:val="none"/>
        </w:rPr>
        <w:t>”即为“</w:t>
      </w:r>
      <w:r>
        <w:rPr>
          <w:rFonts w:hint="eastAsia" w:ascii="宋体" w:hAnsi="宋体" w:eastAsia="宋体" w:cs="宋体"/>
          <w:b/>
          <w:bCs/>
          <w:color w:val="auto"/>
          <w:kern w:val="0"/>
          <w:sz w:val="24"/>
          <w:szCs w:val="24"/>
          <w:highlight w:val="none"/>
        </w:rPr>
        <w:t>无偏离</w:t>
      </w:r>
      <w:r>
        <w:rPr>
          <w:rFonts w:hint="eastAsia" w:ascii="宋体" w:hAnsi="宋体" w:eastAsia="宋体" w:cs="宋体"/>
          <w:color w:val="auto"/>
          <w:kern w:val="0"/>
          <w:sz w:val="24"/>
          <w:szCs w:val="24"/>
          <w:highlight w:val="none"/>
        </w:rPr>
        <w:t>”。</w:t>
      </w:r>
    </w:p>
    <w:p w14:paraId="2A7B405F">
      <w:pPr>
        <w:pageBreakBefore w:val="0"/>
        <w:kinsoku/>
        <w:overflowPunct/>
        <w:topLinePunct w:val="0"/>
        <w:bidi w:val="0"/>
        <w:snapToGrid w:val="0"/>
        <w:spacing w:before="50" w:after="50" w:line="240" w:lineRule="auto"/>
        <w:rPr>
          <w:rFonts w:hint="eastAsia" w:ascii="宋体" w:hAnsi="宋体" w:eastAsia="宋体" w:cs="宋体"/>
          <w:color w:val="auto"/>
          <w:sz w:val="24"/>
          <w:szCs w:val="24"/>
          <w:highlight w:val="none"/>
        </w:rPr>
      </w:pPr>
    </w:p>
    <w:p w14:paraId="497AE1E7">
      <w:pPr>
        <w:pageBreakBefore w:val="0"/>
        <w:kinsoku/>
        <w:overflowPunct/>
        <w:topLinePunct w:val="0"/>
        <w:bidi w:val="0"/>
        <w:snapToGrid w:val="0"/>
        <w:spacing w:before="50" w:after="50" w:line="240" w:lineRule="auto"/>
        <w:rPr>
          <w:rFonts w:hint="eastAsia" w:ascii="宋体" w:hAnsi="宋体" w:eastAsia="宋体" w:cs="宋体"/>
          <w:color w:val="auto"/>
          <w:sz w:val="24"/>
          <w:szCs w:val="24"/>
          <w:highlight w:val="none"/>
        </w:rPr>
      </w:pPr>
    </w:p>
    <w:p w14:paraId="51568FD3">
      <w:pPr>
        <w:pageBreakBefore w:val="0"/>
        <w:kinsoku/>
        <w:overflowPunct/>
        <w:topLinePunct w:val="0"/>
        <w:bidi w:val="0"/>
        <w:snapToGrid w:val="0"/>
        <w:spacing w:before="50" w:after="50" w:line="240" w:lineRule="auto"/>
        <w:rPr>
          <w:rFonts w:hint="eastAsia" w:ascii="宋体" w:hAnsi="宋体" w:eastAsia="宋体" w:cs="宋体"/>
          <w:color w:val="auto"/>
          <w:sz w:val="24"/>
          <w:szCs w:val="24"/>
          <w:highlight w:val="none"/>
        </w:rPr>
      </w:pPr>
    </w:p>
    <w:p w14:paraId="1288053F">
      <w:pPr>
        <w:pageBreakBefore w:val="0"/>
        <w:kinsoku/>
        <w:overflowPunct/>
        <w:topLinePunct w:val="0"/>
        <w:bidi w:val="0"/>
        <w:snapToGrid w:val="0"/>
        <w:spacing w:before="50" w:after="50" w:line="240" w:lineRule="auto"/>
        <w:rPr>
          <w:rFonts w:hint="eastAsia" w:ascii="宋体" w:hAnsi="宋体" w:eastAsia="宋体" w:cs="宋体"/>
          <w:color w:val="auto"/>
          <w:spacing w:val="20"/>
          <w:sz w:val="24"/>
          <w:szCs w:val="24"/>
          <w:highlight w:val="none"/>
          <w:u w:val="single"/>
        </w:rPr>
      </w:pPr>
      <w:r>
        <w:rPr>
          <w:rFonts w:hint="eastAsia" w:ascii="宋体" w:hAnsi="宋体" w:eastAsia="宋体" w:cs="宋体"/>
          <w:color w:val="auto"/>
          <w:sz w:val="24"/>
          <w:szCs w:val="24"/>
          <w:highlight w:val="none"/>
        </w:rPr>
        <w:t>法定代表人或者委托代理人</w:t>
      </w:r>
      <w:r>
        <w:rPr>
          <w:rFonts w:hint="eastAsia" w:ascii="宋体" w:hAnsi="宋体" w:eastAsia="宋体" w:cs="宋体"/>
          <w:color w:val="auto"/>
          <w:spacing w:val="20"/>
          <w:sz w:val="24"/>
          <w:szCs w:val="24"/>
          <w:highlight w:val="none"/>
        </w:rPr>
        <w:t>（签名）：</w:t>
      </w:r>
      <w:r>
        <w:rPr>
          <w:rFonts w:hint="eastAsia" w:ascii="宋体" w:hAnsi="宋体" w:eastAsia="宋体" w:cs="宋体"/>
          <w:color w:val="auto"/>
          <w:spacing w:val="20"/>
          <w:sz w:val="24"/>
          <w:szCs w:val="24"/>
          <w:highlight w:val="none"/>
          <w:u w:val="single"/>
        </w:rPr>
        <w:t xml:space="preserve">        </w:t>
      </w:r>
    </w:p>
    <w:p w14:paraId="48F21B80">
      <w:pPr>
        <w:pageBreakBefore w:val="0"/>
        <w:kinsoku/>
        <w:overflowPunct/>
        <w:topLinePunct w:val="0"/>
        <w:bidi w:val="0"/>
        <w:snapToGrid w:val="0"/>
        <w:spacing w:before="50" w:after="50" w:line="240" w:lineRule="auto"/>
        <w:rPr>
          <w:rFonts w:hint="eastAsia" w:ascii="宋体" w:hAnsi="宋体" w:eastAsia="宋体" w:cs="宋体"/>
          <w:color w:val="auto"/>
          <w:spacing w:val="20"/>
          <w:sz w:val="24"/>
          <w:szCs w:val="24"/>
          <w:highlight w:val="none"/>
          <w:u w:val="single"/>
        </w:rPr>
      </w:pPr>
      <w:r>
        <w:rPr>
          <w:rFonts w:hint="eastAsia" w:ascii="宋体" w:hAnsi="宋体" w:eastAsia="宋体" w:cs="宋体"/>
          <w:color w:val="auto"/>
          <w:spacing w:val="20"/>
          <w:sz w:val="24"/>
          <w:szCs w:val="24"/>
          <w:highlight w:val="none"/>
        </w:rPr>
        <w:t>投标人（公章）：</w:t>
      </w:r>
      <w:r>
        <w:rPr>
          <w:rFonts w:hint="eastAsia" w:ascii="宋体" w:hAnsi="宋体" w:eastAsia="宋体" w:cs="宋体"/>
          <w:color w:val="auto"/>
          <w:spacing w:val="20"/>
          <w:sz w:val="24"/>
          <w:szCs w:val="24"/>
          <w:highlight w:val="none"/>
          <w:u w:val="single"/>
        </w:rPr>
        <w:t xml:space="preserve">            </w:t>
      </w:r>
      <w:r>
        <w:rPr>
          <w:rFonts w:hint="eastAsia" w:ascii="宋体" w:hAnsi="宋体" w:eastAsia="宋体" w:cs="宋体"/>
          <w:color w:val="auto"/>
          <w:spacing w:val="20"/>
          <w:sz w:val="24"/>
          <w:szCs w:val="24"/>
          <w:highlight w:val="none"/>
        </w:rPr>
        <w:t xml:space="preserve">              日 期：</w:t>
      </w:r>
      <w:r>
        <w:rPr>
          <w:rFonts w:hint="eastAsia" w:ascii="宋体" w:hAnsi="宋体" w:eastAsia="宋体" w:cs="宋体"/>
          <w:color w:val="auto"/>
          <w:spacing w:val="20"/>
          <w:sz w:val="24"/>
          <w:szCs w:val="24"/>
          <w:highlight w:val="none"/>
          <w:u w:val="single"/>
        </w:rPr>
        <w:t xml:space="preserve">        </w:t>
      </w:r>
    </w:p>
    <w:p w14:paraId="392C5573">
      <w:pPr>
        <w:rPr>
          <w:rFonts w:hint="eastAsia"/>
          <w:color w:val="auto"/>
          <w:sz w:val="24"/>
          <w:szCs w:val="24"/>
          <w:lang w:val="en-US" w:eastAsia="zh-CN"/>
        </w:rPr>
        <w:sectPr>
          <w:pgSz w:w="11906" w:h="16838"/>
          <w:pgMar w:top="1440" w:right="1080" w:bottom="1440" w:left="1080" w:header="851" w:footer="992" w:gutter="0"/>
          <w:pgNumType w:fmt="decimal"/>
          <w:cols w:space="425" w:num="1"/>
          <w:docGrid w:type="lines" w:linePitch="312" w:charSpace="0"/>
        </w:sectPr>
      </w:pPr>
      <w:r>
        <w:rPr>
          <w:rFonts w:hint="eastAsia"/>
          <w:color w:val="auto"/>
          <w:sz w:val="24"/>
          <w:szCs w:val="24"/>
          <w:lang w:val="en-US" w:eastAsia="zh-CN"/>
        </w:rPr>
        <w:br w:type="page"/>
      </w:r>
    </w:p>
    <w:p w14:paraId="6AF0FD78">
      <w:pPr>
        <w:pageBreakBefore w:val="0"/>
        <w:kinsoku/>
        <w:overflowPunct/>
        <w:topLinePunct w:val="0"/>
        <w:bidi w:val="0"/>
        <w:snapToGrid w:val="0"/>
        <w:spacing w:before="120" w:beforeLines="50" w:after="50" w:line="240" w:lineRule="auto"/>
        <w:ind w:left="142"/>
        <w:jc w:val="left"/>
        <w:rPr>
          <w:rFonts w:hint="eastAsia" w:ascii="宋体" w:hAnsi="宋体" w:eastAsia="宋体" w:cs="宋体"/>
          <w:b/>
          <w:color w:val="auto"/>
          <w:sz w:val="30"/>
          <w:szCs w:val="30"/>
          <w:highlight w:val="none"/>
          <w:lang w:val="en-US" w:eastAsia="zh-CN"/>
        </w:rPr>
      </w:pPr>
      <w:r>
        <w:rPr>
          <w:rFonts w:hint="eastAsia" w:ascii="宋体" w:hAnsi="宋体" w:eastAsia="宋体" w:cs="宋体"/>
          <w:b/>
          <w:color w:val="auto"/>
          <w:sz w:val="30"/>
          <w:szCs w:val="30"/>
          <w:highlight w:val="none"/>
          <w:lang w:val="en-US" w:eastAsia="zh-CN"/>
        </w:rPr>
        <w:t>4.服务方案</w:t>
      </w:r>
    </w:p>
    <w:p w14:paraId="2A4BC86F">
      <w:pPr>
        <w:rPr>
          <w:rFonts w:hint="eastAsia"/>
          <w:color w:val="auto"/>
          <w:sz w:val="24"/>
          <w:szCs w:val="24"/>
          <w:lang w:val="en-US" w:eastAsia="zh-CN"/>
        </w:rPr>
      </w:pPr>
    </w:p>
    <w:p w14:paraId="7423179E">
      <w:pPr>
        <w:pageBreakBefore w:val="0"/>
        <w:kinsoku/>
        <w:overflowPunct/>
        <w:topLinePunct w:val="0"/>
        <w:bidi w:val="0"/>
        <w:spacing w:line="240" w:lineRule="auto"/>
        <w:jc w:val="center"/>
        <w:rPr>
          <w:rFonts w:hint="eastAsia" w:ascii="宋体" w:hAnsi="宋体" w:eastAsia="宋体" w:cs="宋体"/>
          <w:color w:val="auto"/>
          <w:sz w:val="24"/>
          <w:szCs w:val="24"/>
          <w:highlight w:val="none"/>
        </w:rPr>
      </w:pPr>
      <w:r>
        <w:rPr>
          <w:rFonts w:hint="eastAsia" w:ascii="宋体" w:hAnsi="宋体" w:cs="Times New Roman"/>
          <w:b/>
          <w:bCs/>
          <w:color w:val="auto"/>
          <w:kern w:val="2"/>
          <w:sz w:val="24"/>
          <w:szCs w:val="24"/>
          <w:lang w:val="en-US" w:eastAsia="zh-CN" w:bidi="ar-SA"/>
        </w:rPr>
        <w:t>【</w:t>
      </w:r>
      <w:r>
        <w:rPr>
          <w:rFonts w:hint="eastAsia" w:ascii="宋体" w:hAnsi="宋体" w:eastAsia="宋体" w:cs="Times New Roman"/>
          <w:b/>
          <w:bCs/>
          <w:color w:val="auto"/>
          <w:kern w:val="2"/>
          <w:sz w:val="24"/>
          <w:szCs w:val="24"/>
          <w:lang w:val="en-US" w:eastAsia="zh-CN" w:bidi="ar-SA"/>
        </w:rPr>
        <w:t>必须提供，格式自拟</w:t>
      </w:r>
      <w:r>
        <w:rPr>
          <w:rFonts w:hint="eastAsia" w:ascii="宋体" w:hAnsi="宋体" w:cs="Times New Roman"/>
          <w:b/>
          <w:bCs/>
          <w:color w:val="auto"/>
          <w:kern w:val="2"/>
          <w:sz w:val="24"/>
          <w:szCs w:val="24"/>
          <w:lang w:val="en-US" w:eastAsia="zh-CN" w:bidi="ar-SA"/>
        </w:rPr>
        <w:t>】</w:t>
      </w:r>
    </w:p>
    <w:p w14:paraId="5EA44CFF">
      <w:pPr>
        <w:rPr>
          <w:rFonts w:hint="default"/>
          <w:color w:val="auto"/>
          <w:sz w:val="24"/>
          <w:szCs w:val="24"/>
          <w:lang w:val="en-US" w:eastAsia="zh-CN"/>
        </w:rPr>
        <w:sectPr>
          <w:pgSz w:w="11906" w:h="16838"/>
          <w:pgMar w:top="1440" w:right="1080" w:bottom="1440" w:left="1080" w:header="851" w:footer="992" w:gutter="0"/>
          <w:pgNumType w:fmt="decimal"/>
          <w:cols w:space="425" w:num="1"/>
          <w:docGrid w:type="lines" w:linePitch="312" w:charSpace="0"/>
        </w:sectPr>
      </w:pPr>
    </w:p>
    <w:p w14:paraId="11560EE3">
      <w:pPr>
        <w:pageBreakBefore w:val="0"/>
        <w:kinsoku/>
        <w:overflowPunct/>
        <w:topLinePunct w:val="0"/>
        <w:bidi w:val="0"/>
        <w:snapToGrid w:val="0"/>
        <w:spacing w:before="120" w:beforeLines="50" w:after="50" w:line="240" w:lineRule="auto"/>
        <w:jc w:val="left"/>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lang w:val="en-US" w:eastAsia="zh-CN"/>
        </w:rPr>
        <w:t>5</w:t>
      </w:r>
      <w:r>
        <w:rPr>
          <w:rFonts w:hint="eastAsia" w:ascii="宋体" w:hAnsi="宋体" w:eastAsia="宋体" w:cs="宋体"/>
          <w:b/>
          <w:color w:val="auto"/>
          <w:sz w:val="30"/>
          <w:szCs w:val="30"/>
          <w:highlight w:val="none"/>
        </w:rPr>
        <w:t>.项目实施人员一览表格式</w:t>
      </w:r>
    </w:p>
    <w:p w14:paraId="6346C3AF">
      <w:pPr>
        <w:pageBreakBefore w:val="0"/>
        <w:kinsoku/>
        <w:overflowPunct/>
        <w:topLinePunct w:val="0"/>
        <w:bidi w:val="0"/>
        <w:snapToGrid w:val="0"/>
        <w:spacing w:before="120" w:beforeLines="50" w:after="50" w:line="240" w:lineRule="auto"/>
        <w:ind w:left="142"/>
        <w:jc w:val="left"/>
        <w:rPr>
          <w:rFonts w:hint="eastAsia" w:ascii="宋体" w:hAnsi="宋体" w:eastAsia="宋体" w:cs="宋体"/>
          <w:b/>
          <w:color w:val="auto"/>
          <w:sz w:val="21"/>
          <w:szCs w:val="21"/>
          <w:highlight w:val="none"/>
        </w:rPr>
      </w:pPr>
    </w:p>
    <w:p w14:paraId="05E020FF">
      <w:pPr>
        <w:pageBreakBefore w:val="0"/>
        <w:kinsoku/>
        <w:overflowPunct/>
        <w:topLinePunct w:val="0"/>
        <w:bidi w:val="0"/>
        <w:snapToGrid w:val="0"/>
        <w:spacing w:before="120" w:beforeLines="50" w:after="50" w:line="240" w:lineRule="auto"/>
        <w:ind w:left="142"/>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项目实施人员一览表</w:t>
      </w:r>
    </w:p>
    <w:p w14:paraId="4A403091">
      <w:pPr>
        <w:pageBreakBefore w:val="0"/>
        <w:kinsoku/>
        <w:overflowPunct/>
        <w:topLinePunct w:val="0"/>
        <w:bidi w:val="0"/>
        <w:snapToGrid w:val="0"/>
        <w:spacing w:before="120" w:beforeLines="50" w:after="50" w:line="240" w:lineRule="auto"/>
        <w:ind w:left="142"/>
        <w:jc w:val="center"/>
        <w:rPr>
          <w:rFonts w:hint="eastAsia" w:ascii="宋体" w:hAnsi="宋体" w:eastAsia="宋体" w:cs="宋体"/>
          <w:b/>
          <w:color w:val="auto"/>
          <w:sz w:val="28"/>
          <w:szCs w:val="28"/>
          <w:highlight w:val="none"/>
        </w:rPr>
      </w:pP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1"/>
        <w:gridCol w:w="611"/>
        <w:gridCol w:w="4888"/>
        <w:gridCol w:w="922"/>
        <w:gridCol w:w="1698"/>
        <w:gridCol w:w="1232"/>
      </w:tblGrid>
      <w:tr w14:paraId="24359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49598179">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p>
        </w:tc>
        <w:tc>
          <w:tcPr>
            <w:tcW w:w="0" w:type="auto"/>
            <w:vAlign w:val="center"/>
          </w:tcPr>
          <w:p w14:paraId="322115B8">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职务</w:t>
            </w:r>
          </w:p>
        </w:tc>
        <w:tc>
          <w:tcPr>
            <w:tcW w:w="0" w:type="auto"/>
            <w:vAlign w:val="center"/>
          </w:tcPr>
          <w:p w14:paraId="056030D3">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专业技术资格（职称）或者职业资格或者执业资格证或者其他证书</w:t>
            </w:r>
          </w:p>
        </w:tc>
        <w:tc>
          <w:tcPr>
            <w:tcW w:w="0" w:type="auto"/>
            <w:vAlign w:val="center"/>
          </w:tcPr>
          <w:p w14:paraId="0BA0BAE9">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证书编号</w:t>
            </w:r>
          </w:p>
        </w:tc>
        <w:tc>
          <w:tcPr>
            <w:tcW w:w="0" w:type="auto"/>
            <w:vAlign w:val="center"/>
          </w:tcPr>
          <w:p w14:paraId="321D12D3">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参加本单位工作时间</w:t>
            </w:r>
          </w:p>
        </w:tc>
        <w:tc>
          <w:tcPr>
            <w:tcW w:w="0" w:type="auto"/>
            <w:vAlign w:val="center"/>
          </w:tcPr>
          <w:p w14:paraId="22BFDD9C">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劳动合同编号</w:t>
            </w:r>
          </w:p>
        </w:tc>
      </w:tr>
      <w:tr w14:paraId="4A845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19818FBF">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4"/>
                <w:szCs w:val="24"/>
                <w:highlight w:val="none"/>
              </w:rPr>
            </w:pPr>
          </w:p>
        </w:tc>
        <w:tc>
          <w:tcPr>
            <w:tcW w:w="0" w:type="auto"/>
            <w:vAlign w:val="center"/>
          </w:tcPr>
          <w:p w14:paraId="33843FF4">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4"/>
                <w:szCs w:val="24"/>
                <w:highlight w:val="none"/>
              </w:rPr>
            </w:pPr>
          </w:p>
        </w:tc>
        <w:tc>
          <w:tcPr>
            <w:tcW w:w="0" w:type="auto"/>
            <w:vAlign w:val="center"/>
          </w:tcPr>
          <w:p w14:paraId="0B1CAF85">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4"/>
                <w:szCs w:val="24"/>
                <w:highlight w:val="none"/>
              </w:rPr>
            </w:pPr>
          </w:p>
        </w:tc>
        <w:tc>
          <w:tcPr>
            <w:tcW w:w="0" w:type="auto"/>
            <w:vAlign w:val="center"/>
          </w:tcPr>
          <w:p w14:paraId="73C49BCD">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4"/>
                <w:szCs w:val="24"/>
                <w:highlight w:val="none"/>
              </w:rPr>
            </w:pPr>
          </w:p>
        </w:tc>
        <w:tc>
          <w:tcPr>
            <w:tcW w:w="0" w:type="auto"/>
            <w:vAlign w:val="center"/>
          </w:tcPr>
          <w:p w14:paraId="1A2BB824">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4"/>
                <w:szCs w:val="24"/>
                <w:highlight w:val="none"/>
              </w:rPr>
            </w:pPr>
          </w:p>
        </w:tc>
        <w:tc>
          <w:tcPr>
            <w:tcW w:w="0" w:type="auto"/>
            <w:vAlign w:val="center"/>
          </w:tcPr>
          <w:p w14:paraId="54452A7D">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4"/>
                <w:szCs w:val="24"/>
                <w:highlight w:val="none"/>
              </w:rPr>
            </w:pPr>
          </w:p>
        </w:tc>
      </w:tr>
      <w:tr w14:paraId="33058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360D77F9">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4"/>
                <w:szCs w:val="24"/>
                <w:highlight w:val="none"/>
              </w:rPr>
            </w:pPr>
          </w:p>
        </w:tc>
        <w:tc>
          <w:tcPr>
            <w:tcW w:w="0" w:type="auto"/>
            <w:vAlign w:val="center"/>
          </w:tcPr>
          <w:p w14:paraId="57F637EB">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4"/>
                <w:szCs w:val="24"/>
                <w:highlight w:val="none"/>
              </w:rPr>
            </w:pPr>
          </w:p>
        </w:tc>
        <w:tc>
          <w:tcPr>
            <w:tcW w:w="0" w:type="auto"/>
            <w:vAlign w:val="center"/>
          </w:tcPr>
          <w:p w14:paraId="3CCA391E">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4"/>
                <w:szCs w:val="24"/>
                <w:highlight w:val="none"/>
              </w:rPr>
            </w:pPr>
          </w:p>
        </w:tc>
        <w:tc>
          <w:tcPr>
            <w:tcW w:w="0" w:type="auto"/>
            <w:vAlign w:val="center"/>
          </w:tcPr>
          <w:p w14:paraId="493C1962">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4"/>
                <w:szCs w:val="24"/>
                <w:highlight w:val="none"/>
              </w:rPr>
            </w:pPr>
          </w:p>
        </w:tc>
        <w:tc>
          <w:tcPr>
            <w:tcW w:w="0" w:type="auto"/>
            <w:vAlign w:val="center"/>
          </w:tcPr>
          <w:p w14:paraId="7CC6555F">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4"/>
                <w:szCs w:val="24"/>
                <w:highlight w:val="none"/>
              </w:rPr>
            </w:pPr>
          </w:p>
        </w:tc>
        <w:tc>
          <w:tcPr>
            <w:tcW w:w="0" w:type="auto"/>
            <w:vAlign w:val="center"/>
          </w:tcPr>
          <w:p w14:paraId="5DEABAB2">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4"/>
                <w:szCs w:val="24"/>
                <w:highlight w:val="none"/>
              </w:rPr>
            </w:pPr>
          </w:p>
        </w:tc>
      </w:tr>
      <w:tr w14:paraId="23068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08E4AE9D">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4"/>
                <w:szCs w:val="24"/>
                <w:highlight w:val="none"/>
              </w:rPr>
            </w:pPr>
          </w:p>
        </w:tc>
        <w:tc>
          <w:tcPr>
            <w:tcW w:w="0" w:type="auto"/>
            <w:vAlign w:val="center"/>
          </w:tcPr>
          <w:p w14:paraId="77BB5FB4">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4"/>
                <w:szCs w:val="24"/>
                <w:highlight w:val="none"/>
              </w:rPr>
            </w:pPr>
          </w:p>
        </w:tc>
        <w:tc>
          <w:tcPr>
            <w:tcW w:w="0" w:type="auto"/>
            <w:vAlign w:val="center"/>
          </w:tcPr>
          <w:p w14:paraId="53D40122">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4"/>
                <w:szCs w:val="24"/>
                <w:highlight w:val="none"/>
              </w:rPr>
            </w:pPr>
          </w:p>
        </w:tc>
        <w:tc>
          <w:tcPr>
            <w:tcW w:w="0" w:type="auto"/>
            <w:vAlign w:val="center"/>
          </w:tcPr>
          <w:p w14:paraId="3D1F476E">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4"/>
                <w:szCs w:val="24"/>
                <w:highlight w:val="none"/>
              </w:rPr>
            </w:pPr>
          </w:p>
        </w:tc>
        <w:tc>
          <w:tcPr>
            <w:tcW w:w="0" w:type="auto"/>
            <w:vAlign w:val="center"/>
          </w:tcPr>
          <w:p w14:paraId="32C6C475">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4"/>
                <w:szCs w:val="24"/>
                <w:highlight w:val="none"/>
              </w:rPr>
            </w:pPr>
          </w:p>
        </w:tc>
        <w:tc>
          <w:tcPr>
            <w:tcW w:w="0" w:type="auto"/>
            <w:vAlign w:val="center"/>
          </w:tcPr>
          <w:p w14:paraId="11CDFEDC">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4"/>
                <w:szCs w:val="24"/>
                <w:highlight w:val="none"/>
              </w:rPr>
            </w:pPr>
          </w:p>
        </w:tc>
      </w:tr>
    </w:tbl>
    <w:p w14:paraId="38C6DFB5">
      <w:pPr>
        <w:pageBreakBefore w:val="0"/>
        <w:kinsoku/>
        <w:overflowPunct/>
        <w:topLinePunct w:val="0"/>
        <w:bidi w:val="0"/>
        <w:snapToGrid w:val="0"/>
        <w:spacing w:before="50" w:after="120" w:afterLines="50" w:line="240" w:lineRule="auto"/>
        <w:jc w:val="left"/>
        <w:rPr>
          <w:rFonts w:hint="eastAsia" w:ascii="宋体" w:hAnsi="宋体" w:eastAsia="宋体" w:cs="宋体"/>
          <w:color w:val="auto"/>
          <w:sz w:val="24"/>
          <w:szCs w:val="24"/>
          <w:highlight w:val="none"/>
        </w:rPr>
      </w:pPr>
    </w:p>
    <w:p w14:paraId="38DB765D">
      <w:pPr>
        <w:pageBreakBefore w:val="0"/>
        <w:kinsoku/>
        <w:overflowPunct/>
        <w:topLinePunct w:val="0"/>
        <w:bidi w:val="0"/>
        <w:spacing w:line="240" w:lineRule="auto"/>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6D8F2F75">
      <w:pPr>
        <w:pageBreakBefore w:val="0"/>
        <w:kinsoku/>
        <w:overflowPunct/>
        <w:topLinePunct w:val="0"/>
        <w:bidi w:val="0"/>
        <w:spacing w:line="240" w:lineRule="auto"/>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1.在填写时，如本表格不适合投标单位的实际情况，可根据本表格式自行制表填写。</w:t>
      </w:r>
    </w:p>
    <w:p w14:paraId="4A0A4BC6">
      <w:pPr>
        <w:pageBreakBefore w:val="0"/>
        <w:kinsoku/>
        <w:overflowPunct/>
        <w:topLinePunct w:val="0"/>
        <w:bidi w:val="0"/>
        <w:spacing w:line="240" w:lineRule="auto"/>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2.投标人应当附本表所列证书的复印件并加盖投标人公章。</w:t>
      </w:r>
    </w:p>
    <w:p w14:paraId="6A02F7AD">
      <w:pPr>
        <w:pageBreakBefore w:val="0"/>
        <w:kinsoku/>
        <w:overflowPunct/>
        <w:topLinePunct w:val="0"/>
        <w:bidi w:val="0"/>
        <w:spacing w:line="240" w:lineRule="auto"/>
        <w:contextualSpacing/>
        <w:rPr>
          <w:rFonts w:hint="eastAsia" w:ascii="宋体" w:hAnsi="宋体" w:eastAsia="宋体" w:cs="宋体"/>
          <w:color w:val="auto"/>
          <w:spacing w:val="20"/>
          <w:sz w:val="24"/>
          <w:szCs w:val="24"/>
          <w:highlight w:val="none"/>
          <w:u w:val="single"/>
        </w:rPr>
      </w:pPr>
      <w:r>
        <w:rPr>
          <w:rFonts w:hint="eastAsia" w:ascii="宋体" w:hAnsi="宋体" w:eastAsia="宋体" w:cs="宋体"/>
          <w:color w:val="auto"/>
          <w:sz w:val="24"/>
          <w:szCs w:val="24"/>
          <w:highlight w:val="none"/>
        </w:rPr>
        <w:t>法定代表人或者委托代理人</w:t>
      </w:r>
      <w:r>
        <w:rPr>
          <w:rFonts w:hint="eastAsia" w:ascii="宋体" w:hAnsi="宋体" w:eastAsia="宋体" w:cs="宋体"/>
          <w:color w:val="auto"/>
          <w:spacing w:val="20"/>
          <w:sz w:val="24"/>
          <w:szCs w:val="24"/>
          <w:highlight w:val="none"/>
        </w:rPr>
        <w:t>（签名）：</w:t>
      </w:r>
      <w:r>
        <w:rPr>
          <w:rFonts w:hint="eastAsia" w:ascii="宋体" w:hAnsi="宋体" w:eastAsia="宋体" w:cs="宋体"/>
          <w:color w:val="auto"/>
          <w:spacing w:val="20"/>
          <w:sz w:val="24"/>
          <w:szCs w:val="24"/>
          <w:highlight w:val="none"/>
          <w:u w:val="single"/>
        </w:rPr>
        <w:t xml:space="preserve">        </w:t>
      </w:r>
    </w:p>
    <w:p w14:paraId="34DDEC04">
      <w:pPr>
        <w:pageBreakBefore w:val="0"/>
        <w:kinsoku/>
        <w:overflowPunct/>
        <w:topLinePunct w:val="0"/>
        <w:bidi w:val="0"/>
        <w:spacing w:line="240" w:lineRule="auto"/>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pacing w:val="20"/>
          <w:sz w:val="24"/>
          <w:szCs w:val="24"/>
          <w:highlight w:val="none"/>
        </w:rPr>
        <w:t>投标人（公章）：</w:t>
      </w:r>
      <w:r>
        <w:rPr>
          <w:rFonts w:hint="eastAsia" w:ascii="宋体" w:hAnsi="宋体" w:eastAsia="宋体" w:cs="宋体"/>
          <w:color w:val="auto"/>
          <w:spacing w:val="20"/>
          <w:sz w:val="24"/>
          <w:szCs w:val="24"/>
          <w:highlight w:val="none"/>
          <w:u w:val="single"/>
        </w:rPr>
        <w:t xml:space="preserve">            </w:t>
      </w:r>
      <w:r>
        <w:rPr>
          <w:rFonts w:hint="eastAsia" w:ascii="宋体" w:hAnsi="宋体" w:eastAsia="宋体" w:cs="宋体"/>
          <w:color w:val="auto"/>
          <w:spacing w:val="20"/>
          <w:sz w:val="24"/>
          <w:szCs w:val="24"/>
          <w:highlight w:val="none"/>
        </w:rPr>
        <w:t xml:space="preserve">              日 期：</w:t>
      </w:r>
      <w:r>
        <w:rPr>
          <w:rFonts w:hint="eastAsia" w:ascii="宋体" w:hAnsi="宋体" w:eastAsia="宋体" w:cs="宋体"/>
          <w:color w:val="auto"/>
          <w:spacing w:val="20"/>
          <w:sz w:val="24"/>
          <w:szCs w:val="24"/>
          <w:highlight w:val="none"/>
          <w:u w:val="single"/>
        </w:rPr>
        <w:t xml:space="preserve">         </w:t>
      </w:r>
    </w:p>
    <w:p w14:paraId="404F4C6A">
      <w:pPr>
        <w:pageBreakBefore w:val="0"/>
        <w:kinsoku/>
        <w:overflowPunct/>
        <w:topLinePunct w:val="0"/>
        <w:bidi w:val="0"/>
        <w:snapToGrid w:val="0"/>
        <w:spacing w:before="50" w:after="50" w:line="240" w:lineRule="auto"/>
        <w:rPr>
          <w:rFonts w:hint="eastAsia" w:ascii="宋体" w:hAnsi="宋体" w:eastAsia="宋体" w:cs="宋体"/>
          <w:color w:val="auto"/>
          <w:sz w:val="24"/>
          <w:szCs w:val="24"/>
          <w:highlight w:val="none"/>
        </w:rPr>
      </w:pPr>
    </w:p>
    <w:p w14:paraId="25178E2C">
      <w:pPr>
        <w:rPr>
          <w:rFonts w:hint="eastAsia"/>
          <w:color w:val="auto"/>
          <w:lang w:val="en-US" w:eastAsia="zh-CN"/>
        </w:rPr>
      </w:pPr>
      <w:r>
        <w:rPr>
          <w:rFonts w:hint="eastAsia"/>
          <w:color w:val="auto"/>
          <w:lang w:val="en-US" w:eastAsia="zh-CN"/>
        </w:rPr>
        <w:br w:type="page"/>
      </w:r>
    </w:p>
    <w:p w14:paraId="4D11EF2C">
      <w:pPr>
        <w:pageBreakBefore w:val="0"/>
        <w:kinsoku/>
        <w:overflowPunct/>
        <w:topLinePunct w:val="0"/>
        <w:bidi w:val="0"/>
        <w:spacing w:line="240" w:lineRule="auto"/>
        <w:contextualSpacing/>
        <w:jc w:val="left"/>
        <w:rPr>
          <w:rFonts w:hint="eastAsia" w:ascii="宋体" w:hAnsi="宋体" w:eastAsia="宋体" w:cs="宋体"/>
          <w:b/>
          <w:color w:val="auto"/>
          <w:sz w:val="21"/>
          <w:szCs w:val="21"/>
          <w:highlight w:val="none"/>
        </w:rPr>
      </w:pPr>
      <w:r>
        <w:rPr>
          <w:rFonts w:hint="eastAsia" w:ascii="宋体" w:hAnsi="宋体" w:eastAsia="宋体" w:cs="宋体"/>
          <w:b/>
          <w:color w:val="auto"/>
          <w:sz w:val="32"/>
          <w:szCs w:val="32"/>
          <w:highlight w:val="none"/>
        </w:rPr>
        <w:t>五、其他文书、文件格式</w:t>
      </w:r>
    </w:p>
    <w:p w14:paraId="43AC5F37">
      <w:pPr>
        <w:pageBreakBefore w:val="0"/>
        <w:kinsoku/>
        <w:overflowPunct/>
        <w:topLinePunct w:val="0"/>
        <w:bidi w:val="0"/>
        <w:spacing w:line="240" w:lineRule="auto"/>
        <w:jc w:val="left"/>
        <w:rPr>
          <w:rFonts w:hint="eastAsia" w:ascii="宋体" w:hAnsi="宋体" w:eastAsia="宋体" w:cs="宋体"/>
          <w:color w:val="auto"/>
          <w:sz w:val="30"/>
          <w:szCs w:val="30"/>
          <w:highlight w:val="none"/>
        </w:rPr>
      </w:pPr>
      <w:r>
        <w:rPr>
          <w:rFonts w:hint="eastAsia" w:ascii="宋体" w:hAnsi="宋体" w:eastAsia="宋体" w:cs="宋体"/>
          <w:b/>
          <w:color w:val="auto"/>
          <w:sz w:val="30"/>
          <w:szCs w:val="30"/>
          <w:highlight w:val="none"/>
        </w:rPr>
        <w:t>1.质疑函（格式）</w:t>
      </w:r>
    </w:p>
    <w:p w14:paraId="25F7A0E7">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8"/>
          <w:szCs w:val="28"/>
          <w:highlight w:val="none"/>
        </w:rPr>
        <w:t>质疑函（格式）</w:t>
      </w:r>
    </w:p>
    <w:p w14:paraId="4E6C77AF">
      <w:pPr>
        <w:pStyle w:val="14"/>
        <w:pageBreakBefore w:val="0"/>
        <w:kinsoku/>
        <w:overflowPunct/>
        <w:topLinePunct w:val="0"/>
        <w:bidi w:val="0"/>
        <w:snapToGrid w:val="0"/>
        <w:spacing w:line="24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一、质疑供应商基本信息：</w:t>
      </w:r>
    </w:p>
    <w:p w14:paraId="13664DE7">
      <w:pPr>
        <w:pStyle w:val="14"/>
        <w:pageBreakBefore w:val="0"/>
        <w:kinsoku/>
        <w:overflowPunct/>
        <w:topLinePunct w:val="0"/>
        <w:bidi w:val="0"/>
        <w:snapToGrid w:val="0"/>
        <w:spacing w:line="24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质疑供应商：</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1C314899">
      <w:pPr>
        <w:pStyle w:val="14"/>
        <w:pageBreakBefore w:val="0"/>
        <w:kinsoku/>
        <w:overflowPunct/>
        <w:topLinePunct w:val="0"/>
        <w:bidi w:val="0"/>
        <w:snapToGrid w:val="0"/>
        <w:spacing w:line="24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138146EF">
      <w:pPr>
        <w:pStyle w:val="14"/>
        <w:pageBreakBefore w:val="0"/>
        <w:kinsoku/>
        <w:overflowPunct/>
        <w:topLinePunct w:val="0"/>
        <w:bidi w:val="0"/>
        <w:snapToGrid w:val="0"/>
        <w:spacing w:line="24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75357AB3">
      <w:pPr>
        <w:pStyle w:val="14"/>
        <w:pageBreakBefore w:val="0"/>
        <w:kinsoku/>
        <w:overflowPunct/>
        <w:topLinePunct w:val="0"/>
        <w:bidi w:val="0"/>
        <w:snapToGrid w:val="0"/>
        <w:spacing w:line="24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授权代表：</w:t>
      </w:r>
      <w:r>
        <w:rPr>
          <w:rFonts w:hint="eastAsia" w:ascii="宋体" w:hAnsi="宋体" w:eastAsia="宋体" w:cs="宋体"/>
          <w:bCs/>
          <w:color w:val="auto"/>
          <w:sz w:val="24"/>
          <w:szCs w:val="24"/>
          <w:highlight w:val="none"/>
          <w:u w:val="single"/>
        </w:rPr>
        <w:t xml:space="preserve">                      </w:t>
      </w:r>
    </w:p>
    <w:p w14:paraId="2FFDDA19">
      <w:pPr>
        <w:pStyle w:val="14"/>
        <w:pageBreakBefore w:val="0"/>
        <w:kinsoku/>
        <w:overflowPunct/>
        <w:topLinePunct w:val="0"/>
        <w:bidi w:val="0"/>
        <w:snapToGrid w:val="0"/>
        <w:spacing w:line="24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76E36965">
      <w:pPr>
        <w:pStyle w:val="14"/>
        <w:pageBreakBefore w:val="0"/>
        <w:kinsoku/>
        <w:overflowPunct/>
        <w:topLinePunct w:val="0"/>
        <w:bidi w:val="0"/>
        <w:snapToGrid w:val="0"/>
        <w:spacing w:line="24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58F3D0FB">
      <w:pPr>
        <w:pStyle w:val="14"/>
        <w:pageBreakBefore w:val="0"/>
        <w:kinsoku/>
        <w:overflowPunct/>
        <w:topLinePunct w:val="0"/>
        <w:bidi w:val="0"/>
        <w:snapToGrid w:val="0"/>
        <w:spacing w:line="24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二、质疑项目基本情况：</w:t>
      </w:r>
    </w:p>
    <w:p w14:paraId="4CE85ED0">
      <w:pPr>
        <w:pStyle w:val="14"/>
        <w:pageBreakBefore w:val="0"/>
        <w:kinsoku/>
        <w:overflowPunct/>
        <w:topLinePunct w:val="0"/>
        <w:bidi w:val="0"/>
        <w:spacing w:line="24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质疑</w:t>
      </w:r>
      <w:r>
        <w:rPr>
          <w:rFonts w:hint="eastAsia" w:ascii="宋体" w:hAnsi="宋体" w:eastAsia="宋体" w:cs="宋体"/>
          <w:color w:val="auto"/>
          <w:sz w:val="24"/>
          <w:szCs w:val="24"/>
          <w:highlight w:val="none"/>
        </w:rPr>
        <w:t>项目的名称：</w:t>
      </w:r>
      <w:r>
        <w:rPr>
          <w:rFonts w:hint="eastAsia" w:ascii="宋体" w:hAnsi="宋体" w:eastAsia="宋体" w:cs="宋体"/>
          <w:bCs/>
          <w:color w:val="auto"/>
          <w:sz w:val="24"/>
          <w:szCs w:val="24"/>
          <w:highlight w:val="none"/>
          <w:u w:val="single"/>
        </w:rPr>
        <w:t xml:space="preserve">                                     </w:t>
      </w:r>
    </w:p>
    <w:p w14:paraId="6944113B">
      <w:pPr>
        <w:pStyle w:val="14"/>
        <w:pageBreakBefore w:val="0"/>
        <w:kinsoku/>
        <w:overflowPunct/>
        <w:topLinePunct w:val="0"/>
        <w:bidi w:val="0"/>
        <w:spacing w:line="24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质疑</w:t>
      </w:r>
      <w:r>
        <w:rPr>
          <w:rFonts w:hint="eastAsia" w:ascii="宋体" w:hAnsi="宋体" w:eastAsia="宋体" w:cs="宋体"/>
          <w:color w:val="auto"/>
          <w:sz w:val="24"/>
          <w:szCs w:val="24"/>
          <w:highlight w:val="none"/>
        </w:rPr>
        <w:t>项目的编号：</w:t>
      </w:r>
      <w:r>
        <w:rPr>
          <w:rFonts w:hint="eastAsia" w:ascii="宋体" w:hAnsi="宋体" w:eastAsia="宋体" w:cs="宋体"/>
          <w:bCs/>
          <w:color w:val="auto"/>
          <w:sz w:val="24"/>
          <w:szCs w:val="24"/>
          <w:highlight w:val="none"/>
          <w:u w:val="single"/>
        </w:rPr>
        <w:t xml:space="preserve">                                     </w:t>
      </w:r>
    </w:p>
    <w:p w14:paraId="507E7E42">
      <w:pPr>
        <w:pStyle w:val="14"/>
        <w:pageBreakBefore w:val="0"/>
        <w:kinsoku/>
        <w:overflowPunct/>
        <w:topLinePunct w:val="0"/>
        <w:bidi w:val="0"/>
        <w:spacing w:line="24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采购人名称：</w:t>
      </w:r>
      <w:r>
        <w:rPr>
          <w:rFonts w:hint="eastAsia" w:ascii="宋体" w:hAnsi="宋体" w:eastAsia="宋体" w:cs="宋体"/>
          <w:bCs/>
          <w:color w:val="auto"/>
          <w:sz w:val="24"/>
          <w:szCs w:val="24"/>
          <w:highlight w:val="none"/>
          <w:u w:val="single"/>
        </w:rPr>
        <w:t xml:space="preserve">                                         </w:t>
      </w:r>
    </w:p>
    <w:p w14:paraId="57E81ADD">
      <w:pPr>
        <w:pStyle w:val="14"/>
        <w:pageBreakBefore w:val="0"/>
        <w:kinsoku/>
        <w:overflowPunct/>
        <w:topLinePunct w:val="0"/>
        <w:bidi w:val="0"/>
        <w:spacing w:line="24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w:t>
      </w:r>
    </w:p>
    <w:p w14:paraId="39FF28A1">
      <w:pPr>
        <w:pStyle w:val="14"/>
        <w:pageBreakBefore w:val="0"/>
        <w:kinsoku/>
        <w:overflowPunct/>
        <w:topLinePunct w:val="0"/>
        <w:bidi w:val="0"/>
        <w:spacing w:line="240" w:lineRule="auto"/>
        <w:ind w:left="25" w:leftChars="12" w:firstLine="352" w:firstLineChars="14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□采购文件   采购文件获取日期：</w:t>
      </w:r>
      <w:r>
        <w:rPr>
          <w:rFonts w:hint="eastAsia" w:ascii="宋体" w:hAnsi="宋体" w:eastAsia="宋体" w:cs="宋体"/>
          <w:bCs/>
          <w:color w:val="auto"/>
          <w:sz w:val="24"/>
          <w:szCs w:val="24"/>
          <w:highlight w:val="none"/>
          <w:u w:val="single"/>
        </w:rPr>
        <w:t xml:space="preserve">                                   </w:t>
      </w:r>
    </w:p>
    <w:p w14:paraId="5AE3888A">
      <w:pPr>
        <w:pStyle w:val="14"/>
        <w:pageBreakBefore w:val="0"/>
        <w:kinsoku/>
        <w:overflowPunct/>
        <w:topLinePunct w:val="0"/>
        <w:bidi w:val="0"/>
        <w:spacing w:line="240" w:lineRule="auto"/>
        <w:ind w:left="25" w:leftChars="12" w:firstLine="352" w:firstLineChars="14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□采购过程   </w:t>
      </w:r>
    </w:p>
    <w:p w14:paraId="34F28E93">
      <w:pPr>
        <w:pStyle w:val="14"/>
        <w:pageBreakBefore w:val="0"/>
        <w:kinsoku/>
        <w:overflowPunct/>
        <w:topLinePunct w:val="0"/>
        <w:bidi w:val="0"/>
        <w:spacing w:line="240" w:lineRule="auto"/>
        <w:ind w:left="25" w:leftChars="12" w:firstLine="352" w:firstLineChars="14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 xml:space="preserve">□采购结果   </w:t>
      </w:r>
    </w:p>
    <w:p w14:paraId="1E814490">
      <w:pPr>
        <w:pStyle w:val="14"/>
        <w:pageBreakBefore w:val="0"/>
        <w:kinsoku/>
        <w:overflowPunct/>
        <w:topLinePunct w:val="0"/>
        <w:bidi w:val="0"/>
        <w:spacing w:line="24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三、质疑事项具体内容</w:t>
      </w:r>
    </w:p>
    <w:p w14:paraId="11CE8523">
      <w:pPr>
        <w:pStyle w:val="14"/>
        <w:pageBreakBefore w:val="0"/>
        <w:kinsoku/>
        <w:overflowPunct/>
        <w:topLinePunct w:val="0"/>
        <w:bidi w:val="0"/>
        <w:spacing w:line="24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质疑事项1：</w:t>
      </w:r>
      <w:r>
        <w:rPr>
          <w:rFonts w:hint="eastAsia" w:ascii="宋体" w:hAnsi="宋体" w:eastAsia="宋体" w:cs="宋体"/>
          <w:bCs/>
          <w:color w:val="auto"/>
          <w:sz w:val="24"/>
          <w:szCs w:val="24"/>
          <w:highlight w:val="none"/>
          <w:u w:val="single"/>
        </w:rPr>
        <w:t xml:space="preserve">                                                                    </w:t>
      </w:r>
    </w:p>
    <w:p w14:paraId="7FB2DB5E">
      <w:pPr>
        <w:pStyle w:val="14"/>
        <w:pageBreakBefore w:val="0"/>
        <w:kinsoku/>
        <w:overflowPunct/>
        <w:topLinePunct w:val="0"/>
        <w:bidi w:val="0"/>
        <w:spacing w:line="24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事实依据：</w:t>
      </w:r>
      <w:r>
        <w:rPr>
          <w:rFonts w:hint="eastAsia" w:ascii="宋体" w:hAnsi="宋体" w:eastAsia="宋体" w:cs="宋体"/>
          <w:bCs/>
          <w:color w:val="auto"/>
          <w:sz w:val="24"/>
          <w:szCs w:val="24"/>
          <w:highlight w:val="none"/>
          <w:u w:val="single"/>
        </w:rPr>
        <w:t xml:space="preserve">                                                                      </w:t>
      </w:r>
    </w:p>
    <w:p w14:paraId="5DB357D5">
      <w:pPr>
        <w:pStyle w:val="14"/>
        <w:pageBreakBefore w:val="0"/>
        <w:kinsoku/>
        <w:overflowPunct/>
        <w:topLinePunct w:val="0"/>
        <w:bidi w:val="0"/>
        <w:spacing w:line="24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法律依据：</w:t>
      </w:r>
      <w:r>
        <w:rPr>
          <w:rFonts w:hint="eastAsia" w:ascii="宋体" w:hAnsi="宋体" w:eastAsia="宋体" w:cs="宋体"/>
          <w:color w:val="auto"/>
          <w:sz w:val="24"/>
          <w:szCs w:val="24"/>
          <w:highlight w:val="none"/>
          <w:u w:val="single"/>
        </w:rPr>
        <w:t xml:space="preserve">                                                        </w:t>
      </w:r>
      <w:r>
        <w:rPr>
          <w:rFonts w:hint="eastAsia" w:ascii="宋体" w:hAnsi="宋体" w:eastAsia="宋体" w:cs="宋体"/>
          <w:bCs/>
          <w:color w:val="auto"/>
          <w:sz w:val="24"/>
          <w:szCs w:val="24"/>
          <w:highlight w:val="none"/>
          <w:u w:val="single"/>
        </w:rPr>
        <w:t xml:space="preserve">               </w:t>
      </w:r>
    </w:p>
    <w:p w14:paraId="3834BA8A">
      <w:pPr>
        <w:pStyle w:val="14"/>
        <w:pageBreakBefore w:val="0"/>
        <w:kinsoku/>
        <w:overflowPunct/>
        <w:topLinePunct w:val="0"/>
        <w:bidi w:val="0"/>
        <w:spacing w:line="24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质疑事项2</w:t>
      </w:r>
    </w:p>
    <w:p w14:paraId="66C6EFE7">
      <w:pPr>
        <w:pStyle w:val="14"/>
        <w:pageBreakBefore w:val="0"/>
        <w:kinsoku/>
        <w:overflowPunct/>
        <w:topLinePunct w:val="0"/>
        <w:bidi w:val="0"/>
        <w:spacing w:line="24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14:paraId="5CD7E9D3">
      <w:pPr>
        <w:pStyle w:val="14"/>
        <w:pageBreakBefore w:val="0"/>
        <w:kinsoku/>
        <w:overflowPunct/>
        <w:topLinePunct w:val="0"/>
        <w:bidi w:val="0"/>
        <w:spacing w:line="24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四、与质疑事项相关的质疑请求：</w:t>
      </w:r>
    </w:p>
    <w:p w14:paraId="7080839F">
      <w:pPr>
        <w:pStyle w:val="14"/>
        <w:pageBreakBefore w:val="0"/>
        <w:kinsoku/>
        <w:overflowPunct/>
        <w:topLinePunct w:val="0"/>
        <w:bidi w:val="0"/>
        <w:spacing w:line="24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请求：</w:t>
      </w:r>
      <w:r>
        <w:rPr>
          <w:rFonts w:hint="eastAsia" w:ascii="宋体" w:hAnsi="宋体" w:eastAsia="宋体" w:cs="宋体"/>
          <w:bCs/>
          <w:color w:val="auto"/>
          <w:sz w:val="24"/>
          <w:szCs w:val="24"/>
          <w:highlight w:val="none"/>
          <w:u w:val="single"/>
        </w:rPr>
        <w:t xml:space="preserve">                                                                </w:t>
      </w:r>
    </w:p>
    <w:p w14:paraId="67DA8C98">
      <w:pPr>
        <w:pStyle w:val="14"/>
        <w:pageBreakBefore w:val="0"/>
        <w:kinsoku/>
        <w:overflowPunct/>
        <w:topLinePunct w:val="0"/>
        <w:bidi w:val="0"/>
        <w:spacing w:line="240" w:lineRule="auto"/>
        <w:ind w:left="25" w:leftChars="12" w:firstLine="352" w:firstLineChars="147"/>
        <w:rPr>
          <w:rFonts w:hint="eastAsia" w:ascii="宋体" w:hAnsi="宋体" w:eastAsia="宋体" w:cs="宋体"/>
          <w:color w:val="auto"/>
          <w:sz w:val="24"/>
          <w:szCs w:val="24"/>
          <w:highlight w:val="none"/>
        </w:rPr>
      </w:pPr>
    </w:p>
    <w:p w14:paraId="55C2FD0A">
      <w:pPr>
        <w:pStyle w:val="14"/>
        <w:pageBreakBefore w:val="0"/>
        <w:kinsoku/>
        <w:overflowPunct/>
        <w:topLinePunct w:val="0"/>
        <w:bidi w:val="0"/>
        <w:spacing w:line="24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签字（签章）：                                       公章：</w:t>
      </w:r>
    </w:p>
    <w:p w14:paraId="040C23AC">
      <w:pPr>
        <w:pStyle w:val="14"/>
        <w:pageBreakBefore w:val="0"/>
        <w:kinsoku/>
        <w:overflowPunct/>
        <w:topLinePunct w:val="0"/>
        <w:bidi w:val="0"/>
        <w:spacing w:line="24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14:paraId="61BE56E9">
      <w:pPr>
        <w:pStyle w:val="14"/>
        <w:pageBreakBefore w:val="0"/>
        <w:kinsoku/>
        <w:overflowPunct/>
        <w:topLinePunct w:val="0"/>
        <w:bidi w:val="0"/>
        <w:snapToGrid w:val="0"/>
        <w:spacing w:line="240" w:lineRule="auto"/>
        <w:rPr>
          <w:rFonts w:hint="eastAsia" w:ascii="宋体" w:hAnsi="宋体" w:eastAsia="宋体" w:cs="宋体"/>
          <w:b/>
          <w:color w:val="auto"/>
          <w:sz w:val="24"/>
          <w:szCs w:val="24"/>
          <w:highlight w:val="none"/>
        </w:rPr>
      </w:pPr>
    </w:p>
    <w:p w14:paraId="5DF1A470">
      <w:pPr>
        <w:pStyle w:val="14"/>
        <w:pageBreakBefore w:val="0"/>
        <w:kinsoku/>
        <w:overflowPunct/>
        <w:topLinePunct w:val="0"/>
        <w:bidi w:val="0"/>
        <w:snapToGrid w:val="0"/>
        <w:spacing w:line="24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说明：</w:t>
      </w:r>
    </w:p>
    <w:p w14:paraId="16CF4BF7">
      <w:pPr>
        <w:pStyle w:val="14"/>
        <w:pageBreakBefore w:val="0"/>
        <w:kinsoku/>
        <w:overflowPunct/>
        <w:topLinePunct w:val="0"/>
        <w:bidi w:val="0"/>
        <w:spacing w:line="240" w:lineRule="auto"/>
        <w:ind w:left="25" w:leftChars="12" w:firstLine="354" w:firstLineChars="147"/>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1.供应商提出质疑时，应提交质疑函和必要的证明材料</w:t>
      </w:r>
      <w:r>
        <w:rPr>
          <w:rFonts w:hint="eastAsia" w:ascii="宋体" w:hAnsi="宋体" w:eastAsia="宋体" w:cs="宋体"/>
          <w:b/>
          <w:bCs/>
          <w:color w:val="auto"/>
          <w:sz w:val="24"/>
          <w:szCs w:val="24"/>
          <w:highlight w:val="none"/>
        </w:rPr>
        <w:t>。</w:t>
      </w:r>
    </w:p>
    <w:p w14:paraId="4F9F4603">
      <w:pPr>
        <w:pStyle w:val="14"/>
        <w:pageBreakBefore w:val="0"/>
        <w:kinsoku/>
        <w:overflowPunct/>
        <w:topLinePunct w:val="0"/>
        <w:bidi w:val="0"/>
        <w:spacing w:line="24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2222218">
      <w:pPr>
        <w:pStyle w:val="14"/>
        <w:pageBreakBefore w:val="0"/>
        <w:kinsoku/>
        <w:overflowPunct/>
        <w:topLinePunct w:val="0"/>
        <w:bidi w:val="0"/>
        <w:spacing w:line="24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3.质疑函的质疑事项应具体、明确，并有必要的事实依据和法律依据。</w:t>
      </w:r>
    </w:p>
    <w:p w14:paraId="51B96F4D">
      <w:pPr>
        <w:pStyle w:val="14"/>
        <w:pageBreakBefore w:val="0"/>
        <w:kinsoku/>
        <w:overflowPunct/>
        <w:topLinePunct w:val="0"/>
        <w:bidi w:val="0"/>
        <w:spacing w:line="24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4.质疑函的质疑请求应与质疑事项相关。</w:t>
      </w:r>
    </w:p>
    <w:p w14:paraId="7AB337DD">
      <w:pPr>
        <w:pStyle w:val="14"/>
        <w:pageBreakBefore w:val="0"/>
        <w:kinsoku/>
        <w:overflowPunct/>
        <w:topLinePunct w:val="0"/>
        <w:bidi w:val="0"/>
        <w:spacing w:line="24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5.质疑供应商为法人或者其他组织的，质疑函应由法定代表人、主要负责人，或者其授权代表签字或者盖章，并加盖公章。</w:t>
      </w:r>
    </w:p>
    <w:p w14:paraId="1225A0F6">
      <w:pPr>
        <w:pStyle w:val="14"/>
        <w:pageBreakBefore w:val="0"/>
        <w:kinsoku/>
        <w:overflowPunct/>
        <w:topLinePunct w:val="0"/>
        <w:bidi w:val="0"/>
        <w:snapToGrid w:val="0"/>
        <w:spacing w:line="240" w:lineRule="auto"/>
        <w:rPr>
          <w:rFonts w:hint="eastAsia" w:ascii="宋体" w:hAnsi="宋体" w:eastAsia="宋体" w:cs="宋体"/>
          <w:b/>
          <w:color w:val="auto"/>
          <w:sz w:val="21"/>
          <w:szCs w:val="21"/>
          <w:highlight w:val="none"/>
        </w:rPr>
      </w:pPr>
    </w:p>
    <w:p w14:paraId="350F0CC7">
      <w:pPr>
        <w:rPr>
          <w:rFonts w:hint="eastAsia"/>
          <w:color w:val="auto"/>
          <w:lang w:val="en-US" w:eastAsia="zh-CN"/>
        </w:rPr>
      </w:pPr>
      <w:r>
        <w:rPr>
          <w:rFonts w:hint="eastAsia"/>
          <w:color w:val="auto"/>
          <w:lang w:val="en-US" w:eastAsia="zh-CN"/>
        </w:rPr>
        <w:br w:type="page"/>
      </w:r>
    </w:p>
    <w:p w14:paraId="09449234">
      <w:pPr>
        <w:pageBreakBefore w:val="0"/>
        <w:kinsoku/>
        <w:overflowPunct/>
        <w:topLinePunct w:val="0"/>
        <w:bidi w:val="0"/>
        <w:spacing w:line="240" w:lineRule="auto"/>
        <w:jc w:val="left"/>
        <w:rPr>
          <w:rFonts w:hint="eastAsia" w:ascii="宋体" w:hAnsi="宋体" w:eastAsia="宋体" w:cs="宋体"/>
          <w:b/>
          <w:bCs/>
          <w:color w:val="auto"/>
          <w:sz w:val="30"/>
          <w:szCs w:val="30"/>
          <w:highlight w:val="none"/>
        </w:rPr>
      </w:pPr>
      <w:r>
        <w:rPr>
          <w:rFonts w:hint="eastAsia" w:ascii="宋体" w:hAnsi="宋体" w:eastAsia="宋体" w:cs="宋体"/>
          <w:b/>
          <w:color w:val="auto"/>
          <w:sz w:val="30"/>
          <w:szCs w:val="30"/>
          <w:highlight w:val="none"/>
        </w:rPr>
        <w:t>2.投诉书（格式）</w:t>
      </w:r>
    </w:p>
    <w:p w14:paraId="7D60EF28">
      <w:pPr>
        <w:pageBreakBefore w:val="0"/>
        <w:kinsoku/>
        <w:overflowPunct/>
        <w:topLinePunct w:val="0"/>
        <w:bidi w:val="0"/>
        <w:spacing w:line="240"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投诉书（格式）</w:t>
      </w:r>
    </w:p>
    <w:p w14:paraId="510C95BD">
      <w:pPr>
        <w:pStyle w:val="14"/>
        <w:pageBreakBefore w:val="0"/>
        <w:kinsoku/>
        <w:overflowPunct/>
        <w:topLinePunct w:val="0"/>
        <w:bidi w:val="0"/>
        <w:snapToGrid w:val="0"/>
        <w:spacing w:line="24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一、投诉相关主体基本情况：</w:t>
      </w:r>
    </w:p>
    <w:p w14:paraId="217762E9">
      <w:pPr>
        <w:pStyle w:val="14"/>
        <w:pageBreakBefore w:val="0"/>
        <w:kinsoku/>
        <w:overflowPunct/>
        <w:topLinePunct w:val="0"/>
        <w:bidi w:val="0"/>
        <w:snapToGrid w:val="0"/>
        <w:spacing w:line="240" w:lineRule="auto"/>
        <w:ind w:firstLine="480" w:firstLineChars="200"/>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投标人：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08F4C6EA">
      <w:pPr>
        <w:pStyle w:val="14"/>
        <w:pageBreakBefore w:val="0"/>
        <w:kinsoku/>
        <w:overflowPunct/>
        <w:topLinePunct w:val="0"/>
        <w:bidi w:val="0"/>
        <w:snapToGrid w:val="0"/>
        <w:spacing w:line="24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57F4E423">
      <w:pPr>
        <w:pStyle w:val="14"/>
        <w:pageBreakBefore w:val="0"/>
        <w:kinsoku/>
        <w:overflowPunct/>
        <w:topLinePunct w:val="0"/>
        <w:bidi w:val="0"/>
        <w:snapToGrid w:val="0"/>
        <w:spacing w:line="240" w:lineRule="auto"/>
        <w:ind w:firstLine="480" w:firstLineChars="200"/>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法定代表人/主要负责人：</w:t>
      </w:r>
      <w:r>
        <w:rPr>
          <w:rFonts w:hint="eastAsia" w:ascii="宋体" w:hAnsi="宋体" w:eastAsia="宋体" w:cs="宋体"/>
          <w:bCs/>
          <w:color w:val="auto"/>
          <w:sz w:val="24"/>
          <w:szCs w:val="24"/>
          <w:highlight w:val="none"/>
          <w:u w:val="single"/>
        </w:rPr>
        <w:t xml:space="preserve">                                                         </w:t>
      </w:r>
    </w:p>
    <w:p w14:paraId="0E80115A">
      <w:pPr>
        <w:pStyle w:val="14"/>
        <w:pageBreakBefore w:val="0"/>
        <w:kinsoku/>
        <w:overflowPunct/>
        <w:topLinePunct w:val="0"/>
        <w:bidi w:val="0"/>
        <w:snapToGrid w:val="0"/>
        <w:spacing w:line="24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48EAA3B9">
      <w:pPr>
        <w:pStyle w:val="14"/>
        <w:pageBreakBefore w:val="0"/>
        <w:kinsoku/>
        <w:overflowPunct/>
        <w:topLinePunct w:val="0"/>
        <w:bidi w:val="0"/>
        <w:snapToGrid w:val="0"/>
        <w:spacing w:line="240" w:lineRule="auto"/>
        <w:ind w:firstLine="480" w:firstLineChars="200"/>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授权代表：</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0E97CA8E">
      <w:pPr>
        <w:pStyle w:val="14"/>
        <w:pageBreakBefore w:val="0"/>
        <w:kinsoku/>
        <w:overflowPunct/>
        <w:topLinePunct w:val="0"/>
        <w:bidi w:val="0"/>
        <w:snapToGrid w:val="0"/>
        <w:spacing w:line="240" w:lineRule="auto"/>
        <w:ind w:firstLine="480" w:firstLineChars="200"/>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p>
    <w:p w14:paraId="13F9A26A">
      <w:pPr>
        <w:pStyle w:val="14"/>
        <w:pageBreakBefore w:val="0"/>
        <w:kinsoku/>
        <w:overflowPunct/>
        <w:topLinePunct w:val="0"/>
        <w:bidi w:val="0"/>
        <w:snapToGrid w:val="0"/>
        <w:spacing w:line="24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5836F686">
      <w:pPr>
        <w:pStyle w:val="14"/>
        <w:pageBreakBefore w:val="0"/>
        <w:kinsoku/>
        <w:overflowPunct/>
        <w:topLinePunct w:val="0"/>
        <w:bidi w:val="0"/>
        <w:snapToGrid w:val="0"/>
        <w:spacing w:line="24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被投诉人1：</w:t>
      </w:r>
    </w:p>
    <w:p w14:paraId="7C0291D7">
      <w:pPr>
        <w:pStyle w:val="14"/>
        <w:pageBreakBefore w:val="0"/>
        <w:kinsoku/>
        <w:overflowPunct/>
        <w:topLinePunct w:val="0"/>
        <w:bidi w:val="0"/>
        <w:snapToGrid w:val="0"/>
        <w:spacing w:line="240" w:lineRule="auto"/>
        <w:ind w:firstLine="480" w:firstLineChars="200"/>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p>
    <w:p w14:paraId="28FC554B">
      <w:pPr>
        <w:pStyle w:val="14"/>
        <w:pageBreakBefore w:val="0"/>
        <w:kinsoku/>
        <w:overflowPunct/>
        <w:topLinePunct w:val="0"/>
        <w:bidi w:val="0"/>
        <w:snapToGrid w:val="0"/>
        <w:spacing w:line="24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4E1D75C4">
      <w:pPr>
        <w:pStyle w:val="14"/>
        <w:pageBreakBefore w:val="0"/>
        <w:kinsoku/>
        <w:overflowPunct/>
        <w:topLinePunct w:val="0"/>
        <w:bidi w:val="0"/>
        <w:snapToGrid w:val="0"/>
        <w:spacing w:line="240" w:lineRule="auto"/>
        <w:ind w:firstLine="480" w:firstLineChars="200"/>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0D64C8E7">
      <w:pPr>
        <w:pStyle w:val="14"/>
        <w:pageBreakBefore w:val="0"/>
        <w:kinsoku/>
        <w:overflowPunct/>
        <w:topLinePunct w:val="0"/>
        <w:bidi w:val="0"/>
        <w:snapToGrid w:val="0"/>
        <w:spacing w:line="24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被投诉人2：</w:t>
      </w:r>
    </w:p>
    <w:p w14:paraId="56E82E04">
      <w:pPr>
        <w:pStyle w:val="14"/>
        <w:pageBreakBefore w:val="0"/>
        <w:kinsoku/>
        <w:overflowPunct/>
        <w:topLinePunct w:val="0"/>
        <w:bidi w:val="0"/>
        <w:snapToGrid w:val="0"/>
        <w:spacing w:line="24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p>
    <w:p w14:paraId="11CBCD2F">
      <w:pPr>
        <w:pStyle w:val="14"/>
        <w:pageBreakBefore w:val="0"/>
        <w:kinsoku/>
        <w:overflowPunct/>
        <w:topLinePunct w:val="0"/>
        <w:bidi w:val="0"/>
        <w:snapToGrid w:val="0"/>
        <w:spacing w:line="240" w:lineRule="auto"/>
        <w:ind w:firstLine="480" w:firstLineChars="200"/>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相关供应商：</w:t>
      </w:r>
      <w:r>
        <w:rPr>
          <w:rFonts w:hint="eastAsia" w:ascii="宋体" w:hAnsi="宋体" w:eastAsia="宋体" w:cs="宋体"/>
          <w:bCs/>
          <w:color w:val="auto"/>
          <w:sz w:val="24"/>
          <w:szCs w:val="24"/>
          <w:highlight w:val="none"/>
          <w:u w:val="single"/>
        </w:rPr>
        <w:t xml:space="preserve">                                                                       </w:t>
      </w:r>
    </w:p>
    <w:p w14:paraId="1DD1524F">
      <w:pPr>
        <w:pStyle w:val="14"/>
        <w:pageBreakBefore w:val="0"/>
        <w:kinsoku/>
        <w:overflowPunct/>
        <w:topLinePunct w:val="0"/>
        <w:bidi w:val="0"/>
        <w:snapToGrid w:val="0"/>
        <w:spacing w:line="240" w:lineRule="auto"/>
        <w:ind w:firstLine="480" w:firstLineChars="200"/>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p>
    <w:p w14:paraId="5DAEB08B">
      <w:pPr>
        <w:pStyle w:val="14"/>
        <w:pageBreakBefore w:val="0"/>
        <w:kinsoku/>
        <w:overflowPunct/>
        <w:topLinePunct w:val="0"/>
        <w:bidi w:val="0"/>
        <w:snapToGrid w:val="0"/>
        <w:spacing w:line="24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2FEF4463">
      <w:pPr>
        <w:pStyle w:val="14"/>
        <w:pageBreakBefore w:val="0"/>
        <w:kinsoku/>
        <w:overflowPunct/>
        <w:topLinePunct w:val="0"/>
        <w:bidi w:val="0"/>
        <w:snapToGrid w:val="0"/>
        <w:spacing w:line="24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二、投诉项目基本情况：</w:t>
      </w:r>
    </w:p>
    <w:p w14:paraId="7748C221">
      <w:pPr>
        <w:pStyle w:val="14"/>
        <w:pageBreakBefore w:val="0"/>
        <w:kinsoku/>
        <w:overflowPunct/>
        <w:topLinePunct w:val="0"/>
        <w:bidi w:val="0"/>
        <w:spacing w:line="24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采购</w:t>
      </w:r>
      <w:r>
        <w:rPr>
          <w:rFonts w:hint="eastAsia" w:ascii="宋体" w:hAnsi="宋体" w:eastAsia="宋体" w:cs="宋体"/>
          <w:color w:val="auto"/>
          <w:sz w:val="24"/>
          <w:szCs w:val="24"/>
          <w:highlight w:val="none"/>
        </w:rPr>
        <w:t>项目的名称：</w:t>
      </w:r>
      <w:r>
        <w:rPr>
          <w:rFonts w:hint="eastAsia" w:ascii="宋体" w:hAnsi="宋体" w:eastAsia="宋体" w:cs="宋体"/>
          <w:bCs/>
          <w:color w:val="auto"/>
          <w:sz w:val="24"/>
          <w:szCs w:val="24"/>
          <w:highlight w:val="none"/>
          <w:u w:val="single"/>
        </w:rPr>
        <w:t xml:space="preserve">                                                                   </w:t>
      </w:r>
    </w:p>
    <w:p w14:paraId="3F96F74D">
      <w:pPr>
        <w:pStyle w:val="14"/>
        <w:pageBreakBefore w:val="0"/>
        <w:kinsoku/>
        <w:overflowPunct/>
        <w:topLinePunct w:val="0"/>
        <w:bidi w:val="0"/>
        <w:spacing w:line="24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采购</w:t>
      </w:r>
      <w:r>
        <w:rPr>
          <w:rFonts w:hint="eastAsia" w:ascii="宋体" w:hAnsi="宋体" w:eastAsia="宋体" w:cs="宋体"/>
          <w:color w:val="auto"/>
          <w:sz w:val="24"/>
          <w:szCs w:val="24"/>
          <w:highlight w:val="none"/>
        </w:rPr>
        <w:t>项目的编号：</w:t>
      </w:r>
      <w:r>
        <w:rPr>
          <w:rFonts w:hint="eastAsia" w:ascii="宋体" w:hAnsi="宋体" w:eastAsia="宋体" w:cs="宋体"/>
          <w:bCs/>
          <w:color w:val="auto"/>
          <w:sz w:val="24"/>
          <w:szCs w:val="24"/>
          <w:highlight w:val="none"/>
          <w:u w:val="single"/>
        </w:rPr>
        <w:t xml:space="preserve">                                          </w:t>
      </w:r>
    </w:p>
    <w:p w14:paraId="4893777F">
      <w:pPr>
        <w:pStyle w:val="14"/>
        <w:pageBreakBefore w:val="0"/>
        <w:kinsoku/>
        <w:overflowPunct/>
        <w:topLinePunct w:val="0"/>
        <w:bidi w:val="0"/>
        <w:spacing w:line="24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采购人名称：</w:t>
      </w:r>
      <w:r>
        <w:rPr>
          <w:rFonts w:hint="eastAsia" w:ascii="宋体" w:hAnsi="宋体" w:eastAsia="宋体" w:cs="宋体"/>
          <w:bCs/>
          <w:color w:val="auto"/>
          <w:sz w:val="24"/>
          <w:szCs w:val="24"/>
          <w:highlight w:val="none"/>
          <w:u w:val="single"/>
        </w:rPr>
        <w:t xml:space="preserve">                                                                        </w:t>
      </w:r>
    </w:p>
    <w:p w14:paraId="6B2CCEDE">
      <w:pPr>
        <w:pStyle w:val="14"/>
        <w:pageBreakBefore w:val="0"/>
        <w:kinsoku/>
        <w:overflowPunct/>
        <w:topLinePunct w:val="0"/>
        <w:bidi w:val="0"/>
        <w:spacing w:line="24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代理机构名称：</w:t>
      </w:r>
      <w:r>
        <w:rPr>
          <w:rFonts w:hint="eastAsia" w:ascii="宋体" w:hAnsi="宋体" w:eastAsia="宋体" w:cs="宋体"/>
          <w:bCs/>
          <w:color w:val="auto"/>
          <w:sz w:val="24"/>
          <w:szCs w:val="24"/>
          <w:highlight w:val="none"/>
          <w:u w:val="single"/>
        </w:rPr>
        <w:t xml:space="preserve">                                                                      </w:t>
      </w:r>
    </w:p>
    <w:p w14:paraId="70B1276D">
      <w:pPr>
        <w:pStyle w:val="14"/>
        <w:pageBreakBefore w:val="0"/>
        <w:kinsoku/>
        <w:overflowPunct/>
        <w:topLinePunct w:val="0"/>
        <w:bidi w:val="0"/>
        <w:spacing w:line="24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采购文件公告：</w:t>
      </w:r>
      <w:r>
        <w:rPr>
          <w:rFonts w:hint="eastAsia" w:ascii="宋体" w:hAnsi="宋体" w:eastAsia="宋体" w:cs="宋体"/>
          <w:bCs/>
          <w:color w:val="auto"/>
          <w:sz w:val="24"/>
          <w:szCs w:val="24"/>
          <w:highlight w:val="none"/>
          <w:u w:val="single"/>
        </w:rPr>
        <w:t>是/否</w:t>
      </w:r>
      <w:r>
        <w:rPr>
          <w:rFonts w:hint="eastAsia" w:ascii="宋体" w:hAnsi="宋体" w:eastAsia="宋体" w:cs="宋体"/>
          <w:bCs/>
          <w:color w:val="auto"/>
          <w:sz w:val="24"/>
          <w:szCs w:val="24"/>
          <w:highlight w:val="none"/>
        </w:rPr>
        <w:t>公告期限：</w:t>
      </w:r>
      <w:r>
        <w:rPr>
          <w:rFonts w:hint="eastAsia" w:ascii="宋体" w:hAnsi="宋体" w:eastAsia="宋体" w:cs="宋体"/>
          <w:bCs/>
          <w:color w:val="auto"/>
          <w:sz w:val="24"/>
          <w:szCs w:val="24"/>
          <w:highlight w:val="none"/>
          <w:u w:val="single"/>
        </w:rPr>
        <w:t xml:space="preserve">                                                       </w:t>
      </w:r>
    </w:p>
    <w:p w14:paraId="2B8011B8">
      <w:pPr>
        <w:pStyle w:val="14"/>
        <w:pageBreakBefore w:val="0"/>
        <w:kinsoku/>
        <w:overflowPunct/>
        <w:topLinePunct w:val="0"/>
        <w:bidi w:val="0"/>
        <w:spacing w:line="240" w:lineRule="auto"/>
        <w:ind w:left="25" w:leftChars="12" w:firstLine="472" w:firstLineChars="197"/>
        <w:rPr>
          <w:rFonts w:hint="eastAsia" w:ascii="宋体" w:hAnsi="宋体" w:eastAsia="宋体" w:cs="宋体"/>
          <w:b/>
          <w:color w:val="auto"/>
          <w:sz w:val="24"/>
          <w:szCs w:val="24"/>
          <w:highlight w:val="none"/>
        </w:rPr>
      </w:pPr>
      <w:r>
        <w:rPr>
          <w:rFonts w:hint="eastAsia" w:ascii="宋体" w:hAnsi="宋体" w:eastAsia="宋体" w:cs="宋体"/>
          <w:bCs/>
          <w:color w:val="auto"/>
          <w:sz w:val="24"/>
          <w:szCs w:val="24"/>
          <w:highlight w:val="none"/>
        </w:rPr>
        <w:t>采购结果公告：</w:t>
      </w:r>
      <w:r>
        <w:rPr>
          <w:rFonts w:hint="eastAsia" w:ascii="宋体" w:hAnsi="宋体" w:eastAsia="宋体" w:cs="宋体"/>
          <w:bCs/>
          <w:color w:val="auto"/>
          <w:sz w:val="24"/>
          <w:szCs w:val="24"/>
          <w:highlight w:val="none"/>
          <w:u w:val="single"/>
        </w:rPr>
        <w:t>是/否</w:t>
      </w:r>
      <w:r>
        <w:rPr>
          <w:rFonts w:hint="eastAsia" w:ascii="宋体" w:hAnsi="宋体" w:eastAsia="宋体" w:cs="宋体"/>
          <w:bCs/>
          <w:color w:val="auto"/>
          <w:sz w:val="24"/>
          <w:szCs w:val="24"/>
          <w:highlight w:val="none"/>
        </w:rPr>
        <w:t>公告期限：</w:t>
      </w:r>
      <w:r>
        <w:rPr>
          <w:rFonts w:hint="eastAsia" w:ascii="宋体" w:hAnsi="宋体" w:eastAsia="宋体" w:cs="宋体"/>
          <w:bCs/>
          <w:color w:val="auto"/>
          <w:sz w:val="24"/>
          <w:szCs w:val="24"/>
          <w:highlight w:val="none"/>
          <w:u w:val="single"/>
        </w:rPr>
        <w:t xml:space="preserve">                                                       </w:t>
      </w:r>
    </w:p>
    <w:p w14:paraId="270B95F3">
      <w:pPr>
        <w:pStyle w:val="14"/>
        <w:pageBreakBefore w:val="0"/>
        <w:kinsoku/>
        <w:overflowPunct/>
        <w:topLinePunct w:val="0"/>
        <w:bidi w:val="0"/>
        <w:spacing w:line="24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三、质疑基本情况</w:t>
      </w:r>
    </w:p>
    <w:p w14:paraId="5EE84530">
      <w:pPr>
        <w:pStyle w:val="14"/>
        <w:pageBreakBefore w:val="0"/>
        <w:kinsoku/>
        <w:overflowPunct/>
        <w:topLinePunct w:val="0"/>
        <w:bidi w:val="0"/>
        <w:spacing w:line="240" w:lineRule="auto"/>
        <w:ind w:left="25" w:leftChars="12"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投诉人于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提出质疑，质疑事项为：</w:t>
      </w:r>
    </w:p>
    <w:p w14:paraId="41FF1F20">
      <w:pPr>
        <w:pStyle w:val="14"/>
        <w:pageBreakBefore w:val="0"/>
        <w:kinsoku/>
        <w:overflowPunct/>
        <w:topLinePunct w:val="0"/>
        <w:bidi w:val="0"/>
        <w:spacing w:line="240" w:lineRule="auto"/>
        <w:ind w:firstLine="241"/>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2FB5594F">
      <w:pPr>
        <w:pStyle w:val="14"/>
        <w:pageBreakBefore w:val="0"/>
        <w:kinsoku/>
        <w:overflowPunct/>
        <w:topLinePunct w:val="0"/>
        <w:bidi w:val="0"/>
        <w:spacing w:line="240" w:lineRule="auto"/>
        <w:ind w:firstLine="241"/>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23309D7A">
      <w:pPr>
        <w:pStyle w:val="14"/>
        <w:pageBreakBefore w:val="0"/>
        <w:kinsoku/>
        <w:overflowPunct/>
        <w:topLinePunct w:val="0"/>
        <w:bidi w:val="0"/>
        <w:spacing w:line="24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u w:val="single"/>
        </w:rPr>
        <w:t>采购人/代理机构</w:t>
      </w:r>
      <w:r>
        <w:rPr>
          <w:rFonts w:hint="eastAsia" w:ascii="宋体" w:hAnsi="宋体" w:eastAsia="宋体" w:cs="宋体"/>
          <w:bCs/>
          <w:color w:val="auto"/>
          <w:sz w:val="24"/>
          <w:szCs w:val="24"/>
          <w:highlight w:val="none"/>
        </w:rPr>
        <w:t>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bCs/>
          <w:color w:val="auto"/>
          <w:sz w:val="24"/>
          <w:szCs w:val="24"/>
          <w:highlight w:val="none"/>
        </w:rPr>
        <w:t xml:space="preserve">就质疑事项作出了答复/没有在法定期限内作出答复。                                                                                             </w:t>
      </w:r>
    </w:p>
    <w:p w14:paraId="2D27FC38">
      <w:pPr>
        <w:pStyle w:val="14"/>
        <w:pageBreakBefore w:val="0"/>
        <w:kinsoku/>
        <w:overflowPunct/>
        <w:topLinePunct w:val="0"/>
        <w:bidi w:val="0"/>
        <w:spacing w:line="24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四、投诉事项具体内容</w:t>
      </w:r>
    </w:p>
    <w:p w14:paraId="31589AA1">
      <w:pPr>
        <w:pStyle w:val="14"/>
        <w:pageBreakBefore w:val="0"/>
        <w:kinsoku/>
        <w:overflowPunct/>
        <w:topLinePunct w:val="0"/>
        <w:bidi w:val="0"/>
        <w:spacing w:line="24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投诉事项1：</w:t>
      </w:r>
      <w:r>
        <w:rPr>
          <w:rFonts w:hint="eastAsia" w:ascii="宋体" w:hAnsi="宋体" w:eastAsia="宋体" w:cs="宋体"/>
          <w:bCs/>
          <w:color w:val="auto"/>
          <w:sz w:val="24"/>
          <w:szCs w:val="24"/>
          <w:highlight w:val="none"/>
          <w:u w:val="single"/>
        </w:rPr>
        <w:t xml:space="preserve">                                                                           </w:t>
      </w:r>
    </w:p>
    <w:p w14:paraId="0D0AA8F5">
      <w:pPr>
        <w:pStyle w:val="14"/>
        <w:pageBreakBefore w:val="0"/>
        <w:kinsoku/>
        <w:overflowPunct/>
        <w:topLinePunct w:val="0"/>
        <w:bidi w:val="0"/>
        <w:spacing w:line="24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事实依据：</w:t>
      </w: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05991A7E">
      <w:pPr>
        <w:pStyle w:val="14"/>
        <w:pageBreakBefore w:val="0"/>
        <w:kinsoku/>
        <w:overflowPunct/>
        <w:topLinePunct w:val="0"/>
        <w:bidi w:val="0"/>
        <w:spacing w:line="24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u w:val="single"/>
        </w:rPr>
        <w:t xml:space="preserve">                                                                                        </w:t>
      </w:r>
    </w:p>
    <w:p w14:paraId="49E8B8EF">
      <w:pPr>
        <w:pStyle w:val="14"/>
        <w:pageBreakBefore w:val="0"/>
        <w:kinsoku/>
        <w:overflowPunct/>
        <w:topLinePunct w:val="0"/>
        <w:bidi w:val="0"/>
        <w:spacing w:line="24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法律依据：</w:t>
      </w: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37470DC2">
      <w:pPr>
        <w:pStyle w:val="14"/>
        <w:pageBreakBefore w:val="0"/>
        <w:kinsoku/>
        <w:overflowPunct/>
        <w:topLinePunct w:val="0"/>
        <w:bidi w:val="0"/>
        <w:spacing w:line="240" w:lineRule="auto"/>
        <w:ind w:left="25" w:leftChars="12" w:firstLine="352" w:firstLineChars="147"/>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2B6072ED">
      <w:pPr>
        <w:pStyle w:val="14"/>
        <w:pageBreakBefore w:val="0"/>
        <w:kinsoku/>
        <w:overflowPunct/>
        <w:topLinePunct w:val="0"/>
        <w:bidi w:val="0"/>
        <w:spacing w:line="240" w:lineRule="auto"/>
        <w:ind w:left="25" w:leftChars="12" w:firstLine="472" w:firstLineChars="197"/>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 xml:space="preserve">投诉事项2  </w:t>
      </w:r>
      <w:r>
        <w:rPr>
          <w:rFonts w:hint="eastAsia" w:ascii="宋体" w:hAnsi="宋体" w:eastAsia="宋体" w:cs="宋体"/>
          <w:bCs/>
          <w:color w:val="auto"/>
          <w:sz w:val="24"/>
          <w:szCs w:val="24"/>
          <w:highlight w:val="none"/>
        </w:rPr>
        <w:t xml:space="preserve">   </w:t>
      </w:r>
    </w:p>
    <w:p w14:paraId="116B1333">
      <w:pPr>
        <w:pStyle w:val="14"/>
        <w:pageBreakBefore w:val="0"/>
        <w:kinsoku/>
        <w:overflowPunct/>
        <w:topLinePunct w:val="0"/>
        <w:bidi w:val="0"/>
        <w:spacing w:line="240" w:lineRule="auto"/>
        <w:ind w:left="25" w:leftChars="12" w:firstLine="472" w:firstLineChars="197"/>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p>
    <w:p w14:paraId="557FB7AC">
      <w:pPr>
        <w:pStyle w:val="14"/>
        <w:pageBreakBefore w:val="0"/>
        <w:kinsoku/>
        <w:overflowPunct/>
        <w:topLinePunct w:val="0"/>
        <w:bidi w:val="0"/>
        <w:spacing w:line="24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五、与投诉事项相关的投诉请求：</w:t>
      </w:r>
    </w:p>
    <w:p w14:paraId="766F071A">
      <w:pPr>
        <w:pStyle w:val="14"/>
        <w:pageBreakBefore w:val="0"/>
        <w:kinsoku/>
        <w:overflowPunct/>
        <w:topLinePunct w:val="0"/>
        <w:bidi w:val="0"/>
        <w:spacing w:line="24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请求：</w:t>
      </w:r>
      <w:r>
        <w:rPr>
          <w:rFonts w:hint="eastAsia" w:ascii="宋体" w:hAnsi="宋体" w:eastAsia="宋体" w:cs="宋体"/>
          <w:bCs/>
          <w:color w:val="auto"/>
          <w:sz w:val="24"/>
          <w:szCs w:val="24"/>
          <w:highlight w:val="none"/>
          <w:u w:val="single"/>
        </w:rPr>
        <w:t xml:space="preserve">                                                          </w:t>
      </w:r>
    </w:p>
    <w:p w14:paraId="73B6572F">
      <w:pPr>
        <w:pStyle w:val="14"/>
        <w:pageBreakBefore w:val="0"/>
        <w:kinsoku/>
        <w:overflowPunct/>
        <w:topLinePunct w:val="0"/>
        <w:bidi w:val="0"/>
        <w:spacing w:line="240" w:lineRule="auto"/>
        <w:ind w:left="25" w:leftChars="12" w:firstLine="352" w:firstLineChars="147"/>
        <w:rPr>
          <w:rFonts w:hint="eastAsia" w:ascii="宋体" w:hAnsi="宋体" w:eastAsia="宋体" w:cs="宋体"/>
          <w:color w:val="auto"/>
          <w:sz w:val="24"/>
          <w:szCs w:val="24"/>
          <w:highlight w:val="none"/>
        </w:rPr>
      </w:pPr>
    </w:p>
    <w:p w14:paraId="12A128C2">
      <w:pPr>
        <w:pStyle w:val="14"/>
        <w:pageBreakBefore w:val="0"/>
        <w:kinsoku/>
        <w:overflowPunct/>
        <w:topLinePunct w:val="0"/>
        <w:bidi w:val="0"/>
        <w:spacing w:line="24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签字（签章）：                            公章：</w:t>
      </w:r>
    </w:p>
    <w:p w14:paraId="3263B329">
      <w:pPr>
        <w:pStyle w:val="14"/>
        <w:pageBreakBefore w:val="0"/>
        <w:kinsoku/>
        <w:overflowPunct/>
        <w:topLinePunct w:val="0"/>
        <w:bidi w:val="0"/>
        <w:spacing w:line="240" w:lineRule="auto"/>
        <w:ind w:left="25" w:leftChars="12" w:firstLine="352" w:firstLineChars="147"/>
        <w:rPr>
          <w:rFonts w:hint="eastAsia" w:ascii="宋体" w:hAnsi="宋体" w:eastAsia="宋体" w:cs="宋体"/>
          <w:color w:val="auto"/>
          <w:sz w:val="24"/>
          <w:szCs w:val="24"/>
          <w:highlight w:val="none"/>
        </w:rPr>
      </w:pPr>
    </w:p>
    <w:p w14:paraId="68248291">
      <w:pPr>
        <w:pStyle w:val="14"/>
        <w:pageBreakBefore w:val="0"/>
        <w:kinsoku/>
        <w:overflowPunct/>
        <w:topLinePunct w:val="0"/>
        <w:bidi w:val="0"/>
        <w:spacing w:line="24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14:paraId="7CEDF747">
      <w:pPr>
        <w:pStyle w:val="14"/>
        <w:pageBreakBefore w:val="0"/>
        <w:kinsoku/>
        <w:overflowPunct/>
        <w:topLinePunct w:val="0"/>
        <w:bidi w:val="0"/>
        <w:spacing w:line="24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 xml:space="preserve">                                                                              </w:t>
      </w:r>
    </w:p>
    <w:p w14:paraId="206A803F">
      <w:pPr>
        <w:pStyle w:val="14"/>
        <w:pageBreakBefore w:val="0"/>
        <w:kinsoku/>
        <w:overflowPunct/>
        <w:topLinePunct w:val="0"/>
        <w:bidi w:val="0"/>
        <w:snapToGrid w:val="0"/>
        <w:spacing w:line="24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说明：</w:t>
      </w:r>
    </w:p>
    <w:p w14:paraId="5B190A59">
      <w:pPr>
        <w:pStyle w:val="14"/>
        <w:pageBreakBefore w:val="0"/>
        <w:kinsoku/>
        <w:overflowPunct/>
        <w:topLinePunct w:val="0"/>
        <w:bidi w:val="0"/>
        <w:spacing w:line="240" w:lineRule="auto"/>
        <w:ind w:left="25" w:leftChars="12" w:firstLine="354" w:firstLineChars="147"/>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1.投诉人提起投诉时，应当提交投诉书和必要的证明材料，并按照被投诉人和与投诉事项有关的供应商数量提供投诉书副本</w:t>
      </w:r>
      <w:r>
        <w:rPr>
          <w:rFonts w:hint="eastAsia" w:ascii="宋体" w:hAnsi="宋体" w:eastAsia="宋体" w:cs="宋体"/>
          <w:b/>
          <w:bCs/>
          <w:color w:val="auto"/>
          <w:sz w:val="24"/>
          <w:szCs w:val="24"/>
          <w:highlight w:val="none"/>
        </w:rPr>
        <w:t>。</w:t>
      </w:r>
    </w:p>
    <w:p w14:paraId="0FFA0904">
      <w:pPr>
        <w:pStyle w:val="14"/>
        <w:pageBreakBefore w:val="0"/>
        <w:kinsoku/>
        <w:overflowPunct/>
        <w:topLinePunct w:val="0"/>
        <w:bidi w:val="0"/>
        <w:spacing w:line="24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02C4E0ED">
      <w:pPr>
        <w:pStyle w:val="14"/>
        <w:pageBreakBefore w:val="0"/>
        <w:kinsoku/>
        <w:overflowPunct/>
        <w:topLinePunct w:val="0"/>
        <w:bidi w:val="0"/>
        <w:spacing w:line="24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3.投诉书应简要列明质疑事项，质疑函、质疑答复等作为附件材料提供。</w:t>
      </w:r>
    </w:p>
    <w:p w14:paraId="32C66B28">
      <w:pPr>
        <w:pStyle w:val="14"/>
        <w:pageBreakBefore w:val="0"/>
        <w:kinsoku/>
        <w:overflowPunct/>
        <w:topLinePunct w:val="0"/>
        <w:bidi w:val="0"/>
        <w:spacing w:line="24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4.投诉书的投诉事项应具体、明确，并有必要的事实依据和法律依据。</w:t>
      </w:r>
    </w:p>
    <w:p w14:paraId="6F893CC1">
      <w:pPr>
        <w:pStyle w:val="14"/>
        <w:pageBreakBefore w:val="0"/>
        <w:kinsoku/>
        <w:overflowPunct/>
        <w:topLinePunct w:val="0"/>
        <w:bidi w:val="0"/>
        <w:spacing w:line="24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5.投诉书的投诉请求应与投诉事项相关。</w:t>
      </w:r>
    </w:p>
    <w:p w14:paraId="0C67D4C8">
      <w:pPr>
        <w:pStyle w:val="14"/>
        <w:pageBreakBefore w:val="0"/>
        <w:kinsoku/>
        <w:overflowPunct/>
        <w:topLinePunct w:val="0"/>
        <w:bidi w:val="0"/>
        <w:spacing w:line="24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6.投诉人为法人或者其他组织的，投诉书应由法定代表人、主要负责人，或者其授权代表签字或者盖章，并加盖公章。</w:t>
      </w:r>
    </w:p>
    <w:p w14:paraId="3F6F4B8E">
      <w:pPr>
        <w:rPr>
          <w:color w:val="auto"/>
        </w:rPr>
      </w:pPr>
    </w:p>
    <w:p w14:paraId="5A7EA2D4">
      <w:pPr>
        <w:pStyle w:val="23"/>
        <w:rPr>
          <w:color w:val="auto"/>
          <w:lang w:val="en-US" w:eastAsia="zh-CN"/>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汉仪书宋二S">
    <w:altName w:val="宋体"/>
    <w:panose1 w:val="00000000000000000000"/>
    <w:charset w:val="00"/>
    <w:family w:val="auto"/>
    <w:pitch w:val="default"/>
    <w:sig w:usb0="00000000" w:usb1="00000000" w:usb2="00000000" w:usb3="00000000" w:csb0="00040001" w:csb1="00000000"/>
  </w:font>
  <w:font w:name="东文宋体">
    <w:altName w:val="宋体"/>
    <w:panose1 w:val="00000000000000000000"/>
    <w:charset w:val="00"/>
    <w:family w:val="auto"/>
    <w:pitch w:val="default"/>
    <w:sig w:usb0="00000000" w:usb1="00000000" w:usb2="00000000" w:usb3="00000000" w:csb0="00040001" w:csb1="00000000"/>
  </w:font>
  <w:font w:name="方正仿宋_GB2312">
    <w:altName w:val="仿宋"/>
    <w:panose1 w:val="02000000000000000000"/>
    <w:charset w:val="00"/>
    <w:family w:val="auto"/>
    <w:pitch w:val="default"/>
    <w:sig w:usb0="00000000" w:usb1="00000000" w:usb2="00000012" w:usb3="00000000" w:csb0="00040001" w:csb1="00000000"/>
  </w:font>
  <w:font w:name="汉仪细圆B5">
    <w:altName w:val="仿宋"/>
    <w:panose1 w:val="00000000000000000000"/>
    <w:charset w:val="00"/>
    <w:family w:val="auto"/>
    <w:pitch w:val="default"/>
    <w:sig w:usb0="00000000" w:usb1="00000000" w:usb2="00000000" w:usb3="00000000" w:csb0="0000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2370C">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E099E9">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0E099E9">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0DBA5F">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BA1153">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1BA1153">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689A21">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D7DA95"/>
    <w:multiLevelType w:val="singleLevel"/>
    <w:tmpl w:val="91D7DA95"/>
    <w:lvl w:ilvl="0" w:tentative="0">
      <w:start w:val="4"/>
      <w:numFmt w:val="chineseCounting"/>
      <w:suff w:val="nothing"/>
      <w:lvlText w:val="（%1）"/>
      <w:lvlJc w:val="left"/>
      <w:rPr>
        <w:rFonts w:hint="eastAsia"/>
      </w:rPr>
    </w:lvl>
  </w:abstractNum>
  <w:abstractNum w:abstractNumId="1">
    <w:nsid w:val="9AD0C475"/>
    <w:multiLevelType w:val="singleLevel"/>
    <w:tmpl w:val="9AD0C475"/>
    <w:lvl w:ilvl="0" w:tentative="0">
      <w:start w:val="7"/>
      <w:numFmt w:val="decimal"/>
      <w:suff w:val="nothing"/>
      <w:lvlText w:val="（%1）"/>
      <w:lvlJc w:val="left"/>
    </w:lvl>
  </w:abstractNum>
  <w:abstractNum w:abstractNumId="2">
    <w:nsid w:val="C5435B9B"/>
    <w:multiLevelType w:val="singleLevel"/>
    <w:tmpl w:val="C5435B9B"/>
    <w:lvl w:ilvl="0" w:tentative="0">
      <w:start w:val="36"/>
      <w:numFmt w:val="decimal"/>
      <w:lvlText w:val="%1."/>
      <w:lvlJc w:val="left"/>
      <w:pPr>
        <w:tabs>
          <w:tab w:val="left" w:pos="312"/>
        </w:tabs>
      </w:pPr>
    </w:lvl>
  </w:abstractNum>
  <w:abstractNum w:abstractNumId="3">
    <w:nsid w:val="CF50C272"/>
    <w:multiLevelType w:val="singleLevel"/>
    <w:tmpl w:val="CF50C272"/>
    <w:lvl w:ilvl="0" w:tentative="0">
      <w:start w:val="1"/>
      <w:numFmt w:val="decimal"/>
      <w:suff w:val="nothing"/>
      <w:lvlText w:val="（%1）"/>
      <w:lvlJc w:val="left"/>
    </w:lvl>
  </w:abstractNum>
  <w:abstractNum w:abstractNumId="4">
    <w:nsid w:val="EAE71651"/>
    <w:multiLevelType w:val="singleLevel"/>
    <w:tmpl w:val="EAE71651"/>
    <w:lvl w:ilvl="0" w:tentative="0">
      <w:start w:val="14"/>
      <w:numFmt w:val="decimal"/>
      <w:lvlText w:val="%1."/>
      <w:lvlJc w:val="left"/>
      <w:pPr>
        <w:tabs>
          <w:tab w:val="left" w:pos="312"/>
        </w:tabs>
      </w:pPr>
    </w:lvl>
  </w:abstractNum>
  <w:abstractNum w:abstractNumId="5">
    <w:nsid w:val="F6BEBEDD"/>
    <w:multiLevelType w:val="singleLevel"/>
    <w:tmpl w:val="F6BEBEDD"/>
    <w:lvl w:ilvl="0" w:tentative="0">
      <w:start w:val="6"/>
      <w:numFmt w:val="decimal"/>
      <w:lvlText w:val="%1."/>
      <w:lvlJc w:val="left"/>
      <w:pPr>
        <w:tabs>
          <w:tab w:val="left" w:pos="312"/>
        </w:tabs>
      </w:pPr>
    </w:lvl>
  </w:abstractNum>
  <w:abstractNum w:abstractNumId="6">
    <w:nsid w:val="FAF085C6"/>
    <w:multiLevelType w:val="singleLevel"/>
    <w:tmpl w:val="FAF085C6"/>
    <w:lvl w:ilvl="0" w:tentative="0">
      <w:start w:val="21"/>
      <w:numFmt w:val="decimal"/>
      <w:lvlText w:val="%1."/>
      <w:lvlJc w:val="left"/>
      <w:pPr>
        <w:tabs>
          <w:tab w:val="left" w:pos="312"/>
        </w:tabs>
      </w:pPr>
    </w:lvl>
  </w:abstractNum>
  <w:abstractNum w:abstractNumId="7">
    <w:nsid w:val="202502F8"/>
    <w:multiLevelType w:val="singleLevel"/>
    <w:tmpl w:val="202502F8"/>
    <w:lvl w:ilvl="0" w:tentative="0">
      <w:start w:val="31"/>
      <w:numFmt w:val="decimal"/>
      <w:lvlText w:val="%1."/>
      <w:lvlJc w:val="left"/>
      <w:pPr>
        <w:tabs>
          <w:tab w:val="left" w:pos="312"/>
        </w:tabs>
      </w:pPr>
    </w:lvl>
  </w:abstractNum>
  <w:abstractNum w:abstractNumId="8">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6"/>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9">
    <w:nsid w:val="4C601917"/>
    <w:multiLevelType w:val="singleLevel"/>
    <w:tmpl w:val="4C601917"/>
    <w:lvl w:ilvl="0" w:tentative="0">
      <w:start w:val="1"/>
      <w:numFmt w:val="decimal"/>
      <w:suff w:val="nothing"/>
      <w:lvlText w:val="（%1）"/>
      <w:lvlJc w:val="left"/>
      <w:pPr>
        <w:ind w:left="-2"/>
      </w:pPr>
    </w:lvl>
  </w:abstractNum>
  <w:abstractNum w:abstractNumId="10">
    <w:nsid w:val="5CA16709"/>
    <w:multiLevelType w:val="singleLevel"/>
    <w:tmpl w:val="5CA16709"/>
    <w:lvl w:ilvl="0" w:tentative="0">
      <w:start w:val="2"/>
      <w:numFmt w:val="chineseCounting"/>
      <w:suff w:val="nothing"/>
      <w:lvlText w:val="（%1）"/>
      <w:lvlJc w:val="left"/>
      <w:rPr>
        <w:rFonts w:hint="eastAsia"/>
      </w:rPr>
    </w:lvl>
  </w:abstractNum>
  <w:abstractNum w:abstractNumId="11">
    <w:nsid w:val="5FABD14B"/>
    <w:multiLevelType w:val="singleLevel"/>
    <w:tmpl w:val="5FABD14B"/>
    <w:lvl w:ilvl="0" w:tentative="0">
      <w:start w:val="1"/>
      <w:numFmt w:val="decimal"/>
      <w:suff w:val="nothing"/>
      <w:lvlText w:val="（%1）"/>
      <w:lvlJc w:val="left"/>
    </w:lvl>
  </w:abstractNum>
  <w:abstractNum w:abstractNumId="12">
    <w:nsid w:val="7DDA86FD"/>
    <w:multiLevelType w:val="singleLevel"/>
    <w:tmpl w:val="7DDA86FD"/>
    <w:lvl w:ilvl="0" w:tentative="0">
      <w:start w:val="2"/>
      <w:numFmt w:val="chineseCounting"/>
      <w:suff w:val="space"/>
      <w:lvlText w:val="第%1章"/>
      <w:lvlJc w:val="left"/>
      <w:rPr>
        <w:rFonts w:hint="eastAsia"/>
      </w:rPr>
    </w:lvl>
  </w:abstractNum>
  <w:num w:numId="1">
    <w:abstractNumId w:val="8"/>
  </w:num>
  <w:num w:numId="2">
    <w:abstractNumId w:val="1"/>
  </w:num>
  <w:num w:numId="3">
    <w:abstractNumId w:val="12"/>
  </w:num>
  <w:num w:numId="4">
    <w:abstractNumId w:val="0"/>
  </w:num>
  <w:num w:numId="5">
    <w:abstractNumId w:val="3"/>
  </w:num>
  <w:num w:numId="6">
    <w:abstractNumId w:val="4"/>
  </w:num>
  <w:num w:numId="7">
    <w:abstractNumId w:val="6"/>
  </w:num>
  <w:num w:numId="8">
    <w:abstractNumId w:val="7"/>
  </w:num>
  <w:num w:numId="9">
    <w:abstractNumId w:val="2"/>
  </w:num>
  <w:num w:numId="10">
    <w:abstractNumId w:val="9"/>
  </w:num>
  <w:num w:numId="11">
    <w:abstractNumId w:val="11"/>
  </w:num>
  <w:num w:numId="12">
    <w:abstractNumId w:val="1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7735D1"/>
    <w:rsid w:val="00BA1DBC"/>
    <w:rsid w:val="01BF32E7"/>
    <w:rsid w:val="029106E6"/>
    <w:rsid w:val="02B73718"/>
    <w:rsid w:val="03AD48CE"/>
    <w:rsid w:val="0E451270"/>
    <w:rsid w:val="0F211599"/>
    <w:rsid w:val="10E27A8E"/>
    <w:rsid w:val="132B1173"/>
    <w:rsid w:val="15086DDB"/>
    <w:rsid w:val="15860FA8"/>
    <w:rsid w:val="165FE300"/>
    <w:rsid w:val="19E85EA3"/>
    <w:rsid w:val="1D595A90"/>
    <w:rsid w:val="1DB572D2"/>
    <w:rsid w:val="1EF31E90"/>
    <w:rsid w:val="1FCB43E4"/>
    <w:rsid w:val="22F22BBF"/>
    <w:rsid w:val="23DA378C"/>
    <w:rsid w:val="25C442CC"/>
    <w:rsid w:val="26237BC0"/>
    <w:rsid w:val="264E75B7"/>
    <w:rsid w:val="265046A3"/>
    <w:rsid w:val="27E35A06"/>
    <w:rsid w:val="2A97143F"/>
    <w:rsid w:val="2AAA5612"/>
    <w:rsid w:val="2C323A6A"/>
    <w:rsid w:val="2C874F6F"/>
    <w:rsid w:val="2DE8C6A5"/>
    <w:rsid w:val="2F7735D1"/>
    <w:rsid w:val="2F83E14A"/>
    <w:rsid w:val="310F2368"/>
    <w:rsid w:val="328B334B"/>
    <w:rsid w:val="33FD6132"/>
    <w:rsid w:val="34480F30"/>
    <w:rsid w:val="353B5EA7"/>
    <w:rsid w:val="354DE9AB"/>
    <w:rsid w:val="35952603"/>
    <w:rsid w:val="37ABEB8F"/>
    <w:rsid w:val="39FDD054"/>
    <w:rsid w:val="3BBC1163"/>
    <w:rsid w:val="3BDB4671"/>
    <w:rsid w:val="3C1F66C2"/>
    <w:rsid w:val="3CFF5A44"/>
    <w:rsid w:val="3D7E11EB"/>
    <w:rsid w:val="3DF664A4"/>
    <w:rsid w:val="3F790B11"/>
    <w:rsid w:val="3F7BE181"/>
    <w:rsid w:val="3FD3F873"/>
    <w:rsid w:val="3FDD027F"/>
    <w:rsid w:val="3FFE5857"/>
    <w:rsid w:val="3FFFCD13"/>
    <w:rsid w:val="400B691E"/>
    <w:rsid w:val="40590CBA"/>
    <w:rsid w:val="40DF0C04"/>
    <w:rsid w:val="411C71BA"/>
    <w:rsid w:val="422D4F75"/>
    <w:rsid w:val="42A76F5A"/>
    <w:rsid w:val="430606B8"/>
    <w:rsid w:val="43832211"/>
    <w:rsid w:val="44F1778E"/>
    <w:rsid w:val="489F4AA2"/>
    <w:rsid w:val="4BA67B7A"/>
    <w:rsid w:val="4D64478C"/>
    <w:rsid w:val="4EF7CDA0"/>
    <w:rsid w:val="4FBBB317"/>
    <w:rsid w:val="501C2886"/>
    <w:rsid w:val="513473C5"/>
    <w:rsid w:val="519D6372"/>
    <w:rsid w:val="529A02EC"/>
    <w:rsid w:val="52CE2699"/>
    <w:rsid w:val="542929CD"/>
    <w:rsid w:val="5651554E"/>
    <w:rsid w:val="577AF6AB"/>
    <w:rsid w:val="57BF4ECE"/>
    <w:rsid w:val="580A4772"/>
    <w:rsid w:val="581763F7"/>
    <w:rsid w:val="59594F9B"/>
    <w:rsid w:val="5A227835"/>
    <w:rsid w:val="5A3CE52E"/>
    <w:rsid w:val="5AD96145"/>
    <w:rsid w:val="5BDC6E43"/>
    <w:rsid w:val="5C27304B"/>
    <w:rsid w:val="5CDF1EFF"/>
    <w:rsid w:val="5F370B19"/>
    <w:rsid w:val="5F4172E9"/>
    <w:rsid w:val="5FDE55A3"/>
    <w:rsid w:val="5FFF07D2"/>
    <w:rsid w:val="604856DB"/>
    <w:rsid w:val="61D01D35"/>
    <w:rsid w:val="62F0318B"/>
    <w:rsid w:val="637D31E7"/>
    <w:rsid w:val="64A358CD"/>
    <w:rsid w:val="6560418A"/>
    <w:rsid w:val="657D244A"/>
    <w:rsid w:val="661E1618"/>
    <w:rsid w:val="675F3C06"/>
    <w:rsid w:val="68111B1A"/>
    <w:rsid w:val="68FA0A9F"/>
    <w:rsid w:val="6BF31FFD"/>
    <w:rsid w:val="6CFD9E59"/>
    <w:rsid w:val="6D7F0284"/>
    <w:rsid w:val="6E2E2CB1"/>
    <w:rsid w:val="6E3D9710"/>
    <w:rsid w:val="6E3F7124"/>
    <w:rsid w:val="6F7FDE4C"/>
    <w:rsid w:val="6FDF46BC"/>
    <w:rsid w:val="6FE86317"/>
    <w:rsid w:val="6FFF4D65"/>
    <w:rsid w:val="70227EC6"/>
    <w:rsid w:val="72E6DDEB"/>
    <w:rsid w:val="73261DAB"/>
    <w:rsid w:val="73470694"/>
    <w:rsid w:val="73EDA4AC"/>
    <w:rsid w:val="74BB582E"/>
    <w:rsid w:val="75E7FD2D"/>
    <w:rsid w:val="76B703B5"/>
    <w:rsid w:val="76EF4A32"/>
    <w:rsid w:val="7769983A"/>
    <w:rsid w:val="77AB83D3"/>
    <w:rsid w:val="77B2E69D"/>
    <w:rsid w:val="77BFBFF1"/>
    <w:rsid w:val="78B7FCB3"/>
    <w:rsid w:val="7AAD2D20"/>
    <w:rsid w:val="7AF65DE2"/>
    <w:rsid w:val="7B373A5D"/>
    <w:rsid w:val="7BD698F2"/>
    <w:rsid w:val="7BECA0D0"/>
    <w:rsid w:val="7BFBDD08"/>
    <w:rsid w:val="7BFC2E24"/>
    <w:rsid w:val="7CEF4E7F"/>
    <w:rsid w:val="7D1B316A"/>
    <w:rsid w:val="7D7F21F6"/>
    <w:rsid w:val="7DCA8056"/>
    <w:rsid w:val="7DFE8539"/>
    <w:rsid w:val="7E1E1C05"/>
    <w:rsid w:val="7EFCEC65"/>
    <w:rsid w:val="7EFFF0B2"/>
    <w:rsid w:val="7F33ABB0"/>
    <w:rsid w:val="7F7DCB1B"/>
    <w:rsid w:val="7F7FC00B"/>
    <w:rsid w:val="7F8F6A60"/>
    <w:rsid w:val="7FBFA90C"/>
    <w:rsid w:val="7FD35244"/>
    <w:rsid w:val="7FE3624A"/>
    <w:rsid w:val="7FFCC0A2"/>
    <w:rsid w:val="7FFF2B96"/>
    <w:rsid w:val="7FFF68CE"/>
    <w:rsid w:val="7FFF9715"/>
    <w:rsid w:val="8D3F817E"/>
    <w:rsid w:val="927F8D01"/>
    <w:rsid w:val="9DEA1BB2"/>
    <w:rsid w:val="A5FFEC4D"/>
    <w:rsid w:val="A77F5FB2"/>
    <w:rsid w:val="A97B4E69"/>
    <w:rsid w:val="ADCA0FCA"/>
    <w:rsid w:val="AFB9B71E"/>
    <w:rsid w:val="AFDA422E"/>
    <w:rsid w:val="AFE6D95D"/>
    <w:rsid w:val="B7FDFF82"/>
    <w:rsid w:val="BA7B23C6"/>
    <w:rsid w:val="BBBA1A65"/>
    <w:rsid w:val="BDF7174E"/>
    <w:rsid w:val="BFFD819E"/>
    <w:rsid w:val="BFFFF8A1"/>
    <w:rsid w:val="D37D5539"/>
    <w:rsid w:val="D4AFC1BA"/>
    <w:rsid w:val="D66ED082"/>
    <w:rsid w:val="D7E7603F"/>
    <w:rsid w:val="D8DBABD4"/>
    <w:rsid w:val="DAFF7160"/>
    <w:rsid w:val="DBF7853E"/>
    <w:rsid w:val="DDCFDFFA"/>
    <w:rsid w:val="DE8DD04F"/>
    <w:rsid w:val="DF77495C"/>
    <w:rsid w:val="DFBF5FDB"/>
    <w:rsid w:val="DFF7E77C"/>
    <w:rsid w:val="DFFB1EE5"/>
    <w:rsid w:val="DFFD93F3"/>
    <w:rsid w:val="E4FE21F7"/>
    <w:rsid w:val="E5BE7F03"/>
    <w:rsid w:val="E6FF0817"/>
    <w:rsid w:val="E7F820CB"/>
    <w:rsid w:val="E9DB2704"/>
    <w:rsid w:val="ECDA14DE"/>
    <w:rsid w:val="EEF769ED"/>
    <w:rsid w:val="EFDF9C92"/>
    <w:rsid w:val="EFF9D53A"/>
    <w:rsid w:val="EFFAD037"/>
    <w:rsid w:val="F1EB934E"/>
    <w:rsid w:val="F2F7F694"/>
    <w:rsid w:val="F3F9C9D1"/>
    <w:rsid w:val="F58A7D18"/>
    <w:rsid w:val="F5CF1BEF"/>
    <w:rsid w:val="F6FC276A"/>
    <w:rsid w:val="F6FF1DC4"/>
    <w:rsid w:val="F76F301A"/>
    <w:rsid w:val="F77726AA"/>
    <w:rsid w:val="F787D0C2"/>
    <w:rsid w:val="F7EF1E4A"/>
    <w:rsid w:val="FAF37659"/>
    <w:rsid w:val="FB6F5E1B"/>
    <w:rsid w:val="FBFFFF8E"/>
    <w:rsid w:val="FC97AAE1"/>
    <w:rsid w:val="FD7F6A98"/>
    <w:rsid w:val="FDBF3BF7"/>
    <w:rsid w:val="FDEE6A15"/>
    <w:rsid w:val="FE734873"/>
    <w:rsid w:val="FE92976C"/>
    <w:rsid w:val="FEC7315B"/>
    <w:rsid w:val="FEFFD40E"/>
    <w:rsid w:val="FF35302F"/>
    <w:rsid w:val="FF3D4CE6"/>
    <w:rsid w:val="FF3F9C43"/>
    <w:rsid w:val="FF6C0AD0"/>
    <w:rsid w:val="FF9FA3D4"/>
    <w:rsid w:val="FFB7D07E"/>
    <w:rsid w:val="FFEB028D"/>
    <w:rsid w:val="FFF75A14"/>
    <w:rsid w:val="FFF9FAF1"/>
    <w:rsid w:val="FFFB24D6"/>
    <w:rsid w:val="FFFBEADD"/>
    <w:rsid w:val="FFFD1540"/>
    <w:rsid w:val="FFFFA8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iPriority="0" w:semiHidden="0" w:name="annotation text"/>
    <w:lsdException w:qFormat="1"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qFormat="1" w:uiPriority="99"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9"/>
    <w:pPr>
      <w:keepNext/>
      <w:keepLines/>
      <w:spacing w:before="260" w:after="260" w:line="416" w:lineRule="auto"/>
      <w:outlineLvl w:val="2"/>
    </w:pPr>
    <w:rPr>
      <w:b/>
      <w:bCs/>
      <w:sz w:val="32"/>
      <w:szCs w:val="32"/>
    </w:rPr>
  </w:style>
  <w:style w:type="paragraph" w:styleId="5">
    <w:name w:val="heading 4"/>
    <w:basedOn w:val="1"/>
    <w:next w:val="1"/>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6">
    <w:name w:val="heading 5"/>
    <w:basedOn w:val="1"/>
    <w:next w:val="7"/>
    <w:qFormat/>
    <w:uiPriority w:val="0"/>
    <w:pPr>
      <w:keepNext/>
      <w:keepLines/>
      <w:numPr>
        <w:ilvl w:val="4"/>
        <w:numId w:val="1"/>
      </w:numPr>
      <w:spacing w:before="280" w:after="290" w:line="376" w:lineRule="auto"/>
      <w:outlineLvl w:val="4"/>
    </w:pPr>
    <w:rPr>
      <w:b/>
      <w:sz w:val="28"/>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7">
    <w:name w:val="Normal Indent"/>
    <w:basedOn w:val="1"/>
    <w:unhideWhenUsed/>
    <w:qFormat/>
    <w:uiPriority w:val="99"/>
    <w:pPr>
      <w:widowControl w:val="0"/>
      <w:adjustRightInd/>
      <w:snapToGrid/>
      <w:spacing w:after="0"/>
      <w:ind w:firstLine="420" w:firstLineChars="200"/>
      <w:jc w:val="both"/>
    </w:pPr>
    <w:rPr>
      <w:rFonts w:ascii="Times New Roman" w:hAnsi="Times New Roman" w:eastAsia="宋体" w:cs="Times New Roman"/>
      <w:kern w:val="2"/>
      <w:sz w:val="21"/>
      <w:szCs w:val="24"/>
    </w:rPr>
  </w:style>
  <w:style w:type="paragraph" w:styleId="8">
    <w:name w:val="index 8"/>
    <w:basedOn w:val="1"/>
    <w:next w:val="1"/>
    <w:qFormat/>
    <w:uiPriority w:val="0"/>
    <w:pPr>
      <w:ind w:left="2940"/>
    </w:pPr>
  </w:style>
  <w:style w:type="paragraph" w:styleId="9">
    <w:name w:val="annotation text"/>
    <w:basedOn w:val="1"/>
    <w:unhideWhenUsed/>
    <w:qFormat/>
    <w:uiPriority w:val="0"/>
    <w:pPr>
      <w:jc w:val="left"/>
    </w:pPr>
  </w:style>
  <w:style w:type="paragraph" w:styleId="10">
    <w:name w:val="Body Text 3"/>
    <w:basedOn w:val="1"/>
    <w:qFormat/>
    <w:uiPriority w:val="0"/>
    <w:pPr>
      <w:spacing w:line="500" w:lineRule="exact"/>
    </w:pPr>
    <w:rPr>
      <w:b/>
      <w:bCs/>
      <w:kern w:val="0"/>
      <w:sz w:val="24"/>
    </w:rPr>
  </w:style>
  <w:style w:type="paragraph" w:styleId="11">
    <w:name w:val="Body Text"/>
    <w:basedOn w:val="1"/>
    <w:next w:val="12"/>
    <w:unhideWhenUsed/>
    <w:qFormat/>
    <w:uiPriority w:val="0"/>
    <w:pPr>
      <w:spacing w:after="120"/>
    </w:pPr>
  </w:style>
  <w:style w:type="paragraph" w:styleId="12">
    <w:name w:val="Title"/>
    <w:basedOn w:val="1"/>
    <w:next w:val="1"/>
    <w:qFormat/>
    <w:uiPriority w:val="0"/>
    <w:pPr>
      <w:widowControl w:val="0"/>
      <w:spacing w:before="240" w:after="60" w:line="574" w:lineRule="exact"/>
      <w:ind w:firstLine="880" w:firstLineChars="200"/>
      <w:jc w:val="center"/>
      <w:outlineLvl w:val="0"/>
    </w:pPr>
    <w:rPr>
      <w:rFonts w:ascii="等线 Light" w:hAnsi="等线 Light" w:eastAsia="仿宋_GB2312" w:cs="Times New Roman"/>
      <w:b/>
      <w:bCs/>
      <w:kern w:val="2"/>
      <w:sz w:val="32"/>
      <w:szCs w:val="32"/>
      <w:lang w:val="en-US" w:eastAsia="zh-CN" w:bidi="ar-SA"/>
    </w:rPr>
  </w:style>
  <w:style w:type="paragraph" w:styleId="13">
    <w:name w:val="Body Text Indent"/>
    <w:basedOn w:val="1"/>
    <w:qFormat/>
    <w:uiPriority w:val="0"/>
    <w:pPr>
      <w:ind w:firstLine="830" w:firstLineChars="352"/>
    </w:pPr>
    <w:rPr>
      <w:rFonts w:ascii="仿宋_GB2312" w:eastAsia="仿宋_GB2312"/>
      <w:kern w:val="0"/>
      <w:sz w:val="32"/>
      <w:szCs w:val="20"/>
    </w:rPr>
  </w:style>
  <w:style w:type="paragraph" w:styleId="14">
    <w:name w:val="Plain Text"/>
    <w:basedOn w:val="1"/>
    <w:next w:val="8"/>
    <w:qFormat/>
    <w:uiPriority w:val="0"/>
    <w:rPr>
      <w:rFonts w:ascii="宋体" w:hAnsi="Courier New" w:cs="Courier New"/>
      <w:szCs w:val="21"/>
    </w:rPr>
  </w:style>
  <w:style w:type="paragraph" w:styleId="15">
    <w:name w:val="footer"/>
    <w:basedOn w:val="1"/>
    <w:qFormat/>
    <w:uiPriority w:val="99"/>
    <w:pPr>
      <w:tabs>
        <w:tab w:val="center" w:pos="4153"/>
        <w:tab w:val="right" w:pos="8306"/>
      </w:tabs>
      <w:snapToGrid w:val="0"/>
      <w:jc w:val="left"/>
    </w:pPr>
    <w:rPr>
      <w:sz w:val="18"/>
      <w:szCs w:val="18"/>
    </w:rPr>
  </w:style>
  <w:style w:type="paragraph" w:styleId="16">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7">
    <w:name w:val="toc 1"/>
    <w:basedOn w:val="1"/>
    <w:next w:val="1"/>
    <w:qFormat/>
    <w:uiPriority w:val="0"/>
  </w:style>
  <w:style w:type="paragraph" w:styleId="18">
    <w:name w:val="annotation subject"/>
    <w:basedOn w:val="9"/>
    <w:next w:val="9"/>
    <w:qFormat/>
    <w:uiPriority w:val="0"/>
    <w:rPr>
      <w:rFonts w:ascii="Times New Roman" w:hAnsi="Times New Roman" w:eastAsia="宋体" w:cs="Times New Roman"/>
      <w:b/>
      <w:bCs/>
    </w:rPr>
  </w:style>
  <w:style w:type="paragraph" w:styleId="19">
    <w:name w:val="Body Text First Indent 2"/>
    <w:basedOn w:val="13"/>
    <w:qFormat/>
    <w:uiPriority w:val="0"/>
    <w:pPr>
      <w:ind w:firstLine="420" w:firstLineChars="200"/>
    </w:pPr>
  </w:style>
  <w:style w:type="table" w:styleId="21">
    <w:name w:val="Table Professional"/>
    <w:basedOn w:val="20"/>
    <w:unhideWhenUsed/>
    <w:qFormat/>
    <w:uiPriority w:val="99"/>
    <w:pPr>
      <w:widowControl w:val="0"/>
      <w:jc w:val="both"/>
    </w:pPr>
    <w:rPr>
      <w:rFonts w:ascii="Times New Roman" w:hAnsi="Times New Roman" w:eastAsia="宋体" w:cs="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paragraph" w:customStyle="1" w:styleId="2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4">
    <w:name w:val="TOC 标题2"/>
    <w:next w:val="1"/>
    <w:qFormat/>
    <w:uiPriority w:val="0"/>
    <w:pPr>
      <w:wordWrap w:val="0"/>
    </w:pPr>
    <w:rPr>
      <w:rFonts w:ascii="Times New Roman" w:hAnsi="Times New Roman" w:eastAsia="宋体" w:cs="Times New Roman"/>
      <w:sz w:val="32"/>
      <w:lang w:val="en-US" w:eastAsia="zh-CN" w:bidi="ar-SA"/>
    </w:rPr>
  </w:style>
  <w:style w:type="paragraph" w:customStyle="1" w:styleId="25">
    <w:name w:val="&gt;公告 正文"/>
    <w:qFormat/>
    <w:uiPriority w:val="0"/>
    <w:pPr>
      <w:spacing w:line="360" w:lineRule="auto"/>
      <w:ind w:firstLine="480" w:firstLineChars="200"/>
    </w:pPr>
    <w:rPr>
      <w:rFonts w:ascii="宋体" w:hAnsi="宋体" w:eastAsia="宋体" w:cs="Times New Roman"/>
      <w:kern w:val="2"/>
      <w:sz w:val="21"/>
      <w:szCs w:val="21"/>
      <w:lang w:val="en-US" w:eastAsia="zh-CN" w:bidi="ar-SA"/>
    </w:rPr>
  </w:style>
  <w:style w:type="paragraph" w:customStyle="1" w:styleId="26">
    <w:name w:val="样式 0正文 + 首行缩进:  2 字符1"/>
    <w:basedOn w:val="1"/>
    <w:qFormat/>
    <w:uiPriority w:val="99"/>
    <w:pPr>
      <w:spacing w:line="360" w:lineRule="auto"/>
      <w:ind w:firstLine="200" w:firstLineChars="200"/>
    </w:pPr>
    <w:rPr>
      <w:szCs w:val="20"/>
    </w:rPr>
  </w:style>
  <w:style w:type="paragraph" w:customStyle="1" w:styleId="27">
    <w:name w:val="正文2"/>
    <w:basedOn w:val="1"/>
    <w:qFormat/>
    <w:uiPriority w:val="0"/>
    <w:pPr>
      <w:adjustRightInd w:val="0"/>
      <w:spacing w:before="156" w:line="360" w:lineRule="auto"/>
      <w:ind w:firstLine="510" w:firstLineChars="200"/>
    </w:pPr>
    <w:rPr>
      <w:sz w:val="24"/>
      <w:szCs w:val="20"/>
    </w:rPr>
  </w:style>
  <w:style w:type="paragraph" w:customStyle="1" w:styleId="28">
    <w:name w:val="一级条标题"/>
    <w:basedOn w:val="29"/>
    <w:next w:val="30"/>
    <w:qFormat/>
    <w:uiPriority w:val="0"/>
    <w:pPr>
      <w:spacing w:line="240" w:lineRule="auto"/>
      <w:ind w:left="420"/>
      <w:outlineLvl w:val="2"/>
    </w:pPr>
  </w:style>
  <w:style w:type="paragraph" w:customStyle="1" w:styleId="29">
    <w:name w:val="章标题"/>
    <w:next w:val="1"/>
    <w:qFormat/>
    <w:uiPriority w:val="0"/>
    <w:pPr>
      <w:spacing w:line="360" w:lineRule="auto"/>
      <w:jc w:val="both"/>
      <w:outlineLvl w:val="1"/>
    </w:pPr>
    <w:rPr>
      <w:rFonts w:ascii="黑体" w:hAnsi="Times New Roman" w:eastAsia="黑体" w:cs="Times New Roman"/>
      <w:sz w:val="21"/>
      <w:szCs w:val="22"/>
      <w:lang w:val="en-US" w:eastAsia="zh-CN" w:bidi="ar-SA"/>
    </w:rPr>
  </w:style>
  <w:style w:type="paragraph" w:customStyle="1" w:styleId="30">
    <w:name w:val="段"/>
    <w:next w:val="1"/>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31">
    <w:name w:val="Table Text"/>
    <w:basedOn w:val="1"/>
    <w:semiHidden/>
    <w:qFormat/>
    <w:uiPriority w:val="0"/>
    <w:rPr>
      <w:rFonts w:ascii="宋体" w:hAnsi="宋体" w:eastAsia="宋体" w:cs="宋体"/>
      <w:sz w:val="19"/>
      <w:szCs w:val="19"/>
      <w:lang w:val="en-US" w:eastAsia="en-US" w:bidi="ar-SA"/>
    </w:rPr>
  </w:style>
  <w:style w:type="paragraph" w:customStyle="1" w:styleId="32">
    <w:name w:val="!正文"/>
    <w:basedOn w:val="1"/>
    <w:qFormat/>
    <w:uiPriority w:val="0"/>
    <w:pPr>
      <w:spacing w:line="360" w:lineRule="auto"/>
      <w:ind w:firstLine="200" w:firstLineChars="200"/>
    </w:pPr>
    <w:rPr>
      <w:rFonts w:ascii="宋体" w:hAnsi="宋体"/>
      <w:sz w:val="24"/>
      <w:szCs w:val="28"/>
      <w:lang w:val="zh-CN"/>
    </w:rPr>
  </w:style>
  <w:style w:type="paragraph" w:styleId="33">
    <w:name w:val="List Paragraph"/>
    <w:basedOn w:val="1"/>
    <w:qFormat/>
    <w:uiPriority w:val="34"/>
    <w:pPr>
      <w:ind w:firstLine="420" w:firstLineChars="200"/>
    </w:pPr>
    <w:rPr>
      <w:szCs w:val="21"/>
    </w:rPr>
  </w:style>
  <w:style w:type="table" w:customStyle="1" w:styleId="34">
    <w:name w:val="Table"/>
    <w:basedOn w:val="21"/>
    <w:qFormat/>
    <w:uiPriority w:val="0"/>
    <w:pPr>
      <w:jc w:val="left"/>
    </w:pPr>
    <w:rPr>
      <w:rFonts w:cs="Arial"/>
    </w:rPr>
    <w:tblPr/>
    <w:trPr>
      <w:cantSplit/>
    </w:trPr>
    <w:tcPr>
      <w:shd w:val="clear" w:color="auto" w:fill="auto"/>
    </w:tcPr>
    <w:tblStylePr w:type="firstRow">
      <w:rPr>
        <w:b w:val="0"/>
        <w:bCs w:val="0"/>
        <w:i w:val="0"/>
        <w:iCs w:val="0"/>
        <w:color w:val="auto"/>
        <w:sz w:val="20"/>
        <w:szCs w:val="20"/>
      </w:rPr>
      <w:tcPr>
        <w:tcBorders>
          <w:top w:val="single" w:color="auto" w:sz="6" w:space="0"/>
          <w:left w:val="single" w:color="auto" w:sz="6" w:space="0"/>
          <w:bottom w:val="single" w:color="auto" w:sz="6" w:space="0"/>
          <w:right w:val="single" w:color="auto" w:sz="6" w:space="0"/>
          <w:insideH w:val="single" w:sz="6" w:space="0"/>
          <w:insideV w:val="single" w:sz="6" w:space="0"/>
          <w:tl2br w:val="nil"/>
          <w:tr2bl w:val="nil"/>
        </w:tcBorders>
        <w:shd w:val="clear" w:color="auto" w:fill="D9D9D9"/>
      </w:tcPr>
    </w:tblStylePr>
  </w:style>
  <w:style w:type="paragraph" w:customStyle="1" w:styleId="35">
    <w:name w:val="表格文字"/>
    <w:basedOn w:val="1"/>
    <w:qFormat/>
    <w:uiPriority w:val="0"/>
    <w:pPr>
      <w:spacing w:before="25" w:after="25"/>
      <w:jc w:val="left"/>
    </w:pPr>
    <w:rPr>
      <w:rFonts w:ascii="Times New Roman" w:hAnsi="Times New Roman" w:eastAsia="宋体" w:cs="Times New Roman"/>
      <w:bCs/>
      <w:spacing w:val="10"/>
      <w:kern w:val="0"/>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90</Pages>
  <Words>15065</Words>
  <Characters>16377</Characters>
  <Lines>0</Lines>
  <Paragraphs>0</Paragraphs>
  <TotalTime>25</TotalTime>
  <ScaleCrop>false</ScaleCrop>
  <LinksUpToDate>false</LinksUpToDate>
  <CharactersWithSpaces>16479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2026-02-16T09:29:00Z</dcterms:created>
  <dc:creator>admin</dc:creator>
  <cp:lastModifiedBy>admin</cp:lastModifiedBy>
  <cp:lastPrinted>2026-08-11T10:28:00Z</cp:lastPrinted>
  <dcterms:modified xsi:type="dcterms:W3CDTF">2026-08-11T07:04:37Z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DD6DD9C3E52F4704BE0C4514A53FD29A_13</vt:lpwstr>
  </property>
  <property fmtid="{D5CDD505-2E9C-101B-9397-08002B2CF9AE}" pid="4" name="KSOTemplateDocerSaveRecord">
    <vt:lpwstr>eyJoZGlkIjoiMDVmYmQyNGQ0MjFlMTU1ZjczZjdkY2EyMmVhNTVmNWQifQ==</vt:lpwstr>
  </property>
</Properties>
</file>