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3F9EE">
      <w:pPr>
        <w:jc w:val="center"/>
        <w:rPr>
          <w:rFonts w:hint="eastAsia" w:ascii="宋体" w:hAnsi="宋体" w:eastAsia="宋体" w:cs="宋体"/>
          <w:b/>
          <w:color w:val="000000" w:themeColor="text1"/>
          <w:sz w:val="52"/>
          <w:lang w:val="en-US" w:eastAsia="zh-CN"/>
          <w14:textFill>
            <w14:solidFill>
              <w14:schemeClr w14:val="tx1"/>
            </w14:solidFill>
          </w14:textFill>
        </w:rPr>
      </w:pPr>
      <w:r>
        <w:rPr>
          <w:rFonts w:hint="eastAsia" w:ascii="宋体" w:hAnsi="宋体" w:eastAsia="宋体" w:cs="宋体"/>
          <w:b/>
          <w:color w:val="000000" w:themeColor="text1"/>
          <w:sz w:val="52"/>
          <w:lang w:val="en-US" w:eastAsia="zh-CN"/>
          <w14:textFill>
            <w14:solidFill>
              <w14:schemeClr w14:val="tx1"/>
            </w14:solidFill>
          </w14:textFill>
        </w:rPr>
        <w:t>防 城 港 市 政 府 采 购 中 心</w:t>
      </w:r>
    </w:p>
    <w:p w14:paraId="024DDE3A">
      <w:pPr>
        <w:jc w:val="center"/>
        <w:rPr>
          <w:rFonts w:hint="eastAsia" w:ascii="宋体" w:hAnsi="宋体" w:eastAsia="宋体" w:cs="宋体"/>
          <w:b/>
          <w:color w:val="000000" w:themeColor="text1"/>
          <w:sz w:val="52"/>
          <w:lang w:val="en-US" w:eastAsia="zh-CN"/>
          <w14:textFill>
            <w14:solidFill>
              <w14:schemeClr w14:val="tx1"/>
            </w14:solidFill>
          </w14:textFill>
        </w:rPr>
      </w:pPr>
    </w:p>
    <w:p w14:paraId="580079C0">
      <w:pPr>
        <w:pStyle w:val="12"/>
        <w:rPr>
          <w:rFonts w:ascii="宋体" w:hAnsi="宋体" w:cs="宋体"/>
          <w:b/>
          <w:bCs/>
          <w:color w:val="000000" w:themeColor="text1"/>
          <w:sz w:val="52"/>
          <w:szCs w:val="52"/>
          <w14:textFill>
            <w14:solidFill>
              <w14:schemeClr w14:val="tx1"/>
            </w14:solidFill>
          </w14:textFill>
        </w:rPr>
      </w:pPr>
    </w:p>
    <w:p w14:paraId="6D34DA41">
      <w:pPr>
        <w:pStyle w:val="12"/>
        <w:rPr>
          <w:rFonts w:ascii="宋体" w:hAnsi="宋体" w:cs="宋体"/>
          <w:b/>
          <w:bCs/>
          <w:color w:val="000000" w:themeColor="text1"/>
          <w:sz w:val="52"/>
          <w:szCs w:val="52"/>
          <w14:textFill>
            <w14:solidFill>
              <w14:schemeClr w14:val="tx1"/>
            </w14:solidFill>
          </w14:textFill>
        </w:rPr>
      </w:pPr>
    </w:p>
    <w:p w14:paraId="2F5F1856">
      <w:pPr>
        <w:spacing w:beforeLines="100" w:afterLines="50"/>
        <w:jc w:val="center"/>
        <w:rPr>
          <w:rFonts w:hint="eastAsia" w:ascii="宋体" w:hAnsi="宋体" w:cs="宋体"/>
          <w:b/>
          <w:color w:val="000000" w:themeColor="text1"/>
          <w:spacing w:val="93"/>
          <w:sz w:val="72"/>
          <w:szCs w:val="72"/>
          <w14:textFill>
            <w14:solidFill>
              <w14:schemeClr w14:val="tx1"/>
            </w14:solidFill>
          </w14:textFill>
        </w:rPr>
      </w:pPr>
      <w:r>
        <w:rPr>
          <w:rFonts w:hint="eastAsia" w:ascii="宋体" w:hAnsi="宋体" w:cs="宋体"/>
          <w:b/>
          <w:color w:val="000000" w:themeColor="text1"/>
          <w:spacing w:val="93"/>
          <w:sz w:val="72"/>
          <w:szCs w:val="72"/>
          <w14:textFill>
            <w14:solidFill>
              <w14:schemeClr w14:val="tx1"/>
            </w14:solidFill>
          </w14:textFill>
        </w:rPr>
        <w:t>公开招标文件</w:t>
      </w:r>
    </w:p>
    <w:p w14:paraId="43EB5417">
      <w:pPr>
        <w:spacing w:beforeLines="100" w:afterLines="50"/>
        <w:jc w:val="center"/>
        <w:rPr>
          <w:rFonts w:ascii="宋体" w:hAnsi="宋体" w:cs="宋体"/>
          <w:sz w:val="40"/>
          <w:szCs w:val="40"/>
        </w:rPr>
      </w:pPr>
      <w:r>
        <w:rPr>
          <w:rFonts w:hint="eastAsia" w:ascii="宋体" w:hAnsi="宋体" w:cs="宋体"/>
          <w:sz w:val="40"/>
          <w:szCs w:val="40"/>
        </w:rPr>
        <w:t>（全流程电子化采购）</w:t>
      </w:r>
    </w:p>
    <w:p w14:paraId="2CAE4793">
      <w:pPr>
        <w:jc w:val="center"/>
        <w:rPr>
          <w:rFonts w:ascii="宋体" w:hAnsi="宋体" w:cs="宋体"/>
          <w:b/>
          <w:bCs/>
          <w:color w:val="000000" w:themeColor="text1"/>
          <w:sz w:val="52"/>
          <w:szCs w:val="52"/>
          <w14:textFill>
            <w14:solidFill>
              <w14:schemeClr w14:val="tx1"/>
            </w14:solidFill>
          </w14:textFill>
        </w:rPr>
      </w:pPr>
    </w:p>
    <w:p w14:paraId="782688DC">
      <w:pPr>
        <w:jc w:val="center"/>
        <w:rPr>
          <w:rFonts w:ascii="宋体" w:hAnsi="宋体" w:cs="宋体"/>
          <w:b/>
          <w:bCs/>
          <w:color w:val="000000" w:themeColor="text1"/>
          <w:sz w:val="52"/>
          <w:szCs w:val="52"/>
          <w14:textFill>
            <w14:solidFill>
              <w14:schemeClr w14:val="tx1"/>
            </w14:solidFill>
          </w14:textFill>
        </w:rPr>
      </w:pPr>
    </w:p>
    <w:p w14:paraId="0801E0C5">
      <w:pPr>
        <w:jc w:val="center"/>
        <w:rPr>
          <w:rFonts w:ascii="宋体" w:hAnsi="宋体" w:cs="宋体"/>
          <w:b/>
          <w:bCs/>
          <w:color w:val="000000" w:themeColor="text1"/>
          <w:sz w:val="52"/>
          <w:szCs w:val="52"/>
          <w14:textFill>
            <w14:solidFill>
              <w14:schemeClr w14:val="tx1"/>
            </w14:solidFill>
          </w14:textFill>
        </w:rPr>
      </w:pPr>
    </w:p>
    <w:p w14:paraId="620B2FD9">
      <w:pPr>
        <w:pStyle w:val="10"/>
        <w:adjustRightInd w:val="0"/>
        <w:snapToGrid w:val="0"/>
        <w:spacing w:line="360" w:lineRule="auto"/>
        <w:ind w:firstLine="321" w:firstLineChars="100"/>
        <w:jc w:val="left"/>
        <w:rPr>
          <w:rFonts w:ascii="宋体" w:hAnsi="宋体" w:cs="宋体"/>
          <w:b/>
          <w:bCs/>
          <w:color w:val="000000" w:themeColor="text1"/>
          <w:sz w:val="32"/>
          <w:szCs w:val="32"/>
          <w:u w:val="single"/>
          <w14:textFill>
            <w14:solidFill>
              <w14:schemeClr w14:val="tx1"/>
            </w14:solidFill>
          </w14:textFill>
        </w:rPr>
      </w:pPr>
      <w:r>
        <w:rPr>
          <w:rFonts w:hint="eastAsia" w:hAnsi="宋体" w:eastAsia="宋体" w:cs="宋体"/>
          <w:b/>
          <w:sz w:val="32"/>
          <w:szCs w:val="32"/>
        </w:rPr>
        <w:t>项目名称：</w:t>
      </w:r>
      <w:r>
        <w:rPr>
          <w:rFonts w:hint="eastAsia" w:hAnsi="宋体" w:eastAsia="宋体" w:cs="宋体"/>
          <w:b/>
          <w:sz w:val="32"/>
          <w:szCs w:val="32"/>
          <w:lang w:val="en-US" w:eastAsia="zh-CN"/>
        </w:rPr>
        <w:fldChar w:fldCharType="begin"/>
      </w:r>
      <w:r>
        <w:rPr>
          <w:rFonts w:hint="eastAsia" w:hAnsi="宋体" w:eastAsia="宋体" w:cs="宋体"/>
          <w:b/>
          <w:sz w:val="32"/>
          <w:szCs w:val="32"/>
          <w:lang w:val="en-US" w:eastAsia="zh-CN"/>
        </w:rPr>
        <w:instrText xml:space="preserve"> HYPERLINK "https://middle.gcy.zfcg.gxzf.gov.cn/budget-quota-index/" \l "/purchase/plan/details/19158794" \t "https://middle.gcy.zfcg.gxzf.gov.cn/purchaseplan_front/" \l "/plan/list/_blank" </w:instrText>
      </w:r>
      <w:r>
        <w:rPr>
          <w:rFonts w:hint="eastAsia" w:hAnsi="宋体" w:eastAsia="宋体" w:cs="宋体"/>
          <w:b/>
          <w:sz w:val="32"/>
          <w:szCs w:val="32"/>
          <w:lang w:val="en-US" w:eastAsia="zh-CN"/>
        </w:rPr>
        <w:fldChar w:fldCharType="separate"/>
      </w:r>
      <w:r>
        <w:rPr>
          <w:rFonts w:hint="eastAsia" w:hAnsi="宋体" w:eastAsia="宋体" w:cs="宋体"/>
          <w:b/>
          <w:sz w:val="32"/>
          <w:szCs w:val="32"/>
          <w:lang w:val="en-US" w:eastAsia="zh-CN"/>
        </w:rPr>
        <w:t>防城港市北部湾高级中学物业管理服务采购</w:t>
      </w:r>
      <w:r>
        <w:rPr>
          <w:rFonts w:hint="eastAsia" w:hAnsi="宋体" w:eastAsia="宋体" w:cs="宋体"/>
          <w:b/>
          <w:sz w:val="32"/>
          <w:szCs w:val="32"/>
          <w:lang w:val="en-US" w:eastAsia="zh-CN"/>
        </w:rPr>
        <w:fldChar w:fldCharType="end"/>
      </w:r>
    </w:p>
    <w:p w14:paraId="21F69114">
      <w:pPr>
        <w:pStyle w:val="10"/>
        <w:adjustRightInd w:val="0"/>
        <w:snapToGrid w:val="0"/>
        <w:spacing w:line="360" w:lineRule="auto"/>
        <w:ind w:firstLine="321" w:firstLineChars="100"/>
        <w:jc w:val="left"/>
        <w:rPr>
          <w:rFonts w:hint="default" w:hAnsi="宋体" w:eastAsia="宋体" w:cs="宋体"/>
          <w:b/>
          <w:sz w:val="32"/>
          <w:szCs w:val="32"/>
          <w:lang w:val="en-US" w:eastAsia="zh-CN"/>
        </w:rPr>
      </w:pPr>
      <w:r>
        <w:rPr>
          <w:rFonts w:hint="eastAsia" w:hAnsi="宋体" w:eastAsia="宋体" w:cs="宋体"/>
          <w:b/>
          <w:sz w:val="32"/>
          <w:szCs w:val="32"/>
        </w:rPr>
        <w:t>项目编号：FCZC2026-G3-990124-FCGS</w:t>
      </w:r>
    </w:p>
    <w:p w14:paraId="412520D7">
      <w:pPr>
        <w:jc w:val="both"/>
        <w:rPr>
          <w:rFonts w:ascii="宋体" w:hAnsi="宋体" w:cs="宋体"/>
          <w:color w:val="000000" w:themeColor="text1"/>
          <w:sz w:val="32"/>
          <w:szCs w:val="32"/>
          <w14:textFill>
            <w14:solidFill>
              <w14:schemeClr w14:val="tx1"/>
            </w14:solidFill>
          </w14:textFill>
        </w:rPr>
      </w:pPr>
    </w:p>
    <w:p w14:paraId="27B21AFF">
      <w:pPr>
        <w:rPr>
          <w:rFonts w:ascii="宋体" w:hAnsi="宋体" w:cs="宋体"/>
          <w:color w:val="000000" w:themeColor="text1"/>
          <w:sz w:val="32"/>
          <w:szCs w:val="32"/>
          <w14:textFill>
            <w14:solidFill>
              <w14:schemeClr w14:val="tx1"/>
            </w14:solidFill>
          </w14:textFill>
        </w:rPr>
      </w:pPr>
    </w:p>
    <w:p w14:paraId="7A933762">
      <w:pPr>
        <w:pStyle w:val="12"/>
        <w:rPr>
          <w:rFonts w:hint="eastAsia" w:ascii="宋体" w:hAnsi="宋体" w:cs="宋体" w:eastAsiaTheme="minorEastAsia"/>
          <w:b/>
          <w:bCs/>
          <w:color w:val="000000" w:themeColor="text1"/>
          <w:kern w:val="2"/>
          <w:sz w:val="32"/>
          <w:szCs w:val="32"/>
          <w:u w:val="none"/>
          <w:lang w:val="en-US" w:eastAsia="zh-CN" w:bidi="ar-SA"/>
          <w14:textFill>
            <w14:solidFill>
              <w14:schemeClr w14:val="tx1"/>
            </w14:solidFill>
          </w14:textFill>
        </w:rPr>
      </w:pPr>
    </w:p>
    <w:p w14:paraId="0FEB565E">
      <w:pPr>
        <w:pStyle w:val="10"/>
        <w:adjustRightInd w:val="0"/>
        <w:snapToGrid w:val="0"/>
        <w:spacing w:line="360" w:lineRule="auto"/>
        <w:ind w:firstLine="321" w:firstLineChars="100"/>
        <w:jc w:val="left"/>
        <w:rPr>
          <w:rFonts w:hint="eastAsia" w:hAnsi="宋体" w:eastAsia="宋体" w:cs="宋体"/>
          <w:b/>
          <w:sz w:val="32"/>
          <w:szCs w:val="32"/>
          <w:lang w:val="en-US" w:eastAsia="zh-CN"/>
        </w:rPr>
      </w:pPr>
      <w:r>
        <w:rPr>
          <w:rFonts w:hint="eastAsia" w:hAnsi="宋体" w:eastAsia="宋体" w:cs="宋体"/>
          <w:b/>
          <w:sz w:val="32"/>
          <w:szCs w:val="32"/>
          <w:lang w:val="en-US" w:eastAsia="zh-CN"/>
        </w:rPr>
        <w:t>采购单位：防城港市北部湾高级中学</w:t>
      </w:r>
    </w:p>
    <w:p w14:paraId="67AB3B0E">
      <w:pPr>
        <w:pStyle w:val="10"/>
        <w:adjustRightInd w:val="0"/>
        <w:snapToGrid w:val="0"/>
        <w:spacing w:line="360" w:lineRule="auto"/>
        <w:ind w:firstLine="321" w:firstLineChars="100"/>
        <w:jc w:val="left"/>
        <w:rPr>
          <w:rFonts w:hint="eastAsia" w:hAnsi="宋体" w:eastAsia="宋体" w:cs="宋体"/>
          <w:b/>
          <w:sz w:val="32"/>
          <w:szCs w:val="32"/>
          <w:lang w:val="en-US" w:eastAsia="zh-CN"/>
        </w:rPr>
      </w:pPr>
      <w:r>
        <w:rPr>
          <w:rFonts w:hint="eastAsia" w:hAnsi="宋体" w:eastAsia="宋体" w:cs="宋体"/>
          <w:b/>
          <w:sz w:val="32"/>
          <w:szCs w:val="32"/>
          <w:lang w:val="en-US" w:eastAsia="zh-CN"/>
        </w:rPr>
        <w:t>采购代理机构：防城港市政府采购中心</w:t>
      </w:r>
    </w:p>
    <w:p w14:paraId="7ED0A62D">
      <w:pPr>
        <w:rPr>
          <w:rFonts w:hint="eastAsia"/>
          <w:lang w:val="en-US" w:eastAsia="zh-CN"/>
        </w:rPr>
      </w:pPr>
    </w:p>
    <w:p w14:paraId="08748B17">
      <w:pPr>
        <w:pStyle w:val="12"/>
        <w:rPr>
          <w:rFonts w:hint="eastAsia"/>
          <w:color w:val="auto"/>
          <w:lang w:val="en-US" w:eastAsia="zh-CN"/>
        </w:rPr>
      </w:pPr>
    </w:p>
    <w:p w14:paraId="0CBA6986">
      <w:pPr>
        <w:pStyle w:val="12"/>
        <w:jc w:val="center"/>
        <w:rPr>
          <w:rFonts w:hint="eastAsia" w:ascii="宋体" w:hAnsi="宋体" w:cs="宋体" w:eastAsiaTheme="minorEastAsia"/>
          <w:b/>
          <w:bCs/>
          <w:color w:val="auto"/>
          <w:kern w:val="2"/>
          <w:sz w:val="32"/>
          <w:szCs w:val="32"/>
          <w:lang w:val="en-US" w:eastAsia="zh-CN" w:bidi="ar-SA"/>
        </w:rPr>
      </w:pPr>
      <w:r>
        <w:rPr>
          <w:rFonts w:hint="eastAsia" w:ascii="宋体" w:hAnsi="宋体" w:cs="宋体" w:eastAsiaTheme="minorEastAsia"/>
          <w:b/>
          <w:bCs/>
          <w:color w:val="auto"/>
          <w:kern w:val="2"/>
          <w:sz w:val="32"/>
          <w:szCs w:val="32"/>
          <w:lang w:val="en-US" w:eastAsia="zh-CN" w:bidi="ar-SA"/>
        </w:rPr>
        <w:t>202</w:t>
      </w:r>
      <w:r>
        <w:rPr>
          <w:rFonts w:hint="eastAsia" w:ascii="宋体" w:hAnsi="宋体" w:cs="宋体"/>
          <w:b/>
          <w:bCs/>
          <w:color w:val="auto"/>
          <w:kern w:val="2"/>
          <w:sz w:val="32"/>
          <w:szCs w:val="32"/>
          <w:lang w:val="en-US" w:eastAsia="zh-CN" w:bidi="ar-SA"/>
        </w:rPr>
        <w:t>6</w:t>
      </w:r>
      <w:r>
        <w:rPr>
          <w:rFonts w:hint="eastAsia" w:ascii="宋体" w:hAnsi="宋体" w:cs="宋体" w:eastAsiaTheme="minorEastAsia"/>
          <w:b/>
          <w:bCs/>
          <w:color w:val="auto"/>
          <w:kern w:val="2"/>
          <w:sz w:val="32"/>
          <w:szCs w:val="32"/>
          <w:lang w:val="en-US" w:eastAsia="zh-CN" w:bidi="ar-SA"/>
        </w:rPr>
        <w:t>年</w:t>
      </w:r>
      <w:r>
        <w:rPr>
          <w:rFonts w:hint="eastAsia" w:ascii="宋体" w:hAnsi="宋体" w:cs="宋体"/>
          <w:b/>
          <w:bCs/>
          <w:color w:val="auto"/>
          <w:kern w:val="2"/>
          <w:sz w:val="32"/>
          <w:szCs w:val="32"/>
          <w:lang w:val="en-US" w:eastAsia="zh-CN" w:bidi="ar-SA"/>
        </w:rPr>
        <w:t>8</w:t>
      </w:r>
      <w:r>
        <w:rPr>
          <w:rFonts w:hint="eastAsia" w:ascii="宋体" w:hAnsi="宋体" w:cs="宋体" w:eastAsiaTheme="minorEastAsia"/>
          <w:b/>
          <w:bCs/>
          <w:color w:val="auto"/>
          <w:kern w:val="2"/>
          <w:sz w:val="32"/>
          <w:szCs w:val="32"/>
          <w:lang w:val="en-US" w:eastAsia="zh-CN" w:bidi="ar-SA"/>
        </w:rPr>
        <w:t>月</w:t>
      </w:r>
      <w:r>
        <w:rPr>
          <w:rFonts w:hint="eastAsia" w:ascii="宋体" w:hAnsi="宋体" w:cs="宋体"/>
          <w:b/>
          <w:bCs/>
          <w:color w:val="auto"/>
          <w:kern w:val="2"/>
          <w:sz w:val="32"/>
          <w:szCs w:val="32"/>
          <w:lang w:val="en-US" w:eastAsia="zh-CN" w:bidi="ar-SA"/>
        </w:rPr>
        <w:t>4</w:t>
      </w:r>
      <w:r>
        <w:rPr>
          <w:rFonts w:hint="eastAsia" w:ascii="宋体" w:hAnsi="宋体" w:cs="宋体" w:eastAsiaTheme="minorEastAsia"/>
          <w:b/>
          <w:bCs/>
          <w:color w:val="auto"/>
          <w:kern w:val="2"/>
          <w:sz w:val="32"/>
          <w:szCs w:val="32"/>
          <w:lang w:val="en-US" w:eastAsia="zh-CN" w:bidi="ar-SA"/>
        </w:rPr>
        <w:t>日</w:t>
      </w:r>
    </w:p>
    <w:p w14:paraId="1A3E34AE">
      <w:pPr>
        <w:rPr>
          <w:rFonts w:hint="eastAsia"/>
          <w:lang w:val="en-US" w:eastAsia="zh-CN"/>
        </w:rPr>
        <w:sectPr>
          <w:headerReference r:id="rId3" w:type="default"/>
          <w:pgSz w:w="11910" w:h="16840"/>
          <w:pgMar w:top="1440" w:right="1080" w:bottom="1440" w:left="1080" w:header="698" w:footer="912" w:gutter="0"/>
          <w:pgNumType w:fmt="decimal" w:start="1"/>
          <w:cols w:space="720" w:num="1"/>
        </w:sectPr>
      </w:pPr>
    </w:p>
    <w:sdt>
      <w:sdtPr>
        <w:rPr>
          <w:rFonts w:ascii="宋体" w:hAnsi="宋体" w:eastAsia="宋体" w:cstheme="minorBidi"/>
          <w:kern w:val="2"/>
          <w:sz w:val="21"/>
          <w:szCs w:val="24"/>
          <w:lang w:val="en-US" w:eastAsia="zh-CN" w:bidi="ar-SA"/>
        </w:rPr>
        <w:id w:val="147478528"/>
        <w15:color w:val="DBDBDB"/>
        <w:docPartObj>
          <w:docPartGallery w:val="Table of Contents"/>
          <w:docPartUnique/>
        </w:docPartObj>
      </w:sdtPr>
      <w:sdtEndPr>
        <w:rPr>
          <w:rFonts w:hint="eastAsia" w:asciiTheme="minorHAnsi" w:hAnsiTheme="minorHAnsi" w:eastAsiaTheme="minorEastAsia" w:cstheme="minorBidi"/>
          <w:kern w:val="2"/>
          <w:sz w:val="21"/>
          <w:szCs w:val="24"/>
          <w:lang w:val="en-US" w:eastAsia="zh-CN" w:bidi="ar-SA"/>
        </w:rPr>
      </w:sdtEndPr>
      <w:sdtContent>
        <w:p w14:paraId="304D630F">
          <w:pPr>
            <w:spacing w:before="0" w:beforeLines="0" w:after="0" w:afterLines="0" w:line="240" w:lineRule="auto"/>
            <w:ind w:left="0" w:leftChars="0" w:right="0" w:rightChars="0" w:firstLine="0" w:firstLineChars="0"/>
            <w:jc w:val="center"/>
          </w:pPr>
          <w:r>
            <w:rPr>
              <w:rFonts w:hint="eastAsia" w:ascii="宋体" w:hAnsi="宋体" w:eastAsia="宋体" w:cs="宋体"/>
              <w:b/>
              <w:kern w:val="2"/>
              <w:sz w:val="44"/>
              <w:szCs w:val="44"/>
              <w:lang w:val="en-US" w:eastAsia="zh-CN" w:bidi="ar-SA"/>
            </w:rPr>
            <w:t>目录</w:t>
          </w:r>
        </w:p>
        <w:p w14:paraId="68270BE0">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lang w:val="en-US" w:eastAsia="zh-CN"/>
            </w:rPr>
            <w:fldChar w:fldCharType="begin"/>
          </w:r>
          <w:r>
            <w:rPr>
              <w:rFonts w:hint="eastAsia"/>
              <w:lang w:val="en-US" w:eastAsia="zh-CN"/>
            </w:rPr>
            <w:instrText xml:space="preserve">TOC \o "1-1" \h \u </w:instrText>
          </w:r>
          <w:r>
            <w:rPr>
              <w:rFonts w:hint="eastAsia"/>
              <w:lang w:val="en-US" w:eastAsia="zh-CN"/>
            </w:rPr>
            <w:fldChar w:fldCharType="separate"/>
          </w: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_Toc3799 </w:instrText>
          </w:r>
          <w:r>
            <w:rPr>
              <w:rFonts w:hint="eastAsia" w:ascii="宋体" w:hAnsi="宋体" w:eastAsia="宋体" w:cs="宋体"/>
              <w:sz w:val="24"/>
              <w:szCs w:val="24"/>
              <w:lang w:val="en-US" w:eastAsia="zh-CN"/>
            </w:rPr>
            <w:fldChar w:fldCharType="separate"/>
          </w:r>
          <w:r>
            <w:rPr>
              <w:rFonts w:hint="eastAsia" w:ascii="宋体" w:hAnsi="宋体" w:eastAsia="宋体" w:cs="宋体"/>
              <w:bCs w:val="0"/>
              <w:kern w:val="2"/>
              <w:sz w:val="24"/>
              <w:szCs w:val="24"/>
              <w:lang w:val="en-US" w:eastAsia="zh-CN" w:bidi="ar-SA"/>
            </w:rPr>
            <w:t>第一章 公开招标公告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_Toc3799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164F7857">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_Toc1034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 xml:space="preserve">第二章 </w:t>
          </w:r>
          <w:r>
            <w:rPr>
              <w:rFonts w:hint="eastAsia" w:ascii="宋体" w:hAnsi="宋体" w:eastAsia="宋体" w:cs="宋体"/>
              <w:sz w:val="24"/>
              <w:szCs w:val="24"/>
              <w:highlight w:val="none"/>
            </w:rPr>
            <w:t>采购需求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_Toc1034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05D0051C">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_Toc32381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第三章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投标人须知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_Toc32381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533A9CC7">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_Toc2191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 xml:space="preserve">第四章 </w:t>
          </w:r>
          <w:r>
            <w:rPr>
              <w:rFonts w:hint="eastAsia" w:ascii="宋体" w:hAnsi="宋体" w:eastAsia="宋体" w:cs="宋体"/>
              <w:sz w:val="24"/>
              <w:szCs w:val="24"/>
              <w:highlight w:val="none"/>
              <w:lang w:val="en-US" w:eastAsia="zh-CN"/>
            </w:rPr>
            <w:t>评标方法及评标标准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_Toc2191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6B2911F2">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_Toc971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 xml:space="preserve">第五章 </w:t>
          </w:r>
          <w:r>
            <w:rPr>
              <w:rFonts w:hint="eastAsia" w:ascii="宋体" w:hAnsi="宋体" w:eastAsia="宋体" w:cs="宋体"/>
              <w:sz w:val="24"/>
              <w:szCs w:val="24"/>
              <w:highlight w:val="none"/>
              <w:lang w:val="en-US" w:eastAsia="zh-CN"/>
            </w:rPr>
            <w:t>拟签订的合同文本</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_Toc971 \h </w:instrText>
          </w:r>
          <w:r>
            <w:rPr>
              <w:rFonts w:hint="eastAsia" w:ascii="宋体" w:hAnsi="宋体" w:eastAsia="宋体" w:cs="宋体"/>
              <w:sz w:val="24"/>
              <w:szCs w:val="24"/>
            </w:rPr>
            <w:fldChar w:fldCharType="separate"/>
          </w:r>
          <w:r>
            <w:rPr>
              <w:rFonts w:hint="eastAsia" w:ascii="宋体" w:hAnsi="宋体" w:eastAsia="宋体" w:cs="宋体"/>
              <w:sz w:val="24"/>
              <w:szCs w:val="24"/>
            </w:rPr>
            <w:t>48</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5D091D0D">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_Toc9058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 xml:space="preserve">第六章 </w:t>
          </w:r>
          <w:r>
            <w:rPr>
              <w:rFonts w:hint="eastAsia" w:ascii="宋体" w:hAnsi="宋体" w:eastAsia="宋体" w:cs="宋体"/>
              <w:sz w:val="24"/>
              <w:szCs w:val="24"/>
              <w:highlight w:val="none"/>
              <w:lang w:val="en-US" w:eastAsia="zh-CN"/>
            </w:rPr>
            <w:t>投标文件格式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_Toc9058 \h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5D9E89B6">
          <w:pPr>
            <w:rPr>
              <w:rFonts w:hint="eastAsia" w:asciiTheme="minorHAnsi" w:hAnsiTheme="minorHAnsi" w:eastAsiaTheme="minorEastAsia" w:cstheme="minorBidi"/>
              <w:kern w:val="2"/>
              <w:sz w:val="21"/>
              <w:szCs w:val="24"/>
              <w:lang w:val="en-US" w:eastAsia="zh-CN" w:bidi="ar-SA"/>
            </w:rPr>
            <w:sectPr>
              <w:footerReference r:id="rId4" w:type="default"/>
              <w:pgSz w:w="11910" w:h="16840"/>
              <w:pgMar w:top="1440" w:right="1080" w:bottom="1440" w:left="1080" w:header="698" w:footer="912" w:gutter="0"/>
              <w:pgNumType w:fmt="decimal" w:start="1"/>
              <w:cols w:space="720" w:num="1"/>
            </w:sectPr>
          </w:pPr>
          <w:r>
            <w:rPr>
              <w:rFonts w:hint="eastAsia"/>
              <w:lang w:val="en-US" w:eastAsia="zh-CN"/>
            </w:rPr>
            <w:fldChar w:fldCharType="end"/>
          </w:r>
        </w:p>
      </w:sdtContent>
    </w:sdt>
    <w:p w14:paraId="02F4C190">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b/>
          <w:bCs w:val="0"/>
          <w:kern w:val="2"/>
          <w:sz w:val="44"/>
          <w:szCs w:val="44"/>
          <w:lang w:val="en-US" w:eastAsia="zh-CN" w:bidi="ar-SA"/>
        </w:rPr>
      </w:pPr>
      <w:bookmarkStart w:id="0" w:name="_Toc3799"/>
      <w:bookmarkStart w:id="1" w:name="_Toc28939"/>
      <w:r>
        <w:rPr>
          <w:rFonts w:hint="eastAsia" w:ascii="宋体" w:hAnsi="宋体" w:eastAsia="宋体" w:cs="宋体"/>
          <w:b/>
          <w:bCs w:val="0"/>
          <w:kern w:val="2"/>
          <w:sz w:val="44"/>
          <w:szCs w:val="44"/>
          <w:lang w:val="en-US" w:eastAsia="zh-CN" w:bidi="ar-SA"/>
        </w:rPr>
        <w:t>第一章 公开招标公告</w:t>
      </w:r>
      <w:bookmarkEnd w:id="0"/>
      <w:bookmarkEnd w:id="1"/>
    </w:p>
    <w:p w14:paraId="23598CB4">
      <w:pPr>
        <w:keepNext w:val="0"/>
        <w:keepLines w:val="0"/>
        <w:pageBreakBefore w:val="0"/>
        <w:kinsoku/>
        <w:overflowPunct/>
        <w:topLinePunct w:val="0"/>
        <w:autoSpaceDE/>
        <w:autoSpaceDN/>
        <w:bidi w:val="0"/>
        <w:adjustRightInd/>
        <w:spacing w:line="240" w:lineRule="auto"/>
        <w:jc w:val="center"/>
        <w:textAlignment w:val="auto"/>
        <w:rPr>
          <w:rFonts w:hint="eastAsia" w:ascii="宋体" w:hAnsi="宋体" w:eastAsia="宋体" w:cs="宋体"/>
          <w:b/>
          <w:color w:val="EE822F" w:themeColor="accent2"/>
          <w:sz w:val="21"/>
          <w:szCs w:val="21"/>
          <w:highlight w:val="none"/>
          <w:lang w:val="en-US" w:eastAsia="zh-CN"/>
          <w14:textFill>
            <w14:solidFill>
              <w14:schemeClr w14:val="accent2"/>
            </w14:solidFill>
          </w14:textFill>
        </w:rPr>
      </w:pPr>
    </w:p>
    <w:p w14:paraId="0EBC7BCD">
      <w:pPr>
        <w:keepNext w:val="0"/>
        <w:keepLines w:val="0"/>
        <w:pageBreakBefore w:val="0"/>
        <w:kinsoku/>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fldChar w:fldCharType="begin"/>
      </w:r>
      <w:r>
        <w:rPr>
          <w:rFonts w:hint="eastAsia" w:ascii="宋体" w:hAnsi="宋体" w:eastAsia="宋体" w:cs="宋体"/>
          <w:b/>
          <w:color w:val="auto"/>
          <w:sz w:val="21"/>
          <w:szCs w:val="21"/>
          <w:highlight w:val="none"/>
          <w:lang w:val="en-US" w:eastAsia="zh-CN"/>
        </w:rPr>
        <w:instrText xml:space="preserve"> HYPERLINK "https://middle.gcy.zfcg.gxzf.gov.cn/budget-quota-index/" \l "/purchase/plan/details/19158794" \t "https://middle.gcy.zfcg.gxzf.gov.cn/purchaseplan_front/" \l "/plan/list/_blank" </w:instrText>
      </w:r>
      <w:r>
        <w:rPr>
          <w:rFonts w:hint="eastAsia" w:ascii="宋体" w:hAnsi="宋体" w:eastAsia="宋体" w:cs="宋体"/>
          <w:b/>
          <w:color w:val="auto"/>
          <w:sz w:val="21"/>
          <w:szCs w:val="21"/>
          <w:highlight w:val="none"/>
          <w:lang w:val="en-US" w:eastAsia="zh-CN"/>
        </w:rPr>
        <w:fldChar w:fldCharType="separate"/>
      </w:r>
      <w:r>
        <w:rPr>
          <w:rFonts w:hint="eastAsia" w:ascii="宋体" w:hAnsi="宋体" w:eastAsia="宋体" w:cs="宋体"/>
          <w:b/>
          <w:color w:val="auto"/>
          <w:sz w:val="21"/>
          <w:szCs w:val="21"/>
          <w:highlight w:val="none"/>
          <w:lang w:val="en-US" w:eastAsia="zh-CN"/>
        </w:rPr>
        <w:t>防城港市北部湾高级中学物业管理服务采购</w:t>
      </w:r>
      <w:r>
        <w:rPr>
          <w:rFonts w:hint="eastAsia" w:ascii="宋体" w:hAnsi="宋体" w:eastAsia="宋体" w:cs="宋体"/>
          <w:b/>
          <w:color w:val="auto"/>
          <w:sz w:val="21"/>
          <w:szCs w:val="21"/>
          <w:highlight w:val="none"/>
          <w:lang w:val="en-US" w:eastAsia="zh-CN"/>
        </w:rPr>
        <w:fldChar w:fldCharType="end"/>
      </w:r>
      <w:r>
        <w:rPr>
          <w:rFonts w:hint="eastAsia" w:ascii="宋体" w:hAnsi="宋体" w:eastAsia="宋体" w:cs="宋体"/>
          <w:b/>
          <w:color w:val="auto"/>
          <w:sz w:val="21"/>
          <w:szCs w:val="21"/>
          <w:highlight w:val="none"/>
          <w:lang w:val="en-US" w:eastAsia="zh-CN"/>
        </w:rPr>
        <w:t>的公开招标公告</w:t>
      </w:r>
    </w:p>
    <w:p w14:paraId="6DC11407">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bookmarkStart w:id="134" w:name="_GoBack"/>
      <w:r>
        <w:rPr>
          <w:rFonts w:hint="eastAsia" w:ascii="宋体" w:hAnsi="宋体" w:eastAsia="宋体" w:cs="宋体"/>
          <w:color w:val="auto"/>
          <w:sz w:val="21"/>
          <w:szCs w:val="21"/>
          <w:highlight w:val="none"/>
        </w:rPr>
        <w:t>项目概况</w:t>
      </w:r>
    </w:p>
    <w:p w14:paraId="62232155">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"https://middle.gcy.zfcg.gxzf.gov.cn/budget-quota-index/" \l "/purchase/plan/details/19158794" \t "https://middle.gcy.zfcg.gxzf.gov.cn/purchaseplan_front/" \l "/plan/list/_blank"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防城港市北部湾高级中学物业管理服务采购</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的潜在投标人应在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获取招标文件，并于</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lang w:val="en-US" w:eastAsia="zh-CN"/>
        </w:rPr>
        <w:t>月</w:t>
      </w:r>
      <w:r>
        <w:rPr>
          <w:rFonts w:hint="eastAsia" w:ascii="宋体" w:hAnsi="宋体" w:cs="宋体"/>
          <w:bCs/>
          <w:color w:val="auto"/>
          <w:sz w:val="21"/>
          <w:szCs w:val="21"/>
          <w:highlight w:val="none"/>
          <w:lang w:val="en-US" w:eastAsia="zh-CN"/>
        </w:rPr>
        <w:t>25</w:t>
      </w:r>
      <w:r>
        <w:rPr>
          <w:rFonts w:hint="eastAsia" w:ascii="宋体" w:hAnsi="宋体" w:eastAsia="宋体" w:cs="宋体"/>
          <w:bCs/>
          <w:color w:val="auto"/>
          <w:sz w:val="21"/>
          <w:szCs w:val="21"/>
          <w:highlight w:val="none"/>
          <w:lang w:val="en-US" w:eastAsia="zh-CN"/>
        </w:rPr>
        <w:t>日9</w:t>
      </w:r>
      <w:r>
        <w:rPr>
          <w:rFonts w:hint="eastAsia" w:ascii="宋体" w:hAnsi="宋体" w:eastAsia="宋体" w:cs="宋体"/>
          <w:bCs/>
          <w:color w:val="auto"/>
          <w:sz w:val="21"/>
          <w:szCs w:val="21"/>
          <w:highlight w:val="none"/>
        </w:rPr>
        <w:t>时</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分（北京时间）前按要求提交投标文件</w:t>
      </w:r>
      <w:r>
        <w:rPr>
          <w:rFonts w:hint="eastAsia" w:ascii="宋体" w:hAnsi="宋体" w:eastAsia="宋体" w:cs="宋体"/>
          <w:color w:val="auto"/>
          <w:sz w:val="21"/>
          <w:szCs w:val="21"/>
          <w:highlight w:val="none"/>
        </w:rPr>
        <w:t>。</w:t>
      </w:r>
    </w:p>
    <w:p w14:paraId="149C0C30">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bookmarkStart w:id="2" w:name="_Toc35393621"/>
      <w:bookmarkStart w:id="3" w:name="_Toc28359079"/>
      <w:bookmarkStart w:id="4" w:name="_Toc35393790"/>
      <w:bookmarkStart w:id="5" w:name="_Toc28359002"/>
      <w:bookmarkStart w:id="6" w:name="_Hlk24379207"/>
      <w:r>
        <w:rPr>
          <w:rFonts w:hint="eastAsia" w:ascii="宋体" w:hAnsi="宋体" w:eastAsia="宋体" w:cs="宋体"/>
          <w:b/>
          <w:bCs/>
          <w:color w:val="auto"/>
          <w:sz w:val="21"/>
          <w:szCs w:val="21"/>
          <w:highlight w:val="none"/>
        </w:rPr>
        <w:t>一、项目基本情况</w:t>
      </w:r>
      <w:bookmarkEnd w:id="2"/>
      <w:bookmarkEnd w:id="3"/>
      <w:bookmarkEnd w:id="4"/>
      <w:bookmarkEnd w:id="5"/>
    </w:p>
    <w:p w14:paraId="3A73E38E">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项目编号：FCZC2026-G3-990124-FCGS</w:t>
      </w:r>
    </w:p>
    <w:p w14:paraId="520685E6">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bookmarkEnd w:id="6"/>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"https://middle.gcy.zfcg.gxzf.gov.cn/budget-quota-index/" \l "/purchase/plan/details/19158794" \t "https://middle.gcy.zfcg.gxzf.gov.cn/purchaseplan_front/" \l "/plan/list/_blank"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防城港市北部湾高级中学物业管理服务采购</w:t>
      </w:r>
      <w:r>
        <w:rPr>
          <w:rFonts w:hint="eastAsia" w:ascii="宋体" w:hAnsi="宋体" w:eastAsia="宋体" w:cs="宋体"/>
          <w:color w:val="auto"/>
          <w:sz w:val="21"/>
          <w:szCs w:val="21"/>
          <w:highlight w:val="none"/>
        </w:rPr>
        <w:fldChar w:fldCharType="end"/>
      </w:r>
    </w:p>
    <w:p w14:paraId="62319DF4">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预算总金额：</w:t>
      </w:r>
      <w:r>
        <w:rPr>
          <w:rFonts w:hint="eastAsia" w:ascii="宋体" w:hAnsi="宋体" w:eastAsia="宋体" w:cs="宋体"/>
          <w:color w:val="auto"/>
          <w:sz w:val="21"/>
          <w:szCs w:val="21"/>
          <w:highlight w:val="none"/>
          <w:lang w:val="en-US" w:eastAsia="zh-CN"/>
        </w:rPr>
        <w:t>5,878,116.00元</w:t>
      </w:r>
    </w:p>
    <w:p w14:paraId="2F6CD065">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最高限价：</w:t>
      </w:r>
      <w:r>
        <w:rPr>
          <w:rFonts w:hint="eastAsia" w:ascii="宋体" w:hAnsi="宋体" w:eastAsia="宋体" w:cs="宋体"/>
          <w:color w:val="auto"/>
          <w:sz w:val="21"/>
          <w:szCs w:val="21"/>
          <w:lang w:val="en-US" w:eastAsia="zh-CN"/>
        </w:rPr>
        <w:t>同预算</w:t>
      </w:r>
    </w:p>
    <w:p w14:paraId="6D6A59D0">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采购需求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行业服务标准与学校规定要求，为采购人提供物业管理服务，包含：1.负责校园环境卫生、绿化护理、宿舍管理、水电维修等服务工作，确保学校教学、生活秩序正常。2.协助学校做好开学、校运会、晚会等校内活动。服务期限：24个月。人员配置要求包括：项目经理1人，综合专员1人，工程主管1人，工程员5人，保洁绿化主管1人，保洁员15人，绿化员4人，宿管主管1人，宿管员20人，合计49人。</w:t>
      </w:r>
      <w:r>
        <w:rPr>
          <w:rFonts w:hint="eastAsia" w:ascii="宋体" w:hAnsi="宋体" w:eastAsia="宋体" w:cs="宋体"/>
          <w:color w:val="auto"/>
          <w:sz w:val="21"/>
          <w:szCs w:val="21"/>
          <w:highlight w:val="none"/>
          <w:lang w:eastAsia="zh-CN"/>
        </w:rPr>
        <w:t>具体内容详见《采购需求》。</w:t>
      </w:r>
    </w:p>
    <w:p w14:paraId="7C45BCA9">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项目所属行业：</w:t>
      </w:r>
      <w:r>
        <w:rPr>
          <w:rFonts w:hint="eastAsia" w:ascii="宋体" w:hAnsi="宋体" w:eastAsia="宋体" w:cs="宋体"/>
          <w:color w:val="auto"/>
          <w:kern w:val="0"/>
          <w:sz w:val="21"/>
          <w:szCs w:val="21"/>
          <w:highlight w:val="none"/>
        </w:rPr>
        <w:t>物业管理</w:t>
      </w:r>
    </w:p>
    <w:p w14:paraId="3A80F9A3">
      <w:pPr>
        <w:pStyle w:val="7"/>
        <w:ind w:firstLine="420" w:firstLineChars="200"/>
        <w:rPr>
          <w:rFonts w:hint="default" w:eastAsiaTheme="minorEastAsia"/>
          <w:lang w:val="en-US" w:eastAsia="zh-CN"/>
        </w:rPr>
      </w:pPr>
      <w:r>
        <w:rPr>
          <w:rFonts w:hint="eastAsia" w:ascii="宋体" w:hAnsi="宋体" w:eastAsia="宋体" w:cs="宋体"/>
          <w:color w:val="auto"/>
          <w:sz w:val="21"/>
          <w:szCs w:val="21"/>
          <w:highlight w:val="none"/>
        </w:rPr>
        <w:t>合同履行期限：</w:t>
      </w:r>
      <w:r>
        <w:rPr>
          <w:rFonts w:hint="eastAsia" w:ascii="宋体" w:hAnsi="宋体" w:eastAsia="宋体" w:cs="宋体"/>
          <w:color w:val="auto"/>
          <w:kern w:val="2"/>
          <w:sz w:val="21"/>
          <w:szCs w:val="21"/>
          <w:highlight w:val="none"/>
          <w:lang w:val="en-US" w:eastAsia="zh-CN" w:bidi="ar-SA"/>
        </w:rPr>
        <w:t>自合同签订之日起2年。</w:t>
      </w:r>
    </w:p>
    <w:p w14:paraId="6556AD07">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接受联合体。</w:t>
      </w:r>
    </w:p>
    <w:p w14:paraId="5F521DD1">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bookmarkStart w:id="7" w:name="_Toc35393791"/>
      <w:bookmarkStart w:id="8" w:name="_Toc35393622"/>
      <w:bookmarkStart w:id="9" w:name="_Toc28359003"/>
      <w:bookmarkStart w:id="10" w:name="_Toc28359080"/>
      <w:r>
        <w:rPr>
          <w:rFonts w:hint="eastAsia" w:ascii="宋体" w:hAnsi="宋体" w:eastAsia="宋体" w:cs="宋体"/>
          <w:b/>
          <w:bCs/>
          <w:color w:val="000000" w:themeColor="text1"/>
          <w:sz w:val="21"/>
          <w:szCs w:val="21"/>
          <w:highlight w:val="none"/>
          <w14:textFill>
            <w14:solidFill>
              <w14:schemeClr w14:val="tx1"/>
            </w14:solidFill>
          </w14:textFill>
        </w:rPr>
        <w:t>二、申请人的资格要求：</w:t>
      </w:r>
      <w:bookmarkEnd w:id="7"/>
      <w:bookmarkEnd w:id="8"/>
      <w:bookmarkEnd w:id="9"/>
      <w:bookmarkEnd w:id="10"/>
    </w:p>
    <w:p w14:paraId="3E76B83C">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11" w:name="_Hlk51746371"/>
      <w:r>
        <w:rPr>
          <w:rFonts w:hint="eastAsia" w:ascii="宋体" w:hAnsi="宋体" w:eastAsia="宋体" w:cs="宋体"/>
          <w:color w:val="000000" w:themeColor="text1"/>
          <w:sz w:val="21"/>
          <w:szCs w:val="21"/>
          <w:highlight w:val="none"/>
          <w14:textFill>
            <w14:solidFill>
              <w14:schemeClr w14:val="tx1"/>
            </w14:solidFill>
          </w14:textFill>
        </w:rPr>
        <w:t>1.满足《中华人民共和国政府采购法》第二十二条规定；</w:t>
      </w:r>
    </w:p>
    <w:p w14:paraId="3755F1B6">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bookmarkStart w:id="12" w:name="_Toc28359004"/>
      <w:bookmarkStart w:id="13" w:name="_Toc28359081"/>
      <w:r>
        <w:rPr>
          <w:rFonts w:hint="eastAsia" w:ascii="宋体" w:hAnsi="宋体" w:eastAsia="宋体" w:cs="宋体"/>
          <w:color w:val="auto"/>
          <w:sz w:val="21"/>
          <w:szCs w:val="21"/>
          <w:highlight w:val="none"/>
        </w:rPr>
        <w:t>2.落实政府采购政策需满足的资格要求：</w:t>
      </w:r>
      <w:bookmarkEnd w:id="11"/>
      <w:bookmarkStart w:id="14" w:name="_Toc35393623"/>
      <w:bookmarkStart w:id="15" w:name="_Toc35393792"/>
      <w:r>
        <w:rPr>
          <w:rFonts w:hint="eastAsia" w:ascii="宋体" w:hAnsi="宋体" w:eastAsia="宋体" w:cs="宋体"/>
          <w:b/>
          <w:bCs/>
          <w:color w:val="auto"/>
          <w:sz w:val="21"/>
          <w:szCs w:val="21"/>
          <w:highlight w:val="none"/>
        </w:rPr>
        <w:t>本项目专门面向</w:t>
      </w:r>
      <w:r>
        <w:rPr>
          <w:rFonts w:hint="eastAsia" w:ascii="宋体" w:hAnsi="宋体" w:cs="宋体"/>
          <w:b/>
          <w:bCs/>
          <w:color w:val="auto"/>
          <w:sz w:val="21"/>
          <w:szCs w:val="21"/>
          <w:highlight w:val="none"/>
          <w:lang w:eastAsia="zh-CN"/>
        </w:rPr>
        <w:t>中小</w:t>
      </w:r>
      <w:r>
        <w:rPr>
          <w:rFonts w:hint="eastAsia" w:ascii="宋体" w:hAnsi="宋体" w:eastAsia="宋体" w:cs="宋体"/>
          <w:b/>
          <w:bCs/>
          <w:color w:val="auto"/>
          <w:sz w:val="21"/>
          <w:szCs w:val="21"/>
          <w:highlight w:val="none"/>
        </w:rPr>
        <w:t>企业采购</w:t>
      </w:r>
      <w:r>
        <w:rPr>
          <w:rFonts w:hint="eastAsia" w:ascii="宋体" w:hAnsi="宋体" w:eastAsia="宋体" w:cs="宋体"/>
          <w:color w:val="auto"/>
          <w:sz w:val="21"/>
          <w:szCs w:val="21"/>
          <w:highlight w:val="none"/>
        </w:rPr>
        <w:t>（投标人应符合《政府采购促进中小企业发展管理办法》（财库〔2020〕46号）中关于中</w:t>
      </w:r>
      <w:r>
        <w:rPr>
          <w:rFonts w:hint="eastAsia" w:ascii="宋体" w:hAnsi="宋体" w:cs="宋体"/>
          <w:color w:val="auto"/>
          <w:sz w:val="21"/>
          <w:szCs w:val="21"/>
          <w:highlight w:val="none"/>
          <w:lang w:eastAsia="zh-CN"/>
        </w:rPr>
        <w:t>小</w:t>
      </w:r>
      <w:r>
        <w:rPr>
          <w:rFonts w:hint="eastAsia" w:ascii="宋体" w:hAnsi="宋体" w:eastAsia="宋体" w:cs="宋体"/>
          <w:color w:val="auto"/>
          <w:sz w:val="21"/>
          <w:szCs w:val="21"/>
          <w:highlight w:val="none"/>
        </w:rPr>
        <w:t>企业的相关规定；监狱企业及残疾人福利性单位视同于小微企业）；</w:t>
      </w:r>
    </w:p>
    <w:p w14:paraId="396EDDFD">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3.本项目的特定资格要求：</w:t>
      </w:r>
      <w:r>
        <w:rPr>
          <w:rFonts w:hint="eastAsia" w:ascii="宋体" w:hAnsi="宋体" w:eastAsia="宋体" w:cs="宋体"/>
          <w:color w:val="auto"/>
          <w:sz w:val="21"/>
          <w:szCs w:val="21"/>
          <w:highlight w:val="none"/>
          <w:lang w:val="en-US" w:eastAsia="zh-CN"/>
        </w:rPr>
        <w:t>无</w:t>
      </w:r>
      <w:r>
        <w:rPr>
          <w:rFonts w:hint="eastAsia" w:ascii="宋体" w:hAnsi="宋体" w:eastAsia="宋体" w:cs="宋体"/>
          <w:iCs/>
          <w:color w:val="auto"/>
          <w:sz w:val="21"/>
          <w:szCs w:val="21"/>
          <w:highlight w:val="none"/>
        </w:rPr>
        <w:t>。</w:t>
      </w:r>
    </w:p>
    <w:p w14:paraId="30BF49E8">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三、获取招标文件</w:t>
      </w:r>
      <w:bookmarkEnd w:id="12"/>
      <w:bookmarkEnd w:id="13"/>
      <w:bookmarkEnd w:id="14"/>
      <w:bookmarkEnd w:id="15"/>
    </w:p>
    <w:p w14:paraId="7E990E39">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时间：</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rPr>
        <w:t>月</w:t>
      </w:r>
      <w:r>
        <w:rPr>
          <w:rFonts w:hint="eastAsia" w:ascii="宋体"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日</w:t>
      </w:r>
      <w:r>
        <w:rPr>
          <w:rFonts w:hint="eastAsia" w:ascii="宋体" w:hAnsi="宋体" w:eastAsia="宋体" w:cs="宋体"/>
          <w:bCs/>
          <w:color w:val="auto"/>
          <w:kern w:val="0"/>
          <w:sz w:val="21"/>
          <w:szCs w:val="21"/>
          <w:highlight w:val="none"/>
        </w:rPr>
        <w:t>至</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lang w:val="en-US" w:eastAsia="zh-CN"/>
        </w:rPr>
        <w:t>24</w:t>
      </w:r>
      <w:r>
        <w:rPr>
          <w:rFonts w:hint="eastAsia" w:ascii="宋体" w:hAnsi="宋体" w:eastAsia="宋体" w:cs="宋体"/>
          <w:bCs/>
          <w:color w:val="auto"/>
          <w:sz w:val="21"/>
          <w:szCs w:val="21"/>
          <w:highlight w:val="none"/>
        </w:rPr>
        <w:t>日</w:t>
      </w:r>
      <w:r>
        <w:rPr>
          <w:rFonts w:hint="eastAsia" w:ascii="宋体" w:hAnsi="宋体" w:eastAsia="宋体" w:cs="宋体"/>
          <w:bCs/>
          <w:color w:val="auto"/>
          <w:kern w:val="0"/>
          <w:sz w:val="21"/>
          <w:szCs w:val="21"/>
          <w:highlight w:val="none"/>
        </w:rPr>
        <w:t>，</w:t>
      </w:r>
      <w:r>
        <w:rPr>
          <w:rFonts w:hint="eastAsia" w:ascii="宋体" w:hAnsi="宋体" w:eastAsia="宋体" w:cs="宋体"/>
          <w:color w:val="auto"/>
          <w:sz w:val="21"/>
          <w:szCs w:val="21"/>
          <w:highlight w:val="none"/>
        </w:rPr>
        <w:t>每天</w:t>
      </w:r>
      <w:r>
        <w:rPr>
          <w:rFonts w:hint="eastAsia" w:ascii="宋体" w:hAnsi="宋体" w:eastAsia="宋体" w:cs="宋体"/>
          <w:color w:val="000000" w:themeColor="text1"/>
          <w:sz w:val="21"/>
          <w:szCs w:val="21"/>
          <w:highlight w:val="none"/>
          <w14:textFill>
            <w14:solidFill>
              <w14:schemeClr w14:val="tx1"/>
            </w14:solidFill>
          </w14:textFill>
        </w:rPr>
        <w:t>上午</w:t>
      </w:r>
      <w:r>
        <w:rPr>
          <w:rFonts w:hint="eastAsia" w:ascii="宋体" w:hAnsi="宋体" w:eastAsia="宋体" w:cs="宋体"/>
          <w:color w:val="000000" w:themeColor="text1"/>
          <w:sz w:val="21"/>
          <w:szCs w:val="21"/>
          <w:highlight w:val="none"/>
          <w:lang w:val="en-US" w:eastAsia="zh-CN"/>
          <w14:textFill>
            <w14:solidFill>
              <w14:schemeClr w14:val="tx1"/>
            </w14:solidFill>
          </w14:textFill>
        </w:rPr>
        <w:t>00</w:t>
      </w:r>
      <w:r>
        <w:rPr>
          <w:rFonts w:hint="eastAsia" w:ascii="宋体" w:hAnsi="宋体" w:eastAsia="宋体" w:cs="宋体"/>
          <w:color w:val="000000" w:themeColor="text1"/>
          <w:sz w:val="21"/>
          <w:szCs w:val="21"/>
          <w:highlight w:val="none"/>
          <w14:textFill>
            <w14:solidFill>
              <w14:schemeClr w14:val="tx1"/>
            </w14:solidFill>
          </w14:textFill>
        </w:rPr>
        <w:t>时00分至12时00分，下午</w:t>
      </w: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14:textFill>
            <w14:solidFill>
              <w14:schemeClr w14:val="tx1"/>
            </w14:solidFill>
          </w14:textFill>
        </w:rPr>
        <w:t>时00分至</w:t>
      </w:r>
      <w:r>
        <w:rPr>
          <w:rFonts w:hint="eastAsia" w:ascii="宋体" w:hAnsi="宋体" w:eastAsia="宋体" w:cs="宋体"/>
          <w:color w:val="000000" w:themeColor="text1"/>
          <w:sz w:val="21"/>
          <w:szCs w:val="21"/>
          <w:highlight w:val="none"/>
          <w:lang w:val="en-US" w:eastAsia="zh-CN"/>
          <w14:textFill>
            <w14:solidFill>
              <w14:schemeClr w14:val="tx1"/>
            </w14:solidFill>
          </w14:textFill>
        </w:rPr>
        <w:t>23</w:t>
      </w:r>
      <w:r>
        <w:rPr>
          <w:rFonts w:hint="eastAsia" w:ascii="宋体" w:hAnsi="宋体" w:eastAsia="宋体" w:cs="宋体"/>
          <w:color w:val="000000" w:themeColor="text1"/>
          <w:sz w:val="21"/>
          <w:szCs w:val="21"/>
          <w:highlight w:val="none"/>
          <w14:textFill>
            <w14:solidFill>
              <w14:schemeClr w14:val="tx1"/>
            </w14:solidFill>
          </w14:textFill>
        </w:rPr>
        <w:t>时</w:t>
      </w:r>
      <w:r>
        <w:rPr>
          <w:rFonts w:hint="eastAsia" w:ascii="宋体" w:hAnsi="宋体" w:eastAsia="宋体" w:cs="宋体"/>
          <w:color w:val="000000" w:themeColor="text1"/>
          <w:sz w:val="21"/>
          <w:szCs w:val="21"/>
          <w:highlight w:val="none"/>
          <w:lang w:val="en-US" w:eastAsia="zh-CN"/>
          <w14:textFill>
            <w14:solidFill>
              <w14:schemeClr w14:val="tx1"/>
            </w14:solidFill>
          </w14:textFill>
        </w:rPr>
        <w:t>59</w:t>
      </w:r>
      <w:r>
        <w:rPr>
          <w:rFonts w:hint="eastAsia" w:ascii="宋体" w:hAnsi="宋体" w:eastAsia="宋体" w:cs="宋体"/>
          <w:color w:val="000000" w:themeColor="text1"/>
          <w:sz w:val="21"/>
          <w:szCs w:val="21"/>
          <w:highlight w:val="none"/>
          <w14:textFill>
            <w14:solidFill>
              <w14:schemeClr w14:val="tx1"/>
            </w14:solidFill>
          </w14:textFill>
        </w:rPr>
        <w:t>分（北京时间，法定节假日除外）。</w:t>
      </w:r>
    </w:p>
    <w:p w14:paraId="6C2C8C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76" w:afterAutospacing="0" w:line="360" w:lineRule="exact"/>
        <w:ind w:left="0" w:right="0" w:firstLine="420" w:firstLineChars="200"/>
        <w:jc w:val="left"/>
        <w:textAlignment w:val="auto"/>
        <w:rPr>
          <w:rFonts w:hint="eastAsia" w:ascii="Times New Roman" w:hAnsi="Times New Roman" w:eastAsia="宋体" w:cs="Times New Roman"/>
          <w:color w:val="333333"/>
          <w:kern w:val="0"/>
          <w:sz w:val="21"/>
          <w:szCs w:val="21"/>
          <w:shd w:val="clear" w:fill="FFFFFF"/>
          <w:lang w:val="en-US" w:eastAsia="zh-CN" w:bidi="ar"/>
        </w:rPr>
      </w:pPr>
      <w:r>
        <w:rPr>
          <w:rFonts w:hint="eastAsia" w:ascii="宋体" w:hAnsi="宋体" w:eastAsia="宋体" w:cs="宋体"/>
          <w:bCs/>
          <w:color w:val="auto"/>
          <w:kern w:val="0"/>
          <w:sz w:val="21"/>
          <w:szCs w:val="21"/>
          <w:highlight w:val="none"/>
        </w:rPr>
        <w:t>地</w:t>
      </w:r>
      <w:r>
        <w:rPr>
          <w:rFonts w:hint="eastAsia" w:ascii="宋体" w:hAnsi="宋体" w:cs="宋体"/>
          <w:bCs/>
          <w:color w:val="auto"/>
          <w:kern w:val="0"/>
          <w:sz w:val="21"/>
          <w:szCs w:val="21"/>
          <w:highlight w:val="none"/>
          <w:lang w:val="en-US" w:eastAsia="zh-CN"/>
        </w:rPr>
        <w:t>址</w:t>
      </w:r>
      <w:r>
        <w:rPr>
          <w:rFonts w:hint="eastAsia" w:ascii="宋体" w:hAnsi="宋体" w:eastAsia="宋体" w:cs="宋体"/>
          <w:bCs/>
          <w:color w:val="auto"/>
          <w:kern w:val="0"/>
          <w:sz w:val="21"/>
          <w:szCs w:val="21"/>
          <w:highlight w:val="none"/>
        </w:rPr>
        <w:t>：</w:t>
      </w:r>
      <w:r>
        <w:rPr>
          <w:rFonts w:hint="eastAsia" w:ascii="宋体" w:hAnsi="宋体" w:eastAsia="宋体" w:cs="宋体"/>
          <w:bCs/>
          <w:color w:val="auto"/>
          <w:kern w:val="0"/>
          <w:sz w:val="21"/>
          <w:szCs w:val="21"/>
          <w:highlight w:val="none"/>
          <w:lang w:eastAsia="zh-CN"/>
        </w:rPr>
        <w:t>广西政府采购云平台</w:t>
      </w:r>
      <w:r>
        <w:rPr>
          <w:rFonts w:hint="eastAsia" w:ascii="宋体" w:hAnsi="宋体" w:cs="宋体"/>
          <w:bCs/>
          <w:color w:val="auto"/>
          <w:kern w:val="0"/>
          <w:sz w:val="21"/>
          <w:szCs w:val="21"/>
          <w:highlight w:val="none"/>
          <w:lang w:eastAsia="zh-CN"/>
        </w:rPr>
        <w:t>（</w:t>
      </w:r>
      <w:r>
        <w:rPr>
          <w:rFonts w:hint="default" w:ascii="Times New Roman" w:hAnsi="Times New Roman" w:eastAsia="宋体" w:cs="Times New Roman"/>
          <w:color w:val="333333"/>
          <w:kern w:val="0"/>
          <w:sz w:val="21"/>
          <w:szCs w:val="21"/>
          <w:shd w:val="clear" w:fill="FFFFFF"/>
          <w:lang w:val="en-US" w:eastAsia="zh-CN" w:bidi="ar"/>
        </w:rPr>
        <w:t>https</w:t>
      </w:r>
      <w:r>
        <w:rPr>
          <w:rFonts w:hint="eastAsia" w:ascii="Times New Roman" w:hAnsi="Times New Roman" w:eastAsia="宋体" w:cs="Times New Roman"/>
          <w:color w:val="333333"/>
          <w:kern w:val="0"/>
          <w:sz w:val="21"/>
          <w:szCs w:val="21"/>
          <w:shd w:val="clear" w:fill="FFFFFF"/>
          <w:lang w:val="en-US" w:eastAsia="zh-CN" w:bidi="ar"/>
        </w:rPr>
        <w:t>：</w:t>
      </w:r>
      <w:r>
        <w:rPr>
          <w:rFonts w:hint="default" w:ascii="Times New Roman" w:hAnsi="Times New Roman" w:eastAsia="宋体" w:cs="Times New Roman"/>
          <w:color w:val="333333"/>
          <w:kern w:val="0"/>
          <w:sz w:val="21"/>
          <w:szCs w:val="21"/>
          <w:shd w:val="clear" w:fill="FFFFFF"/>
          <w:lang w:val="en-US" w:eastAsia="zh-CN" w:bidi="ar"/>
        </w:rPr>
        <w:t>//www.gcy.zfcg.gxzf.gov.cn/</w:t>
      </w:r>
      <w:r>
        <w:rPr>
          <w:rFonts w:hint="eastAsia" w:ascii="Times New Roman" w:hAnsi="Times New Roman" w:eastAsia="宋体" w:cs="Times New Roman"/>
          <w:color w:val="333333"/>
          <w:kern w:val="0"/>
          <w:sz w:val="21"/>
          <w:szCs w:val="21"/>
          <w:shd w:val="clear" w:fill="FFFFFF"/>
          <w:lang w:val="en-US" w:eastAsia="zh-CN" w:bidi="ar"/>
        </w:rPr>
        <w:t>）</w:t>
      </w:r>
    </w:p>
    <w:p w14:paraId="50DB7B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76" w:afterAutospacing="0" w:line="360" w:lineRule="exact"/>
        <w:ind w:left="0" w:right="0" w:firstLine="420" w:firstLineChars="200"/>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方式：</w:t>
      </w:r>
      <w:r>
        <w:rPr>
          <w:rFonts w:hint="eastAsia" w:ascii="宋体" w:hAnsi="宋体" w:eastAsia="宋体" w:cs="宋体"/>
          <w:color w:val="auto"/>
          <w:sz w:val="21"/>
          <w:szCs w:val="21"/>
          <w:highlight w:val="none"/>
        </w:rPr>
        <w:t>网上下载。本项目不提供纸质文件，潜在供应商需使用账号登录或者使用CA登录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-进入“项目采购”应用，在获取采购文件菜单中选择项目，获取采购文件（或在“政采云电子投标客户端-获取采购文件”跳转到政采云系统获取）。电子响应文件制作需要基于</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获取的采购文件编制，通过其他方式获取采购文件的，将有可能导致供应商无法在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编制及上传响应文件。未注册的供应商可登录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进行注册（</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商家入驻-注册），如在操作过程中遇到问题或者需要技术支持，请致电政采云客服热线：95763。供应商未按以上时间、方式获取本项目采购文件的，本公司将拒收其响应文件。已获取采购文件的供应商不等于符合本项目的供应商资格。</w:t>
      </w:r>
    </w:p>
    <w:p w14:paraId="2EC6AEA8">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售价：</w:t>
      </w:r>
      <w:r>
        <w:rPr>
          <w:rFonts w:hint="eastAsia" w:ascii="宋体" w:hAnsi="宋体" w:eastAsia="宋体" w:cs="宋体"/>
          <w:color w:val="auto"/>
          <w:sz w:val="21"/>
          <w:szCs w:val="21"/>
          <w:highlight w:val="none"/>
        </w:rPr>
        <w:t>0元。</w:t>
      </w:r>
    </w:p>
    <w:p w14:paraId="27E6297A">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四、投标响应文件提交</w:t>
      </w:r>
    </w:p>
    <w:p w14:paraId="41DA9CE9">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时间：</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lang w:val="en-US" w:eastAsia="zh-CN"/>
        </w:rPr>
        <w:t>月</w:t>
      </w:r>
      <w:r>
        <w:rPr>
          <w:rFonts w:hint="eastAsia" w:ascii="宋体" w:hAnsi="宋体" w:cs="宋体"/>
          <w:bCs/>
          <w:color w:val="auto"/>
          <w:sz w:val="21"/>
          <w:szCs w:val="21"/>
          <w:highlight w:val="none"/>
          <w:lang w:val="en-US" w:eastAsia="zh-CN"/>
        </w:rPr>
        <w:t>25</w:t>
      </w:r>
      <w:r>
        <w:rPr>
          <w:rFonts w:hint="eastAsia" w:ascii="宋体" w:hAnsi="宋体" w:eastAsia="宋体" w:cs="宋体"/>
          <w:bCs/>
          <w:color w:val="auto"/>
          <w:sz w:val="21"/>
          <w:szCs w:val="21"/>
          <w:highlight w:val="none"/>
          <w:lang w:val="en-US" w:eastAsia="zh-CN"/>
        </w:rPr>
        <w:t>日9</w:t>
      </w:r>
      <w:r>
        <w:rPr>
          <w:rFonts w:hint="eastAsia" w:ascii="宋体" w:hAnsi="宋体" w:eastAsia="宋体" w:cs="宋体"/>
          <w:bCs/>
          <w:color w:val="auto"/>
          <w:sz w:val="21"/>
          <w:szCs w:val="21"/>
          <w:highlight w:val="none"/>
        </w:rPr>
        <w:t>时</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w:t>
      </w:r>
      <w:r>
        <w:rPr>
          <w:rFonts w:hint="eastAsia" w:ascii="宋体" w:hAnsi="宋体" w:eastAsia="宋体" w:cs="宋体"/>
          <w:bCs/>
          <w:color w:val="auto"/>
          <w:kern w:val="0"/>
          <w:sz w:val="21"/>
          <w:szCs w:val="21"/>
          <w:highlight w:val="none"/>
        </w:rPr>
        <w:t>（北京时间）</w:t>
      </w:r>
    </w:p>
    <w:p w14:paraId="5F3EF30A">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地点：通过</w:t>
      </w:r>
      <w:r>
        <w:rPr>
          <w:rFonts w:hint="eastAsia" w:ascii="宋体" w:hAnsi="宋体" w:eastAsia="宋体" w:cs="宋体"/>
          <w:bCs/>
          <w:color w:val="auto"/>
          <w:kern w:val="0"/>
          <w:sz w:val="21"/>
          <w:szCs w:val="21"/>
          <w:highlight w:val="none"/>
          <w:lang w:eastAsia="zh-CN"/>
        </w:rPr>
        <w:t>广西政府采购云平台</w:t>
      </w:r>
      <w:r>
        <w:rPr>
          <w:rFonts w:hint="eastAsia" w:ascii="宋体" w:hAnsi="宋体" w:eastAsia="宋体" w:cs="宋体"/>
          <w:bCs/>
          <w:color w:val="auto"/>
          <w:kern w:val="0"/>
          <w:sz w:val="21"/>
          <w:szCs w:val="21"/>
          <w:highlight w:val="none"/>
        </w:rPr>
        <w:t>实行在线投标。</w:t>
      </w:r>
    </w:p>
    <w:p w14:paraId="004154DE">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五、开启</w:t>
      </w:r>
    </w:p>
    <w:p w14:paraId="4B409BC0">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时间：</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8</w:t>
      </w:r>
      <w:r>
        <w:rPr>
          <w:rFonts w:hint="eastAsia" w:ascii="宋体" w:hAnsi="宋体" w:eastAsia="宋体" w:cs="宋体"/>
          <w:bCs/>
          <w:color w:val="auto"/>
          <w:sz w:val="21"/>
          <w:szCs w:val="21"/>
          <w:highlight w:val="none"/>
          <w:lang w:val="en-US" w:eastAsia="zh-CN"/>
        </w:rPr>
        <w:t>月25日9</w:t>
      </w:r>
      <w:r>
        <w:rPr>
          <w:rFonts w:hint="eastAsia" w:ascii="宋体" w:hAnsi="宋体" w:eastAsia="宋体" w:cs="宋体"/>
          <w:bCs/>
          <w:color w:val="auto"/>
          <w:sz w:val="21"/>
          <w:szCs w:val="21"/>
          <w:highlight w:val="none"/>
        </w:rPr>
        <w:t>时</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w:t>
      </w:r>
      <w:r>
        <w:rPr>
          <w:rFonts w:hint="eastAsia" w:ascii="宋体" w:hAnsi="宋体" w:eastAsia="宋体" w:cs="宋体"/>
          <w:bCs/>
          <w:color w:val="auto"/>
          <w:kern w:val="0"/>
          <w:sz w:val="21"/>
          <w:szCs w:val="21"/>
          <w:highlight w:val="none"/>
        </w:rPr>
        <w:t>（北京时间）</w:t>
      </w:r>
    </w:p>
    <w:p w14:paraId="042FFEFA">
      <w:pPr>
        <w:keepNext w:val="0"/>
        <w:keepLines w:val="0"/>
        <w:pageBreakBefore w:val="0"/>
        <w:kinsoku/>
        <w:overflowPunct/>
        <w:topLinePunct w:val="0"/>
        <w:autoSpaceDE/>
        <w:autoSpaceDN/>
        <w:bidi w:val="0"/>
        <w:adjustRightInd/>
        <w:snapToGrid/>
        <w:spacing w:line="360" w:lineRule="exact"/>
        <w:ind w:firstLine="540"/>
        <w:textAlignment w:val="auto"/>
        <w:rPr>
          <w:rFonts w:hint="default"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rPr>
        <w:t>地点：</w:t>
      </w:r>
      <w:r>
        <w:rPr>
          <w:rFonts w:hint="eastAsia" w:ascii="宋体" w:hAnsi="宋体" w:eastAsia="宋体" w:cs="宋体"/>
          <w:bCs/>
          <w:color w:val="auto"/>
          <w:kern w:val="0"/>
          <w:sz w:val="21"/>
          <w:szCs w:val="21"/>
          <w:highlight w:val="none"/>
          <w:lang w:eastAsia="zh-CN"/>
        </w:rPr>
        <w:t>广西壮族自治区防城港市政府采购开标</w:t>
      </w:r>
      <w:r>
        <w:rPr>
          <w:rFonts w:hint="eastAsia" w:ascii="宋体" w:hAnsi="宋体" w:eastAsia="宋体" w:cs="宋体"/>
          <w:bCs/>
          <w:color w:val="auto"/>
          <w:kern w:val="0"/>
          <w:sz w:val="21"/>
          <w:szCs w:val="21"/>
          <w:highlight w:val="none"/>
          <w:lang w:val="en-US" w:eastAsia="zh-CN"/>
        </w:rPr>
        <w:t>评</w:t>
      </w:r>
      <w:r>
        <w:rPr>
          <w:rFonts w:hint="eastAsia" w:ascii="宋体" w:hAnsi="宋体" w:eastAsia="宋体" w:cs="宋体"/>
          <w:bCs/>
          <w:color w:val="auto"/>
          <w:kern w:val="0"/>
          <w:sz w:val="21"/>
          <w:szCs w:val="21"/>
          <w:highlight w:val="none"/>
          <w:lang w:eastAsia="zh-CN"/>
        </w:rPr>
        <w:t>室</w:t>
      </w:r>
      <w:r>
        <w:rPr>
          <w:rFonts w:hint="eastAsia" w:ascii="宋体" w:hAnsi="宋体" w:eastAsia="宋体" w:cs="宋体"/>
          <w:bCs/>
          <w:color w:val="auto"/>
          <w:kern w:val="0"/>
          <w:sz w:val="21"/>
          <w:szCs w:val="21"/>
          <w:highlight w:val="none"/>
          <w:lang w:val="en-US" w:eastAsia="zh-CN"/>
        </w:rPr>
        <w:t>1</w:t>
      </w:r>
    </w:p>
    <w:p w14:paraId="3F1D5E6B">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六、公告期限</w:t>
      </w:r>
    </w:p>
    <w:p w14:paraId="1A62F2DA">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自本公告发布之日起5个工作日。</w:t>
      </w:r>
    </w:p>
    <w:p w14:paraId="609BDD99">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bookmarkStart w:id="16" w:name="_Toc35393626"/>
      <w:bookmarkStart w:id="17" w:name="_Toc35393795"/>
      <w:r>
        <w:rPr>
          <w:rFonts w:hint="eastAsia" w:ascii="宋体" w:hAnsi="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、其他补充事宜</w:t>
      </w:r>
      <w:bookmarkEnd w:id="16"/>
      <w:bookmarkEnd w:id="17"/>
    </w:p>
    <w:p w14:paraId="47F73A5A">
      <w:pPr>
        <w:pStyle w:val="27"/>
        <w:keepNext w:val="0"/>
        <w:keepLines w:val="0"/>
        <w:pageBreakBefore w:val="0"/>
        <w:kinsoku/>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bookmarkStart w:id="18" w:name="_Hlk37428740"/>
      <w:bookmarkStart w:id="19" w:name="_Toc35393796"/>
      <w:bookmarkStart w:id="20" w:name="_Toc28359008"/>
      <w:bookmarkStart w:id="21" w:name="_Toc28359085"/>
      <w:bookmarkStart w:id="22" w:name="_Toc35393627"/>
      <w:r>
        <w:rPr>
          <w:rFonts w:hint="eastAsia" w:ascii="宋体" w:hAnsi="宋体" w:eastAsia="宋体" w:cs="宋体"/>
          <w:color w:val="auto"/>
          <w:sz w:val="21"/>
          <w:szCs w:val="21"/>
          <w:highlight w:val="none"/>
        </w:rPr>
        <w:t>1.网上查询地址：中国政府采购网、广西壮族自治区政府采购网、全国公共资源交易平台（广西·防城港）。</w:t>
      </w:r>
    </w:p>
    <w:bookmarkEnd w:id="18"/>
    <w:p w14:paraId="01FBE543">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2.本项目政府采购落实政策：</w:t>
      </w:r>
    </w:p>
    <w:p w14:paraId="0B3D32DD">
      <w:pPr>
        <w:pStyle w:val="27"/>
        <w:keepNext w:val="0"/>
        <w:keepLines w:val="0"/>
        <w:pageBreakBefore w:val="0"/>
        <w:kinsoku/>
        <w:wordWrap w:val="0"/>
        <w:overflowPunct/>
        <w:topLinePunct w:val="0"/>
        <w:autoSpaceDE/>
        <w:autoSpaceDN/>
        <w:bidi w:val="0"/>
        <w:adjustRightInd/>
        <w:snapToGrid/>
        <w:spacing w:line="360" w:lineRule="exact"/>
        <w:ind w:left="420" w:leftChars="20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（1）政府采购促进中小企业发展。</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（2）政府采购支持采用本国产品的政策。</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（3）强制采购节能产品；优先采购节能产品、环境标志产品。</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（4）政府采购促进残疾人就业政策。</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（5）政府采购支持监狱企业发展。</w:t>
      </w:r>
    </w:p>
    <w:p w14:paraId="5774FA46">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3.投标保证金：不收取投标保证金。</w:t>
      </w:r>
    </w:p>
    <w:p w14:paraId="40E5F94C">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4.监督部门</w:t>
      </w:r>
    </w:p>
    <w:p w14:paraId="4BD3875F">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称：防城港市财政局</w:t>
      </w:r>
    </w:p>
    <w:p w14:paraId="7E842A19">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r>
        <w:rPr>
          <w:rFonts w:hint="eastAsia" w:ascii="宋体" w:hAnsi="宋体" w:cs="宋体"/>
          <w:color w:val="auto"/>
          <w:kern w:val="0"/>
          <w:szCs w:val="21"/>
          <w:highlight w:val="none"/>
        </w:rPr>
        <w:t>0770-6102323</w:t>
      </w:r>
    </w:p>
    <w:p w14:paraId="40888396">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单位负责人为同一人或者存在直接控股、管理关系的不同投标人，不得参加同一合同项下的政府采购活动。为本项目提供过整体设计、规范编制或者项目管理、监理、检测等服务的投标人，不得再参加本项目上述服务以外的其他采购活动。</w:t>
      </w:r>
    </w:p>
    <w:p w14:paraId="26FD266F">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对在“信用中国”网站、中国政府采购网等渠道列入失信被执行人、重大税收违法案件当事人名单、政府采购严重违法失信行为记录名单及其他不符合《中华人民共和国政府采购法》第二十二条规定条件的供应商，不得参与政府采购活动。</w:t>
      </w:r>
    </w:p>
    <w:p w14:paraId="6E7C817F">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7.在线投标响应（电子投标）说明及注意事项</w:t>
      </w:r>
    </w:p>
    <w:p w14:paraId="001D8A5E">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（1）本项目为全流程电子化采购项目，通过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实行在线电子投标，投标人应先安装“政采云电子交易客户端”（请自行前往</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进行下载），并按照本项目招标文件和</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的要求编制、加密后在投标响应文件递交截止时间前通过网络上传至</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，投标人在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提交电子投标响应文件时，请填写参加远程开标活动经办人联系方式。投标人登录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，依次进入“服务中心-项目采购-操作流程-电子招投标-政府采购项目电子交易管理操作指南-供应商”查看电子投标具体操作流程。</w:t>
      </w:r>
    </w:p>
    <w:p w14:paraId="67950C38">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进行网上注册并办理数字证书（CA认证）的投标人将无法参与本项目政府采购活动，投标人应当在投标响应文件递交截止时间前，完成电子交易平台上的CA数字证书办理（投标人可登录“广西政府采购网”，依次进入“办事服务-下载专区”或者登陆</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，依次进入“服务中心-入驻与配置”中查看CA数字证书办理操作流程。如在操作过程中遇到问题或者需要技术支持，请致电政采云客服热线：95763）及响应文件的提交。</w:t>
      </w:r>
    </w:p>
    <w:p w14:paraId="64CF1B33">
      <w:pPr>
        <w:pStyle w:val="27"/>
        <w:keepNext w:val="0"/>
        <w:keepLines w:val="0"/>
        <w:pageBreakBefore w:val="0"/>
        <w:kinsoku/>
        <w:wordWrap w:val="0"/>
        <w:overflowPunct/>
        <w:topLinePunct w:val="0"/>
        <w:autoSpaceDE/>
        <w:autoSpaceDN/>
        <w:bidi w:val="0"/>
        <w:adjustRightInd/>
        <w:snapToGrid/>
        <w:spacing w:line="3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（3）CA证书在线解密：投标人投标时，需携带制作投标响应文件时用来加密的有效数字证书（CA认证）登录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电子开标大厅现场按规定时间对加密的投标响应文件进行解密，否则后果自负。</w:t>
      </w:r>
    </w:p>
    <w:p w14:paraId="3EC56431">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（4）投标人需要在具备有摄像头及语音功能且互联网网络状况良好的电脑登录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远程开标大厅参与本次投标，否则后果自负。</w:t>
      </w:r>
    </w:p>
    <w:p w14:paraId="7ABD158E">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认为招标文件使自己的权益受到损害的，可以自获取招标文件之日或者招标文件公告期限届满之日（公告期限届满后获取招标文件的，以公告期限届满之日为准）起7个工作日内以书面形式一次性向采购人和采购代理机构提出同一环节的质疑。否则，逾期的质疑采购人及招标代理机构可不予接受。质疑投标人对采购人、采购代理机构的答复不满意或者采购人、采购代理机构未在规定的时间内作出答复的，可以在答复期满后十五个工作日内向同级政府采购监督管理部门投诉。</w:t>
      </w:r>
    </w:p>
    <w:p w14:paraId="37DE1CF8">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（6）本项目不接受未登陆</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获取本项目招标文件的投标人投标。</w:t>
      </w:r>
    </w:p>
    <w:p w14:paraId="5DC8988D">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为确保网上操作合法、有效和安全，请投标人确保在电子投标过程中能够对相关数据电文进行加密和使用电子签章，妥善保管CA数字证书并使用有效的CA数字证书参与整个投标活动。2）投标人应当在投标响应文件提交截止时间前完成电子投标响应文件的上传、提交，投标响应文件提交截止时间前可以补充、修改或者撤回投标响应文件。补充或者修改投标响应文件的，应当先行撤回原投标响应文件，补充、修改后重新上传、提交，投标响应文件提交截止时间前未完成上传、提交的，视为撤回投标响应文件。投标响应文件提交截止时间以后上传递交的投标响应文件，</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将予以拒收。</w:t>
      </w:r>
    </w:p>
    <w:p w14:paraId="77BF6DC3">
      <w:pPr>
        <w:keepNext w:val="0"/>
        <w:keepLines w:val="0"/>
        <w:pageBreakBefore w:val="0"/>
        <w:kinsoku/>
        <w:overflowPunct/>
        <w:topLinePunct w:val="0"/>
        <w:bidi w:val="0"/>
        <w:spacing w:line="360" w:lineRule="exact"/>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不同投标人的投标文件由同一单位或者个人编制，或不同投标人报名的</w:t>
      </w:r>
      <w:r>
        <w:rPr>
          <w:rFonts w:hint="default" w:ascii="Times New Roman" w:hAnsi="Times New Roman" w:cs="Times New Roman"/>
          <w:color w:val="auto"/>
          <w:sz w:val="21"/>
          <w:szCs w:val="21"/>
          <w:highlight w:val="none"/>
          <w:lang w:val="en-US" w:eastAsia="zh-CN"/>
        </w:rPr>
        <w:t>ip</w:t>
      </w:r>
      <w:r>
        <w:rPr>
          <w:rFonts w:hint="eastAsia" w:cs="宋体"/>
          <w:color w:val="auto"/>
          <w:sz w:val="21"/>
          <w:szCs w:val="21"/>
          <w:highlight w:val="none"/>
          <w:lang w:val="en-US" w:eastAsia="zh-CN"/>
        </w:rPr>
        <w:t>地址一致的，此类投标供应商将视为无效。</w:t>
      </w:r>
    </w:p>
    <w:p w14:paraId="7AD46DA7">
      <w:pPr>
        <w:keepNext w:val="0"/>
        <w:keepLines w:val="0"/>
        <w:pageBreakBefore w:val="0"/>
        <w:kinsoku/>
        <w:overflowPunct/>
        <w:topLinePunct w:val="0"/>
        <w:bidi w:val="0"/>
        <w:spacing w:line="360" w:lineRule="exact"/>
        <w:ind w:firstLine="420" w:firstLineChars="200"/>
        <w:textAlignment w:val="auto"/>
        <w:rPr>
          <w:rFonts w:hint="default" w:cs="宋体"/>
          <w:color w:val="auto"/>
          <w:sz w:val="21"/>
          <w:szCs w:val="21"/>
          <w:highlight w:val="none"/>
          <w:lang w:val="en-US" w:eastAsia="zh-CN"/>
        </w:rPr>
      </w:pPr>
      <w:r>
        <w:rPr>
          <w:rFonts w:hint="eastAsia" w:ascii="宋体" w:hAnsi="宋体" w:cs="宋体"/>
          <w:color w:val="000000" w:themeColor="text1"/>
          <w:sz w:val="21"/>
          <w:szCs w:val="21"/>
          <w:lang w:val="en-US" w:eastAsia="zh-CN"/>
          <w14:textFill>
            <w14:solidFill>
              <w14:schemeClr w14:val="tx1"/>
            </w14:solidFill>
          </w14:textFill>
        </w:rPr>
        <w:t>8.本项目为全流程电子化远程异地评标项目。</w:t>
      </w:r>
    </w:p>
    <w:p w14:paraId="0D8F496B">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rPr>
        <w:t>、对本次招标提出询问，请按以下方式联系。</w:t>
      </w:r>
      <w:bookmarkEnd w:id="19"/>
      <w:bookmarkEnd w:id="20"/>
      <w:bookmarkEnd w:id="21"/>
      <w:bookmarkEnd w:id="22"/>
    </w:p>
    <w:p w14:paraId="5B1964AD">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lang w:val="en-US" w:eastAsia="zh-CN"/>
        </w:rPr>
        <w:t>1.</w:t>
      </w:r>
      <w:r>
        <w:rPr>
          <w:rFonts w:hint="eastAsia" w:hAnsi="宋体" w:cs="宋体"/>
          <w:color w:val="auto"/>
          <w:szCs w:val="21"/>
        </w:rPr>
        <w:t>采购人信息</w:t>
      </w:r>
    </w:p>
    <w:p w14:paraId="219EADC2">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eastAsia="宋体" w:cs="宋体"/>
          <w:color w:val="auto"/>
          <w:szCs w:val="21"/>
          <w:lang w:val="en-US" w:eastAsia="zh-CN"/>
        </w:rPr>
      </w:pPr>
      <w:r>
        <w:rPr>
          <w:rFonts w:hint="eastAsia" w:hAnsi="宋体" w:cs="宋体"/>
          <w:color w:val="auto"/>
          <w:szCs w:val="21"/>
        </w:rPr>
        <w:t>名    称：防城港市北部湾高级中学</w:t>
      </w:r>
      <w:r>
        <w:rPr>
          <w:rFonts w:hint="eastAsia" w:hAnsi="宋体" w:cs="宋体"/>
          <w:color w:val="auto"/>
          <w:szCs w:val="21"/>
          <w:lang w:val="en-US" w:eastAsia="zh-CN"/>
        </w:rPr>
        <w:t>物业管理服务采购</w:t>
      </w:r>
    </w:p>
    <w:p w14:paraId="78B73186">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Ansi="宋体" w:cs="宋体"/>
          <w:color w:val="auto"/>
          <w:szCs w:val="21"/>
        </w:rPr>
      </w:pPr>
      <w:r>
        <w:rPr>
          <w:rFonts w:hint="eastAsia" w:hAnsi="宋体" w:cs="宋体"/>
          <w:color w:val="auto"/>
          <w:szCs w:val="21"/>
        </w:rPr>
        <w:t>地    址：防城港市防城区</w:t>
      </w:r>
      <w:r>
        <w:rPr>
          <w:rFonts w:hint="eastAsia" w:hAnsi="宋体" w:cs="宋体"/>
          <w:color w:val="auto"/>
          <w:szCs w:val="21"/>
          <w:lang w:val="en-US" w:eastAsia="zh-CN"/>
        </w:rPr>
        <w:t>文昌街道民乐街116号</w:t>
      </w:r>
    </w:p>
    <w:p w14:paraId="6A39588E">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default" w:hAnsi="宋体" w:cs="宋体" w:eastAsiaTheme="minorEastAsia"/>
          <w:color w:val="auto"/>
          <w:szCs w:val="21"/>
          <w:lang w:val="en-US" w:eastAsia="zh-CN"/>
        </w:rPr>
      </w:pPr>
      <w:r>
        <w:rPr>
          <w:rFonts w:hint="eastAsia" w:hAnsi="宋体" w:cs="宋体"/>
          <w:color w:val="auto"/>
          <w:szCs w:val="21"/>
        </w:rPr>
        <w:t>项目联系人：</w:t>
      </w:r>
      <w:r>
        <w:rPr>
          <w:rFonts w:hint="eastAsia" w:hAnsi="宋体" w:cs="宋体"/>
          <w:color w:val="auto"/>
          <w:szCs w:val="21"/>
          <w:lang w:val="en-US" w:eastAsia="zh-CN"/>
        </w:rPr>
        <w:t>韦  豪</w:t>
      </w:r>
    </w:p>
    <w:p w14:paraId="5FF8EA7F">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rPr>
        <w:t>项目联系方式：</w:t>
      </w:r>
      <w:r>
        <w:rPr>
          <w:rFonts w:hint="eastAsia" w:hAnsi="宋体" w:cs="宋体"/>
          <w:color w:val="auto"/>
          <w:szCs w:val="21"/>
          <w:lang w:val="en-US" w:eastAsia="zh-CN"/>
        </w:rPr>
        <w:t>0770-2208889</w:t>
      </w:r>
    </w:p>
    <w:p w14:paraId="6CB56376">
      <w:pPr>
        <w:keepNext w:val="0"/>
        <w:keepLines w:val="0"/>
        <w:pageBreakBefore w:val="0"/>
        <w:numPr>
          <w:ilvl w:val="0"/>
          <w:numId w:val="0"/>
        </w:numPr>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lang w:val="en-US" w:eastAsia="zh-CN"/>
        </w:rPr>
        <w:t>2.</w:t>
      </w:r>
      <w:r>
        <w:rPr>
          <w:rFonts w:hint="eastAsia" w:hAnsi="宋体" w:cs="宋体"/>
          <w:color w:val="auto"/>
          <w:szCs w:val="21"/>
        </w:rPr>
        <w:t>采购代理机构信息</w:t>
      </w:r>
    </w:p>
    <w:p w14:paraId="64F19321">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rPr>
        <w:t>名    称：防城港市政府采购中心</w:t>
      </w:r>
    </w:p>
    <w:p w14:paraId="2585F390">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rPr>
        <w:t>地    址：防城港市红树林大厦东塔6楼</w:t>
      </w:r>
    </w:p>
    <w:p w14:paraId="105D0414">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default" w:hAnsi="宋体" w:cs="宋体"/>
          <w:color w:val="auto"/>
          <w:szCs w:val="21"/>
          <w:lang w:val="en-US"/>
        </w:rPr>
      </w:pPr>
      <w:r>
        <w:rPr>
          <w:rFonts w:hint="eastAsia" w:hAnsi="宋体" w:cs="宋体"/>
          <w:color w:val="auto"/>
          <w:szCs w:val="21"/>
        </w:rPr>
        <w:t>项目联系人：</w:t>
      </w:r>
      <w:r>
        <w:rPr>
          <w:rFonts w:hint="eastAsia" w:hAnsi="宋体" w:cs="宋体"/>
          <w:color w:val="auto"/>
          <w:szCs w:val="21"/>
          <w:lang w:val="en-US" w:eastAsia="zh-CN"/>
        </w:rPr>
        <w:t>肖秀艺、黄世蒋</w:t>
      </w:r>
    </w:p>
    <w:p w14:paraId="36855C27">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default" w:hAnsi="宋体" w:eastAsia="宋体"/>
          <w:color w:val="auto"/>
          <w:szCs w:val="21"/>
          <w:lang w:val="en-US" w:eastAsia="zh-CN"/>
        </w:rPr>
      </w:pPr>
      <w:r>
        <w:rPr>
          <w:rFonts w:hint="eastAsia" w:hAnsi="宋体" w:cs="宋体"/>
          <w:color w:val="auto"/>
          <w:szCs w:val="21"/>
        </w:rPr>
        <w:t>项目联系方式：</w:t>
      </w:r>
      <w:r>
        <w:rPr>
          <w:rFonts w:hint="eastAsia" w:hAnsi="宋体" w:cs="宋体"/>
          <w:color w:val="auto"/>
          <w:szCs w:val="21"/>
          <w:lang w:val="en-US" w:eastAsia="zh-CN"/>
        </w:rPr>
        <w:t>0770-6126192</w:t>
      </w:r>
    </w:p>
    <w:p w14:paraId="2E543827">
      <w:pPr>
        <w:keepNext w:val="0"/>
        <w:keepLines w:val="0"/>
        <w:pageBreakBefore w:val="0"/>
        <w:kinsoku/>
        <w:wordWrap w:val="0"/>
        <w:overflowPunct/>
        <w:topLinePunct w:val="0"/>
        <w:autoSpaceDE/>
        <w:autoSpaceDN/>
        <w:bidi w:val="0"/>
        <w:adjustRightInd/>
        <w:snapToGrid/>
        <w:spacing w:line="360" w:lineRule="exact"/>
        <w:ind w:firstLine="420" w:firstLineChars="200"/>
        <w:jc w:val="right"/>
        <w:textAlignment w:val="auto"/>
        <w:rPr>
          <w:rFonts w:hint="eastAsia" w:ascii="宋体" w:hAnsi="宋体" w:eastAsia="宋体" w:cs="宋体"/>
          <w:color w:val="auto"/>
          <w:sz w:val="21"/>
          <w:szCs w:val="21"/>
          <w:highlight w:val="none"/>
          <w:lang w:val="zh-CN"/>
        </w:rPr>
      </w:pPr>
    </w:p>
    <w:p w14:paraId="618FD25D">
      <w:pPr>
        <w:keepNext w:val="0"/>
        <w:keepLines w:val="0"/>
        <w:pageBreakBefore w:val="0"/>
        <w:kinsoku/>
        <w:wordWrap w:val="0"/>
        <w:overflowPunct/>
        <w:topLinePunct w:val="0"/>
        <w:autoSpaceDE/>
        <w:autoSpaceDN/>
        <w:bidi w:val="0"/>
        <w:adjustRightInd/>
        <w:snapToGrid/>
        <w:spacing w:line="360" w:lineRule="exact"/>
        <w:jc w:val="righ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采购人：</w:t>
      </w:r>
      <w:r>
        <w:rPr>
          <w:rFonts w:hint="eastAsia" w:hAnsi="宋体" w:cs="宋体"/>
          <w:color w:val="auto"/>
          <w:szCs w:val="21"/>
        </w:rPr>
        <w:t>防城港市北部湾高级中学</w:t>
      </w:r>
      <w:r>
        <w:rPr>
          <w:rFonts w:hint="eastAsia" w:ascii="宋体" w:hAnsi="宋体" w:eastAsia="宋体" w:cs="宋体"/>
          <w:color w:val="auto"/>
          <w:sz w:val="21"/>
          <w:szCs w:val="21"/>
          <w:highlight w:val="none"/>
          <w:lang w:val="en-US" w:eastAsia="zh-CN"/>
        </w:rPr>
        <w:t xml:space="preserve">    </w:t>
      </w:r>
    </w:p>
    <w:p w14:paraId="08486B46">
      <w:pPr>
        <w:keepNext w:val="0"/>
        <w:keepLines w:val="0"/>
        <w:pageBreakBefore w:val="0"/>
        <w:kinsoku/>
        <w:overflowPunct/>
        <w:topLinePunct w:val="0"/>
        <w:autoSpaceDE/>
        <w:autoSpaceDN/>
        <w:bidi w:val="0"/>
        <w:adjustRightInd/>
        <w:snapToGrid/>
        <w:spacing w:line="360" w:lineRule="exact"/>
        <w:ind w:firstLine="420" w:firstLineChars="200"/>
        <w:jc w:val="righ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rPr>
        <w:t>采购代理机构：</w:t>
      </w:r>
      <w:r>
        <w:rPr>
          <w:rFonts w:hint="eastAsia" w:ascii="宋体" w:hAnsi="宋体" w:eastAsia="宋体" w:cs="宋体"/>
          <w:color w:val="auto"/>
          <w:kern w:val="0"/>
          <w:sz w:val="21"/>
          <w:szCs w:val="21"/>
          <w:highlight w:val="none"/>
          <w:lang w:val="en-US" w:eastAsia="zh-CN"/>
        </w:rPr>
        <w:t>防城港市政府采购中心</w:t>
      </w:r>
    </w:p>
    <w:p w14:paraId="1BF66B72">
      <w:pPr>
        <w:keepNext w:val="0"/>
        <w:keepLines w:val="0"/>
        <w:pageBreakBefore w:val="0"/>
        <w:kinsoku/>
        <w:wordWrap w:val="0"/>
        <w:overflowPunct/>
        <w:topLinePunct w:val="0"/>
        <w:autoSpaceDE/>
        <w:autoSpaceDN/>
        <w:bidi w:val="0"/>
        <w:adjustRightInd/>
        <w:snapToGrid/>
        <w:spacing w:line="360" w:lineRule="exact"/>
        <w:ind w:firstLine="420" w:firstLineChars="200"/>
        <w:jc w:val="righ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val="zh-CN"/>
        </w:rPr>
        <w:t>年</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rPr>
        <w:t>日</w:t>
      </w:r>
      <w:bookmarkEnd w:id="134"/>
      <w:r>
        <w:rPr>
          <w:rFonts w:hint="eastAsia" w:ascii="宋体" w:hAnsi="宋体" w:eastAsia="宋体" w:cs="宋体"/>
          <w:color w:val="auto"/>
          <w:sz w:val="21"/>
          <w:szCs w:val="21"/>
          <w:highlight w:val="none"/>
          <w:lang w:val="en-US" w:eastAsia="zh-CN"/>
        </w:rPr>
        <w:t xml:space="preserve">           </w:t>
      </w:r>
    </w:p>
    <w:p w14:paraId="3E175811">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br w:type="page"/>
      </w:r>
    </w:p>
    <w:p w14:paraId="0D36A5DF">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4"/>
          <w:szCs w:val="44"/>
          <w:highlight w:val="none"/>
        </w:rPr>
      </w:pPr>
      <w:bookmarkStart w:id="23" w:name="_Toc10553"/>
      <w:bookmarkStart w:id="24" w:name="_Toc1034"/>
      <w:r>
        <w:rPr>
          <w:rFonts w:hint="eastAsia" w:ascii="宋体" w:hAnsi="宋体" w:eastAsia="宋体" w:cs="宋体"/>
          <w:b/>
          <w:bCs/>
          <w:color w:val="auto"/>
          <w:kern w:val="44"/>
          <w:sz w:val="44"/>
          <w:szCs w:val="44"/>
          <w:lang w:val="en-US" w:eastAsia="zh-CN" w:bidi="ar-SA"/>
        </w:rPr>
        <w:t xml:space="preserve">第二章 </w:t>
      </w:r>
      <w:r>
        <w:rPr>
          <w:rFonts w:hint="eastAsia" w:ascii="宋体" w:hAnsi="宋体" w:eastAsia="宋体" w:cs="宋体"/>
          <w:color w:val="auto"/>
          <w:sz w:val="44"/>
          <w:szCs w:val="44"/>
          <w:highlight w:val="none"/>
        </w:rPr>
        <w:t>采购需求</w:t>
      </w:r>
      <w:bookmarkEnd w:id="23"/>
      <w:bookmarkEnd w:id="24"/>
    </w:p>
    <w:p w14:paraId="60D47FFA">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rPr>
      </w:pPr>
      <w:r>
        <w:rPr>
          <w:rFonts w:hint="eastAsia"/>
        </w:rPr>
        <w:t>说明：</w:t>
      </w:r>
    </w:p>
    <w:p w14:paraId="4089E06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1.为落实政府采购政策需满足的要求。</w:t>
      </w:r>
    </w:p>
    <w:p w14:paraId="4BB9850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2.“采购需求”中所有要求均为实质性要求，不允许负偏离，否则视为无效响应。</w:t>
      </w:r>
    </w:p>
    <w:p w14:paraId="5A41FEB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3.投标人应根据自身实际情况如实响应招标文件，不得将招标文件内容简单复制粘贴作为投标响应，还应当提供相关证明材料。对于重要技术条款或技术参数应当在投标文件中提供技术支持资料，技术支持资料以招标文件中规定的形式为准。</w:t>
      </w:r>
    </w:p>
    <w:p w14:paraId="376154C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b/>
          <w:bCs/>
          <w:u w:val="single"/>
        </w:rPr>
      </w:pPr>
      <w:r>
        <w:rPr>
          <w:rFonts w:hint="eastAsia" w:ascii="宋体" w:hAnsi="宋体" w:eastAsia="宋体" w:cs="宋体"/>
        </w:rPr>
        <w:t>4.所属行业依照《中小企业划型标准规定》（工信部联企业〔2011〕300号）及《国民经济行业分类》（GB/T4754-2017）的</w:t>
      </w:r>
      <w:r>
        <w:rPr>
          <w:rFonts w:hint="eastAsia"/>
        </w:rPr>
        <w:t>有关规定执行。</w:t>
      </w:r>
      <w:r>
        <w:rPr>
          <w:rFonts w:hint="eastAsia"/>
          <w:b/>
          <w:bCs/>
          <w:u w:val="single"/>
        </w:rPr>
        <w:t>本采购项目所属行业为“物业管理”。</w:t>
      </w:r>
    </w:p>
    <w:p w14:paraId="1D93ACC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color w:val="auto"/>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color w:val="auto"/>
          <w:highlight w:val="none"/>
        </w:rPr>
        <w:t>投标人</w:t>
      </w:r>
      <w:r>
        <w:rPr>
          <w:color w:val="auto"/>
          <w:highlight w:val="none"/>
        </w:rPr>
        <w:t>必须自行为其</w:t>
      </w:r>
      <w:r>
        <w:rPr>
          <w:rFonts w:hint="eastAsia"/>
          <w:color w:val="auto"/>
          <w:highlight w:val="none"/>
        </w:rPr>
        <w:t>投标</w:t>
      </w:r>
      <w:r>
        <w:rPr>
          <w:color w:val="auto"/>
          <w:highlight w:val="none"/>
        </w:rPr>
        <w:t>产品侵犯</w:t>
      </w:r>
      <w:r>
        <w:rPr>
          <w:rFonts w:hint="eastAsia"/>
          <w:color w:val="auto"/>
          <w:highlight w:val="none"/>
        </w:rPr>
        <w:t>他人的知识产权或者专利成果的行为</w:t>
      </w:r>
      <w:r>
        <w:rPr>
          <w:color w:val="auto"/>
          <w:highlight w:val="none"/>
        </w:rPr>
        <w:t>承担相应法律责任</w:t>
      </w:r>
      <w:r>
        <w:rPr>
          <w:rFonts w:hint="eastAsia"/>
          <w:color w:val="auto"/>
          <w:highlight w:val="none"/>
        </w:rPr>
        <w:t>。</w:t>
      </w:r>
    </w:p>
    <w:p w14:paraId="55FB80C2">
      <w:pPr>
        <w:keepNext w:val="0"/>
        <w:keepLines w:val="0"/>
        <w:pageBreakBefore w:val="0"/>
        <w:widowControl w:val="0"/>
        <w:kinsoku/>
        <w:wordWrap/>
        <w:overflowPunct/>
        <w:topLinePunct w:val="0"/>
        <w:autoSpaceDE/>
        <w:autoSpaceDN/>
        <w:bidi w:val="0"/>
        <w:spacing w:line="380" w:lineRule="exact"/>
        <w:ind w:firstLine="482" w:firstLineChars="200"/>
        <w:textAlignment w:val="auto"/>
        <w:outlineLvl w:val="1"/>
        <w:rPr>
          <w:rFonts w:ascii="宋体" w:hAnsi="宋体" w:cs="宋体"/>
          <w:b/>
          <w:bCs/>
          <w:sz w:val="24"/>
        </w:rPr>
      </w:pPr>
      <w:r>
        <w:rPr>
          <w:rFonts w:hint="eastAsia" w:ascii="宋体" w:hAnsi="宋体" w:cs="宋体"/>
          <w:b/>
          <w:bCs/>
          <w:sz w:val="24"/>
        </w:rPr>
        <w:t>一、项目概况</w:t>
      </w:r>
    </w:p>
    <w:p w14:paraId="2B3200B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outlineLvl w:val="1"/>
        <w:rPr>
          <w:rFonts w:ascii="宋体" w:hAnsi="宋体" w:cs="宋体"/>
        </w:rPr>
      </w:pPr>
      <w:r>
        <w:rPr>
          <w:rFonts w:hint="eastAsia" w:ascii="宋体" w:hAnsi="宋体" w:cs="宋体"/>
        </w:rPr>
        <w:t>学校坐落在海湾新区核心地带，毗邻防城港市园博园、智慧小镇，占地300亩，总建筑面积12.6万多平方米。学校环境秀丽，气势雄伟，风格独具。学校有三部分五区块。以“Ｕ”形长廊为区分，校区分为左、中、右三部分，长廊之内为核心区，则左右各分前后共五个区块。布局合理，实用科学。3栋各5层教学楼、6栋各6层学生公寓楼都是独立的四合大院；3栋各6层实验楼，充分满足物理、化学、生物的动手实验与数字化实验体验；位于核心区的学校图书馆大气雅致，信息技术教室、录播室、心理健康教育中心、团委、学生会等功能室的丰富完善，让位于学校中央的建筑有了鲜明的主题和高远的格调；3层楼的学生食堂，可同时容纳3000人用餐，层层有空调；5人间学生宿舍间间有空调，层层有洗衣机；标准运动场，篮球场、排球场等各类场地都达到一类标准。通过“智慧校园”构建学校的安保体系</w:t>
      </w:r>
      <w:r>
        <w:rPr>
          <w:rFonts w:hint="eastAsia" w:ascii="宋体" w:hAnsi="宋体" w:cs="宋体"/>
          <w:lang w:eastAsia="zh-CN"/>
        </w:rPr>
        <w:t>，</w:t>
      </w:r>
      <w:r>
        <w:rPr>
          <w:rFonts w:hint="eastAsia" w:ascii="宋体" w:hAnsi="宋体" w:cs="宋体"/>
        </w:rPr>
        <w:t>监控系统覆盖校园内的主要区域和重点部位。</w:t>
      </w:r>
    </w:p>
    <w:p w14:paraId="6748EF08">
      <w:pPr>
        <w:keepNext w:val="0"/>
        <w:keepLines w:val="0"/>
        <w:pageBreakBefore w:val="0"/>
        <w:widowControl w:val="0"/>
        <w:kinsoku/>
        <w:wordWrap/>
        <w:overflowPunct/>
        <w:topLinePunct w:val="0"/>
        <w:autoSpaceDE/>
        <w:autoSpaceDN/>
        <w:bidi w:val="0"/>
        <w:adjustRightInd/>
        <w:snapToGrid/>
        <w:spacing w:line="380" w:lineRule="exact"/>
        <w:ind w:firstLine="482" w:firstLineChars="200"/>
        <w:textAlignment w:val="auto"/>
        <w:outlineLvl w:val="1"/>
        <w:rPr>
          <w:rFonts w:ascii="宋体" w:hAnsi="宋体" w:cs="宋体"/>
          <w:b/>
          <w:bCs/>
          <w:sz w:val="24"/>
        </w:rPr>
      </w:pPr>
      <w:r>
        <w:rPr>
          <w:rFonts w:hint="eastAsia" w:ascii="宋体" w:hAnsi="宋体" w:cs="宋体"/>
          <w:b/>
          <w:bCs/>
          <w:sz w:val="24"/>
        </w:rPr>
        <w:t>二、项目名称及项目预算</w:t>
      </w:r>
      <w:bookmarkStart w:id="25" w:name="_Hlk161841306"/>
    </w:p>
    <w:p w14:paraId="5F346EF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outlineLvl w:val="1"/>
        <w:rPr>
          <w:rFonts w:ascii="宋体" w:hAnsi="宋体" w:cs="宋体"/>
        </w:rPr>
      </w:pPr>
      <w:r>
        <w:rPr>
          <w:rFonts w:hint="eastAsia" w:ascii="宋体" w:hAnsi="宋体" w:cs="宋体"/>
        </w:rPr>
        <w:t>（一）项目名称：</w:t>
      </w:r>
      <w:bookmarkEnd w:id="25"/>
      <w:r>
        <w:rPr>
          <w:rFonts w:hint="eastAsia" w:ascii="宋体" w:hAnsi="宋体" w:cs="宋体"/>
        </w:rPr>
        <w:t>防城港市北部湾高级中学物业管理服务采购</w:t>
      </w:r>
    </w:p>
    <w:p w14:paraId="1642F072">
      <w:pPr>
        <w:keepNext w:val="0"/>
        <w:keepLines w:val="0"/>
        <w:pageBreakBefore w:val="0"/>
        <w:widowControl w:val="0"/>
        <w:kinsoku/>
        <w:wordWrap/>
        <w:overflowPunct/>
        <w:topLinePunct w:val="0"/>
        <w:autoSpaceDE/>
        <w:autoSpaceDN/>
        <w:bidi w:val="0"/>
        <w:adjustRightInd/>
        <w:snapToGrid/>
        <w:spacing w:line="380" w:lineRule="exact"/>
        <w:ind w:left="420" w:leftChars="200"/>
        <w:textAlignment w:val="auto"/>
        <w:outlineLvl w:val="1"/>
        <w:rPr>
          <w:rFonts w:ascii="宋体" w:hAnsi="宋体" w:cs="宋体"/>
        </w:rPr>
      </w:pPr>
      <w:r>
        <w:rPr>
          <w:rFonts w:hint="eastAsia" w:ascii="宋体" w:hAnsi="宋体" w:cs="宋体"/>
        </w:rPr>
        <w:t>（二）项目预算：5,878,116.00</w:t>
      </w:r>
      <w:r>
        <w:rPr>
          <w:rFonts w:hint="eastAsia" w:ascii="宋体" w:hAnsi="宋体" w:cs="宋体"/>
          <w:lang w:val="en-US" w:eastAsia="zh-CN"/>
        </w:rPr>
        <w:t>元</w:t>
      </w:r>
      <w:r>
        <w:rPr>
          <w:rFonts w:hint="eastAsia" w:ascii="宋体" w:hAnsi="宋体" w:cs="宋体"/>
        </w:rPr>
        <w:t>（服务期限2年）</w:t>
      </w:r>
    </w:p>
    <w:p w14:paraId="26DEB164">
      <w:pPr>
        <w:keepNext w:val="0"/>
        <w:keepLines w:val="0"/>
        <w:pageBreakBefore w:val="0"/>
        <w:widowControl w:val="0"/>
        <w:kinsoku/>
        <w:wordWrap/>
        <w:overflowPunct/>
        <w:topLinePunct w:val="0"/>
        <w:autoSpaceDE/>
        <w:autoSpaceDN/>
        <w:bidi w:val="0"/>
        <w:adjustRightInd/>
        <w:snapToGrid/>
        <w:spacing w:line="380" w:lineRule="exact"/>
        <w:ind w:firstLine="482" w:firstLineChars="200"/>
        <w:textAlignment w:val="auto"/>
        <w:outlineLvl w:val="1"/>
        <w:rPr>
          <w:rFonts w:ascii="宋体" w:hAnsi="宋体" w:cs="宋体"/>
          <w:b/>
          <w:bCs/>
          <w:sz w:val="24"/>
        </w:rPr>
      </w:pPr>
      <w:r>
        <w:rPr>
          <w:rFonts w:hint="eastAsia" w:ascii="宋体" w:hAnsi="宋体" w:cs="宋体"/>
          <w:b/>
          <w:bCs/>
          <w:sz w:val="24"/>
        </w:rPr>
        <w:t>三、服务内容</w:t>
      </w:r>
    </w:p>
    <w:p w14:paraId="029FDF6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outlineLvl w:val="1"/>
        <w:rPr>
          <w:rFonts w:hint="eastAsia" w:ascii="宋体" w:hAnsi="宋体" w:cs="宋体" w:eastAsiaTheme="minorEastAsia"/>
          <w:lang w:val="en-US" w:eastAsia="zh-CN"/>
        </w:rPr>
      </w:pPr>
      <w:r>
        <w:rPr>
          <w:rFonts w:hint="eastAsia" w:ascii="宋体" w:hAnsi="宋体" w:cs="宋体"/>
        </w:rPr>
        <w:t>列入本次招标的物业管理服务内容为：学校环境卫生管理及勤杂工作；绿化（含水系）的管理；供电及强电系统管理；排水系统运行管理；弱电系统运行维护；消防系统设备运行维护；房屋建筑公用部位维修和养护管理；宿舍管理；中标人应根据采购人的工作计划、要求严格按照计划实施和委托期内应履行的其他服务等义务及其他类似的责任等。保洁、绿化、宿管、维修维护等服务及采购单位交办的其他工作。</w:t>
      </w:r>
    </w:p>
    <w:p w14:paraId="45CF656A">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firstLine="482" w:firstLineChars="200"/>
        <w:textAlignment w:val="auto"/>
        <w:outlineLvl w:val="1"/>
        <w:rPr>
          <w:rFonts w:ascii="宋体" w:hAnsi="宋体" w:cs="宋体"/>
          <w:b/>
          <w:bCs/>
          <w:sz w:val="24"/>
        </w:rPr>
      </w:pPr>
      <w:r>
        <w:rPr>
          <w:rFonts w:hint="eastAsia" w:ascii="宋体" w:hAnsi="宋体" w:cs="宋体"/>
          <w:b/>
          <w:bCs/>
          <w:sz w:val="24"/>
          <w:lang w:val="en-US" w:eastAsia="zh-CN"/>
        </w:rPr>
        <w:t>四、</w:t>
      </w:r>
      <w:r>
        <w:rPr>
          <w:rFonts w:hint="eastAsia" w:ascii="宋体" w:hAnsi="宋体" w:cs="宋体"/>
          <w:b/>
          <w:bCs/>
          <w:sz w:val="24"/>
        </w:rPr>
        <w:t>技术要求条款：</w:t>
      </w:r>
    </w:p>
    <w:p w14:paraId="1208EBA5">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outlineLvl w:val="1"/>
        <w:rPr>
          <w:rFonts w:ascii="宋体" w:hAnsi="宋体" w:cs="宋体"/>
          <w:sz w:val="24"/>
        </w:rPr>
      </w:pPr>
      <w:r>
        <w:rPr>
          <w:rFonts w:hint="eastAsia" w:ascii="宋体" w:hAnsi="宋体" w:cs="宋体"/>
          <w:b/>
          <w:bCs/>
          <w:sz w:val="24"/>
        </w:rPr>
        <w:t>（一）岗位设置要求</w:t>
      </w:r>
    </w:p>
    <w:tbl>
      <w:tblPr>
        <w:tblStyle w:val="18"/>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510"/>
        <w:gridCol w:w="1089"/>
        <w:gridCol w:w="645"/>
        <w:gridCol w:w="2820"/>
        <w:gridCol w:w="4116"/>
        <w:gridCol w:w="674"/>
      </w:tblGrid>
      <w:tr w14:paraId="626B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21F38B40">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089" w:type="dxa"/>
            <w:tcBorders>
              <w:tl2br w:val="nil"/>
              <w:tr2bl w:val="nil"/>
            </w:tcBorders>
            <w:shd w:val="clear" w:color="auto" w:fill="FFFFFF"/>
            <w:vAlign w:val="center"/>
          </w:tcPr>
          <w:p w14:paraId="503FC819">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岗位名称</w:t>
            </w:r>
          </w:p>
        </w:tc>
        <w:tc>
          <w:tcPr>
            <w:tcW w:w="645" w:type="dxa"/>
            <w:tcBorders>
              <w:tl2br w:val="nil"/>
              <w:tr2bl w:val="nil"/>
            </w:tcBorders>
            <w:shd w:val="clear" w:color="auto" w:fill="FFFFFF"/>
            <w:vAlign w:val="center"/>
          </w:tcPr>
          <w:p w14:paraId="41DDEF75">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人数</w:t>
            </w:r>
          </w:p>
        </w:tc>
        <w:tc>
          <w:tcPr>
            <w:tcW w:w="2820" w:type="dxa"/>
            <w:tcBorders>
              <w:tl2br w:val="nil"/>
              <w:tr2bl w:val="nil"/>
            </w:tcBorders>
            <w:shd w:val="clear" w:color="auto" w:fill="FFFFFF"/>
            <w:vAlign w:val="center"/>
          </w:tcPr>
          <w:p w14:paraId="6C6C1312">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岗位负责范围</w:t>
            </w:r>
          </w:p>
        </w:tc>
        <w:tc>
          <w:tcPr>
            <w:tcW w:w="4116" w:type="dxa"/>
            <w:tcBorders>
              <w:tl2br w:val="nil"/>
              <w:tr2bl w:val="nil"/>
            </w:tcBorders>
            <w:shd w:val="clear" w:color="auto" w:fill="FFFFFF"/>
            <w:vAlign w:val="center"/>
          </w:tcPr>
          <w:p w14:paraId="347C652C">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岗位要求</w:t>
            </w:r>
          </w:p>
        </w:tc>
        <w:tc>
          <w:tcPr>
            <w:tcW w:w="674" w:type="dxa"/>
            <w:tcBorders>
              <w:tl2br w:val="nil"/>
              <w:tr2bl w:val="nil"/>
            </w:tcBorders>
            <w:shd w:val="clear" w:color="auto" w:fill="FFFFFF"/>
            <w:vAlign w:val="center"/>
          </w:tcPr>
          <w:p w14:paraId="6E70C02E">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备注</w:t>
            </w:r>
          </w:p>
        </w:tc>
      </w:tr>
      <w:tr w14:paraId="0566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54BD0401">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rPr>
            </w:pPr>
          </w:p>
        </w:tc>
        <w:tc>
          <w:tcPr>
            <w:tcW w:w="1089" w:type="dxa"/>
            <w:tcBorders>
              <w:tl2br w:val="nil"/>
              <w:tr2bl w:val="nil"/>
            </w:tcBorders>
            <w:shd w:val="clear" w:color="auto" w:fill="FFFFFF"/>
            <w:vAlign w:val="center"/>
          </w:tcPr>
          <w:p w14:paraId="35B76C63">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项目经理</w:t>
            </w:r>
          </w:p>
        </w:tc>
        <w:tc>
          <w:tcPr>
            <w:tcW w:w="645" w:type="dxa"/>
            <w:tcBorders>
              <w:tl2br w:val="nil"/>
              <w:tr2bl w:val="nil"/>
            </w:tcBorders>
            <w:shd w:val="clear" w:color="auto" w:fill="FFFFFF"/>
            <w:vAlign w:val="center"/>
          </w:tcPr>
          <w:p w14:paraId="0054BD0A">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4D9F23CC">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服从物业公司和服务单位的工作安排及业务指导，负责物业后勤队伍的组织、协调、管理、监督、考核等工作；</w:t>
            </w:r>
          </w:p>
          <w:p w14:paraId="78ED9C2A">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按规定定期或不定期向物业公司和服务单位汇报工作和反馈有关情况。</w:t>
            </w:r>
          </w:p>
        </w:tc>
        <w:tc>
          <w:tcPr>
            <w:tcW w:w="4116" w:type="dxa"/>
            <w:tcBorders>
              <w:tl2br w:val="nil"/>
              <w:tr2bl w:val="nil"/>
            </w:tcBorders>
            <w:shd w:val="clear" w:color="auto" w:fill="FFFFFF"/>
            <w:vAlign w:val="center"/>
          </w:tcPr>
          <w:p w14:paraId="7CC01B6D">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b/>
                <w:bCs/>
                <w:color w:val="auto"/>
                <w:szCs w:val="21"/>
                <w:highlight w:val="none"/>
              </w:rPr>
            </w:pPr>
            <w:r>
              <w:rPr>
                <w:rFonts w:hint="eastAsia" w:ascii="宋体" w:hAnsi="宋体" w:cs="宋体"/>
                <w:color w:val="auto"/>
                <w:szCs w:val="21"/>
                <w:highlight w:val="none"/>
              </w:rPr>
              <w:t>身体健康，具有大专（含）以上学历</w:t>
            </w:r>
            <w:r>
              <w:rPr>
                <w:rFonts w:hint="eastAsia" w:ascii="宋体" w:hAnsi="宋体" w:cs="宋体"/>
                <w:b/>
                <w:bCs/>
                <w:color w:val="auto"/>
                <w:szCs w:val="21"/>
                <w:highlight w:val="none"/>
              </w:rPr>
              <w:t>（须提供学历证明复印件及身份证复印件并加盖投标人公章，否则按无效投标处理）</w:t>
            </w:r>
            <w:r>
              <w:rPr>
                <w:rFonts w:hint="eastAsia" w:ascii="宋体" w:hAnsi="宋体" w:cs="宋体"/>
                <w:b w:val="0"/>
                <w:bCs w:val="0"/>
                <w:color w:val="auto"/>
                <w:szCs w:val="21"/>
                <w:highlight w:val="none"/>
                <w:lang w:eastAsia="zh-CN"/>
              </w:rPr>
              <w:t>，具</w:t>
            </w:r>
            <w:r>
              <w:rPr>
                <w:rFonts w:hint="eastAsia" w:ascii="宋体" w:hAnsi="宋体" w:cs="宋体"/>
                <w:color w:val="auto"/>
                <w:szCs w:val="21"/>
                <w:highlight w:val="none"/>
              </w:rPr>
              <w:t>有丰富的物业管理经验，</w:t>
            </w:r>
            <w:r>
              <w:rPr>
                <w:rFonts w:hint="eastAsia" w:ascii="宋体" w:hAnsi="宋体" w:eastAsia="宋体" w:cs="宋体"/>
                <w:i w:val="0"/>
                <w:iCs w:val="0"/>
                <w:color w:val="auto"/>
                <w:kern w:val="0"/>
                <w:sz w:val="22"/>
                <w:szCs w:val="22"/>
                <w:highlight w:val="none"/>
                <w:u w:val="none"/>
                <w:lang w:val="en-US" w:eastAsia="zh-CN" w:bidi="ar"/>
              </w:rPr>
              <w:t>具有2年及以上物业管理工作经验</w:t>
            </w:r>
            <w:bookmarkStart w:id="26" w:name="OLE_LINK2"/>
            <w:r>
              <w:rPr>
                <w:rFonts w:hint="eastAsia" w:ascii="宋体" w:hAnsi="宋体" w:eastAsia="宋体" w:cs="宋体"/>
                <w:i w:val="0"/>
                <w:iCs w:val="0"/>
                <w:color w:val="auto"/>
                <w:kern w:val="0"/>
                <w:sz w:val="22"/>
                <w:szCs w:val="22"/>
                <w:highlight w:val="none"/>
                <w:u w:val="none"/>
                <w:lang w:val="en-US" w:eastAsia="zh-CN" w:bidi="ar"/>
              </w:rPr>
              <w:t>（须提供能证明聘任为物业管理岗位且累计工作年限≥2年的服务合同关键页扫描件</w:t>
            </w:r>
            <w:bookmarkEnd w:id="26"/>
            <w:r>
              <w:rPr>
                <w:rFonts w:hint="eastAsia" w:ascii="宋体" w:hAnsi="宋体" w:eastAsia="宋体" w:cs="宋体"/>
                <w:i w:val="0"/>
                <w:iCs w:val="0"/>
                <w:color w:val="auto"/>
                <w:kern w:val="0"/>
                <w:sz w:val="22"/>
                <w:szCs w:val="22"/>
                <w:highlight w:val="none"/>
                <w:u w:val="none"/>
                <w:lang w:val="en-US" w:eastAsia="zh-CN" w:bidi="ar"/>
              </w:rPr>
              <w:t>并加盖投标人公章，否则按无效投标处理）</w:t>
            </w:r>
            <w:r>
              <w:rPr>
                <w:rFonts w:hint="eastAsia" w:ascii="宋体" w:hAnsi="宋体" w:cs="宋体"/>
                <w:color w:val="auto"/>
                <w:szCs w:val="21"/>
                <w:highlight w:val="none"/>
              </w:rPr>
              <w:t>有公文写作能力，熟悉运用电脑办公软件和基本电脑操作知识。具有一定消防安全知识技能学习经验且无犯罪记录</w:t>
            </w:r>
            <w:r>
              <w:rPr>
                <w:rFonts w:hint="eastAsia" w:ascii="宋体" w:hAnsi="宋体" w:cs="宋体"/>
                <w:b/>
                <w:bCs/>
                <w:color w:val="auto"/>
                <w:szCs w:val="21"/>
                <w:highlight w:val="none"/>
              </w:rPr>
              <w:t>（须提供无犯罪记录证明复印件</w:t>
            </w:r>
            <w:r>
              <w:rPr>
                <w:rFonts w:hint="eastAsia" w:ascii="宋体" w:hAnsi="宋体" w:cs="宋体"/>
                <w:b/>
                <w:bCs/>
                <w:color w:val="auto"/>
                <w:kern w:val="0"/>
                <w:sz w:val="22"/>
                <w:szCs w:val="22"/>
                <w:highlight w:val="none"/>
                <w:lang w:bidi="ar"/>
              </w:rPr>
              <w:t>并加盖投标人公章</w:t>
            </w:r>
            <w:r>
              <w:rPr>
                <w:rFonts w:hint="eastAsia" w:ascii="宋体" w:hAnsi="宋体" w:cs="宋体"/>
                <w:b/>
                <w:bCs/>
                <w:color w:val="auto"/>
                <w:szCs w:val="21"/>
                <w:highlight w:val="none"/>
              </w:rPr>
              <w:t>，否则按无效投标处理）。</w:t>
            </w:r>
          </w:p>
          <w:p w14:paraId="41B20045">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2D04D68F">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118B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070AE8CA">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rPr>
            </w:pPr>
          </w:p>
        </w:tc>
        <w:tc>
          <w:tcPr>
            <w:tcW w:w="1089" w:type="dxa"/>
            <w:tcBorders>
              <w:tl2br w:val="nil"/>
              <w:tr2bl w:val="nil"/>
            </w:tcBorders>
            <w:shd w:val="clear" w:color="auto" w:fill="FFFFFF"/>
            <w:vAlign w:val="center"/>
          </w:tcPr>
          <w:p w14:paraId="3DDAE052">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综合专员</w:t>
            </w:r>
          </w:p>
        </w:tc>
        <w:tc>
          <w:tcPr>
            <w:tcW w:w="645" w:type="dxa"/>
            <w:tcBorders>
              <w:tl2br w:val="nil"/>
              <w:tr2bl w:val="nil"/>
            </w:tcBorders>
            <w:shd w:val="clear" w:color="auto" w:fill="FFFFFF"/>
            <w:vAlign w:val="center"/>
          </w:tcPr>
          <w:p w14:paraId="4F9612A4">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3BBB4F8A">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配合项目经理协调学校内部各部门或外部单位等工作；</w:t>
            </w:r>
          </w:p>
          <w:p w14:paraId="1E7DAF60">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负责编制物业设施的维护保养计划，合理安排维护保养工作，确保设施的正常运转；</w:t>
            </w:r>
          </w:p>
          <w:p w14:paraId="15CF02BC">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处理学校内部物业设施相关的投诉和意见反馈，及时解决相关问题，提高师生满意度。</w:t>
            </w:r>
          </w:p>
        </w:tc>
        <w:tc>
          <w:tcPr>
            <w:tcW w:w="4116" w:type="dxa"/>
            <w:tcBorders>
              <w:tl2br w:val="nil"/>
              <w:tr2bl w:val="nil"/>
            </w:tcBorders>
            <w:shd w:val="clear" w:color="auto" w:fill="FFFFFF"/>
            <w:vAlign w:val="center"/>
          </w:tcPr>
          <w:p w14:paraId="5B38EB21">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cs="宋体"/>
                <w:color w:val="auto"/>
                <w:szCs w:val="21"/>
                <w:highlight w:val="none"/>
              </w:rPr>
              <w:t>身体健康，具有大专（含）以上学历</w:t>
            </w:r>
            <w:r>
              <w:rPr>
                <w:rFonts w:hint="eastAsia" w:ascii="宋体" w:hAnsi="宋体" w:cs="宋体"/>
                <w:b/>
                <w:bCs/>
                <w:color w:val="auto"/>
                <w:szCs w:val="21"/>
                <w:highlight w:val="none"/>
              </w:rPr>
              <w:t>（须提供学历证明复印件及身份证复印件并加盖投标人公章，否则按无效投标处理）</w:t>
            </w:r>
            <w:r>
              <w:rPr>
                <w:rFonts w:hint="eastAsia" w:ascii="宋体" w:hAnsi="宋体" w:cs="宋体"/>
                <w:color w:val="auto"/>
                <w:szCs w:val="21"/>
                <w:highlight w:val="none"/>
              </w:rPr>
              <w:t>，</w:t>
            </w:r>
            <w:r>
              <w:rPr>
                <w:rFonts w:hint="eastAsia" w:ascii="宋体" w:hAnsi="宋体" w:eastAsia="宋体" w:cs="宋体"/>
                <w:i w:val="0"/>
                <w:iCs w:val="0"/>
                <w:color w:val="auto"/>
                <w:kern w:val="0"/>
                <w:sz w:val="22"/>
                <w:szCs w:val="22"/>
                <w:highlight w:val="none"/>
                <w:u w:val="none"/>
                <w:lang w:val="en-US" w:eastAsia="zh-CN" w:bidi="ar"/>
              </w:rPr>
              <w:t>具有2年及以上物业管理工作经验（须提供能证明聘任为物业管理岗位且累计工作年限≥2年的服务合同关键页扫描件并加盖投标人公章，否则按无效投标处理）</w:t>
            </w:r>
            <w:r>
              <w:rPr>
                <w:rFonts w:hint="eastAsia" w:ascii="宋体" w:hAnsi="宋体" w:cs="宋体"/>
                <w:color w:val="auto"/>
                <w:szCs w:val="21"/>
                <w:highlight w:val="none"/>
              </w:rPr>
              <w:t>具有公文写作能力，熟悉运用电脑办公软件和基本电脑操作知识。</w:t>
            </w:r>
          </w:p>
          <w:p w14:paraId="09757F99">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1AB0D276">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5C3D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79B897B5">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rPr>
            </w:pPr>
          </w:p>
        </w:tc>
        <w:tc>
          <w:tcPr>
            <w:tcW w:w="1089" w:type="dxa"/>
            <w:tcBorders>
              <w:tl2br w:val="nil"/>
              <w:tr2bl w:val="nil"/>
            </w:tcBorders>
            <w:shd w:val="clear" w:color="auto" w:fill="FFFFFF"/>
            <w:vAlign w:val="center"/>
          </w:tcPr>
          <w:p w14:paraId="6ED2B2C6">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工程主管</w:t>
            </w:r>
          </w:p>
        </w:tc>
        <w:tc>
          <w:tcPr>
            <w:tcW w:w="645" w:type="dxa"/>
            <w:tcBorders>
              <w:tl2br w:val="nil"/>
              <w:tr2bl w:val="nil"/>
            </w:tcBorders>
            <w:shd w:val="clear" w:color="auto" w:fill="FFFFFF"/>
            <w:vAlign w:val="center"/>
          </w:tcPr>
          <w:p w14:paraId="6DA748C5">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0B076D42">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落实执行所辖设备的工作标准、改造计划、定期维护保养计划、节能方案、抢修方案；</w:t>
            </w:r>
          </w:p>
          <w:p w14:paraId="42808422">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检查、指导所辖员工严格执行操作规程和安全规程，现场督导员工的工作质量和进度；有重要问题及时向公司领导和部门经理汇报，并提出建议和解决措施；</w:t>
            </w:r>
          </w:p>
          <w:p w14:paraId="20F266FF">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负责所在项目的班组和人员的管理，包括技术指导、工作安排、工作质量和劳动纪律检查。</w:t>
            </w:r>
          </w:p>
        </w:tc>
        <w:tc>
          <w:tcPr>
            <w:tcW w:w="4116" w:type="dxa"/>
            <w:tcBorders>
              <w:tl2br w:val="nil"/>
              <w:tr2bl w:val="nil"/>
            </w:tcBorders>
            <w:shd w:val="clear" w:color="auto" w:fill="FFFFFF"/>
            <w:vAlign w:val="center"/>
          </w:tcPr>
          <w:p w14:paraId="4600D526">
            <w:pPr>
              <w:pStyle w:val="7"/>
              <w:keepNext w:val="0"/>
              <w:keepLines w:val="0"/>
              <w:pageBreakBefore w:val="0"/>
              <w:kinsoku/>
              <w:wordWrap/>
              <w:overflowPunct/>
              <w:topLinePunct w:val="0"/>
              <w:autoSpaceDE/>
              <w:autoSpaceDN/>
              <w:bidi w:val="0"/>
              <w:adjustRightInd/>
              <w:snapToGrid/>
              <w:spacing w:line="3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身体健康、高中或中专以上学历，必须持有低压电工证等相关专业资格证书；具有3年以上的水电工工作经验；具备物业水电工的基础技能，熟悉水、电、中央空调等相关设施设备的安装、维修及保养。掌握基本的安全知识和操作规程，能够正确使用各类工具和设备，确保工作安全。熟悉弱电系统、智能化设备的维护与管理，具备较强的故障排查和现场处理能力。能够与各部门及上级领导有效沟通，确保工作协调顺畅。同时，要求吃苦耐劳，有责任心。以上工作经验、证件须提供相关证明材料并加盖供应商公章（必须提供，否则响应文件按无效处理）。</w:t>
            </w:r>
          </w:p>
          <w:p w14:paraId="7BAD2735">
            <w:pPr>
              <w:pStyle w:val="7"/>
              <w:keepNext w:val="0"/>
              <w:keepLines w:val="0"/>
              <w:pageBreakBefore w:val="0"/>
              <w:kinsoku/>
              <w:wordWrap/>
              <w:overflowPunct/>
              <w:topLinePunct w:val="0"/>
              <w:autoSpaceDE/>
              <w:autoSpaceDN/>
              <w:bidi w:val="0"/>
              <w:adjustRightInd/>
              <w:snapToGrid/>
              <w:spacing w:line="360" w:lineRule="exact"/>
              <w:ind w:firstLine="420" w:firstLineChars="200"/>
              <w:jc w:val="both"/>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56403CB0">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5EA0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2C550E44">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rPr>
            </w:pPr>
          </w:p>
        </w:tc>
        <w:tc>
          <w:tcPr>
            <w:tcW w:w="1089" w:type="dxa"/>
            <w:tcBorders>
              <w:tl2br w:val="nil"/>
              <w:tr2bl w:val="nil"/>
            </w:tcBorders>
            <w:shd w:val="clear" w:color="auto" w:fill="FFFFFF"/>
            <w:vAlign w:val="center"/>
          </w:tcPr>
          <w:p w14:paraId="5950FB49">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工程员</w:t>
            </w:r>
          </w:p>
        </w:tc>
        <w:tc>
          <w:tcPr>
            <w:tcW w:w="645" w:type="dxa"/>
            <w:tcBorders>
              <w:tl2br w:val="nil"/>
              <w:tr2bl w:val="nil"/>
            </w:tcBorders>
            <w:shd w:val="clear" w:color="auto" w:fill="FFFFFF"/>
            <w:vAlign w:val="center"/>
          </w:tcPr>
          <w:p w14:paraId="0B9EFE52">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2820" w:type="dxa"/>
            <w:tcBorders>
              <w:tl2br w:val="nil"/>
              <w:tr2bl w:val="nil"/>
            </w:tcBorders>
            <w:shd w:val="clear" w:color="auto" w:fill="FFFFFF"/>
            <w:vAlign w:val="center"/>
          </w:tcPr>
          <w:p w14:paraId="16A6DE5E">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负责学校各类设施的保养和维修工作、故障排除和修复工作。及时记录设施的保养和维修情况，管理和维护自己使用的工具和设备。遵守相关的安全操作规程，戴好防护装备，确保自己和他人的人身安全。</w:t>
            </w:r>
          </w:p>
        </w:tc>
        <w:tc>
          <w:tcPr>
            <w:tcW w:w="4116" w:type="dxa"/>
            <w:tcBorders>
              <w:tl2br w:val="nil"/>
              <w:tr2bl w:val="nil"/>
            </w:tcBorders>
            <w:shd w:val="clear" w:color="auto" w:fill="FFFFFF"/>
            <w:vAlign w:val="center"/>
          </w:tcPr>
          <w:p w14:paraId="17C8A815">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b/>
                <w:bCs/>
                <w:color w:val="auto"/>
                <w:szCs w:val="21"/>
                <w:highlight w:val="none"/>
              </w:rPr>
            </w:pPr>
            <w:r>
              <w:rPr>
                <w:rFonts w:hint="eastAsia" w:ascii="宋体" w:hAnsi="宋体" w:cs="宋体"/>
                <w:color w:val="auto"/>
                <w:szCs w:val="21"/>
                <w:highlight w:val="none"/>
              </w:rPr>
              <w:t>身体健康，工程员须</w:t>
            </w:r>
            <w:r>
              <w:rPr>
                <w:rFonts w:hint="eastAsia" w:ascii="宋体" w:hAnsi="宋体" w:eastAsia="宋体" w:cs="宋体"/>
                <w:color w:val="auto"/>
                <w:kern w:val="2"/>
                <w:sz w:val="21"/>
                <w:szCs w:val="21"/>
                <w:highlight w:val="none"/>
                <w:lang w:val="en-US" w:eastAsia="zh-CN" w:bidi="ar-SA"/>
              </w:rPr>
              <w:t>必须持有低压电工证等相关专业资格证书；以上证件须提供相关证明材料并加盖供应商公章（必须提供，否则响应文件按无效处理）</w:t>
            </w:r>
          </w:p>
          <w:p w14:paraId="617CC493">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工作时间：24小时需有人备班。</w:t>
            </w:r>
          </w:p>
        </w:tc>
        <w:tc>
          <w:tcPr>
            <w:tcW w:w="674" w:type="dxa"/>
            <w:tcBorders>
              <w:tl2br w:val="nil"/>
              <w:tr2bl w:val="nil"/>
            </w:tcBorders>
            <w:shd w:val="clear" w:color="auto" w:fill="FFFFFF"/>
            <w:vAlign w:val="center"/>
          </w:tcPr>
          <w:p w14:paraId="3712201D">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65DE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1D7EABB1">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30977B54">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保洁</w:t>
            </w:r>
            <w:r>
              <w:rPr>
                <w:rFonts w:hint="eastAsia" w:ascii="宋体" w:hAnsi="宋体" w:cs="宋体"/>
                <w:color w:val="auto"/>
                <w:kern w:val="0"/>
                <w:szCs w:val="21"/>
                <w:highlight w:val="none"/>
                <w:lang w:val="en-US" w:eastAsia="zh-CN"/>
              </w:rPr>
              <w:t>及</w:t>
            </w:r>
            <w:r>
              <w:rPr>
                <w:rFonts w:hint="eastAsia" w:ascii="宋体" w:hAnsi="宋体" w:cs="宋体"/>
                <w:color w:val="auto"/>
                <w:kern w:val="0"/>
                <w:szCs w:val="21"/>
                <w:highlight w:val="none"/>
              </w:rPr>
              <w:t>绿化主管</w:t>
            </w:r>
          </w:p>
        </w:tc>
        <w:tc>
          <w:tcPr>
            <w:tcW w:w="645" w:type="dxa"/>
            <w:tcBorders>
              <w:tl2br w:val="nil"/>
              <w:tr2bl w:val="nil"/>
            </w:tcBorders>
            <w:shd w:val="clear" w:color="auto" w:fill="FFFFFF"/>
            <w:vAlign w:val="center"/>
          </w:tcPr>
          <w:p w14:paraId="175715DD">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251C03D6">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负责做好清洁计划编制、清洁专业技术培训，日常清洁工作安排与检查、清洁物料管理，垃圾管理，室内外绿化管理；</w:t>
            </w:r>
          </w:p>
          <w:p w14:paraId="2D05E44D">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及时传达上级指示，定期向公司领导报告保洁工作情况及商讨改善。</w:t>
            </w:r>
          </w:p>
        </w:tc>
        <w:tc>
          <w:tcPr>
            <w:tcW w:w="4116" w:type="dxa"/>
            <w:tcBorders>
              <w:tl2br w:val="nil"/>
              <w:tr2bl w:val="nil"/>
            </w:tcBorders>
            <w:shd w:val="clear" w:color="auto" w:fill="FFFFFF"/>
            <w:vAlign w:val="center"/>
          </w:tcPr>
          <w:p w14:paraId="028B053C">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身体健康，无不良从业记录，</w:t>
            </w:r>
            <w:bookmarkStart w:id="27" w:name="OLE_LINK5"/>
            <w:r>
              <w:rPr>
                <w:rFonts w:hint="eastAsia" w:ascii="宋体" w:hAnsi="宋体" w:eastAsia="宋体" w:cs="宋体"/>
                <w:color w:val="auto"/>
                <w:kern w:val="2"/>
                <w:sz w:val="21"/>
                <w:szCs w:val="21"/>
                <w:highlight w:val="none"/>
                <w:lang w:val="en-US" w:eastAsia="zh-CN" w:bidi="ar-SA"/>
              </w:rPr>
              <w:t>具备</w:t>
            </w:r>
            <w:bookmarkStart w:id="28" w:name="OLE_LINK6"/>
            <w:r>
              <w:rPr>
                <w:rFonts w:hint="eastAsia" w:ascii="宋体" w:hAnsi="宋体" w:eastAsia="宋体" w:cs="宋体"/>
                <w:color w:val="auto"/>
                <w:kern w:val="2"/>
                <w:sz w:val="21"/>
                <w:szCs w:val="21"/>
                <w:highlight w:val="none"/>
                <w:lang w:val="en-US" w:eastAsia="zh-CN" w:bidi="ar-SA"/>
              </w:rPr>
              <w:t>2年及以上绿化工作管理</w:t>
            </w:r>
            <w:bookmarkEnd w:id="28"/>
            <w:r>
              <w:rPr>
                <w:rFonts w:hint="eastAsia" w:ascii="宋体" w:hAnsi="宋体" w:eastAsia="宋体" w:cs="宋体"/>
                <w:color w:val="auto"/>
                <w:kern w:val="2"/>
                <w:sz w:val="21"/>
                <w:szCs w:val="21"/>
                <w:highlight w:val="none"/>
                <w:lang w:val="en-US" w:eastAsia="zh-CN" w:bidi="ar-SA"/>
              </w:rPr>
              <w:t>经验</w:t>
            </w:r>
            <w:bookmarkEnd w:id="27"/>
            <w:r>
              <w:rPr>
                <w:rFonts w:hint="eastAsia" w:ascii="宋体" w:hAnsi="宋体" w:eastAsia="宋体" w:cs="宋体"/>
                <w:color w:val="auto"/>
                <w:kern w:val="2"/>
                <w:sz w:val="21"/>
                <w:szCs w:val="21"/>
                <w:highlight w:val="none"/>
                <w:lang w:val="en-US" w:eastAsia="zh-CN" w:bidi="ar-SA"/>
              </w:rPr>
              <w:t>（须提供能证明聘任为绿化工作管理岗位且累计工作年限≥2年的服务合同关键页扫描件并加盖投标人公章，否则按无效投标处理），熟悉绿植生长习性、病虫害防治及校园公共区域保洁标准、消杀流程。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cs="宋体"/>
                <w:color w:val="auto"/>
                <w:szCs w:val="21"/>
                <w:highlight w:val="none"/>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3C137122">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7ED3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52FD45E5">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3918EBB0">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保洁员</w:t>
            </w:r>
          </w:p>
        </w:tc>
        <w:tc>
          <w:tcPr>
            <w:tcW w:w="645" w:type="dxa"/>
            <w:tcBorders>
              <w:tl2br w:val="nil"/>
              <w:tr2bl w:val="nil"/>
            </w:tcBorders>
            <w:shd w:val="clear" w:color="auto" w:fill="FFFFFF"/>
            <w:vAlign w:val="center"/>
          </w:tcPr>
          <w:p w14:paraId="050EFF36">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15</w:t>
            </w:r>
          </w:p>
        </w:tc>
        <w:tc>
          <w:tcPr>
            <w:tcW w:w="2820" w:type="dxa"/>
            <w:tcBorders>
              <w:tl2br w:val="nil"/>
              <w:tr2bl w:val="nil"/>
            </w:tcBorders>
            <w:shd w:val="clear" w:color="auto" w:fill="FFFFFF"/>
            <w:vAlign w:val="center"/>
          </w:tcPr>
          <w:p w14:paraId="23F1D074">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根据校区工作生活特点，把握不同区域、不同时段的环境维护特性，从时间和空间上划分工作重点，合理安排保洁工作时间和频次，适时、高效地开展环境保洁工作。</w:t>
            </w:r>
          </w:p>
        </w:tc>
        <w:tc>
          <w:tcPr>
            <w:tcW w:w="4116" w:type="dxa"/>
            <w:tcBorders>
              <w:tl2br w:val="nil"/>
              <w:tr2bl w:val="nil"/>
            </w:tcBorders>
            <w:shd w:val="clear" w:color="auto" w:fill="FFFFFF"/>
            <w:vAlign w:val="center"/>
          </w:tcPr>
          <w:p w14:paraId="6EFC1738">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身体健康</w:t>
            </w:r>
            <w:r>
              <w:rPr>
                <w:rFonts w:hint="eastAsia" w:ascii="宋体" w:hAnsi="宋体" w:cs="宋体"/>
                <w:color w:val="auto"/>
                <w:kern w:val="2"/>
                <w:sz w:val="21"/>
                <w:szCs w:val="21"/>
                <w:highlight w:val="none"/>
                <w:lang w:val="en-US" w:eastAsia="zh-CN" w:bidi="ar-SA"/>
              </w:rPr>
              <w:t>，</w:t>
            </w:r>
            <w:r>
              <w:rPr>
                <w:rFonts w:hint="eastAsia" w:ascii="宋体" w:hAnsi="宋体" w:cs="宋体"/>
                <w:color w:val="auto"/>
                <w:szCs w:val="21"/>
                <w:highlight w:val="none"/>
              </w:rPr>
              <w:t>有良好的语言沟通交流能力和工作责任心。</w:t>
            </w:r>
          </w:p>
          <w:p w14:paraId="500435C2">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工作时间：7：00-21：00。具体根据工作安排适时调整，但须报招标人同意后方能执行。如遇重大活动、国检迎检、突发自然灾害和突发事件等情况，工作时间按招标人要求执行。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082F6508">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0B22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74D2A42A">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483B3712">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绿化员</w:t>
            </w:r>
          </w:p>
        </w:tc>
        <w:tc>
          <w:tcPr>
            <w:tcW w:w="645" w:type="dxa"/>
            <w:tcBorders>
              <w:tl2br w:val="nil"/>
              <w:tr2bl w:val="nil"/>
            </w:tcBorders>
            <w:shd w:val="clear" w:color="auto" w:fill="FFFFFF"/>
            <w:vAlign w:val="center"/>
          </w:tcPr>
          <w:p w14:paraId="7CCD1564">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2820" w:type="dxa"/>
            <w:tcBorders>
              <w:tl2br w:val="nil"/>
              <w:tr2bl w:val="nil"/>
            </w:tcBorders>
            <w:shd w:val="clear" w:color="auto" w:fill="FFFFFF"/>
            <w:vAlign w:val="center"/>
          </w:tcPr>
          <w:p w14:paraId="6F27190B">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对花草树木定期进行培土、施肥、除杂草和病虫害，并修剪枝叶、淋水等，大棵灌木，要</w:t>
            </w:r>
            <w:r>
              <w:rPr>
                <w:rFonts w:hint="eastAsia" w:ascii="宋体" w:hAnsi="宋体" w:cs="宋体"/>
                <w:color w:val="auto"/>
                <w:szCs w:val="21"/>
                <w:highlight w:val="none"/>
                <w:lang w:eastAsia="zh-CN"/>
              </w:rPr>
              <w:t>给予</w:t>
            </w:r>
            <w:r>
              <w:rPr>
                <w:rFonts w:hint="eastAsia" w:ascii="宋体" w:hAnsi="宋体" w:cs="宋体"/>
                <w:color w:val="auto"/>
                <w:szCs w:val="21"/>
                <w:highlight w:val="none"/>
              </w:rPr>
              <w:t>生动活泼的造型，丰富校区绿化内容，保持绿化清洁，保证不留杂草，杂物，不缺水，不死苗，不被偷盗，花草生长茂盛；</w:t>
            </w:r>
          </w:p>
          <w:p w14:paraId="1AE73D50">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当自然灾害来临前，提前做好花草树木稳固工作，采取相应的保护措施，防止造</w:t>
            </w:r>
            <w:r>
              <w:rPr>
                <w:rFonts w:hint="eastAsia" w:ascii="宋体" w:hAnsi="宋体" w:cs="宋体"/>
                <w:color w:val="auto"/>
                <w:szCs w:val="21"/>
                <w:highlight w:val="none"/>
                <w:lang w:eastAsia="zh-CN"/>
              </w:rPr>
              <w:t>成重</w:t>
            </w:r>
            <w:r>
              <w:rPr>
                <w:rFonts w:hint="eastAsia" w:ascii="宋体" w:hAnsi="宋体" w:cs="宋体"/>
                <w:color w:val="auto"/>
                <w:szCs w:val="21"/>
                <w:highlight w:val="none"/>
              </w:rPr>
              <w:t>大损失。</w:t>
            </w:r>
          </w:p>
        </w:tc>
        <w:tc>
          <w:tcPr>
            <w:tcW w:w="4116" w:type="dxa"/>
            <w:tcBorders>
              <w:tl2br w:val="nil"/>
              <w:tr2bl w:val="nil"/>
            </w:tcBorders>
            <w:shd w:val="clear" w:color="auto" w:fill="FFFFFF"/>
            <w:vAlign w:val="center"/>
          </w:tcPr>
          <w:p w14:paraId="3DCACA4F">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cs="宋体"/>
                <w:color w:val="auto"/>
                <w:szCs w:val="21"/>
                <w:highlight w:val="none"/>
                <w:lang w:val="en-US" w:eastAsia="zh-CN"/>
              </w:rPr>
              <w:t>身体健康，</w:t>
            </w:r>
            <w:r>
              <w:rPr>
                <w:rFonts w:hint="eastAsia" w:ascii="宋体" w:hAnsi="宋体" w:cs="宋体"/>
                <w:color w:val="auto"/>
                <w:szCs w:val="21"/>
                <w:highlight w:val="none"/>
              </w:rPr>
              <w:t>有一定的绿化养护经验，熟练使用绿化相关小型工具</w:t>
            </w:r>
            <w:r>
              <w:rPr>
                <w:rFonts w:hint="eastAsia" w:ascii="宋体" w:hAnsi="宋体" w:cs="宋体"/>
                <w:b/>
                <w:bCs/>
                <w:color w:val="auto"/>
                <w:szCs w:val="21"/>
                <w:highlight w:val="none"/>
              </w:rPr>
              <w:t>。</w:t>
            </w:r>
          </w:p>
          <w:p w14:paraId="59958AE1">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工作时间：7：30-16：30。具体根据工作安排适时调整，但须报招标人同意后方能执行。如遇重大活动、国检迎检、突发自然灾害和突发事件等情况，工作时间按招标人要求执行。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0281BA39">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6FB6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34890565">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21E98FCC">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宿管主管</w:t>
            </w:r>
          </w:p>
        </w:tc>
        <w:tc>
          <w:tcPr>
            <w:tcW w:w="645" w:type="dxa"/>
            <w:tcBorders>
              <w:tl2br w:val="nil"/>
              <w:tr2bl w:val="nil"/>
            </w:tcBorders>
            <w:shd w:val="clear" w:color="auto" w:fill="FFFFFF"/>
            <w:vAlign w:val="center"/>
          </w:tcPr>
          <w:p w14:paraId="122AF897">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6416FB29">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负责对学生宿舍的日常管理工作，对宿舍管理员的组织、协调、管理、监督、考核等工作，按规定定期或不定期向物业公司和服务单位（主管部门）汇报工作和反馈有关情况。</w:t>
            </w:r>
          </w:p>
        </w:tc>
        <w:tc>
          <w:tcPr>
            <w:tcW w:w="4116" w:type="dxa"/>
            <w:tcBorders>
              <w:tl2br w:val="nil"/>
              <w:tr2bl w:val="nil"/>
            </w:tcBorders>
            <w:shd w:val="clear" w:color="auto" w:fill="FFFFFF"/>
            <w:vAlign w:val="center"/>
          </w:tcPr>
          <w:p w14:paraId="0DF27500">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cs="宋体"/>
                <w:color w:val="auto"/>
                <w:szCs w:val="21"/>
                <w:highlight w:val="none"/>
                <w:lang w:val="en-US" w:eastAsia="zh-CN"/>
              </w:rPr>
              <w:t>身体健康，</w:t>
            </w:r>
            <w:r>
              <w:rPr>
                <w:rFonts w:hint="eastAsia" w:ascii="宋体" w:hAnsi="宋体" w:cs="宋体"/>
                <w:color w:val="auto"/>
                <w:szCs w:val="21"/>
                <w:highlight w:val="none"/>
              </w:rPr>
              <w:t>具有大专（含）以上学历</w:t>
            </w:r>
            <w:r>
              <w:rPr>
                <w:rFonts w:hint="eastAsia" w:ascii="宋体" w:hAnsi="宋体" w:cs="宋体"/>
                <w:b/>
                <w:bCs/>
                <w:color w:val="auto"/>
                <w:szCs w:val="21"/>
                <w:highlight w:val="none"/>
              </w:rPr>
              <w:t>（须提供学历证明复印件及身份证复印件并加盖投标人公章，否则按无效投标处理）</w:t>
            </w:r>
            <w:r>
              <w:rPr>
                <w:rFonts w:hint="eastAsia" w:ascii="宋体" w:hAnsi="宋体" w:cs="宋体"/>
                <w:color w:val="auto"/>
                <w:szCs w:val="21"/>
                <w:highlight w:val="none"/>
              </w:rPr>
              <w:t>，具有一定消防安全知识技能学习经验，熟悉学生思想教育工作。遵纪守法，作风正派，身体健康，服务意识较强</w:t>
            </w:r>
            <w:r>
              <w:rPr>
                <w:rFonts w:hint="eastAsia" w:ascii="宋体" w:hAnsi="宋体" w:cs="宋体"/>
                <w:color w:val="auto"/>
                <w:szCs w:val="21"/>
                <w:highlight w:val="none"/>
                <w:lang w:eastAsia="zh-CN"/>
              </w:rPr>
              <w:t>，具</w:t>
            </w:r>
            <w:r>
              <w:rPr>
                <w:rFonts w:hint="eastAsia" w:ascii="宋体" w:hAnsi="宋体" w:cs="宋体"/>
                <w:color w:val="auto"/>
                <w:szCs w:val="21"/>
                <w:highlight w:val="none"/>
              </w:rPr>
              <w:t>有奉献精神，掌握相关安全知识和技能。提供相关证明材料、无犯罪记录证明。</w:t>
            </w:r>
          </w:p>
          <w:p w14:paraId="1E95CF0B">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784DB8B1">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15A11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58B849A9">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000D97B7">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宿管员</w:t>
            </w:r>
          </w:p>
        </w:tc>
        <w:tc>
          <w:tcPr>
            <w:tcW w:w="645" w:type="dxa"/>
            <w:tcBorders>
              <w:tl2br w:val="nil"/>
              <w:tr2bl w:val="nil"/>
            </w:tcBorders>
            <w:shd w:val="clear" w:color="auto" w:fill="FFFFFF"/>
            <w:vAlign w:val="center"/>
          </w:tcPr>
          <w:p w14:paraId="0C572500">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20</w:t>
            </w:r>
          </w:p>
        </w:tc>
        <w:tc>
          <w:tcPr>
            <w:tcW w:w="2820" w:type="dxa"/>
            <w:tcBorders>
              <w:tl2br w:val="nil"/>
              <w:tr2bl w:val="nil"/>
            </w:tcBorders>
            <w:shd w:val="clear" w:color="auto" w:fill="FFFFFF"/>
            <w:vAlign w:val="center"/>
          </w:tcPr>
          <w:p w14:paraId="4FDE8FC3">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负责宿舍区卫生、纪律、安全巡视，做好学生宿舍安全防范和防火、防盗等宣传教育工作，及时纠正、记录违规违纪现象，向领导及有关部门报告当班期间的紧急、重大、可疑情况。</w:t>
            </w:r>
          </w:p>
        </w:tc>
        <w:tc>
          <w:tcPr>
            <w:tcW w:w="4116" w:type="dxa"/>
            <w:tcBorders>
              <w:tl2br w:val="nil"/>
              <w:tr2bl w:val="nil"/>
            </w:tcBorders>
            <w:shd w:val="clear" w:color="auto" w:fill="FFFFFF"/>
            <w:vAlign w:val="center"/>
          </w:tcPr>
          <w:p w14:paraId="079F89E0">
            <w:pPr>
              <w:keepNext w:val="0"/>
              <w:keepLines w:val="0"/>
              <w:pageBreakBefore w:val="0"/>
              <w:widowControl/>
              <w:kinsoku/>
              <w:wordWrap/>
              <w:overflowPunct/>
              <w:topLinePunct w:val="0"/>
              <w:autoSpaceDE/>
              <w:autoSpaceDN/>
              <w:bidi w:val="0"/>
              <w:adjustRightInd/>
              <w:snapToGrid/>
              <w:spacing w:line="360" w:lineRule="exact"/>
              <w:ind w:firstLine="440" w:firstLineChars="200"/>
              <w:jc w:val="both"/>
              <w:rPr>
                <w:rFonts w:hint="eastAsia"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身体健康，可根据宿舍要求配备男性或女性管理员。</w:t>
            </w:r>
          </w:p>
          <w:p w14:paraId="1053E979">
            <w:pPr>
              <w:keepNext w:val="0"/>
              <w:keepLines w:val="0"/>
              <w:pageBreakBefore w:val="0"/>
              <w:widowControl/>
              <w:kinsoku/>
              <w:wordWrap/>
              <w:overflowPunct/>
              <w:topLinePunct w:val="0"/>
              <w:autoSpaceDE/>
              <w:autoSpaceDN/>
              <w:bidi w:val="0"/>
              <w:adjustRightInd/>
              <w:snapToGrid/>
              <w:spacing w:line="360" w:lineRule="exact"/>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工作时间：24小时值班，具体根据工作安排适时调整，但须报招标人同意后方能执行。如遇重大活动、国检迎检、暴风雨极端天气和突发事件等情况，工作时间按招标人要求执行。</w:t>
            </w:r>
          </w:p>
        </w:tc>
        <w:tc>
          <w:tcPr>
            <w:tcW w:w="674" w:type="dxa"/>
            <w:tcBorders>
              <w:tl2br w:val="nil"/>
              <w:tr2bl w:val="nil"/>
            </w:tcBorders>
            <w:shd w:val="clear" w:color="auto" w:fill="FFFFFF"/>
            <w:vAlign w:val="center"/>
          </w:tcPr>
          <w:p w14:paraId="7536FB25">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036E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1599" w:type="dxa"/>
            <w:gridSpan w:val="2"/>
            <w:tcBorders>
              <w:tl2br w:val="nil"/>
              <w:tr2bl w:val="nil"/>
            </w:tcBorders>
            <w:shd w:val="clear" w:color="auto" w:fill="FFFFFF"/>
            <w:vAlign w:val="center"/>
          </w:tcPr>
          <w:p w14:paraId="6665358D">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合计</w:t>
            </w:r>
          </w:p>
        </w:tc>
        <w:tc>
          <w:tcPr>
            <w:tcW w:w="645" w:type="dxa"/>
            <w:tcBorders>
              <w:tl2br w:val="nil"/>
              <w:tr2bl w:val="nil"/>
            </w:tcBorders>
            <w:shd w:val="clear" w:color="auto" w:fill="FFFFFF"/>
            <w:vAlign w:val="center"/>
          </w:tcPr>
          <w:p w14:paraId="7E68E998">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49人</w:t>
            </w:r>
          </w:p>
        </w:tc>
        <w:tc>
          <w:tcPr>
            <w:tcW w:w="2820" w:type="dxa"/>
            <w:tcBorders>
              <w:tl2br w:val="nil"/>
              <w:tr2bl w:val="nil"/>
            </w:tcBorders>
            <w:shd w:val="clear" w:color="auto" w:fill="FFFFFF"/>
            <w:vAlign w:val="center"/>
          </w:tcPr>
          <w:p w14:paraId="5CED33CA">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所有人员必须是投标人在职人员，不允许在本项目以外进行兼职，岗位之间也不允许兼任，必须满足服务工作的需要。</w:t>
            </w:r>
          </w:p>
        </w:tc>
        <w:tc>
          <w:tcPr>
            <w:tcW w:w="4116" w:type="dxa"/>
            <w:tcBorders>
              <w:tl2br w:val="nil"/>
              <w:tr2bl w:val="nil"/>
            </w:tcBorders>
            <w:shd w:val="clear" w:color="auto" w:fill="FFFFFF"/>
            <w:vAlign w:val="center"/>
          </w:tcPr>
          <w:p w14:paraId="1AFC0F8D">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所有须提供证书人员盖投标人公章。</w:t>
            </w:r>
          </w:p>
        </w:tc>
        <w:tc>
          <w:tcPr>
            <w:tcW w:w="674" w:type="dxa"/>
            <w:tcBorders>
              <w:tl2br w:val="nil"/>
              <w:tr2bl w:val="nil"/>
            </w:tcBorders>
            <w:shd w:val="clear" w:color="auto" w:fill="FFFFFF"/>
            <w:vAlign w:val="center"/>
          </w:tcPr>
          <w:p w14:paraId="2D210F96">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szCs w:val="21"/>
                <w:highlight w:val="none"/>
              </w:rPr>
            </w:pPr>
          </w:p>
        </w:tc>
      </w:tr>
    </w:tbl>
    <w:p w14:paraId="0E502911">
      <w:pPr>
        <w:pStyle w:val="26"/>
        <w:keepNext w:val="0"/>
        <w:keepLines w:val="0"/>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cs="宋体"/>
        </w:rPr>
      </w:pPr>
      <w:r>
        <w:rPr>
          <w:rFonts w:hint="eastAsia" w:ascii="宋体" w:hAnsi="宋体" w:cs="宋体"/>
        </w:rPr>
        <w:t>以上配备 49 人，投标人在投标时需提供人员配备方案。人员要求：供应商根据采购人需求合理配备各类服务人员，承诺所录用人员身体健康、无传染性疾病、无心理及精神性疾病、无刑事违法或处分犯罪记录，要求专业人员持证上岗的有上岗资格证。供应商各类管理服务人员按岗位统一着装，言行规范，文明礼貌。严格遵守学校作息时间，按照学校招标要求时间上下班。</w:t>
      </w:r>
    </w:p>
    <w:p w14:paraId="6FF78B3E">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outlineLvl w:val="1"/>
        <w:rPr>
          <w:rFonts w:ascii="宋体" w:hAnsi="宋体" w:cs="宋体"/>
          <w:b/>
          <w:bCs/>
          <w:sz w:val="24"/>
        </w:rPr>
      </w:pPr>
      <w:r>
        <w:rPr>
          <w:rFonts w:hint="eastAsia" w:ascii="宋体" w:hAnsi="宋体" w:cs="宋体"/>
          <w:b/>
          <w:bCs/>
          <w:sz w:val="24"/>
        </w:rPr>
        <w:t>（二）项目管理服务主要内容及要求</w:t>
      </w:r>
    </w:p>
    <w:p w14:paraId="0DD55423">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outlineLvl w:val="1"/>
        <w:rPr>
          <w:rFonts w:ascii="宋体" w:hAnsi="宋体" w:cs="宋体"/>
          <w:b/>
          <w:sz w:val="24"/>
        </w:rPr>
      </w:pPr>
      <w:r>
        <w:rPr>
          <w:rFonts w:hint="eastAsia" w:ascii="宋体" w:hAnsi="宋体" w:cs="宋体"/>
          <w:b/>
          <w:sz w:val="24"/>
        </w:rPr>
        <w:t>1.学校环境卫生管理及勤杂工作</w:t>
      </w:r>
    </w:p>
    <w:p w14:paraId="626D214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（1）人员要求：</w:t>
      </w:r>
    </w:p>
    <w:p w14:paraId="33AB5427">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①从业人员以中青年为主，身体健康，工作认真负责并定期接受培训。</w:t>
      </w:r>
    </w:p>
    <w:p w14:paraId="4F19BF3B">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②上岗时佩戴统一标志，按需求穿戴统一制服，仪容仪表规范整齐。</w:t>
      </w:r>
    </w:p>
    <w:p w14:paraId="615ADB8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③文明工作，训练有素，言语规范，认真负责，不拿教师和学生物品，工作时间未经学校允许不进学生教室收集可回收物品。</w:t>
      </w:r>
    </w:p>
    <w:p w14:paraId="627CB56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2）服务内容：学校的楼梯、大厅、走廊、天台、卫生间、公共活动场所、体育运动场地、楼宇外墙等所有公共部位，学校内的道路、停车场（库）等所有公共场地和“门前三包”区域的日常保洁保养以及垃圾、废弃物清理等。</w:t>
      </w:r>
    </w:p>
    <w:p w14:paraId="095BA909">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（3）服务质量标准：</w:t>
      </w:r>
    </w:p>
    <w:p w14:paraId="5CF2008F">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①学校的通道地面和墙面、休息区域（桌椅）、楼梯、扶手、大厅、玻璃、走廊、天台做到无垃圾、无积灰、无污渍、无手印、无虫网等，每日清扫和擦拭保养，巡回保洁。</w:t>
      </w:r>
    </w:p>
    <w:p w14:paraId="3DDA8F94">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②学校的卫生间、开水间、水器及设备保持清洁，无污迹、无积水、无积尘、无异味、无漏滴水、无堆积杂物、无乱张贴物；电器按时开关，保证安全。做到每日清扫和擦拭保养，巡回保洁，特别是教学楼卫生间必须做到每天保洁五次以上（早上、大课间、中午、下午、晚上等），保持地面清洁、干燥、无异味。</w:t>
      </w:r>
    </w:p>
    <w:p w14:paraId="1288F431">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③学校的道路和停车场及所有公共区域的地面，墙面无有色垃圾和建筑垃圾、无堆积杂物、无积灰、无积水和淤泥、无阻塞、无虫网等。做到每日清扫两次，巡回保洁。</w:t>
      </w:r>
    </w:p>
    <w:p w14:paraId="28105CFA">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④垃圾、废弃物做到日产日清；化粪池、化油池及时清掏，保持常年干净、清洁，无积水、无异味。</w:t>
      </w:r>
    </w:p>
    <w:p w14:paraId="2D14297B">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⑤室内具体要求：（除食堂操作间以外，各幢楼层的公共区域及其他特别注明的房间）</w:t>
      </w:r>
    </w:p>
    <w:p w14:paraId="152F589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A.楼道地面：每日至少拖洗一次，巡回保洁，无积灰、污迹、垃圾，每季地面保养不少于一次。</w:t>
      </w:r>
    </w:p>
    <w:p w14:paraId="745CE7D7">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B.大厅地面、教学楼平台花坛：每日至少清扫一次，巡回保洁，无灰尘、污迹、垃圾。</w:t>
      </w:r>
    </w:p>
    <w:p w14:paraId="0D66C37C">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C.开关盒、表箱盖：2米以下每日擦抹一次；2米以上每周一次，无灰尘、污迹。</w:t>
      </w:r>
    </w:p>
    <w:p w14:paraId="285BFDD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D.大厅墙面：2米以下每日擦抹一次；2米以上每周擦拭一次。</w:t>
      </w:r>
    </w:p>
    <w:p w14:paraId="6E343D90">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E.扶手、房间门：每日擦抹一次，无灰尘、污迹。</w:t>
      </w:r>
    </w:p>
    <w:p w14:paraId="122ED09F">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F.天花板、公共楼道灯、单元厅吊灯：每月除尘一次，无明显积灰、虫网。</w:t>
      </w:r>
    </w:p>
    <w:p w14:paraId="511B1C54">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G.进户门：每三天擦抹一次，无明显积灰、污迹。</w:t>
      </w:r>
    </w:p>
    <w:p w14:paraId="3101C209">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H.楼道玻璃：每周清洁一次，无明显积灰、污迹、保证玻璃光亮等。</w:t>
      </w:r>
    </w:p>
    <w:p w14:paraId="78511D89">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I.公共卫生间：每天第一次清洁工作必须在上班前做好，并且做到随脏随清，保持地面清洁、无杂物、无迹水、无毛发、无异味、门应干净、无划痕，把手要保持光亮、干净；便池蹲坑无污迹；墙面四周及阴角做到无水迹、无蜘蛛网；地面无脚印，无杂物；镜子及金属部分：应保持干净，无浮尘、污渍、手印、水迹、无锈斑；天花板上无污渍、无漏水或有小水泡等现象，保持干净、清洁，完好无损；空气要保持新鲜，通风设备要清洁，确保运作正常；配备洗手液，每日检查，发现用完及时补充。玻璃、瓷砖：2米以下每日擦抹一次；2米以上每周清洁一次，无明显积灰、水渍；废纸瘘每天及时清空，下水道要畅通。</w:t>
      </w:r>
    </w:p>
    <w:p w14:paraId="1223AE10">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J.学校会议室、报告厅、接待室、合班教室：每周打扫不少于一次，视使用情况增加清扫、拖洗次数，做到无积灰、污迹、垃圾。</w:t>
      </w:r>
    </w:p>
    <w:p w14:paraId="52B3F6D9">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K.专用房间每周清扫不少于２次、拖地不少于1次，确保室内无积灰、污迹、垃圾；每学期安排一次比较彻底的大清洁，做到玻璃清洁，窗台无积灰，电风扇等设备无积灰。</w:t>
      </w:r>
    </w:p>
    <w:p w14:paraId="57C523D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L.图书馆阅览室、教师阅览室，每天清扫、拖地不少于１次，确保室内无积灰、污迹、垃圾。</w:t>
      </w:r>
    </w:p>
    <w:p w14:paraId="4D165944">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M.学生教室、寝室：教室、寝室内部每天的卫生由学生自己负责，每年寒、暑假期间根据校方安排进行消毒，地面、墙面二次大清洁，做到玻璃清洁，窗台无积灰，电风扇、电灯等设备无积灰。</w:t>
      </w:r>
    </w:p>
    <w:p w14:paraId="03337763">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⑥室外具体要求</w:t>
      </w:r>
    </w:p>
    <w:p w14:paraId="20C830FE">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A.道路地面、绿地：每日清扫二次以上并巡回保洁，无明显暴露垃圾、卫生死角。</w:t>
      </w:r>
    </w:p>
    <w:p w14:paraId="7CA32CE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B.栏杆：每天擦抹一次，无积尘、积水。</w:t>
      </w:r>
    </w:p>
    <w:p w14:paraId="49920434">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C.宣传栏、标识、电话亭：每半月清洗一次，无积灰、污迹、虫网。</w:t>
      </w:r>
    </w:p>
    <w:p w14:paraId="25856643">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D.高杆灯2米以下部分、低杆灯、草坪灯、景观灯罩：每月清洁一次，无虫、无明显积尘。</w:t>
      </w:r>
    </w:p>
    <w:p w14:paraId="3CC59A0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E.果皮箱、垃圾桶：每日清洁二次，擦拭一次，周边地面无散落垃圾、明显污迹、异味。</w:t>
      </w:r>
    </w:p>
    <w:p w14:paraId="1B53B302">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F.花坛：每天擦抹一次，无积灰、无污迹。</w:t>
      </w:r>
    </w:p>
    <w:p w14:paraId="7DFF2A3C">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G.运动场：每日清扫二次，并巡回保洁，无明显暴露垃圾、卫生死角。</w:t>
      </w:r>
    </w:p>
    <w:p w14:paraId="7B209B3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H.垃圾房：每天冲洗一次，无异味、无污迹。</w:t>
      </w:r>
    </w:p>
    <w:p w14:paraId="2F674F23">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I.围墙：每季度擦拭一次，目视无积灰、无虫网。</w:t>
      </w:r>
    </w:p>
    <w:p w14:paraId="5B91723E">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J.前后校门：每日擦拭一次，无灰尘、无污迹。</w:t>
      </w:r>
    </w:p>
    <w:p w14:paraId="1EE49BA7">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K.窨井（含集水井）：每半年清理一次内壁无粘附物、井底无沉淀物。</w:t>
      </w:r>
    </w:p>
    <w:p w14:paraId="1CFB53C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L.明沟：每周清扫一次，无明显垃圾，无堵塞。</w:t>
      </w:r>
    </w:p>
    <w:p w14:paraId="375ED60F">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（4）其他</w:t>
      </w:r>
    </w:p>
    <w:p w14:paraId="41C2536B">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①停车地面：每日清扫一次，巡回保洁。</w:t>
      </w:r>
    </w:p>
    <w:p w14:paraId="0F3982BE">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②室内裸露风管等管架：每季擦拭一次，目视无积灰。</w:t>
      </w:r>
    </w:p>
    <w:p w14:paraId="398BE1A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③密闭门、消防通道门等：每日掸尘一次，每周擦拭一次，目视无积灰。</w:t>
      </w:r>
    </w:p>
    <w:p w14:paraId="1AA8D748">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④根据实际需要，随时增加保洁力量，如秋季落叶较多时。</w:t>
      </w:r>
    </w:p>
    <w:p w14:paraId="17C09E08">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⑤每年暑假期间由中标人对学校教室、办公室的窗帘进行一次清洗工作（包括拆卸和安装）。</w:t>
      </w:r>
    </w:p>
    <w:p w14:paraId="3C64752B">
      <w:pPr>
        <w:keepNext w:val="0"/>
        <w:keepLines w:val="0"/>
        <w:pageBreakBefore w:val="0"/>
        <w:widowControl w:val="0"/>
        <w:kinsoku/>
        <w:wordWrap/>
        <w:overflowPunct/>
        <w:topLinePunct w:val="0"/>
        <w:autoSpaceDE/>
        <w:autoSpaceDN/>
        <w:bidi w:val="0"/>
        <w:snapToGrid/>
        <w:spacing w:line="380" w:lineRule="exact"/>
        <w:ind w:firstLine="482" w:firstLineChars="200"/>
        <w:textAlignment w:val="auto"/>
        <w:outlineLvl w:val="2"/>
        <w:rPr>
          <w:rFonts w:ascii="宋体" w:hAnsi="宋体" w:cs="宋体"/>
          <w:b/>
          <w:sz w:val="24"/>
        </w:rPr>
      </w:pPr>
      <w:r>
        <w:rPr>
          <w:rFonts w:hint="eastAsia" w:ascii="宋体" w:hAnsi="宋体" w:cs="宋体"/>
          <w:b/>
          <w:sz w:val="24"/>
        </w:rPr>
        <w:t>2.项目范围内的绿化（含水系）的管理、修剪及养护</w:t>
      </w:r>
    </w:p>
    <w:p w14:paraId="48259DB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（1）绿化人员要求</w:t>
      </w:r>
    </w:p>
    <w:p w14:paraId="29E2910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
          <w:szCs w:val="21"/>
          <w:highlight w:val="none"/>
        </w:rPr>
      </w:pPr>
      <w:r>
        <w:rPr>
          <w:rFonts w:hint="eastAsia" w:ascii="宋体" w:hAnsi="宋体" w:cs="宋体"/>
          <w:szCs w:val="21"/>
          <w:highlight w:val="none"/>
        </w:rPr>
        <w:t>①专业人员以中年为主，身体健康，工作认真负责并定期接受培训</w:t>
      </w:r>
      <w:r>
        <w:rPr>
          <w:rFonts w:hint="eastAsia" w:ascii="宋体" w:hAnsi="宋体" w:cs="宋体"/>
          <w:b/>
          <w:szCs w:val="21"/>
          <w:highlight w:val="none"/>
        </w:rPr>
        <w:t>。</w:t>
      </w:r>
    </w:p>
    <w:p w14:paraId="378FD7B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②上岗时佩戴统一标志，按需求穿戴统一制服，仪容仪表规范整齐。</w:t>
      </w:r>
    </w:p>
    <w:p w14:paraId="12A1C40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③文明工作，训练有素，言语规范，认真负责。</w:t>
      </w:r>
    </w:p>
    <w:p w14:paraId="2AAE8CC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④遵守学校的作息时间，按时上下班。</w:t>
      </w:r>
    </w:p>
    <w:p w14:paraId="4B6ED622">
      <w:pPr>
        <w:keepNext w:val="0"/>
        <w:keepLines w:val="0"/>
        <w:pageBreakBefore w:val="0"/>
        <w:widowControl w:val="0"/>
        <w:kinsoku/>
        <w:wordWrap/>
        <w:overflowPunct/>
        <w:topLinePunct w:val="0"/>
        <w:autoSpaceDE/>
        <w:autoSpaceDN/>
        <w:bidi w:val="0"/>
        <w:snapToGrid/>
        <w:spacing w:line="380" w:lineRule="exact"/>
        <w:ind w:firstLine="409" w:firstLineChars="195"/>
        <w:textAlignment w:val="auto"/>
        <w:rPr>
          <w:rFonts w:ascii="宋体" w:hAnsi="宋体" w:cs="宋体"/>
          <w:szCs w:val="21"/>
        </w:rPr>
      </w:pPr>
      <w:r>
        <w:rPr>
          <w:rFonts w:hint="eastAsia" w:ascii="宋体" w:hAnsi="宋体" w:cs="宋体"/>
          <w:szCs w:val="21"/>
        </w:rPr>
        <w:t>（2）绿化管理的总则</w:t>
      </w:r>
    </w:p>
    <w:p w14:paraId="145D995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①服务内容：学校树木、花草、色块、水系（含观赏动物）等的日常养护和管理，学校绿地的养护及卫生管理、室内外摆花和会议摆花及盆栽绿色植物的摆放和养护等。</w:t>
      </w:r>
    </w:p>
    <w:p w14:paraId="74079F5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②服务质量标准：</w:t>
      </w:r>
    </w:p>
    <w:p w14:paraId="21158CB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A.草坪。夏季高温时做好草坪防晒降温工作，保持常年翠绿，无杂草、无干枯坏死和病虫侵害，长势旺盛。</w:t>
      </w:r>
    </w:p>
    <w:p w14:paraId="3457FF7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B.树木和色块。植株修剪及时，做到枝叶紧密、圆整，无脱节、无枯枝。及时防治、灭治病虫害，主要病虫害发生率低于5％，无倾斜、缺枝、空档，无坏死。</w:t>
      </w:r>
    </w:p>
    <w:p w14:paraId="3585C3E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C.花坛和花景。及时清除枯萎的花蒂、黄叶、杂草、垃圾，做好病虫害防治。花坛和花景做到造型新颖、色彩鲜艳、植物长势好。</w:t>
      </w:r>
    </w:p>
    <w:p w14:paraId="6A99CAF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D.学校大门及门庭花卉摆放，保持常年鲜艳，重大节日花卉摆放应体现节日气氛，时花摆放时令及时，大盆花卉美观大气。</w:t>
      </w:r>
    </w:p>
    <w:p w14:paraId="14EB58F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E.台风季节、雨雪天要有应急措施，及时处理隐患，防止树枝掉落、倒树造成人生财产的损害。</w:t>
      </w:r>
    </w:p>
    <w:p w14:paraId="0E24D3D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（3）绿化管理的具体要求</w:t>
      </w:r>
    </w:p>
    <w:p w14:paraId="7F4B580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①负责校园内的所有花草树木的养护，达到防城港市或自治区校园绿化养护标准，符合《防城港市城区绿地养护质量标准》和《防城港市城市绿化养护管理综合考核评分细则》要求。</w:t>
      </w:r>
    </w:p>
    <w:p w14:paraId="0813997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②负责校园绿化内的保洁工作，做到无落叶，无枯枝，无垃圾。</w:t>
      </w:r>
    </w:p>
    <w:p w14:paraId="093B5F4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③负责提供学校举行重大节假日所需的绿植花卉盆景并按要求摆放、养护好。</w:t>
      </w:r>
    </w:p>
    <w:p w14:paraId="31A9CFD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④盆栽植物的养护（包括餐厅、办公室、会议室、学生宿舍、校大门、图书馆、实验楼、教学楼等）。</w:t>
      </w:r>
    </w:p>
    <w:p w14:paraId="7B2B5E07">
      <w:pPr>
        <w:keepNext w:val="0"/>
        <w:keepLines w:val="0"/>
        <w:pageBreakBefore w:val="0"/>
        <w:widowControl w:val="0"/>
        <w:kinsoku/>
        <w:wordWrap/>
        <w:overflowPunct/>
        <w:topLinePunct w:val="0"/>
        <w:autoSpaceDE/>
        <w:autoSpaceDN/>
        <w:bidi w:val="0"/>
        <w:snapToGrid/>
        <w:spacing w:line="380" w:lineRule="exact"/>
        <w:ind w:firstLine="482" w:firstLineChars="200"/>
        <w:textAlignment w:val="auto"/>
        <w:outlineLvl w:val="2"/>
        <w:rPr>
          <w:rFonts w:ascii="宋体" w:hAnsi="宋体" w:cs="宋体"/>
          <w:b/>
          <w:sz w:val="24"/>
        </w:rPr>
      </w:pPr>
      <w:r>
        <w:rPr>
          <w:rFonts w:hint="eastAsia" w:ascii="宋体" w:hAnsi="宋体" w:cs="宋体"/>
          <w:b/>
          <w:sz w:val="24"/>
        </w:rPr>
        <w:t>3.项目范围内的设备设施维护</w:t>
      </w:r>
    </w:p>
    <w:p w14:paraId="6CB064A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（1）工程人员要求</w:t>
      </w:r>
    </w:p>
    <w:p w14:paraId="25BDFD0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①专业人员以中青年为主，身体健康，持证上岗，工作认真负责并定期接受培训。</w:t>
      </w:r>
    </w:p>
    <w:p w14:paraId="337224F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②工程人员须获得电工等相关行业技术上岗证书。</w:t>
      </w:r>
    </w:p>
    <w:p w14:paraId="5AD31A1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③工作责任心强，业务能力强等。</w:t>
      </w:r>
    </w:p>
    <w:p w14:paraId="36F1F502">
      <w:pPr>
        <w:keepNext w:val="0"/>
        <w:keepLines w:val="0"/>
        <w:pageBreakBefore w:val="0"/>
        <w:widowControl w:val="0"/>
        <w:kinsoku/>
        <w:wordWrap/>
        <w:overflowPunct/>
        <w:topLinePunct w:val="0"/>
        <w:autoSpaceDE/>
        <w:autoSpaceDN/>
        <w:bidi w:val="0"/>
        <w:snapToGrid/>
        <w:spacing w:line="380" w:lineRule="exact"/>
        <w:ind w:firstLine="411" w:firstLineChars="196"/>
        <w:textAlignment w:val="auto"/>
        <w:rPr>
          <w:rFonts w:ascii="宋体" w:hAnsi="宋体" w:cs="宋体"/>
          <w:bCs/>
          <w:szCs w:val="21"/>
        </w:rPr>
      </w:pPr>
      <w:r>
        <w:rPr>
          <w:rFonts w:hint="eastAsia" w:ascii="宋体" w:hAnsi="宋体" w:cs="宋体"/>
          <w:bCs/>
          <w:szCs w:val="21"/>
        </w:rPr>
        <w:t>（2）弱电系统、消防系统维护</w:t>
      </w:r>
    </w:p>
    <w:p w14:paraId="50906C2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①弱电系统</w:t>
      </w:r>
    </w:p>
    <w:p w14:paraId="0468033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A.监控系统：保证24小时运行正常，能清楚显示出入人员的面部特征和车辆的车牌号，录像功能正常，每季调试保养，出现故障及时联系维修部门。</w:t>
      </w:r>
    </w:p>
    <w:p w14:paraId="17343D0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B.红外报警安防系统：每周检查，24小时设防正常运行，每季调试保养。</w:t>
      </w:r>
    </w:p>
    <w:p w14:paraId="55CFE59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C.电子巡更：每周检查，确保正常运行，保持巡查时间、地点、人员和顺序等数据的显示、归档、查询和打印等功能正常；每季调试保养不少于一次。</w:t>
      </w:r>
    </w:p>
    <w:p w14:paraId="05CCB93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D.广播系统：全校广播设备的维护，保证正常使用。负责学校各种集会、广播操等活动的广播使用。</w:t>
      </w:r>
    </w:p>
    <w:p w14:paraId="24FB44B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E.电话机的保养和维修，线路故障及时报电信部门。</w:t>
      </w:r>
    </w:p>
    <w:p w14:paraId="293EAD4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F.监控系统的维修保养通过专业公司负责，出现故障能在24小时内修复。</w:t>
      </w:r>
    </w:p>
    <w:p w14:paraId="5109906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②消防系统</w:t>
      </w:r>
    </w:p>
    <w:p w14:paraId="7B385E1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A.消防泵：启动检查每月一次并记录，运行正常，设施完好、无渗漏；一级保养，每年一次。</w:t>
      </w:r>
    </w:p>
    <w:p w14:paraId="1861E1C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B.消防栓：每月巡查一次，消防栓箱内各种配件完好。每年保养一次，表面无生锈现象，颜色一致；阀杆每半年加注润滑油，启动灵活运行正常，每半年放水检查。</w:t>
      </w:r>
    </w:p>
    <w:p w14:paraId="06FD551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C.火警、报警功能：功能正常。</w:t>
      </w:r>
    </w:p>
    <w:p w14:paraId="2DE429D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D.探测器控制装置：每年一次试验，保证功能正常。</w:t>
      </w:r>
    </w:p>
    <w:p w14:paraId="11D134F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E.火灾探测器：每年一次试验，完好无损，运行正常，出现问题及时清洗或更换。</w:t>
      </w:r>
    </w:p>
    <w:p w14:paraId="0DD730F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F.消防水带：每半年检查一次完好无缺，无霉变。</w:t>
      </w:r>
    </w:p>
    <w:p w14:paraId="0A770E8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G.灭火器：平时检查及时，每年必须全面检查２次以上，发现问题及时进行整改。</w:t>
      </w:r>
    </w:p>
    <w:p w14:paraId="1C0BA7D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H.消防喷淋：每年保养一次，管道表面无生锈现象，颜色一致。</w:t>
      </w:r>
    </w:p>
    <w:p w14:paraId="464BD7D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I.消防仪表：每周巡查，压力正常。</w:t>
      </w:r>
    </w:p>
    <w:p w14:paraId="562EF6B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J.风机房内设备设施：每年一次全面保养，设备正常运行，无损坏现象，表面无积尘，并做好记录。</w:t>
      </w:r>
    </w:p>
    <w:p w14:paraId="39F1721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K.保证监控系统、灯光系统、消防系统、背景音乐系统运行正常，各系统工作稳定；一般性故障立即排除，维修合格率100%，暂时不能处理的需4小时内通知有关部门采取应急措施，应急措施得当有效；定期进行消防普查；设备机房整洁；保证设备机房的安全。</w:t>
      </w:r>
    </w:p>
    <w:p w14:paraId="70D54E9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L.全校灭火器更新或充粉加压等人工费用、材料费由中标人包干。</w:t>
      </w:r>
    </w:p>
    <w:p w14:paraId="61921C0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M.若有设施失灵和损坏，应及时修复和更换，根据实情，绘制消防、监控设施的平面位置，以便发生情况及时到位和检查。</w:t>
      </w:r>
    </w:p>
    <w:p w14:paraId="7D2246D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（3）给排水设备运行维护</w:t>
      </w:r>
    </w:p>
    <w:p w14:paraId="762472E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①给排水设备运行维护的总则</w:t>
      </w:r>
    </w:p>
    <w:p w14:paraId="691AC8A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服务内容：对学校室内外给排水系统的设备、设施，如水泵、水箱、气压给水装置、水处理设备、消火栓、管道、管件、阀门、水嘴、卫生洁具、排水管、透气管、水封设备、室外排水管及附属构筑物等进行日常养护维修，保持正常运行。</w:t>
      </w:r>
    </w:p>
    <w:p w14:paraId="637B754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B.服务质量标准：</w:t>
      </w:r>
    </w:p>
    <w:p w14:paraId="0A6FD89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a.定期对给排水系统进行维护、润滑。</w:t>
      </w:r>
    </w:p>
    <w:p w14:paraId="729902A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每天检查一次污水泵、提升泵、排水泵、阀门等，确保曝气风机、排水系统通畅，各种管道阀门完好，仪表显示正常，无跑、冒、滴、漏现象。由具备相应执业资格的作业人员定期对污水处理系统进行全面维护保养，确保污水处理系统无明显异味和噪声，污水排放达到GB8978—1996《污水综合排放标准》的要求。</w:t>
      </w:r>
    </w:p>
    <w:p w14:paraId="495D421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c.用户末端的水压及流量满足使用要求。</w:t>
      </w:r>
    </w:p>
    <w:p w14:paraId="41349B9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d.每季对楼宇排水总管进行检查，定期对水泵、管道进行防锈处理。</w:t>
      </w:r>
    </w:p>
    <w:p w14:paraId="54F5675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e.定期对水泵、水质处理和消毒装置及设备控制柜进行保养。</w:t>
      </w:r>
    </w:p>
    <w:p w14:paraId="78A0DDE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②给排水设备运行维护的具体要求</w:t>
      </w:r>
    </w:p>
    <w:p w14:paraId="00DA75E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A.供水系统</w:t>
      </w:r>
    </w:p>
    <w:p w14:paraId="3749804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a.供水设备：设施设备完好、无渗漏、无污染；水泵：每季对润滑点加油，保证二次供水正常；</w:t>
      </w:r>
    </w:p>
    <w:p w14:paraId="4EA3C77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泵房：管道每季一次除锈、油漆；水箱、蓄水池每年定期二次清洗，二次供水水质符合国家生活用水标准；减压阀每年二次测压并记录，无渗漏现象；水箱、蓄水池盖板，溢流口金属防护网；水箱、蓄水池盖板保持完好并加锁，溢流管口安装金属防护网完好；生活水泵进行一级保养，每年一次，保证其运行正常；控制柜每月检查一次，控制柜电器性能完好，运作正常；</w:t>
      </w:r>
    </w:p>
    <w:p w14:paraId="2A70DA6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c.室外水管：秋、冬季进行防冻保养，保证二次供水正常；</w:t>
      </w:r>
    </w:p>
    <w:p w14:paraId="64B376A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d.水表箱内阀门接口及减压阀：每季检查一次，无渗漏现象；</w:t>
      </w:r>
    </w:p>
    <w:p w14:paraId="432D51B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e.管网及闸阀：每年保养，无明显锈蚀、无渗漏；</w:t>
      </w:r>
    </w:p>
    <w:p w14:paraId="0FAF6F3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f.二次供水卫生许可证、水质化验单、操作人员健康合格证齐全，每年清洗两次以上二次供水水箱并做好记录；</w:t>
      </w:r>
    </w:p>
    <w:p w14:paraId="2F0E28B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g.设备出现故障时，维修人员应在接到报修后5分钟内到达现场，维修合格率100%，一般性故障排除不过夜。</w:t>
      </w:r>
    </w:p>
    <w:p w14:paraId="57E0E91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B.排水系统</w:t>
      </w:r>
    </w:p>
    <w:p w14:paraId="5A7911E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a.污水泵、提升泵、排水泵：能正常运行，无渗漏水现象；每季一次润滑加油；一级保养每年一次。</w:t>
      </w:r>
    </w:p>
    <w:p w14:paraId="21DC326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b.污水处理系统：每年二次全面维护保养；污水处理系统正常运行，周边基本无异味和明显噪声，过滤隔栅无堵塞，污水排放符合环保要求。</w:t>
      </w:r>
    </w:p>
    <w:p w14:paraId="7922FA5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c.控制柜：每月检查一次，控制柜电器性能完好，运作正常。</w:t>
      </w:r>
    </w:p>
    <w:p w14:paraId="47F70DD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d.窨井、窨沟、排水沟、集水井：管道通畅，无堵塞外溢现象。</w:t>
      </w:r>
    </w:p>
    <w:p w14:paraId="4F1F0D3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e.排污泵、排气扇：每月试运行，运转灵活。</w:t>
      </w:r>
    </w:p>
    <w:p w14:paraId="0228890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（4）供电设备管理维护</w:t>
      </w:r>
    </w:p>
    <w:p w14:paraId="439EAFC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①供电设备管理维护的总则</w:t>
      </w:r>
    </w:p>
    <w:p w14:paraId="4030403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A.服务内容：对学校供电系统高、低压电器设备、电线电缆及各照明、电扇等电气装置等设备进行日常管理和维修，保障安全、正常运行。</w:t>
      </w:r>
    </w:p>
    <w:p w14:paraId="3BCAC29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B.服务质量标准：</w:t>
      </w:r>
    </w:p>
    <w:p w14:paraId="4415788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a.建立严格的高配供电室岗位责任制，高低配交接班制度、高低配室操作规程制度、高配倒闸操作制度、工作票制度、高低配及维修巡回检查等制度。</w:t>
      </w:r>
    </w:p>
    <w:p w14:paraId="762396A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b.按照规定周期对变配电设备设施进行检查、维护、清洁，并做好记录，确保高（低）压变（配）电柜操作运行正常，各计量检测表计显示正常。</w:t>
      </w:r>
    </w:p>
    <w:p w14:paraId="7FBFB91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c.变（配）电柜直流操作系统、低压配电柜运行正常，蓄电池组充、放电量稳定，符合工作要求，各类表计显示正常。</w:t>
      </w:r>
    </w:p>
    <w:p w14:paraId="456DBA2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d.功率因素自动补偿电容器（组）运行正常，自动切换准确可靠。</w:t>
      </w:r>
    </w:p>
    <w:p w14:paraId="7A973DF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e.变（配）电系统联络自切正常。</w:t>
      </w:r>
    </w:p>
    <w:p w14:paraId="2B927F5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f.应急供电系统运行正常。</w:t>
      </w:r>
    </w:p>
    <w:p w14:paraId="0C2A3ED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g.通过有效的管理措施及技术措施，积极开展节能管理工作。</w:t>
      </w:r>
    </w:p>
    <w:p w14:paraId="2579829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②供电设备管理维护的具体要求</w:t>
      </w:r>
    </w:p>
    <w:p w14:paraId="363C185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A.供电系统</w:t>
      </w:r>
    </w:p>
    <w:p w14:paraId="53D0953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a.供电运行和维修人员必须持证上岗；严格执行用电安全规范，确保用电安全；</w:t>
      </w:r>
    </w:p>
    <w:p w14:paraId="3CD3C57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b.各分电表箱、配电箱、配电柜及每层管线分线盒：无积尘，接头无松动、无焦痕现象；每季清洁一次，主要用电线路的绝缘状况，每半年测试一次，绝缘良好。</w:t>
      </w:r>
    </w:p>
    <w:p w14:paraId="34C1660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c.总配电箱：每年保养，无积尘，接头无松动现象。</w:t>
      </w:r>
    </w:p>
    <w:p w14:paraId="41C4ED2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d.高压配电室24小时值班，每年由专业单位对高配设备及高压绝缘工器具做防护性测试。</w:t>
      </w:r>
    </w:p>
    <w:p w14:paraId="5FA26CA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e.公共使用的照明、指示灯具线路、开关要保证完好；保证各类悬挂在顶上、墙上的电器装置的安全可靠。</w:t>
      </w:r>
    </w:p>
    <w:p w14:paraId="1DC0262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f.设备出现故障时，维修人员应在接到报修后5分钟内到达现场，设备零修合格率达到100%，一般性维修不过夜。</w:t>
      </w:r>
    </w:p>
    <w:p w14:paraId="394F8EF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g.避雷设备完好、有效、安全。定期维护，按市政府防雷要求，定期检测并出具检测报告。</w:t>
      </w:r>
    </w:p>
    <w:p w14:paraId="5E03706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③其他</w:t>
      </w:r>
    </w:p>
    <w:p w14:paraId="34982D7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A.除保证校园范围内的用电之外，还必须保证学校的营业出租房用电；</w:t>
      </w:r>
    </w:p>
    <w:p w14:paraId="10BBF2A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B.根据相关规定，做好节能工作，杜绝“长明灯”现象。</w:t>
      </w:r>
    </w:p>
    <w:p w14:paraId="3BF6F63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（5）空调系统运行维护</w:t>
      </w:r>
    </w:p>
    <w:p w14:paraId="363D9E0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①空调系统运行维护的总则</w:t>
      </w:r>
    </w:p>
    <w:p w14:paraId="2AC22F1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A.服务内容：集中空调系统的运行管理及冷水机组、新风机组、水泵、风机盘管、热交换器、管道系统、各种阀类、采气装置、各类风口、自动控制系统等设备的日常养护维修。</w:t>
      </w:r>
    </w:p>
    <w:p w14:paraId="17ACD71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B.服务质量标准：</w:t>
      </w:r>
    </w:p>
    <w:p w14:paraId="55DDAA8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a.按照工作计划对空调系统实施维护保养。</w:t>
      </w:r>
    </w:p>
    <w:p w14:paraId="3B4B78C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b.定期对空调系统进行检查，测试运行控制和安全控制功能，记录运行参数，分析运行记录。</w:t>
      </w:r>
    </w:p>
    <w:p w14:paraId="7939072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c.定期检查冷却塔风机变速齿轮箱、淋水装置、循环泵、电器控制箱，确保冷却塔及附属设施正常运行和良好保养，提供符合要求的冷却水。</w:t>
      </w:r>
    </w:p>
    <w:p w14:paraId="27B1511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d.定期对空气处理单元、新风处理单元、风机盘管、滤网、加湿器、风阀、积水盘、风机表冷器进行清洗和保养，定期清理和更换空调机组的空气过滤器、冷凝水积水盘和冷凝水管道。</w:t>
      </w:r>
    </w:p>
    <w:p w14:paraId="79FDA0F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e.定期进行循环泵、空调主机、冷却风机电柜主电路螺栓紧固，测试绝缘值并做好记录。</w:t>
      </w:r>
    </w:p>
    <w:p w14:paraId="5946967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f.定期对空调系统土机、水泵、电机、管道、膨胀水箱、集水器、分水器进行检查保养。</w:t>
      </w:r>
    </w:p>
    <w:p w14:paraId="29F00AE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g.通过有效的管理措施及技术措施，积极开展节能管理工作。</w:t>
      </w:r>
    </w:p>
    <w:p w14:paraId="0047323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②空调系统运行维护的具体要求</w:t>
      </w:r>
    </w:p>
    <w:p w14:paraId="03BB5BB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A.保证全校空调的正常运转和使用，致冷和致热效果好，无噪声；</w:t>
      </w:r>
    </w:p>
    <w:p w14:paraId="640FFD3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B.校园内所有空调每年必须清洁保养二次；</w:t>
      </w:r>
    </w:p>
    <w:p w14:paraId="62F0432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C.做好质保期内空调的维保联系，确保正常使用；</w:t>
      </w:r>
    </w:p>
    <w:p w14:paraId="6CB85F3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（6）房屋日常养护维修</w:t>
      </w:r>
    </w:p>
    <w:p w14:paraId="7F47225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①房屋日常养护维修的总则</w:t>
      </w:r>
    </w:p>
    <w:p w14:paraId="7934A02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A.服务内容：学校房屋地面、墙台面及吊顶、门窗、楼梯、通风道等的日常养护维修。</w:t>
      </w:r>
    </w:p>
    <w:p w14:paraId="011A074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B.服务质量标准：</w:t>
      </w:r>
    </w:p>
    <w:p w14:paraId="67677CC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a.确保学校房屋的完好等级和正常使用。</w:t>
      </w:r>
    </w:p>
    <w:p w14:paraId="6943194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b.玻璃无破碎，五金配件完好，门窗开闭灵活、密封性好、无异常声响。</w:t>
      </w:r>
    </w:p>
    <w:p w14:paraId="3E7810F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c.粉刷无明显剥落开裂，墙面砖、地坪、地砖平整不起壳、无遗缺，</w:t>
      </w:r>
    </w:p>
    <w:p w14:paraId="5654A26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d.屋面排水沟、室内室外排水管保障畅通。</w:t>
      </w:r>
    </w:p>
    <w:p w14:paraId="25874A8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e.发现有防水层气鼓、破裂，隔热板有断裂、缺损的，应在规定时间内安排专项修理。</w:t>
      </w:r>
    </w:p>
    <w:p w14:paraId="25AE308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f.及时完成各项零星维修任务，一般维修任务确保不超过24小时，确保零修合格率达到100％。</w:t>
      </w:r>
    </w:p>
    <w:p w14:paraId="57A0218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②房屋日常养护维修的具体要求</w:t>
      </w:r>
    </w:p>
    <w:p w14:paraId="79FE47E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A.房屋建筑公用部位</w:t>
      </w:r>
    </w:p>
    <w:p w14:paraId="3C25D68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a.玻璃门窗配件完好，门、窗开闭灵活并无异常声响；</w:t>
      </w:r>
    </w:p>
    <w:p w14:paraId="23516DB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b.房屋外观完好、整洁、外墙面砖、涂料、顶面粉刷层无大面积脱落，面砖、地砖平整，无大面积起壳、缺损；</w:t>
      </w:r>
    </w:p>
    <w:p w14:paraId="6145E19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c.路灯、楼道灯、各房间内的照明灯，亮灯率确保100﹪，公共照明设备完好。</w:t>
      </w:r>
    </w:p>
    <w:p w14:paraId="70D9CFC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d.围墙：每天巡查不少于一次，围墙完好，铁栅栏围墙表面无锈蚀。</w:t>
      </w:r>
    </w:p>
    <w:p w14:paraId="780990E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e.场地、步道、路面、侧石、井盖等：道路畅通，路面平整；井盖无缺损、无丢失，路面井盖不影响车辆和行人通行。</w:t>
      </w:r>
    </w:p>
    <w:p w14:paraId="7B1368F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f.休闲椅、凉亭、雕塑、景观小品、护栏：保持原有面貌，保证其安全使用。</w:t>
      </w:r>
    </w:p>
    <w:p w14:paraId="5E21CD5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g.室外健身设施：发现损坏立即修复，保证器械、设施的安全使用。</w:t>
      </w:r>
    </w:p>
    <w:p w14:paraId="375F5A4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h.安全标志等：清晰完整，设施运行正常。</w:t>
      </w:r>
    </w:p>
    <w:p w14:paraId="7717D78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i.公共雨、污水管道、房顶：保证畅通无堵，疏通每年不少于一次，屋顶檐沟每月检查。</w:t>
      </w:r>
    </w:p>
    <w:p w14:paraId="0C183EB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j.化粪池、化油池：保持通畅、无堵塞、无满溢，半年清掏一次。</w:t>
      </w:r>
    </w:p>
    <w:p w14:paraId="70D7D17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k.伸缩门、道闸：启动灵活，完好无损，正常使用，每半年保养一次。</w:t>
      </w:r>
    </w:p>
    <w:p w14:paraId="2A0F5A0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l.围墙铁质护栏：每年保养一次，无明显锈迹。</w:t>
      </w:r>
    </w:p>
    <w:p w14:paraId="328600D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m.标识：每年维护，确保无破损无缺失</w:t>
      </w:r>
    </w:p>
    <w:p w14:paraId="4DE2B23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③其他</w:t>
      </w:r>
    </w:p>
    <w:p w14:paraId="0DF8C11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A.人防系统：每周巡视一次，定期测试，每年年检一次，正常运行，无损坏现象，表面无积尘。</w:t>
      </w:r>
    </w:p>
    <w:p w14:paraId="0537BF6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B.防雷设施：做好日常检查维修工作，接地良好，无明显锈蚀、破损，每年检测一次，并出具检测报告。</w:t>
      </w:r>
    </w:p>
    <w:p w14:paraId="0C57DC6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C.维修时限</w:t>
      </w:r>
    </w:p>
    <w:p w14:paraId="3E656EB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a.急修：半小时内到场处理，一般修理一天内完成，及时率100%、返修率1%，并有回访记录。</w:t>
      </w:r>
    </w:p>
    <w:p w14:paraId="5DA678F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b.小修：半小时内到场48小时内完成（特殊情况除外）。</w:t>
      </w:r>
    </w:p>
    <w:p w14:paraId="25FE1DC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c.大修：半小时到场，一天内有答复。</w:t>
      </w:r>
    </w:p>
    <w:p w14:paraId="7F40E7E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d.校内维修：（各类门、窗、课桌椅、地面大理石瓷砖及外墙瓷砖、供水终端设施等零星维修）的材料由学校负责购买。</w:t>
      </w:r>
    </w:p>
    <w:p w14:paraId="5CB92381">
      <w:pPr>
        <w:keepNext w:val="0"/>
        <w:keepLines w:val="0"/>
        <w:pageBreakBefore w:val="0"/>
        <w:widowControl w:val="0"/>
        <w:kinsoku/>
        <w:wordWrap/>
        <w:overflowPunct/>
        <w:topLinePunct w:val="0"/>
        <w:autoSpaceDE/>
        <w:autoSpaceDN/>
        <w:bidi w:val="0"/>
        <w:snapToGrid/>
        <w:spacing w:line="380" w:lineRule="exact"/>
        <w:ind w:firstLine="482" w:firstLineChars="200"/>
        <w:textAlignment w:val="auto"/>
        <w:outlineLvl w:val="2"/>
        <w:rPr>
          <w:rFonts w:ascii="宋体" w:hAnsi="宋体" w:cs="宋体"/>
          <w:b/>
          <w:sz w:val="24"/>
        </w:rPr>
      </w:pPr>
      <w:r>
        <w:rPr>
          <w:rFonts w:hint="eastAsia" w:ascii="宋体" w:hAnsi="宋体" w:cs="宋体"/>
          <w:b/>
          <w:sz w:val="24"/>
        </w:rPr>
        <w:t>4.宿舍管理服务</w:t>
      </w:r>
    </w:p>
    <w:p w14:paraId="565E4B2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（1）学生宿舍管理</w:t>
      </w:r>
    </w:p>
    <w:p w14:paraId="71AA6E6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①负责校园内男女生宿舍楼管理人员</w:t>
      </w:r>
    </w:p>
    <w:p w14:paraId="4B75987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A.热爱本职工作，身体健康，心理健康，五官端正。</w:t>
      </w:r>
    </w:p>
    <w:p w14:paraId="79A0687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B.对学生有爱心，耐心。</w:t>
      </w:r>
    </w:p>
    <w:p w14:paraId="5545313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C.具备较强的语言表达能力和沟通能力。</w:t>
      </w:r>
    </w:p>
    <w:p w14:paraId="2E367B8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D.宿管员初中毕业（含）以上学历。</w:t>
      </w:r>
    </w:p>
    <w:p w14:paraId="41BF118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E.具有中学学生宿舍管理经历、经验。</w:t>
      </w:r>
    </w:p>
    <w:p w14:paraId="2BA27A5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F.宿管主管须有大专及以上学历，具有一定的管理能力。</w:t>
      </w:r>
    </w:p>
    <w:p w14:paraId="23FA45D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②宿舍管理要求</w:t>
      </w:r>
    </w:p>
    <w:p w14:paraId="3CD0D50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学生宿舍管理应安排24小时值班。宿舍管理主管应有大专以上学历水平、能为人师表且具备一定的学生管理工作和思想政治工作经验，其他管理人员学历水平应在初中（含）以上且具备较高政治思想素质和管理服务水平。</w:t>
      </w:r>
    </w:p>
    <w:p w14:paraId="49A1A68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根据学校提供的《学校作息时间表》和《学生宿舍管理规定》以及其他有关规定，登记住校生详细资料，严格按规定管理，有责任心、有爱心，值班期间不离岗，无过错，达到宿舍管理目标。及时向学生处通报学生情况，以便学生处掌握情况，了解最新动态。</w:t>
      </w:r>
    </w:p>
    <w:p w14:paraId="244C626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C.负责对宿舍区内宿舍大门值班，宿舍房间、公共走廊等每天进行定期和不定期巡视检查，主动发现问题并及时处理和通报，维护宿舍区域内的公共秩序以确保住宿生正常的学习和生活。</w:t>
      </w:r>
    </w:p>
    <w:p w14:paraId="700B0EA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做好学生宿舍防火防盗等安全工作，负责每天对宿舍区域的安全消防设备、设施进行检查、维护，如发现损坏，应立即报学校有关部门进行维修，对恶意损坏者，应及时制止并予以批评教育，协助学校做好赔罚工作。</w:t>
      </w:r>
    </w:p>
    <w:p w14:paraId="4F31171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对学生宿舍内的财产进行分类、整理、清点、造册，正确使用监控系统，发现故障应及时报修。对宿舍进行巡视、检查、清场，锁好宿舍房门，如发现有学生滞留在宿舍内，要根据具体情况登记或报学生处、班主任等有关部门处理，如发现宿舍内公共财产损坏应及时报总务处维修，应查明原因，协助学校追查责任人，做出相应处理。</w:t>
      </w:r>
    </w:p>
    <w:p w14:paraId="3778A68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学生宿舍的人员出入管理：根据学校要求在规定的时间内，职责范围内做好学生出入宿舍管理工作，来人来访登记，检查有关证件及出入物品，杜绝推销、闲杂人员等进入宿舍，学生家长、亲友探访，应根据《住宿生管理规定》、《作息时间表》、《进出宿舍须知》等有关规定执行。严禁外来人员入住宿舍，清查各房间，发现问题及时按有关规定处理。</w:t>
      </w:r>
    </w:p>
    <w:p w14:paraId="35D886B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学生宿舍的纪律检查及内务评比：每天应对宿舍进行纪律检查及内务评分，评分标准按学校提供的《星级文明宿舍评比评分标准》，每月进行一次卫生检查评比和治安评比，每学期进行一次“温馨宿舍”评比，应保持宿舍清洁、卫生、安静。</w:t>
      </w:r>
    </w:p>
    <w:p w14:paraId="29222AA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H.主动关心身体不适同学，主动联系家长。</w:t>
      </w:r>
    </w:p>
    <w:p w14:paraId="3BDED2B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I.制定应急预案，遇到紧急情况，应及时有效的控制和处理，防止事态进一步发展，维护好现场秩序并做好记录，及时进行调查了解，做好学生思想教育工作并及时通报学生处。</w:t>
      </w:r>
    </w:p>
    <w:p w14:paraId="5078B44C">
      <w:pPr>
        <w:pStyle w:val="34"/>
        <w:keepNext w:val="0"/>
        <w:keepLines w:val="0"/>
        <w:pageBreakBefore w:val="0"/>
        <w:widowControl w:val="0"/>
        <w:kinsoku/>
        <w:wordWrap/>
        <w:overflowPunct/>
        <w:topLinePunct w:val="0"/>
        <w:autoSpaceDE/>
        <w:autoSpaceDN/>
        <w:bidi w:val="0"/>
        <w:snapToGrid/>
        <w:spacing w:before="0" w:line="380" w:lineRule="exact"/>
        <w:ind w:firstLine="482" w:firstLineChars="200"/>
        <w:textAlignment w:val="auto"/>
        <w:outlineLvl w:val="1"/>
        <w:rPr>
          <w:rFonts w:ascii="宋体" w:hAnsi="宋体" w:cs="宋体"/>
          <w:b/>
          <w:szCs w:val="24"/>
        </w:rPr>
      </w:pPr>
      <w:r>
        <w:rPr>
          <w:rFonts w:hint="eastAsia" w:ascii="宋体" w:hAnsi="宋体" w:cs="宋体"/>
          <w:b/>
          <w:szCs w:val="24"/>
        </w:rPr>
        <w:t>（三）重点管理措施</w:t>
      </w:r>
    </w:p>
    <w:p w14:paraId="7B4B552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1.通过严格人员招聘流程，确保所招聘人员素质，熟悉自己的工作范围与标准。</w:t>
      </w:r>
    </w:p>
    <w:p w14:paraId="0788582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2.严格遵守学校规定各项工作制度，有礼有节，保持良好的精神面貌，做到耐心细致；不推诿，不厌烦，按规定交接班；不迟到，不早退，不脱岗，不在岗上睡觉；严禁酒后上岗；统一着装，统一标识。</w:t>
      </w:r>
    </w:p>
    <w:p w14:paraId="1008031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3.要求进入办公区域，宿舍区域、教学楼的项目工作人员只需做好相应的工作，不能翻阅室内文件，不能动用室内物品，废弃的文件或其他废弃的资料或物品，须经相关人员确认后，方可带出室内。投标人员制订相关员工保密制度，按照相关员工保密制度，承诺做好相关保密工作。</w:t>
      </w:r>
    </w:p>
    <w:p w14:paraId="4AAF83C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4.主动上交校内人员或其他人员遗失物品，收集、整理、堆放废旧物品，不得私自处理。不得进入教室、寝室内拾取物品（包含包装、纸皮等可回收废弃物品）。</w:t>
      </w:r>
    </w:p>
    <w:p w14:paraId="3EAAD46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5.工作时间不允许出现扎堆聊天，吃零食，坐在师生办公区域休息现象。</w:t>
      </w:r>
    </w:p>
    <w:p w14:paraId="488ECFC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6.周末学生到校前半日进行全环境清理、清洁。寒暑假：放假后5天进行全面卫生保洁，各学期各年级学生报到前5天全面进行卫生保洁。</w:t>
      </w:r>
    </w:p>
    <w:p w14:paraId="33797F6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
          <w:bCs/>
          <w:szCs w:val="21"/>
        </w:rPr>
      </w:pPr>
      <w:r>
        <w:rPr>
          <w:rFonts w:hint="eastAsia" w:ascii="宋体" w:hAnsi="宋体" w:cs="宋体"/>
          <w:szCs w:val="21"/>
        </w:rPr>
        <w:t>7.遇突发事件或安检、迎检、开学放假时，投标人必须配合有关部门执行任务，并指定专职人员协助工作，直至完成。</w:t>
      </w:r>
    </w:p>
    <w:p w14:paraId="5D997C4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lang w:val="en-US" w:eastAsia="zh-CN"/>
        </w:rPr>
        <w:t>8</w:t>
      </w:r>
      <w:r>
        <w:rPr>
          <w:rFonts w:hint="eastAsia" w:ascii="宋体" w:hAnsi="宋体" w:cs="宋体"/>
          <w:szCs w:val="21"/>
        </w:rPr>
        <w:t>.确保学生宿舍管理效果良好，做好晚归学生的思想教育和安全监护工作，做到晚归学生人人登记、验证，确保学生回到宿舍区大门后均进入宿舍区。配合安保人员对外来人员的来访须登记，认真检查进出宿舍区人员（车辆）的证件，贵重物品出门必须凭有效证件办理登记，识别并防止盗窃嫌疑人、商贩进入宿舍区。</w:t>
      </w:r>
    </w:p>
    <w:p w14:paraId="16375D8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 w:val="24"/>
        </w:rPr>
      </w:pPr>
      <w:r>
        <w:rPr>
          <w:rFonts w:hint="eastAsia" w:ascii="宋体" w:hAnsi="宋体" w:cs="宋体"/>
          <w:szCs w:val="21"/>
          <w:lang w:val="en-US" w:eastAsia="zh-CN"/>
        </w:rPr>
        <w:t>9</w:t>
      </w:r>
      <w:r>
        <w:rPr>
          <w:rFonts w:hint="eastAsia" w:ascii="宋体" w:hAnsi="宋体" w:cs="宋体"/>
          <w:szCs w:val="21"/>
        </w:rPr>
        <w:t>.要做好员工培训工作及思想教育工作。尤其是安全问题、涉及校园物业员工与师生交集方式方法。</w:t>
      </w:r>
    </w:p>
    <w:p w14:paraId="2C93A9A4">
      <w:pPr>
        <w:pStyle w:val="34"/>
        <w:spacing w:before="0"/>
        <w:ind w:firstLine="482" w:firstLineChars="200"/>
        <w:outlineLvl w:val="1"/>
        <w:rPr>
          <w:rFonts w:ascii="宋体" w:hAnsi="宋体" w:cs="宋体"/>
          <w:b/>
          <w:szCs w:val="24"/>
        </w:rPr>
      </w:pPr>
      <w:r>
        <w:rPr>
          <w:rFonts w:hint="eastAsia" w:ascii="宋体" w:hAnsi="宋体" w:cs="宋体"/>
          <w:b/>
          <w:szCs w:val="24"/>
        </w:rPr>
        <w:t>五、商务要求条款：</w:t>
      </w:r>
    </w:p>
    <w:p w14:paraId="088FB9A8">
      <w:pPr>
        <w:pStyle w:val="12"/>
        <w:rPr>
          <w:rFonts w:ascii="宋体" w:hAnsi="宋体" w:cs="宋体"/>
          <w:szCs w:val="21"/>
        </w:rPr>
      </w:pPr>
    </w:p>
    <w:tbl>
      <w:tblPr>
        <w:tblStyle w:val="18"/>
        <w:tblW w:w="996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06"/>
        <w:gridCol w:w="8260"/>
      </w:tblGrid>
      <w:tr w14:paraId="26D154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9966" w:type="dxa"/>
            <w:gridSpan w:val="2"/>
            <w:tcBorders>
              <w:top w:val="single" w:color="auto" w:sz="4" w:space="0"/>
              <w:left w:val="single" w:color="auto" w:sz="4" w:space="0"/>
              <w:bottom w:val="single" w:color="auto" w:sz="4" w:space="0"/>
              <w:right w:val="single" w:color="auto" w:sz="4" w:space="0"/>
            </w:tcBorders>
            <w:vAlign w:val="center"/>
          </w:tcPr>
          <w:p w14:paraId="42567DA6">
            <w:pPr>
              <w:keepNext w:val="0"/>
              <w:keepLines w:val="0"/>
              <w:pageBreakBefore w:val="0"/>
              <w:widowControl w:val="0"/>
              <w:kinsoku/>
              <w:wordWrap/>
              <w:overflowPunct/>
              <w:topLinePunct w:val="0"/>
              <w:bidi w:val="0"/>
              <w:snapToGrid/>
              <w:spacing w:line="360" w:lineRule="exact"/>
              <w:textAlignment w:val="auto"/>
              <w:rPr>
                <w:rFonts w:ascii="宋体" w:hAnsi="宋体"/>
                <w:szCs w:val="21"/>
              </w:rPr>
            </w:pPr>
            <w:r>
              <w:rPr>
                <w:rFonts w:hint="eastAsia" w:ascii="宋体" w:hAnsi="宋体"/>
                <w:b/>
                <w:sz w:val="24"/>
              </w:rPr>
              <w:t>商务要求</w:t>
            </w:r>
          </w:p>
        </w:tc>
      </w:tr>
      <w:tr w14:paraId="1D6900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30B23738">
            <w:pPr>
              <w:keepNext w:val="0"/>
              <w:keepLines w:val="0"/>
              <w:pageBreakBefore w:val="0"/>
              <w:widowControl w:val="0"/>
              <w:kinsoku/>
              <w:wordWrap/>
              <w:overflowPunct/>
              <w:topLinePunct w:val="0"/>
              <w:bidi w:val="0"/>
              <w:snapToGrid/>
              <w:spacing w:line="360" w:lineRule="exact"/>
              <w:jc w:val="center"/>
              <w:textAlignment w:val="auto"/>
              <w:rPr>
                <w:rFonts w:ascii="宋体" w:hAnsi="宋体"/>
                <w:szCs w:val="21"/>
              </w:rPr>
            </w:pPr>
            <w:r>
              <w:rPr>
                <w:rFonts w:hint="eastAsia" w:ascii="宋体" w:hAnsi="宋体"/>
                <w:szCs w:val="21"/>
              </w:rPr>
              <w:t>服务期限和地点</w:t>
            </w:r>
          </w:p>
        </w:tc>
        <w:tc>
          <w:tcPr>
            <w:tcW w:w="8260" w:type="dxa"/>
            <w:tcBorders>
              <w:top w:val="single" w:color="auto" w:sz="4" w:space="0"/>
              <w:left w:val="single" w:color="auto" w:sz="4" w:space="0"/>
              <w:bottom w:val="single" w:color="auto" w:sz="4" w:space="0"/>
              <w:right w:val="single" w:color="auto" w:sz="4" w:space="0"/>
            </w:tcBorders>
            <w:vAlign w:val="center"/>
          </w:tcPr>
          <w:p w14:paraId="5DC37B58">
            <w:pPr>
              <w:keepNext w:val="0"/>
              <w:keepLines w:val="0"/>
              <w:pageBreakBefore w:val="0"/>
              <w:widowControl w:val="0"/>
              <w:kinsoku/>
              <w:wordWrap/>
              <w:overflowPunct/>
              <w:topLinePunct w:val="0"/>
              <w:bidi w:val="0"/>
              <w:snapToGrid/>
              <w:spacing w:line="360" w:lineRule="exact"/>
              <w:textAlignment w:val="auto"/>
              <w:rPr>
                <w:rFonts w:ascii="宋体" w:hAnsi="宋体" w:cs="宋体"/>
                <w:szCs w:val="21"/>
                <w:highlight w:val="none"/>
              </w:rPr>
            </w:pPr>
            <w:r>
              <w:rPr>
                <w:rFonts w:hint="eastAsia" w:ascii="宋体" w:hAnsi="宋体" w:cs="宋体"/>
                <w:szCs w:val="21"/>
                <w:highlight w:val="none"/>
              </w:rPr>
              <w:t>1.服务期限：</w:t>
            </w:r>
            <w:r>
              <w:rPr>
                <w:rFonts w:ascii="宋体" w:hAnsi="宋体" w:cs="Arial"/>
                <w:bCs/>
                <w:iCs/>
                <w:szCs w:val="21"/>
                <w:highlight w:val="none"/>
              </w:rPr>
              <w:t>自合同签订之日起</w:t>
            </w:r>
            <w:r>
              <w:rPr>
                <w:rFonts w:hint="eastAsia" w:ascii="宋体" w:hAnsi="宋体" w:cs="Arial"/>
                <w:bCs/>
                <w:iCs/>
                <w:szCs w:val="21"/>
                <w:highlight w:val="none"/>
              </w:rPr>
              <w:t xml:space="preserve"> </w:t>
            </w:r>
            <w:r>
              <w:rPr>
                <w:rFonts w:hint="eastAsia" w:ascii="宋体" w:hAnsi="宋体" w:cs="Arial"/>
                <w:bCs/>
                <w:iCs/>
                <w:szCs w:val="21"/>
                <w:highlight w:val="none"/>
                <w:lang w:val="en-US" w:eastAsia="zh-CN"/>
              </w:rPr>
              <w:t>2</w:t>
            </w:r>
            <w:r>
              <w:rPr>
                <w:rFonts w:hint="eastAsia" w:ascii="宋体" w:hAnsi="宋体" w:cs="Arial"/>
                <w:bCs/>
                <w:iCs/>
                <w:szCs w:val="21"/>
                <w:highlight w:val="none"/>
              </w:rPr>
              <w:t xml:space="preserve"> </w:t>
            </w:r>
            <w:r>
              <w:rPr>
                <w:rFonts w:ascii="宋体" w:hAnsi="宋体" w:cs="Arial"/>
                <w:bCs/>
                <w:iCs/>
                <w:szCs w:val="21"/>
                <w:highlight w:val="none"/>
              </w:rPr>
              <w:t>年</w:t>
            </w:r>
            <w:r>
              <w:rPr>
                <w:rFonts w:hint="eastAsia" w:ascii="宋体" w:hAnsi="宋体" w:cs="Arial"/>
                <w:bCs/>
                <w:iCs/>
                <w:szCs w:val="21"/>
                <w:highlight w:val="none"/>
              </w:rPr>
              <w:t>。</w:t>
            </w:r>
          </w:p>
          <w:p w14:paraId="25E35E26">
            <w:pPr>
              <w:keepNext w:val="0"/>
              <w:keepLines w:val="0"/>
              <w:pageBreakBefore w:val="0"/>
              <w:widowControl w:val="0"/>
              <w:kinsoku/>
              <w:wordWrap/>
              <w:overflowPunct/>
              <w:topLinePunct w:val="0"/>
              <w:bidi w:val="0"/>
              <w:snapToGrid/>
              <w:spacing w:line="360" w:lineRule="exact"/>
              <w:textAlignment w:val="auto"/>
              <w:rPr>
                <w:rFonts w:ascii="宋体" w:hAnsi="宋体"/>
                <w:szCs w:val="21"/>
              </w:rPr>
            </w:pPr>
            <w:r>
              <w:rPr>
                <w:rFonts w:hint="eastAsia" w:ascii="宋体" w:hAnsi="宋体" w:cs="宋体"/>
                <w:szCs w:val="21"/>
              </w:rPr>
              <w:t>2.服务的地点：</w:t>
            </w:r>
            <w:r>
              <w:rPr>
                <w:rFonts w:hint="eastAsia" w:ascii="宋体" w:hAnsi="宋体"/>
                <w:szCs w:val="21"/>
              </w:rPr>
              <w:t>广西</w:t>
            </w:r>
            <w:r>
              <w:rPr>
                <w:rFonts w:hint="eastAsia" w:ascii="宋体" w:hAnsi="宋体"/>
                <w:szCs w:val="21"/>
                <w:u w:val="single"/>
              </w:rPr>
              <w:t>防城港</w:t>
            </w:r>
            <w:r>
              <w:rPr>
                <w:rFonts w:hint="eastAsia" w:ascii="宋体" w:hAnsi="宋体"/>
                <w:szCs w:val="21"/>
              </w:rPr>
              <w:t>市采购人指定地点。</w:t>
            </w:r>
          </w:p>
        </w:tc>
      </w:tr>
      <w:tr w14:paraId="169868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60D0B6DB">
            <w:pPr>
              <w:keepNext w:val="0"/>
              <w:keepLines w:val="0"/>
              <w:pageBreakBefore w:val="0"/>
              <w:widowControl w:val="0"/>
              <w:kinsoku/>
              <w:wordWrap/>
              <w:overflowPunct/>
              <w:topLinePunct w:val="0"/>
              <w:bidi w:val="0"/>
              <w:snapToGrid/>
              <w:spacing w:line="360" w:lineRule="exact"/>
              <w:jc w:val="center"/>
              <w:textAlignment w:val="auto"/>
              <w:rPr>
                <w:rFonts w:ascii="宋体" w:hAnsi="宋体"/>
                <w:szCs w:val="21"/>
              </w:rPr>
            </w:pPr>
            <w:r>
              <w:rPr>
                <w:rFonts w:hint="eastAsia" w:ascii="宋体" w:hAnsi="宋体"/>
                <w:szCs w:val="21"/>
              </w:rPr>
              <w:t>合同签订时间</w:t>
            </w:r>
          </w:p>
        </w:tc>
        <w:tc>
          <w:tcPr>
            <w:tcW w:w="8260" w:type="dxa"/>
            <w:tcBorders>
              <w:top w:val="single" w:color="auto" w:sz="4" w:space="0"/>
              <w:left w:val="single" w:color="auto" w:sz="4" w:space="0"/>
              <w:bottom w:val="single" w:color="auto" w:sz="4" w:space="0"/>
              <w:right w:val="single" w:color="auto" w:sz="4" w:space="0"/>
            </w:tcBorders>
            <w:vAlign w:val="center"/>
          </w:tcPr>
          <w:p w14:paraId="404AD11C">
            <w:pPr>
              <w:keepNext w:val="0"/>
              <w:keepLines w:val="0"/>
              <w:pageBreakBefore w:val="0"/>
              <w:widowControl w:val="0"/>
              <w:kinsoku/>
              <w:wordWrap/>
              <w:overflowPunct/>
              <w:topLinePunct w:val="0"/>
              <w:bidi w:val="0"/>
              <w:snapToGrid/>
              <w:spacing w:line="360" w:lineRule="exact"/>
              <w:textAlignment w:val="auto"/>
              <w:rPr>
                <w:rFonts w:ascii="宋体" w:hAnsi="宋体"/>
                <w:szCs w:val="21"/>
              </w:rPr>
            </w:pPr>
            <w:r>
              <w:rPr>
                <w:rFonts w:hint="eastAsia" w:ascii="宋体" w:hAnsi="宋体"/>
                <w:szCs w:val="21"/>
                <w:highlight w:val="none"/>
              </w:rPr>
              <w:t>自中标通知书发出之日起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25</w:t>
            </w:r>
            <w:r>
              <w:rPr>
                <w:rFonts w:hint="eastAsia" w:ascii="宋体" w:hAnsi="宋体"/>
                <w:szCs w:val="21"/>
                <w:highlight w:val="none"/>
                <w:u w:val="single"/>
              </w:rPr>
              <w:t xml:space="preserve">  </w:t>
            </w:r>
            <w:r>
              <w:rPr>
                <w:rFonts w:hint="eastAsia" w:ascii="宋体" w:hAnsi="宋体"/>
                <w:szCs w:val="21"/>
                <w:highlight w:val="none"/>
              </w:rPr>
              <w:t>日内。</w:t>
            </w:r>
          </w:p>
        </w:tc>
      </w:tr>
      <w:tr w14:paraId="26394D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770D4034">
            <w:pPr>
              <w:keepNext w:val="0"/>
              <w:keepLines w:val="0"/>
              <w:pageBreakBefore w:val="0"/>
              <w:widowControl w:val="0"/>
              <w:kinsoku/>
              <w:wordWrap/>
              <w:overflowPunct/>
              <w:topLinePunct w:val="0"/>
              <w:bidi w:val="0"/>
              <w:adjustRightInd w:val="0"/>
              <w:snapToGrid/>
              <w:spacing w:line="360" w:lineRule="exact"/>
              <w:ind w:left="6" w:firstLine="420" w:firstLineChars="200"/>
              <w:textAlignment w:val="auto"/>
              <w:rPr>
                <w:rFonts w:ascii="宋体" w:hAnsi="宋体" w:cs="宋体"/>
                <w:b/>
                <w:szCs w:val="21"/>
              </w:rPr>
            </w:pPr>
            <w:r>
              <w:rPr>
                <w:rFonts w:hint="eastAsia" w:ascii="宋体" w:hAnsi="宋体" w:cs="宋体"/>
                <w:szCs w:val="21"/>
              </w:rPr>
              <w:t>报价要求</w:t>
            </w:r>
          </w:p>
        </w:tc>
        <w:tc>
          <w:tcPr>
            <w:tcW w:w="8260" w:type="dxa"/>
            <w:tcBorders>
              <w:top w:val="single" w:color="auto" w:sz="4" w:space="0"/>
              <w:left w:val="single" w:color="auto" w:sz="4" w:space="0"/>
              <w:bottom w:val="single" w:color="auto" w:sz="4" w:space="0"/>
              <w:right w:val="single" w:color="auto" w:sz="4" w:space="0"/>
            </w:tcBorders>
            <w:vAlign w:val="center"/>
          </w:tcPr>
          <w:p w14:paraId="28C7EDD7">
            <w:pPr>
              <w:keepNext w:val="0"/>
              <w:keepLines w:val="0"/>
              <w:pageBreakBefore w:val="0"/>
              <w:widowControl w:val="0"/>
              <w:kinsoku/>
              <w:wordWrap/>
              <w:overflowPunct/>
              <w:topLinePunct w:val="0"/>
              <w:bidi w:val="0"/>
              <w:snapToGrid/>
              <w:spacing w:line="360" w:lineRule="exact"/>
              <w:jc w:val="left"/>
              <w:textAlignment w:val="auto"/>
              <w:rPr>
                <w:rFonts w:ascii="宋体" w:hAnsi="宋体" w:cs="宋体"/>
                <w:szCs w:val="21"/>
              </w:rPr>
            </w:pPr>
            <w:r>
              <w:rPr>
                <w:rFonts w:hint="eastAsia" w:ascii="宋体" w:hAnsi="宋体" w:cs="宋体"/>
                <w:szCs w:val="21"/>
              </w:rPr>
              <w:t>本项目实行总价包干制，投标人的投标报价包括但不限于服务人员费用（含工资、社保费、劳保、意外伤害保险、福利、加班费、奖金等）、服务材料消耗品（清洁工具，清洁用品、生活垃圾袋、洗涤粉等洗涤用品）的补充、更换和维修维护（零星维修材料由</w:t>
            </w:r>
            <w:r>
              <w:rPr>
                <w:rFonts w:hint="eastAsia" w:ascii="宋体" w:hAnsi="宋体" w:cs="宋体"/>
                <w:color w:val="auto"/>
                <w:szCs w:val="21"/>
                <w:lang w:val="en-US" w:eastAsia="zh-CN"/>
              </w:rPr>
              <w:t>中标人</w:t>
            </w:r>
            <w:r>
              <w:rPr>
                <w:rFonts w:hint="eastAsia" w:ascii="宋体" w:hAnsi="宋体" w:cs="宋体"/>
                <w:color w:val="auto"/>
                <w:szCs w:val="21"/>
              </w:rPr>
              <w:t>负</w:t>
            </w:r>
            <w:r>
              <w:rPr>
                <w:rFonts w:hint="eastAsia" w:ascii="宋体" w:hAnsi="宋体" w:cs="宋体"/>
                <w:szCs w:val="21"/>
              </w:rPr>
              <w:t>责购买）、服装等费用、办公费用（含通讯费、办公用品、培训费等）、人工费、管理费、利润、税费等完成合同所需的一切本身和不可或缺的所有开支、政策性文件规定的合同包含的所有风险、责任等各项全部费用的总和。服务总包的用工与采购人无劳动合同关系。</w:t>
            </w:r>
          </w:p>
        </w:tc>
      </w:tr>
      <w:tr w14:paraId="5EEA44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6AF0D8BE">
            <w:pPr>
              <w:keepNext w:val="0"/>
              <w:keepLines w:val="0"/>
              <w:pageBreakBefore w:val="0"/>
              <w:widowControl w:val="0"/>
              <w:kinsoku/>
              <w:wordWrap/>
              <w:overflowPunct/>
              <w:topLinePunct w:val="0"/>
              <w:bidi w:val="0"/>
              <w:snapToGrid/>
              <w:spacing w:line="360" w:lineRule="exact"/>
              <w:jc w:val="center"/>
              <w:textAlignment w:val="auto"/>
              <w:rPr>
                <w:rFonts w:ascii="宋体" w:hAnsi="宋体"/>
                <w:szCs w:val="21"/>
              </w:rPr>
            </w:pPr>
            <w:r>
              <w:rPr>
                <w:rFonts w:hint="eastAsia" w:ascii="宋体" w:hAnsi="宋体"/>
                <w:szCs w:val="21"/>
              </w:rPr>
              <w:t>付款条件</w:t>
            </w:r>
          </w:p>
        </w:tc>
        <w:tc>
          <w:tcPr>
            <w:tcW w:w="8260" w:type="dxa"/>
            <w:tcBorders>
              <w:top w:val="single" w:color="auto" w:sz="4" w:space="0"/>
              <w:left w:val="single" w:color="auto" w:sz="4" w:space="0"/>
              <w:bottom w:val="single" w:color="auto" w:sz="4" w:space="0"/>
              <w:right w:val="single" w:color="auto" w:sz="4" w:space="0"/>
            </w:tcBorders>
            <w:vAlign w:val="center"/>
          </w:tcPr>
          <w:p w14:paraId="3E4AE389">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ascii="宋体" w:hAnsi="宋体"/>
                <w:szCs w:val="21"/>
              </w:rPr>
            </w:pPr>
            <w:r>
              <w:rPr>
                <w:rFonts w:hint="eastAsia" w:ascii="宋体" w:hAnsi="宋体"/>
                <w:szCs w:val="21"/>
              </w:rPr>
              <w:t>1.项目不设置预付款，按月结算。</w:t>
            </w:r>
          </w:p>
          <w:p w14:paraId="5B3EBC67">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ascii="宋体" w:hAnsi="宋体"/>
                <w:szCs w:val="21"/>
              </w:rPr>
            </w:pPr>
            <w:r>
              <w:rPr>
                <w:rFonts w:hint="eastAsia" w:ascii="宋体" w:hAnsi="宋体"/>
                <w:szCs w:val="21"/>
              </w:rPr>
              <w:t>2.每月结束后，物业公司向采购人提交请款相关资料，由相关部门对物业公司进行考评后结算支付（详见附表）。</w:t>
            </w:r>
          </w:p>
        </w:tc>
      </w:tr>
      <w:tr w14:paraId="715D4B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6CAEDF8D">
            <w:pPr>
              <w:keepNext w:val="0"/>
              <w:keepLines w:val="0"/>
              <w:pageBreakBefore w:val="0"/>
              <w:widowControl w:val="0"/>
              <w:kinsoku/>
              <w:wordWrap/>
              <w:overflowPunct/>
              <w:topLinePunct w:val="0"/>
              <w:autoSpaceDE w:val="0"/>
              <w:autoSpaceDN w:val="0"/>
              <w:bidi w:val="0"/>
              <w:adjustRightInd w:val="0"/>
              <w:snapToGrid/>
              <w:spacing w:line="360" w:lineRule="exact"/>
              <w:ind w:left="-2" w:leftChars="-1"/>
              <w:jc w:val="center"/>
              <w:textAlignment w:val="auto"/>
              <w:rPr>
                <w:rFonts w:ascii="宋体" w:hAnsi="宋体"/>
                <w:szCs w:val="21"/>
              </w:rPr>
            </w:pPr>
            <w:r>
              <w:rPr>
                <w:rFonts w:hint="eastAsia" w:ascii="宋体" w:hAnsi="宋体" w:cs="宋体"/>
                <w:szCs w:val="21"/>
              </w:rPr>
              <w:t>其他要求</w:t>
            </w:r>
          </w:p>
        </w:tc>
        <w:tc>
          <w:tcPr>
            <w:tcW w:w="8260" w:type="dxa"/>
            <w:tcBorders>
              <w:top w:val="single" w:color="auto" w:sz="4" w:space="0"/>
              <w:left w:val="single" w:color="auto" w:sz="4" w:space="0"/>
              <w:bottom w:val="single" w:color="auto" w:sz="4" w:space="0"/>
              <w:right w:val="single" w:color="auto" w:sz="4" w:space="0"/>
            </w:tcBorders>
            <w:vAlign w:val="center"/>
          </w:tcPr>
          <w:p w14:paraId="71F96A15">
            <w:pPr>
              <w:keepNext w:val="0"/>
              <w:keepLines w:val="0"/>
              <w:pageBreakBefore w:val="0"/>
              <w:widowControl w:val="0"/>
              <w:kinsoku/>
              <w:wordWrap/>
              <w:overflowPunct/>
              <w:topLinePunct w:val="0"/>
              <w:autoSpaceDE w:val="0"/>
              <w:autoSpaceDN w:val="0"/>
              <w:bidi w:val="0"/>
              <w:adjustRightInd w:val="0"/>
              <w:snapToGrid/>
              <w:spacing w:line="360" w:lineRule="exact"/>
              <w:ind w:left="-2" w:leftChars="-1"/>
              <w:jc w:val="left"/>
              <w:textAlignment w:val="auto"/>
            </w:pPr>
            <w:r>
              <w:rPr>
                <w:rFonts w:hint="eastAsia"/>
              </w:rPr>
              <w:t>投标人须承诺：</w:t>
            </w:r>
          </w:p>
          <w:p w14:paraId="33195C60">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1.服从甲方管理，遵守甲方有关管理制度，严格按照甲方的要求提供管理服务，自觉接受甲方相关管理部门的业务检查和监督，并接受服务对象（师生员工）的监督；制定相应的管理服务实施方案、工作预案和管理制度并经甲方审查同意后具体实施；接受甲方的考核、评议；应承担投标及履约中应承担的全部责任与义务。</w:t>
            </w:r>
          </w:p>
          <w:p w14:paraId="1FB323E6">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2.投标人中标后投入的管理和服务工作人员必须经过上岗前培训（包括思想道德、法制、安全、工作技能、管理制度、服务意识等教育），培训合格率达100%，符合国家有关劳动用工的法律法规。乙方派出具有相关工作管理经验和能力、熟悉管理法律法规的管理人员。所派出的工作人员按《防城港市北部湾高级中学物业管理服务岗位设置及人员配备情况表》的要求，法制观念强、品行好、五官端正、有医务部门的体格健康检查表、公安机关出具的无犯罪记录证明，（中标人在人员上岗前提供相应材料，供学校备案）能胜任相应工作。管理人员须有良好的工作执行能力、表达能力、协调能力和临阵处事能力。</w:t>
            </w:r>
          </w:p>
          <w:p w14:paraId="7467D752">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3.聘用的员工，必须符合法律、政策的有关要求，向学校提供所聘用人员的个人书面资料（含身份证复印件）及相关上岗证件，如更换工作人员，应在3天内以书面形式报学校保卫部门备案并做好交接班工作，若因交接班衔接不好，致使采购人工作受到影响者，按考核制度处罚。</w:t>
            </w:r>
          </w:p>
          <w:p w14:paraId="67871BDD">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4.加强对派出人员的管理，保证派出人员遵守国家法律法规和校方的规章制度，在服务中自觉维护校方的形象，接受甲方的指导和监督，定期向甲方汇报工作，不损害校方的合法权益。</w:t>
            </w:r>
          </w:p>
          <w:p w14:paraId="24FD28E3">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5.在合同有效期内，必须执行各级政府及有关部门的相关政策，按《劳动法》规定负责依法为派出人员办理“社会保险”，如养老保险、失业保险、工伤保险、医疗保险等，发放节假日加班费，确保每月按时足额发放派出人员的工资（每人每月工资不得少于防城港市最低工资标准）。承担员工的薪酬、福利待遇以及物业管理服务中所发生的各项税收、费用；自行负责应甲方要求执行甲方大型活动安全保卫工作任务时所派出人员的工资、补助等，甲方不再另付报酬。</w:t>
            </w:r>
          </w:p>
          <w:p w14:paraId="5068EDF1">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6.提供管理服务时必须做好各项安全防范措施，乙方所有工作人员在合约期间如发生任何人身意外事故（生病、伤亡事故）、或触犯法律法规（包括劳动用工制度、发生劳资纠纷、经济纠纷、甲方的校规校纪等）、或损坏甲方的设施和物品，由乙方自行承担完全责任。</w:t>
            </w:r>
          </w:p>
          <w:p w14:paraId="0E086FE2">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7.承担因乙方责任发生案件或责任事故给甲方造成的损失的赔偿。不承担不属于乙方责任范围内的案件或责任事故和意外事故、自然灾害等不可抗力因素对甲方造成的人身财产损害赔偿责任。</w:t>
            </w:r>
          </w:p>
          <w:p w14:paraId="5438A729">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8.乙方有责任对派驻甲方的物业管理服务部门的工作质量实行有效监管。乙方质量管理部门每月应不少于一次会同甲方管理部门和乙方驻校物业项目经理检查物业管理服务工作质量，对存在的问题要按甲方的要求抓好整改落实。甲乙双方每月召开一次物业管理协调会，乙方的负责人（分管本项目管理人员）、质量管理部门负责人和驻校物业项目经理必须按时参加会议，对存在的问题要按甲方的要求抓好整改。乙方的负责人因故不能参加物业管理协调会，必须在会议前一天发函给采购人，另委托一名代表参加会议。乙方的负责人因故不能参加物业管理协调会每年累计不能超出3次。</w:t>
            </w:r>
          </w:p>
          <w:p w14:paraId="31F9B8E2">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9.乙方应在服务人员中任命合同的执行代表，以便就合同执行当中的具体事宜进行协调。甲方或服务对象（师生员工）对乙方所负责服务项目的投诉，乙方合同执行代表应立即处理，特殊情况不超过12小时，在此期间内向甲方做出合理解释，否则按合同规定进行处罚。乙方执行代表还应主动接受甲方的工作安排、监督检查和业务指导，严格遵守和贯彻落实各项安全管理制度及岗位职责。</w:t>
            </w:r>
          </w:p>
          <w:p w14:paraId="3AA828A9">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 xml:space="preserve">10.合同期内，甲方组织有关部门对服务质量进行全过程监督，如乙方日常工作不到位、不达标、或有违约现象，将依据合同约定，作出相应的违约处理与处罚。乙方违约处理与处罚规定： </w:t>
            </w:r>
          </w:p>
          <w:p w14:paraId="19424996">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（1）乙方未能达到标书中约定的管理目标，甲方有权单方提前解除合同，乙方承担违约责任（按每年物业管理费总额的20%计付违约金）；造成甲方经济损失的，按造成的实际损失予以赔偿。</w:t>
            </w:r>
          </w:p>
          <w:p w14:paraId="094BD822">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（2）乙方擅自转包、分包，或以任何形式与第三方进行合作的属违约，一经查实，乙方应向甲方承担违约责任（按每年物业管理费总额的20%计付违约金），且甲方可单方面解除合同。</w:t>
            </w:r>
          </w:p>
          <w:p w14:paraId="606B959B">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（3）乙方及其工作人员在服务工作区域内违法犯罪属实，乙方应承担相应的法律责任，如造成甲方损失的需进行赔偿，并不得再使用有关员工。</w:t>
            </w:r>
          </w:p>
          <w:p w14:paraId="16A2A7D6">
            <w:pPr>
              <w:keepNext w:val="0"/>
              <w:keepLines w:val="0"/>
              <w:pageBreakBefore w:val="0"/>
              <w:widowControl w:val="0"/>
              <w:kinsoku/>
              <w:wordWrap/>
              <w:overflowPunct/>
              <w:topLinePunct w:val="0"/>
              <w:bidi w:val="0"/>
              <w:snapToGrid/>
              <w:spacing w:line="360" w:lineRule="exact"/>
              <w:ind w:firstLine="420" w:firstLineChars="200"/>
              <w:textAlignment w:val="auto"/>
            </w:pPr>
            <w:r>
              <w:rPr>
                <w:rFonts w:hint="eastAsia" w:ascii="宋体" w:hAnsi="宋体" w:cs="宋体"/>
                <w:szCs w:val="21"/>
              </w:rPr>
              <w:t>（4）乙方在合同执行期间，要严格遵守《相关管理服务考核办法》，否则甲方有权视情节轻重从当月物业管理费中扣除相应数额的违约金。如甲方对乙方年度内累计3次考核不合格的，甲方可认定乙方为不合格承包单位，甲方</w:t>
            </w:r>
            <w:r>
              <w:rPr>
                <w:rFonts w:hint="eastAsia" w:ascii="宋体" w:hAnsi="宋体" w:cs="宋体"/>
                <w:szCs w:val="21"/>
                <w:lang w:val="en-US" w:eastAsia="zh-CN"/>
              </w:rPr>
              <w:t>依法</w:t>
            </w:r>
            <w:r>
              <w:rPr>
                <w:rFonts w:hint="eastAsia" w:ascii="宋体" w:hAnsi="宋体" w:cs="宋体"/>
                <w:szCs w:val="21"/>
              </w:rPr>
              <w:t>有权</w:t>
            </w:r>
            <w:r>
              <w:rPr>
                <w:rFonts w:hint="eastAsia" w:ascii="宋体" w:hAnsi="宋体" w:cs="宋体"/>
                <w:szCs w:val="21"/>
                <w:lang w:val="en-US" w:eastAsia="zh-CN"/>
              </w:rPr>
              <w:t>依法</w:t>
            </w:r>
            <w:r>
              <w:rPr>
                <w:rFonts w:hint="eastAsia" w:ascii="宋体" w:hAnsi="宋体" w:cs="宋体"/>
                <w:szCs w:val="21"/>
              </w:rPr>
              <w:t>单方面终止合同。</w:t>
            </w:r>
          </w:p>
        </w:tc>
      </w:tr>
      <w:tr w14:paraId="0BD6B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9966" w:type="dxa"/>
            <w:gridSpan w:val="2"/>
            <w:tcBorders>
              <w:top w:val="single" w:color="auto" w:sz="4" w:space="0"/>
              <w:left w:val="single" w:color="auto" w:sz="4" w:space="0"/>
              <w:bottom w:val="single" w:color="auto" w:sz="4" w:space="0"/>
              <w:right w:val="single" w:color="auto" w:sz="4" w:space="0"/>
            </w:tcBorders>
            <w:vAlign w:val="center"/>
          </w:tcPr>
          <w:p w14:paraId="35C2EE02">
            <w:pPr>
              <w:keepNext w:val="0"/>
              <w:keepLines w:val="0"/>
              <w:pageBreakBefore w:val="0"/>
              <w:widowControl w:val="0"/>
              <w:kinsoku/>
              <w:wordWrap/>
              <w:overflowPunct/>
              <w:topLinePunct w:val="0"/>
              <w:autoSpaceDE w:val="0"/>
              <w:autoSpaceDN w:val="0"/>
              <w:bidi w:val="0"/>
              <w:adjustRightInd w:val="0"/>
              <w:snapToGrid/>
              <w:spacing w:line="360" w:lineRule="exact"/>
              <w:ind w:left="-2" w:leftChars="-1"/>
              <w:jc w:val="left"/>
              <w:textAlignment w:val="auto"/>
              <w:rPr>
                <w:rFonts w:ascii="宋体" w:hAnsi="宋体"/>
                <w:szCs w:val="21"/>
              </w:rPr>
            </w:pPr>
            <w:r>
              <w:rPr>
                <w:rFonts w:hint="eastAsia" w:ascii="宋体" w:hAnsi="宋体"/>
                <w:b/>
                <w:szCs w:val="21"/>
              </w:rPr>
              <w:t>三、与实现项目目标相关的其他要求</w:t>
            </w:r>
          </w:p>
        </w:tc>
      </w:tr>
      <w:tr w14:paraId="0164EE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06103F53">
            <w:pPr>
              <w:keepNext w:val="0"/>
              <w:keepLines w:val="0"/>
              <w:pageBreakBefore w:val="0"/>
              <w:widowControl w:val="0"/>
              <w:kinsoku/>
              <w:wordWrap/>
              <w:overflowPunct/>
              <w:topLinePunct w:val="0"/>
              <w:bidi w:val="0"/>
              <w:snapToGrid/>
              <w:spacing w:line="360" w:lineRule="exact"/>
              <w:jc w:val="center"/>
              <w:textAlignment w:val="auto"/>
              <w:rPr>
                <w:rFonts w:ascii="宋体" w:hAnsi="宋体"/>
                <w:szCs w:val="21"/>
              </w:rPr>
            </w:pPr>
            <w:r>
              <w:rPr>
                <w:rFonts w:hint="eastAsia" w:ascii="宋体" w:hAnsi="宋体"/>
                <w:b/>
                <w:szCs w:val="21"/>
              </w:rPr>
              <w:t>投标人的履约能力要求</w:t>
            </w:r>
          </w:p>
        </w:tc>
        <w:tc>
          <w:tcPr>
            <w:tcW w:w="8260" w:type="dxa"/>
            <w:tcBorders>
              <w:top w:val="single" w:color="auto" w:sz="4" w:space="0"/>
              <w:left w:val="single" w:color="auto" w:sz="4" w:space="0"/>
              <w:bottom w:val="single" w:color="auto" w:sz="4" w:space="0"/>
              <w:right w:val="single" w:color="auto" w:sz="4" w:space="0"/>
            </w:tcBorders>
            <w:vAlign w:val="center"/>
          </w:tcPr>
          <w:p w14:paraId="08F70F7D">
            <w:pPr>
              <w:keepNext w:val="0"/>
              <w:keepLines w:val="0"/>
              <w:pageBreakBefore w:val="0"/>
              <w:widowControl w:val="0"/>
              <w:kinsoku/>
              <w:wordWrap/>
              <w:overflowPunct/>
              <w:topLinePunct w:val="0"/>
              <w:bidi w:val="0"/>
              <w:snapToGrid/>
              <w:spacing w:line="360" w:lineRule="exact"/>
              <w:textAlignment w:val="auto"/>
              <w:rPr>
                <w:rFonts w:ascii="宋体" w:hAnsi="宋体"/>
                <w:szCs w:val="21"/>
              </w:rPr>
            </w:pPr>
            <w:r>
              <w:rPr>
                <w:rFonts w:hint="eastAsia" w:ascii="宋体" w:hAnsi="宋体"/>
                <w:szCs w:val="21"/>
              </w:rPr>
              <w:t>详见第四章 评标方法及评标标准</w:t>
            </w:r>
          </w:p>
        </w:tc>
      </w:tr>
      <w:tr w14:paraId="4B6174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6D1A15B3">
            <w:pPr>
              <w:keepNext w:val="0"/>
              <w:keepLines w:val="0"/>
              <w:pageBreakBefore w:val="0"/>
              <w:widowControl w:val="0"/>
              <w:tabs>
                <w:tab w:val="left" w:pos="180"/>
                <w:tab w:val="left" w:pos="1620"/>
              </w:tabs>
              <w:kinsoku/>
              <w:wordWrap/>
              <w:overflowPunct/>
              <w:topLinePunct w:val="0"/>
              <w:bidi w:val="0"/>
              <w:snapToGrid/>
              <w:spacing w:line="360" w:lineRule="exact"/>
              <w:jc w:val="center"/>
              <w:textAlignment w:val="auto"/>
              <w:rPr>
                <w:rFonts w:ascii="宋体" w:hAnsi="宋体" w:cs="宋体"/>
                <w:bCs/>
                <w:szCs w:val="21"/>
              </w:rPr>
            </w:pPr>
            <w:r>
              <w:rPr>
                <w:b/>
                <w:bCs/>
                <w:spacing w:val="-1"/>
              </w:rPr>
              <w:t>考核标准</w:t>
            </w:r>
          </w:p>
        </w:tc>
        <w:tc>
          <w:tcPr>
            <w:tcW w:w="8260" w:type="dxa"/>
            <w:tcBorders>
              <w:top w:val="single" w:color="auto" w:sz="4" w:space="0"/>
              <w:left w:val="single" w:color="auto" w:sz="4" w:space="0"/>
              <w:bottom w:val="single" w:color="auto" w:sz="4" w:space="0"/>
              <w:right w:val="single" w:color="auto" w:sz="4" w:space="0"/>
            </w:tcBorders>
            <w:vAlign w:val="center"/>
          </w:tcPr>
          <w:p w14:paraId="5E7A2BE2">
            <w:pPr>
              <w:keepNext w:val="0"/>
              <w:keepLines w:val="0"/>
              <w:pageBreakBefore w:val="0"/>
              <w:widowControl w:val="0"/>
              <w:kinsoku/>
              <w:wordWrap/>
              <w:overflowPunct/>
              <w:topLinePunct w:val="0"/>
              <w:bidi w:val="0"/>
              <w:snapToGrid/>
              <w:spacing w:line="360" w:lineRule="exact"/>
              <w:jc w:val="left"/>
              <w:textAlignment w:val="auto"/>
              <w:rPr>
                <w:rFonts w:ascii="宋体" w:hAnsi="宋体"/>
                <w:szCs w:val="21"/>
              </w:rPr>
            </w:pPr>
            <w:r>
              <w:rPr>
                <w:rFonts w:hint="eastAsia" w:ascii="宋体" w:hAnsi="宋体"/>
                <w:szCs w:val="21"/>
              </w:rPr>
              <w:t>每月结束后，物业公司向采购人提交请款相关资料，由相关部门对物业公司进行考</w:t>
            </w:r>
          </w:p>
          <w:p w14:paraId="673F5FE1">
            <w:pPr>
              <w:keepNext w:val="0"/>
              <w:keepLines w:val="0"/>
              <w:pageBreakBefore w:val="0"/>
              <w:widowControl w:val="0"/>
              <w:kinsoku/>
              <w:wordWrap/>
              <w:overflowPunct/>
              <w:topLinePunct w:val="0"/>
              <w:bidi w:val="0"/>
              <w:snapToGrid/>
              <w:spacing w:line="360" w:lineRule="exact"/>
              <w:jc w:val="left"/>
              <w:textAlignment w:val="auto"/>
              <w:rPr>
                <w:b/>
                <w:bCs/>
                <w:spacing w:val="-1"/>
              </w:rPr>
            </w:pPr>
            <w:r>
              <w:rPr>
                <w:rFonts w:hint="eastAsia" w:ascii="宋体" w:hAnsi="宋体"/>
                <w:szCs w:val="21"/>
              </w:rPr>
              <w:t>评后结算支付</w:t>
            </w:r>
            <w:r>
              <w:rPr>
                <w:rFonts w:hint="eastAsia"/>
                <w:spacing w:val="-1"/>
              </w:rPr>
              <w:t>（考核标准见</w:t>
            </w:r>
            <w:r>
              <w:rPr>
                <w:rFonts w:hint="eastAsia" w:ascii="宋体" w:hAnsi="宋体" w:cs="宋体"/>
                <w:b/>
                <w:bCs/>
                <w:szCs w:val="21"/>
              </w:rPr>
              <w:t>物业管理服务考核表</w:t>
            </w:r>
            <w:r>
              <w:rPr>
                <w:rFonts w:hint="eastAsia"/>
                <w:spacing w:val="-1"/>
              </w:rPr>
              <w:t>）。</w:t>
            </w:r>
          </w:p>
        </w:tc>
      </w:tr>
    </w:tbl>
    <w:p w14:paraId="0E5B70C8"/>
    <w:p w14:paraId="663E9D3B">
      <w:pPr>
        <w:pStyle w:val="34"/>
        <w:spacing w:before="0"/>
        <w:ind w:firstLine="482" w:firstLineChars="200"/>
        <w:outlineLvl w:val="1"/>
        <w:rPr>
          <w:rFonts w:ascii="宋体" w:hAnsi="宋体" w:cs="宋体"/>
          <w:b/>
          <w:szCs w:val="24"/>
        </w:rPr>
      </w:pPr>
      <w:r>
        <w:rPr>
          <w:rFonts w:hint="eastAsia" w:ascii="宋体" w:hAnsi="宋体" w:cs="宋体"/>
          <w:b/>
          <w:szCs w:val="24"/>
        </w:rPr>
        <w:t>（一）相关管理服务考核办法</w:t>
      </w:r>
    </w:p>
    <w:p w14:paraId="1CC1D154">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1.乙方按照双方确定的《相关管理服务考核办法》的约定，定期提交服务报告，甲方按照服务考核办法的约定进行定期验收。服务期间出现下列情况的，业主方有权单方解除合同，并要求中标方赔偿对应损失的违约金。</w:t>
      </w:r>
    </w:p>
    <w:p w14:paraId="65016C0F">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（1）服务内容未达到合同及投标文件约定且未能及时整改的；</w:t>
      </w:r>
    </w:p>
    <w:p w14:paraId="08D717F0">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（2）年度内累计3次考核不合格的；</w:t>
      </w:r>
    </w:p>
    <w:p w14:paraId="617BB702">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（3）发生严重泄密事件的；</w:t>
      </w:r>
    </w:p>
    <w:p w14:paraId="3DE1333A">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（4）发生严重影响、妨碍甲方正常工作秩序或造成甲方巨大经济损失的情况。</w:t>
      </w:r>
    </w:p>
    <w:p w14:paraId="5C4F6D49">
      <w:pPr>
        <w:keepNext w:val="0"/>
        <w:keepLines w:val="0"/>
        <w:pageBreakBefore w:val="0"/>
        <w:kinsoku/>
        <w:wordWrap/>
        <w:overflowPunct/>
        <w:topLinePunct w:val="0"/>
        <w:autoSpaceDE/>
        <w:autoSpaceDN/>
        <w:bidi w:val="0"/>
        <w:snapToGrid/>
        <w:spacing w:line="360" w:lineRule="exact"/>
        <w:jc w:val="center"/>
        <w:textAlignment w:val="auto"/>
        <w:rPr>
          <w:rFonts w:ascii="宋体" w:hAnsi="宋体" w:cs="宋体"/>
          <w:b/>
          <w:bCs/>
          <w:szCs w:val="21"/>
        </w:rPr>
      </w:pPr>
      <w:r>
        <w:rPr>
          <w:rFonts w:hint="eastAsia" w:ascii="宋体" w:hAnsi="宋体" w:cs="宋体"/>
          <w:b/>
          <w:bCs/>
          <w:szCs w:val="21"/>
        </w:rPr>
        <w:t>物业管理服务考核表</w:t>
      </w:r>
    </w:p>
    <w:tbl>
      <w:tblPr>
        <w:tblStyle w:val="18"/>
        <w:tblW w:w="0" w:type="auto"/>
        <w:jc w:val="center"/>
        <w:tblLayout w:type="autofit"/>
        <w:tblCellMar>
          <w:top w:w="15" w:type="dxa"/>
          <w:left w:w="15" w:type="dxa"/>
          <w:bottom w:w="15" w:type="dxa"/>
          <w:right w:w="15" w:type="dxa"/>
        </w:tblCellMar>
      </w:tblPr>
      <w:tblGrid>
        <w:gridCol w:w="419"/>
        <w:gridCol w:w="2336"/>
        <w:gridCol w:w="2233"/>
        <w:gridCol w:w="419"/>
        <w:gridCol w:w="4177"/>
        <w:gridCol w:w="267"/>
      </w:tblGrid>
      <w:tr w14:paraId="38A34B9C">
        <w:tblPrEx>
          <w:tblCellMar>
            <w:top w:w="15" w:type="dxa"/>
            <w:left w:w="15" w:type="dxa"/>
            <w:bottom w:w="15" w:type="dxa"/>
            <w:right w:w="15" w:type="dxa"/>
          </w:tblCellMar>
        </w:tblPrEx>
        <w:trPr>
          <w:tblHeade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D6DE01">
            <w:pPr>
              <w:keepNext w:val="0"/>
              <w:keepLines w:val="0"/>
              <w:pageBreakBefore w:val="0"/>
              <w:widowControl/>
              <w:kinsoku/>
              <w:wordWrap/>
              <w:overflowPunct/>
              <w:topLinePunct w:val="0"/>
              <w:autoSpaceDE/>
              <w:autoSpaceDN/>
              <w:bidi w:val="0"/>
              <w:snapToGrid/>
              <w:spacing w:line="360" w:lineRule="exact"/>
              <w:jc w:val="center"/>
              <w:textAlignment w:val="auto"/>
              <w:rPr>
                <w:b/>
                <w:bCs/>
                <w:kern w:val="0"/>
                <w:szCs w:val="21"/>
              </w:rPr>
            </w:pPr>
            <w:r>
              <w:rPr>
                <w:rFonts w:hint="eastAsia"/>
                <w:b/>
                <w:bCs/>
                <w:szCs w:val="21"/>
              </w:rPr>
              <w:t>序号</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CC49D8">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考核内容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CC513F">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分值</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64C1B5">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评分标准</w:t>
            </w:r>
          </w:p>
        </w:tc>
        <w:tc>
          <w:tcPr>
            <w:tcW w:w="0" w:type="auto"/>
            <w:tcBorders>
              <w:top w:val="single" w:color="000000" w:sz="6" w:space="0"/>
              <w:left w:val="single" w:color="000000" w:sz="6" w:space="0"/>
              <w:bottom w:val="single" w:color="000000" w:sz="6" w:space="0"/>
              <w:right w:val="single" w:color="000000" w:sz="6" w:space="0"/>
            </w:tcBorders>
          </w:tcPr>
          <w:p w14:paraId="04B9AC5D">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扣分</w:t>
            </w:r>
          </w:p>
        </w:tc>
      </w:tr>
      <w:tr w14:paraId="1D0B82DE">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7617FE">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一、保洁管理服务</w:t>
            </w:r>
            <w:r>
              <w:rPr>
                <w:rFonts w:hint="eastAsia"/>
                <w:b/>
                <w:bCs/>
                <w:szCs w:val="21"/>
              </w:rPr>
              <w:t>（总分50分）</w:t>
            </w:r>
          </w:p>
        </w:tc>
        <w:tc>
          <w:tcPr>
            <w:tcW w:w="0" w:type="auto"/>
            <w:tcBorders>
              <w:top w:val="single" w:color="000000" w:sz="6" w:space="0"/>
              <w:left w:val="single" w:color="000000" w:sz="6" w:space="0"/>
              <w:bottom w:val="single" w:color="000000" w:sz="6" w:space="0"/>
              <w:right w:val="single" w:color="000000" w:sz="6" w:space="0"/>
            </w:tcBorders>
          </w:tcPr>
          <w:p w14:paraId="218C8016">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75D3F224">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08F1F7">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EA7CC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物业管理区域内道路地面干净无杂物、无积水，无明显污迹、油渍；明沟、窨井内无杂物、无异味；各种标示标牌表面干净无积尘、无水印；路灯表面干净无污渍。</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D3B83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10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B2AEC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道路地面有杂物、积水、污迹油渍每处扣1分；明沟、窨井有杂物或异味每处扣1分；标示标牌有积尘或水印每处扣0.5分；路灯表面有污渍每处扣0.5分。扣完10分为止。</w:t>
            </w:r>
          </w:p>
        </w:tc>
        <w:tc>
          <w:tcPr>
            <w:tcW w:w="0" w:type="auto"/>
            <w:tcBorders>
              <w:top w:val="single" w:color="000000" w:sz="6" w:space="0"/>
              <w:left w:val="single" w:color="000000" w:sz="6" w:space="0"/>
              <w:bottom w:val="single" w:color="000000" w:sz="6" w:space="0"/>
              <w:right w:val="single" w:color="000000" w:sz="6" w:space="0"/>
            </w:tcBorders>
          </w:tcPr>
          <w:p w14:paraId="3C82A580">
            <w:pPr>
              <w:keepNext w:val="0"/>
              <w:keepLines w:val="0"/>
              <w:pageBreakBefore w:val="0"/>
              <w:kinsoku/>
              <w:wordWrap/>
              <w:overflowPunct/>
              <w:topLinePunct w:val="0"/>
              <w:autoSpaceDE/>
              <w:autoSpaceDN/>
              <w:bidi w:val="0"/>
              <w:snapToGrid/>
              <w:spacing w:line="360" w:lineRule="exact"/>
              <w:textAlignment w:val="auto"/>
              <w:rPr>
                <w:szCs w:val="21"/>
              </w:rPr>
            </w:pPr>
          </w:p>
        </w:tc>
      </w:tr>
      <w:tr w14:paraId="75046834">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68347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5CEE3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公共通道地面干净、无污渍，保持地面材质原貌；门框、窗框、窗台、金属件表面光亮、无灰尘、无污渍；门窗玻璃干净无尘，透光性好，无明显印迹；各种金属件表面干净，无污渍；门把手干净、无印迹、定时消毒；天花板干净，无污渍、无蛛网；灯具干净无积尘，无污迹，进出口地垫摆放整齐，表面干净无杂物，盆栽植物无积尘。</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CF8EA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10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879B8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公共通道地面有污渍每处扣0.5分；门框、窗框、窗台、金属件有灰尘、污渍每处扣0.5分；门窗玻璃不干净、有明显印迹每处扣0.5分；天花板有污渍、蛛网每处扣0.5分；灯具有积尘、污迹每处扣0.5分；进出口地垫摆放不整齐或有杂物每处扣0.5分；盆栽植物有积尘每处扣0.5分。扣完10分为止。</w:t>
            </w:r>
          </w:p>
        </w:tc>
        <w:tc>
          <w:tcPr>
            <w:tcW w:w="0" w:type="auto"/>
            <w:tcBorders>
              <w:top w:val="single" w:color="000000" w:sz="6" w:space="0"/>
              <w:left w:val="single" w:color="000000" w:sz="6" w:space="0"/>
              <w:bottom w:val="single" w:color="000000" w:sz="6" w:space="0"/>
              <w:right w:val="single" w:color="000000" w:sz="6" w:space="0"/>
            </w:tcBorders>
          </w:tcPr>
          <w:p w14:paraId="45E7BFB7">
            <w:pPr>
              <w:keepNext w:val="0"/>
              <w:keepLines w:val="0"/>
              <w:pageBreakBefore w:val="0"/>
              <w:kinsoku/>
              <w:wordWrap/>
              <w:overflowPunct/>
              <w:topLinePunct w:val="0"/>
              <w:autoSpaceDE/>
              <w:autoSpaceDN/>
              <w:bidi w:val="0"/>
              <w:snapToGrid/>
              <w:spacing w:line="360" w:lineRule="exact"/>
              <w:textAlignment w:val="auto"/>
              <w:rPr>
                <w:szCs w:val="21"/>
              </w:rPr>
            </w:pPr>
          </w:p>
        </w:tc>
      </w:tr>
      <w:tr w14:paraId="179CA984">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54F849">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9B5C3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会议室、接待室地面、墙面干净，无灰尘、污渍；天花板、风口目视无灰尘、污渍；桌椅干净，物品摆放整齐、有序。</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78E82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7A189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会议室、接待室地面或墙面有灰尘、污渍每处扣0.5分；天花板、风口有灰尘、污渍每处扣0.5分；桌椅不干净或物品摆放不整齐每处扣0.5分。扣完5分为止。</w:t>
            </w:r>
          </w:p>
        </w:tc>
        <w:tc>
          <w:tcPr>
            <w:tcW w:w="0" w:type="auto"/>
            <w:tcBorders>
              <w:top w:val="single" w:color="000000" w:sz="6" w:space="0"/>
              <w:left w:val="single" w:color="000000" w:sz="6" w:space="0"/>
              <w:bottom w:val="single" w:color="000000" w:sz="6" w:space="0"/>
              <w:right w:val="single" w:color="000000" w:sz="6" w:space="0"/>
            </w:tcBorders>
          </w:tcPr>
          <w:p w14:paraId="17BE99D6">
            <w:pPr>
              <w:keepNext w:val="0"/>
              <w:keepLines w:val="0"/>
              <w:pageBreakBefore w:val="0"/>
              <w:kinsoku/>
              <w:wordWrap/>
              <w:overflowPunct/>
              <w:topLinePunct w:val="0"/>
              <w:autoSpaceDE/>
              <w:autoSpaceDN/>
              <w:bidi w:val="0"/>
              <w:snapToGrid/>
              <w:spacing w:line="360" w:lineRule="exact"/>
              <w:textAlignment w:val="auto"/>
              <w:rPr>
                <w:szCs w:val="21"/>
              </w:rPr>
            </w:pPr>
          </w:p>
        </w:tc>
      </w:tr>
      <w:tr w14:paraId="7044D215">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A26C5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4</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14CA65">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楼梯间梯步表面干净无污渍，防滑条（缝）干净，扶手栏杆表面干净无灰尘。</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E3E91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4FD3E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楼梯间梯步表面有污渍每处扣0.5分；防滑条（缝）不干净每处扣0.5分；扶手栏杆表面有灰尘每处扣0.5分。扣完5分为止。</w:t>
            </w:r>
          </w:p>
        </w:tc>
        <w:tc>
          <w:tcPr>
            <w:tcW w:w="0" w:type="auto"/>
            <w:tcBorders>
              <w:top w:val="single" w:color="000000" w:sz="6" w:space="0"/>
              <w:left w:val="single" w:color="000000" w:sz="6" w:space="0"/>
              <w:bottom w:val="single" w:color="000000" w:sz="6" w:space="0"/>
              <w:right w:val="single" w:color="000000" w:sz="6" w:space="0"/>
            </w:tcBorders>
          </w:tcPr>
          <w:p w14:paraId="443E0C3C">
            <w:pPr>
              <w:keepNext w:val="0"/>
              <w:keepLines w:val="0"/>
              <w:pageBreakBefore w:val="0"/>
              <w:kinsoku/>
              <w:wordWrap/>
              <w:overflowPunct/>
              <w:topLinePunct w:val="0"/>
              <w:autoSpaceDE/>
              <w:autoSpaceDN/>
              <w:bidi w:val="0"/>
              <w:snapToGrid/>
              <w:spacing w:line="360" w:lineRule="exact"/>
              <w:textAlignment w:val="auto"/>
              <w:rPr>
                <w:szCs w:val="21"/>
              </w:rPr>
            </w:pPr>
          </w:p>
        </w:tc>
      </w:tr>
      <w:tr w14:paraId="369E40B2">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E9E73A">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D66F8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公共卫生间地面干净，无污渍、无积水，大小便器表面干净，无污渍，有光泽；各种隔断表面干净，无乱写乱画，金属饰件表面干净无污迹，有金属光泽；墙壁表面干净。</w:t>
            </w:r>
            <w:r>
              <w:rPr>
                <w:szCs w:val="21"/>
              </w:rPr>
              <w:t xml:space="preserve">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6B1836">
            <w:pPr>
              <w:keepNext w:val="0"/>
              <w:keepLines w:val="0"/>
              <w:pageBreakBefore w:val="0"/>
              <w:kinsoku/>
              <w:wordWrap/>
              <w:overflowPunct/>
              <w:topLinePunct w:val="0"/>
              <w:autoSpaceDE/>
              <w:autoSpaceDN/>
              <w:bidi w:val="0"/>
              <w:snapToGrid/>
              <w:spacing w:line="360" w:lineRule="exact"/>
              <w:textAlignment w:val="auto"/>
              <w:rPr>
                <w:szCs w:val="21"/>
              </w:rPr>
            </w:pPr>
            <w:r>
              <w:rPr>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B5F4A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公共卫生间地面有污渍、积水每处扣0.5分；大小便器表面不干净每处扣0.5分；隔断有乱写乱画每处扣0.5分；金属饰件有污迹每处扣0.5分；墙壁表面不干净每处扣0.5分；扣完</w:t>
            </w:r>
            <w:r>
              <w:rPr>
                <w:szCs w:val="21"/>
              </w:rPr>
              <w:t>3</w:t>
            </w:r>
            <w:r>
              <w:rPr>
                <w:rFonts w:hint="eastAsia"/>
                <w:szCs w:val="21"/>
              </w:rPr>
              <w:t>分为止。</w:t>
            </w:r>
          </w:p>
        </w:tc>
        <w:tc>
          <w:tcPr>
            <w:tcW w:w="0" w:type="auto"/>
            <w:tcBorders>
              <w:top w:val="single" w:color="000000" w:sz="6" w:space="0"/>
              <w:left w:val="single" w:color="000000" w:sz="6" w:space="0"/>
              <w:bottom w:val="single" w:color="000000" w:sz="6" w:space="0"/>
              <w:right w:val="single" w:color="000000" w:sz="6" w:space="0"/>
            </w:tcBorders>
          </w:tcPr>
          <w:p w14:paraId="36D8E580">
            <w:pPr>
              <w:keepNext w:val="0"/>
              <w:keepLines w:val="0"/>
              <w:pageBreakBefore w:val="0"/>
              <w:kinsoku/>
              <w:wordWrap/>
              <w:overflowPunct/>
              <w:topLinePunct w:val="0"/>
              <w:autoSpaceDE/>
              <w:autoSpaceDN/>
              <w:bidi w:val="0"/>
              <w:snapToGrid/>
              <w:spacing w:line="360" w:lineRule="exact"/>
              <w:textAlignment w:val="auto"/>
              <w:rPr>
                <w:szCs w:val="21"/>
              </w:rPr>
            </w:pPr>
          </w:p>
        </w:tc>
      </w:tr>
      <w:tr w14:paraId="21FF3663">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92299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6</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5D675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露天停车场地面干净，无杂物，无明显油渍、污渍；顶部各种管网、灯具表面干净无积尘、无蛛网；墙面干净无积尘，各种指示牌表面干净有光泽；消防器材表面干净，摆放整齐。</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EFE43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52476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露天停车场地面有杂物、明显油渍每处扣0.5分；顶部管网、灯具有积尘或蛛网每处扣0.5分；墙面有积尘每处扣0.5分；各种指示牌、消防器材表面不干净每处扣0.5分。扣完</w:t>
            </w:r>
            <w:r>
              <w:rPr>
                <w:szCs w:val="21"/>
              </w:rPr>
              <w:t>2</w:t>
            </w:r>
            <w:r>
              <w:rPr>
                <w:rFonts w:hint="eastAsia"/>
                <w:szCs w:val="21"/>
              </w:rPr>
              <w:t>分为止。</w:t>
            </w:r>
          </w:p>
        </w:tc>
        <w:tc>
          <w:tcPr>
            <w:tcW w:w="0" w:type="auto"/>
            <w:tcBorders>
              <w:top w:val="single" w:color="000000" w:sz="6" w:space="0"/>
              <w:left w:val="single" w:color="000000" w:sz="6" w:space="0"/>
              <w:bottom w:val="single" w:color="000000" w:sz="6" w:space="0"/>
              <w:right w:val="single" w:color="000000" w:sz="6" w:space="0"/>
            </w:tcBorders>
          </w:tcPr>
          <w:p w14:paraId="6A3F4687">
            <w:pPr>
              <w:keepNext w:val="0"/>
              <w:keepLines w:val="0"/>
              <w:pageBreakBefore w:val="0"/>
              <w:kinsoku/>
              <w:wordWrap/>
              <w:overflowPunct/>
              <w:topLinePunct w:val="0"/>
              <w:autoSpaceDE/>
              <w:autoSpaceDN/>
              <w:bidi w:val="0"/>
              <w:snapToGrid/>
              <w:spacing w:line="360" w:lineRule="exact"/>
              <w:textAlignment w:val="auto"/>
              <w:rPr>
                <w:szCs w:val="21"/>
              </w:rPr>
            </w:pPr>
          </w:p>
        </w:tc>
      </w:tr>
      <w:tr w14:paraId="0486462E">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4414FE">
            <w:pPr>
              <w:keepNext w:val="0"/>
              <w:keepLines w:val="0"/>
              <w:pageBreakBefore w:val="0"/>
              <w:kinsoku/>
              <w:wordWrap/>
              <w:overflowPunct/>
              <w:topLinePunct w:val="0"/>
              <w:autoSpaceDE/>
              <w:autoSpaceDN/>
              <w:bidi w:val="0"/>
              <w:snapToGrid/>
              <w:spacing w:line="360" w:lineRule="exact"/>
              <w:textAlignment w:val="auto"/>
              <w:rPr>
                <w:szCs w:val="21"/>
              </w:rPr>
            </w:pPr>
            <w:r>
              <w:rPr>
                <w:szCs w:val="21"/>
              </w:rPr>
              <w:t>7</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ED90F9">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电气设施、灯泡、灯管、灯罩无积尘、无污迹。装饰无积尘、无污迹；开关、插座、配电箱无积尘、无明显污迹。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9717F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9F4D6E">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电气设施、灯泡、灯管、灯罩有积尘或污迹每处扣0.5分；装饰有积尘或污迹每处扣0.5分；开关、插座、配电箱有积尘或明显污迹每处扣0.5分。扣完2分为止。</w:t>
            </w:r>
          </w:p>
        </w:tc>
        <w:tc>
          <w:tcPr>
            <w:tcW w:w="0" w:type="auto"/>
            <w:tcBorders>
              <w:top w:val="single" w:color="000000" w:sz="6" w:space="0"/>
              <w:left w:val="single" w:color="000000" w:sz="6" w:space="0"/>
              <w:bottom w:val="single" w:color="000000" w:sz="6" w:space="0"/>
              <w:right w:val="single" w:color="000000" w:sz="6" w:space="0"/>
            </w:tcBorders>
          </w:tcPr>
          <w:p w14:paraId="1E379121">
            <w:pPr>
              <w:keepNext w:val="0"/>
              <w:keepLines w:val="0"/>
              <w:pageBreakBefore w:val="0"/>
              <w:kinsoku/>
              <w:wordWrap/>
              <w:overflowPunct/>
              <w:topLinePunct w:val="0"/>
              <w:autoSpaceDE/>
              <w:autoSpaceDN/>
              <w:bidi w:val="0"/>
              <w:snapToGrid/>
              <w:spacing w:line="360" w:lineRule="exact"/>
              <w:textAlignment w:val="auto"/>
              <w:rPr>
                <w:szCs w:val="21"/>
              </w:rPr>
            </w:pPr>
          </w:p>
        </w:tc>
      </w:tr>
      <w:tr w14:paraId="7A5617EB">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9A3B9F">
            <w:pPr>
              <w:keepNext w:val="0"/>
              <w:keepLines w:val="0"/>
              <w:pageBreakBefore w:val="0"/>
              <w:kinsoku/>
              <w:wordWrap/>
              <w:overflowPunct/>
              <w:topLinePunct w:val="0"/>
              <w:autoSpaceDE/>
              <w:autoSpaceDN/>
              <w:bidi w:val="0"/>
              <w:snapToGrid/>
              <w:spacing w:line="360" w:lineRule="exact"/>
              <w:textAlignment w:val="auto"/>
              <w:rPr>
                <w:szCs w:val="21"/>
              </w:rPr>
            </w:pPr>
            <w:r>
              <w:rPr>
                <w:szCs w:val="21"/>
              </w:rPr>
              <w:t>8</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17459E">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垃圾桶及果皮桶、箱按指定位置摆放，桶身表面干净无污渍、无痰迹；垃圾桶无满溢现象，内胆应定期清洁、消毒。</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434AB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BC3AF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垃圾桶及果皮桶未按指定位置摆放每处扣0.5分；桶身表面有污渍、痰迹每处扣0.5分；垃圾桶满溢每处扣0.5分；内胆未定期清洁、消毒每处扣0.5分。扣完3分为止。</w:t>
            </w:r>
          </w:p>
        </w:tc>
        <w:tc>
          <w:tcPr>
            <w:tcW w:w="0" w:type="auto"/>
            <w:tcBorders>
              <w:top w:val="single" w:color="000000" w:sz="6" w:space="0"/>
              <w:left w:val="single" w:color="000000" w:sz="6" w:space="0"/>
              <w:bottom w:val="single" w:color="000000" w:sz="6" w:space="0"/>
              <w:right w:val="single" w:color="000000" w:sz="6" w:space="0"/>
            </w:tcBorders>
          </w:tcPr>
          <w:p w14:paraId="7B6C07C9">
            <w:pPr>
              <w:keepNext w:val="0"/>
              <w:keepLines w:val="0"/>
              <w:pageBreakBefore w:val="0"/>
              <w:kinsoku/>
              <w:wordWrap/>
              <w:overflowPunct/>
              <w:topLinePunct w:val="0"/>
              <w:autoSpaceDE/>
              <w:autoSpaceDN/>
              <w:bidi w:val="0"/>
              <w:snapToGrid/>
              <w:spacing w:line="360" w:lineRule="exact"/>
              <w:textAlignment w:val="auto"/>
              <w:rPr>
                <w:szCs w:val="21"/>
              </w:rPr>
            </w:pPr>
          </w:p>
        </w:tc>
      </w:tr>
      <w:tr w14:paraId="31313200">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0B4864">
            <w:pPr>
              <w:keepNext w:val="0"/>
              <w:keepLines w:val="0"/>
              <w:pageBreakBefore w:val="0"/>
              <w:kinsoku/>
              <w:wordWrap/>
              <w:overflowPunct/>
              <w:topLinePunct w:val="0"/>
              <w:autoSpaceDE/>
              <w:autoSpaceDN/>
              <w:bidi w:val="0"/>
              <w:snapToGrid/>
              <w:spacing w:line="360" w:lineRule="exact"/>
              <w:textAlignment w:val="auto"/>
              <w:rPr>
                <w:szCs w:val="21"/>
              </w:rPr>
            </w:pPr>
            <w:r>
              <w:rPr>
                <w:szCs w:val="21"/>
              </w:rPr>
              <w:t>9</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708C9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消防栓、消防箱，公共设施保持表面干净，无灰尘、无污渍。</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C886E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7306D5">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消防栓、消防箱、公共设施表面有灰尘、污渍每处扣0.5分。扣完3分为止。</w:t>
            </w:r>
          </w:p>
        </w:tc>
        <w:tc>
          <w:tcPr>
            <w:tcW w:w="0" w:type="auto"/>
            <w:tcBorders>
              <w:top w:val="single" w:color="000000" w:sz="6" w:space="0"/>
              <w:left w:val="single" w:color="000000" w:sz="6" w:space="0"/>
              <w:bottom w:val="single" w:color="000000" w:sz="6" w:space="0"/>
              <w:right w:val="single" w:color="000000" w:sz="6" w:space="0"/>
            </w:tcBorders>
          </w:tcPr>
          <w:p w14:paraId="79BF48F6">
            <w:pPr>
              <w:keepNext w:val="0"/>
              <w:keepLines w:val="0"/>
              <w:pageBreakBefore w:val="0"/>
              <w:kinsoku/>
              <w:wordWrap/>
              <w:overflowPunct/>
              <w:topLinePunct w:val="0"/>
              <w:autoSpaceDE/>
              <w:autoSpaceDN/>
              <w:bidi w:val="0"/>
              <w:snapToGrid/>
              <w:spacing w:line="360" w:lineRule="exact"/>
              <w:textAlignment w:val="auto"/>
              <w:rPr>
                <w:szCs w:val="21"/>
              </w:rPr>
            </w:pPr>
          </w:p>
        </w:tc>
      </w:tr>
      <w:tr w14:paraId="6FBA6ABC">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9CA42E">
            <w:pPr>
              <w:keepNext w:val="0"/>
              <w:keepLines w:val="0"/>
              <w:pageBreakBefore w:val="0"/>
              <w:kinsoku/>
              <w:wordWrap/>
              <w:overflowPunct/>
              <w:topLinePunct w:val="0"/>
              <w:autoSpaceDE/>
              <w:autoSpaceDN/>
              <w:bidi w:val="0"/>
              <w:snapToGrid/>
              <w:spacing w:line="360" w:lineRule="exact"/>
              <w:textAlignment w:val="auto"/>
              <w:rPr>
                <w:szCs w:val="21"/>
              </w:rPr>
            </w:pPr>
            <w:r>
              <w:rPr>
                <w:szCs w:val="21"/>
              </w:rPr>
              <w:t>10</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71BFF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垃圾收集点管理，有专人负责袋装垃圾按规定地点分类集中，摆放整齐，地面无明显垃圾，无污水外溢，桶内无明显异味，垃圾日产日清。</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705A7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B77CF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垃圾收集点无专人负责扣1分；未按规定地点分类集中、摆放整齐扣0.5分；地面有明显垃圾或污水外溢扣0.5分；桶内有明显异味扣0.5分；垃圾未日产日清扣1分。扣完2分为止。</w:t>
            </w:r>
          </w:p>
        </w:tc>
        <w:tc>
          <w:tcPr>
            <w:tcW w:w="0" w:type="auto"/>
            <w:tcBorders>
              <w:top w:val="single" w:color="000000" w:sz="6" w:space="0"/>
              <w:left w:val="single" w:color="000000" w:sz="6" w:space="0"/>
              <w:bottom w:val="single" w:color="000000" w:sz="6" w:space="0"/>
              <w:right w:val="single" w:color="000000" w:sz="6" w:space="0"/>
            </w:tcBorders>
          </w:tcPr>
          <w:p w14:paraId="3D49104A">
            <w:pPr>
              <w:keepNext w:val="0"/>
              <w:keepLines w:val="0"/>
              <w:pageBreakBefore w:val="0"/>
              <w:kinsoku/>
              <w:wordWrap/>
              <w:overflowPunct/>
              <w:topLinePunct w:val="0"/>
              <w:autoSpaceDE/>
              <w:autoSpaceDN/>
              <w:bidi w:val="0"/>
              <w:snapToGrid/>
              <w:spacing w:line="360" w:lineRule="exact"/>
              <w:textAlignment w:val="auto"/>
              <w:rPr>
                <w:szCs w:val="21"/>
              </w:rPr>
            </w:pPr>
          </w:p>
        </w:tc>
      </w:tr>
      <w:tr w14:paraId="4F959A66">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B95C5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1</w:t>
            </w:r>
            <w:r>
              <w:rPr>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887108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管道无卫生死角、无垃圾堆积，无积尘、目视无蜘蛛网、无明显污渍、无水渍；指示牌、广告牌无灰尘、无污迹，金属件表面光亮，无污迹。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6D956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8E13E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管道有卫生死角、垃圾堆积、积尘、蜘蛛网、明显污渍或水渍每处扣0.5分；指示牌、广告牌有灰尘、污迹每处扣0.5分；金属件表面不光亮、有污迹每处扣0.5分。扣完3分为止。</w:t>
            </w:r>
          </w:p>
        </w:tc>
        <w:tc>
          <w:tcPr>
            <w:tcW w:w="0" w:type="auto"/>
            <w:tcBorders>
              <w:top w:val="single" w:color="000000" w:sz="6" w:space="0"/>
              <w:left w:val="single" w:color="000000" w:sz="6" w:space="0"/>
              <w:bottom w:val="single" w:color="000000" w:sz="6" w:space="0"/>
              <w:right w:val="single" w:color="000000" w:sz="6" w:space="0"/>
            </w:tcBorders>
          </w:tcPr>
          <w:p w14:paraId="6E3BD9E4">
            <w:pPr>
              <w:keepNext w:val="0"/>
              <w:keepLines w:val="0"/>
              <w:pageBreakBefore w:val="0"/>
              <w:kinsoku/>
              <w:wordWrap/>
              <w:overflowPunct/>
              <w:topLinePunct w:val="0"/>
              <w:autoSpaceDE/>
              <w:autoSpaceDN/>
              <w:bidi w:val="0"/>
              <w:snapToGrid/>
              <w:spacing w:line="360" w:lineRule="exact"/>
              <w:textAlignment w:val="auto"/>
              <w:rPr>
                <w:szCs w:val="21"/>
              </w:rPr>
            </w:pPr>
          </w:p>
        </w:tc>
      </w:tr>
      <w:tr w14:paraId="2C6299C4">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1DEFD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1</w:t>
            </w:r>
            <w:r>
              <w:rPr>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97FFA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石板面道路干净整洁无污物，循环清扫散落垃圾。</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8DB15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70EC8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石板面道路不干净、有污物每处扣0.5分；未循环清扫散落垃圾每处扣0.5分。扣完2分为止。</w:t>
            </w:r>
          </w:p>
        </w:tc>
        <w:tc>
          <w:tcPr>
            <w:tcW w:w="0" w:type="auto"/>
            <w:tcBorders>
              <w:top w:val="single" w:color="000000" w:sz="6" w:space="0"/>
              <w:left w:val="single" w:color="000000" w:sz="6" w:space="0"/>
              <w:bottom w:val="single" w:color="000000" w:sz="6" w:space="0"/>
              <w:right w:val="single" w:color="000000" w:sz="6" w:space="0"/>
            </w:tcBorders>
          </w:tcPr>
          <w:p w14:paraId="149867E8">
            <w:pPr>
              <w:keepNext w:val="0"/>
              <w:keepLines w:val="0"/>
              <w:pageBreakBefore w:val="0"/>
              <w:kinsoku/>
              <w:wordWrap/>
              <w:overflowPunct/>
              <w:topLinePunct w:val="0"/>
              <w:autoSpaceDE/>
              <w:autoSpaceDN/>
              <w:bidi w:val="0"/>
              <w:snapToGrid/>
              <w:spacing w:line="360" w:lineRule="exact"/>
              <w:textAlignment w:val="auto"/>
              <w:rPr>
                <w:szCs w:val="21"/>
              </w:rPr>
            </w:pPr>
          </w:p>
        </w:tc>
      </w:tr>
      <w:tr w14:paraId="7458FFDB">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132001">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二、绿化服务</w:t>
            </w:r>
            <w:r>
              <w:rPr>
                <w:rFonts w:hint="eastAsia"/>
                <w:b/>
                <w:bCs/>
                <w:szCs w:val="21"/>
              </w:rPr>
              <w:t>（总分5分）</w:t>
            </w:r>
          </w:p>
        </w:tc>
        <w:tc>
          <w:tcPr>
            <w:tcW w:w="0" w:type="auto"/>
            <w:tcBorders>
              <w:top w:val="single" w:color="000000" w:sz="6" w:space="0"/>
              <w:left w:val="single" w:color="000000" w:sz="6" w:space="0"/>
              <w:bottom w:val="single" w:color="000000" w:sz="6" w:space="0"/>
              <w:right w:val="single" w:color="000000" w:sz="6" w:space="0"/>
            </w:tcBorders>
          </w:tcPr>
          <w:p w14:paraId="0A0C78A8">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731B9D47">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DD0898">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A5809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对区域内的绿化进行监管，负责区域内绿化定期修剪养护、浇水、施肥、喷药杀虫，保持良好长势。</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FDC81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7B585E">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负责区域内绿化定期修剪养护、浇水、施肥、喷药杀虫，保持良好长势，每缺一项扣1分；绿化长势不佳每处扣0.5分。扣完3分为止。</w:t>
            </w:r>
          </w:p>
        </w:tc>
        <w:tc>
          <w:tcPr>
            <w:tcW w:w="0" w:type="auto"/>
            <w:tcBorders>
              <w:top w:val="single" w:color="000000" w:sz="6" w:space="0"/>
              <w:left w:val="single" w:color="000000" w:sz="6" w:space="0"/>
              <w:bottom w:val="single" w:color="000000" w:sz="6" w:space="0"/>
              <w:right w:val="single" w:color="000000" w:sz="6" w:space="0"/>
            </w:tcBorders>
          </w:tcPr>
          <w:p w14:paraId="39C3DD34">
            <w:pPr>
              <w:keepNext w:val="0"/>
              <w:keepLines w:val="0"/>
              <w:pageBreakBefore w:val="0"/>
              <w:kinsoku/>
              <w:wordWrap/>
              <w:overflowPunct/>
              <w:topLinePunct w:val="0"/>
              <w:autoSpaceDE/>
              <w:autoSpaceDN/>
              <w:bidi w:val="0"/>
              <w:snapToGrid/>
              <w:spacing w:line="360" w:lineRule="exact"/>
              <w:textAlignment w:val="auto"/>
              <w:rPr>
                <w:szCs w:val="21"/>
              </w:rPr>
            </w:pPr>
          </w:p>
        </w:tc>
      </w:tr>
      <w:tr w14:paraId="5209D57F">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741A7E">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62E2E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会议室和办公室绿植保持长势良好。</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B032C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7E070A">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会议室和办公室绿植长势不好，每盆扣0.5分。扣完2分为止。</w:t>
            </w:r>
          </w:p>
        </w:tc>
        <w:tc>
          <w:tcPr>
            <w:tcW w:w="0" w:type="auto"/>
            <w:tcBorders>
              <w:top w:val="single" w:color="000000" w:sz="6" w:space="0"/>
              <w:left w:val="single" w:color="000000" w:sz="6" w:space="0"/>
              <w:bottom w:val="single" w:color="000000" w:sz="6" w:space="0"/>
              <w:right w:val="single" w:color="000000" w:sz="6" w:space="0"/>
            </w:tcBorders>
          </w:tcPr>
          <w:p w14:paraId="035036B6">
            <w:pPr>
              <w:keepNext w:val="0"/>
              <w:keepLines w:val="0"/>
              <w:pageBreakBefore w:val="0"/>
              <w:kinsoku/>
              <w:wordWrap/>
              <w:overflowPunct/>
              <w:topLinePunct w:val="0"/>
              <w:autoSpaceDE/>
              <w:autoSpaceDN/>
              <w:bidi w:val="0"/>
              <w:snapToGrid/>
              <w:spacing w:line="360" w:lineRule="exact"/>
              <w:textAlignment w:val="auto"/>
              <w:rPr>
                <w:szCs w:val="21"/>
              </w:rPr>
            </w:pPr>
          </w:p>
        </w:tc>
      </w:tr>
      <w:tr w14:paraId="7638C766">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25E064">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三、垃圾分类收集与配合清理</w:t>
            </w:r>
            <w:r>
              <w:rPr>
                <w:rFonts w:hint="eastAsia"/>
                <w:b/>
                <w:bCs/>
                <w:szCs w:val="21"/>
              </w:rPr>
              <w:t>（总分10分）</w:t>
            </w:r>
          </w:p>
        </w:tc>
        <w:tc>
          <w:tcPr>
            <w:tcW w:w="0" w:type="auto"/>
            <w:tcBorders>
              <w:top w:val="single" w:color="000000" w:sz="6" w:space="0"/>
              <w:left w:val="single" w:color="000000" w:sz="6" w:space="0"/>
              <w:bottom w:val="single" w:color="000000" w:sz="6" w:space="0"/>
              <w:right w:val="single" w:color="000000" w:sz="6" w:space="0"/>
            </w:tcBorders>
          </w:tcPr>
          <w:p w14:paraId="49BC54CF">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001C873B">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627281">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F681D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须确保无散积垃圾、无异味，须经常喷洒药水，防止发生虫害。</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2C811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12BB79">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有散积垃圾每处扣1分；有异味每处扣1分；未经常喷洒药水导致发生虫害每次扣2分。扣完5分为止。</w:t>
            </w:r>
          </w:p>
        </w:tc>
        <w:tc>
          <w:tcPr>
            <w:tcW w:w="0" w:type="auto"/>
            <w:tcBorders>
              <w:top w:val="single" w:color="000000" w:sz="6" w:space="0"/>
              <w:left w:val="single" w:color="000000" w:sz="6" w:space="0"/>
              <w:bottom w:val="single" w:color="000000" w:sz="6" w:space="0"/>
              <w:right w:val="single" w:color="000000" w:sz="6" w:space="0"/>
            </w:tcBorders>
          </w:tcPr>
          <w:p w14:paraId="44D11296">
            <w:pPr>
              <w:keepNext w:val="0"/>
              <w:keepLines w:val="0"/>
              <w:pageBreakBefore w:val="0"/>
              <w:kinsoku/>
              <w:wordWrap/>
              <w:overflowPunct/>
              <w:topLinePunct w:val="0"/>
              <w:autoSpaceDE/>
              <w:autoSpaceDN/>
              <w:bidi w:val="0"/>
              <w:snapToGrid/>
              <w:spacing w:line="360" w:lineRule="exact"/>
              <w:textAlignment w:val="auto"/>
              <w:rPr>
                <w:szCs w:val="21"/>
              </w:rPr>
            </w:pPr>
          </w:p>
        </w:tc>
      </w:tr>
      <w:tr w14:paraId="10096552">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3C616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9E7091">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所有垃圾须日产日清，清洁人员每天定时到各点收集废纸及可再生废弃物进行回收、处理。</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B77BE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BBDDD1">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垃圾未日产日清每次扣1分；清洁人员未定时到各点收集废纸及可再生废弃物每次扣1分。扣完5分为止。</w:t>
            </w:r>
          </w:p>
        </w:tc>
        <w:tc>
          <w:tcPr>
            <w:tcW w:w="0" w:type="auto"/>
            <w:tcBorders>
              <w:top w:val="single" w:color="000000" w:sz="6" w:space="0"/>
              <w:left w:val="single" w:color="000000" w:sz="6" w:space="0"/>
              <w:bottom w:val="single" w:color="000000" w:sz="6" w:space="0"/>
              <w:right w:val="single" w:color="000000" w:sz="6" w:space="0"/>
            </w:tcBorders>
          </w:tcPr>
          <w:p w14:paraId="0453A374">
            <w:pPr>
              <w:keepNext w:val="0"/>
              <w:keepLines w:val="0"/>
              <w:pageBreakBefore w:val="0"/>
              <w:kinsoku/>
              <w:wordWrap/>
              <w:overflowPunct/>
              <w:topLinePunct w:val="0"/>
              <w:autoSpaceDE/>
              <w:autoSpaceDN/>
              <w:bidi w:val="0"/>
              <w:snapToGrid/>
              <w:spacing w:line="360" w:lineRule="exact"/>
              <w:textAlignment w:val="auto"/>
              <w:rPr>
                <w:szCs w:val="21"/>
              </w:rPr>
            </w:pPr>
          </w:p>
        </w:tc>
      </w:tr>
      <w:tr w14:paraId="15D5003E">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5DD2EE">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四、维修管理服务</w:t>
            </w:r>
            <w:r>
              <w:rPr>
                <w:rFonts w:hint="eastAsia"/>
                <w:b/>
                <w:bCs/>
                <w:szCs w:val="21"/>
              </w:rPr>
              <w:t>（总分20分）</w:t>
            </w:r>
          </w:p>
        </w:tc>
        <w:tc>
          <w:tcPr>
            <w:tcW w:w="0" w:type="auto"/>
            <w:tcBorders>
              <w:top w:val="single" w:color="000000" w:sz="6" w:space="0"/>
              <w:left w:val="single" w:color="000000" w:sz="6" w:space="0"/>
              <w:bottom w:val="single" w:color="000000" w:sz="6" w:space="0"/>
              <w:right w:val="single" w:color="000000" w:sz="6" w:space="0"/>
            </w:tcBorders>
          </w:tcPr>
          <w:p w14:paraId="65AF4EB9">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6B1311BF">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6A48A9">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37F7E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定点对各类电气线路以及空调、用电设备、水管及相关用水设备进行巡查，及时消除各类安全隐患。</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FE548A">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468A86">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未按规定对各类电气线路、空调、用水设备进行巡查每次扣1分；未及时消除安全隐患每次扣2分。扣完5分为止。</w:t>
            </w:r>
          </w:p>
        </w:tc>
        <w:tc>
          <w:tcPr>
            <w:tcW w:w="0" w:type="auto"/>
            <w:tcBorders>
              <w:top w:val="single" w:color="000000" w:sz="6" w:space="0"/>
              <w:left w:val="single" w:color="000000" w:sz="6" w:space="0"/>
              <w:bottom w:val="single" w:color="000000" w:sz="6" w:space="0"/>
              <w:right w:val="single" w:color="000000" w:sz="6" w:space="0"/>
            </w:tcBorders>
          </w:tcPr>
          <w:p w14:paraId="4B862648">
            <w:pPr>
              <w:keepNext w:val="0"/>
              <w:keepLines w:val="0"/>
              <w:pageBreakBefore w:val="0"/>
              <w:kinsoku/>
              <w:wordWrap/>
              <w:overflowPunct/>
              <w:topLinePunct w:val="0"/>
              <w:autoSpaceDE/>
              <w:autoSpaceDN/>
              <w:bidi w:val="0"/>
              <w:snapToGrid/>
              <w:spacing w:line="360" w:lineRule="exact"/>
              <w:textAlignment w:val="auto"/>
              <w:rPr>
                <w:szCs w:val="21"/>
              </w:rPr>
            </w:pPr>
          </w:p>
        </w:tc>
      </w:tr>
      <w:tr w14:paraId="222B7510">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21250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2919D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及时维修、更换各类存在隐患和故障的电气线路及空调、用水设备，确保单位工作、生活正常运行。</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E80715">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A2D98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未及时维修更换存在隐患和故障的电气线路及用水设备，每次扣1分；影响单位正常工作、生活每次扣2分。扣完5分为止。</w:t>
            </w:r>
          </w:p>
        </w:tc>
        <w:tc>
          <w:tcPr>
            <w:tcW w:w="0" w:type="auto"/>
            <w:tcBorders>
              <w:top w:val="single" w:color="000000" w:sz="6" w:space="0"/>
              <w:left w:val="single" w:color="000000" w:sz="6" w:space="0"/>
              <w:bottom w:val="single" w:color="000000" w:sz="6" w:space="0"/>
              <w:right w:val="single" w:color="000000" w:sz="6" w:space="0"/>
            </w:tcBorders>
          </w:tcPr>
          <w:p w14:paraId="53C3D40F">
            <w:pPr>
              <w:keepNext w:val="0"/>
              <w:keepLines w:val="0"/>
              <w:pageBreakBefore w:val="0"/>
              <w:kinsoku/>
              <w:wordWrap/>
              <w:overflowPunct/>
              <w:topLinePunct w:val="0"/>
              <w:autoSpaceDE/>
              <w:autoSpaceDN/>
              <w:bidi w:val="0"/>
              <w:snapToGrid/>
              <w:spacing w:line="360" w:lineRule="exact"/>
              <w:textAlignment w:val="auto"/>
              <w:rPr>
                <w:szCs w:val="21"/>
              </w:rPr>
            </w:pPr>
          </w:p>
        </w:tc>
      </w:tr>
      <w:tr w14:paraId="25CD2D6E">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5F73F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961D2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安排专人24小时负责接报故障，发生水电故障24小时随报随修，其他土木类、锁具类等及时修理。</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0BFD0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B4896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未安排专人24小时接报故障每次扣2分；水电故障未做到随报随修每次扣1分；其他土木类、锁具类维修不及时每次扣1分。扣完5分为止。</w:t>
            </w:r>
          </w:p>
        </w:tc>
        <w:tc>
          <w:tcPr>
            <w:tcW w:w="0" w:type="auto"/>
            <w:tcBorders>
              <w:top w:val="single" w:color="000000" w:sz="6" w:space="0"/>
              <w:left w:val="single" w:color="000000" w:sz="6" w:space="0"/>
              <w:bottom w:val="single" w:color="000000" w:sz="6" w:space="0"/>
              <w:right w:val="single" w:color="000000" w:sz="6" w:space="0"/>
            </w:tcBorders>
          </w:tcPr>
          <w:p w14:paraId="4293A9B7">
            <w:pPr>
              <w:keepNext w:val="0"/>
              <w:keepLines w:val="0"/>
              <w:pageBreakBefore w:val="0"/>
              <w:kinsoku/>
              <w:wordWrap/>
              <w:overflowPunct/>
              <w:topLinePunct w:val="0"/>
              <w:autoSpaceDE/>
              <w:autoSpaceDN/>
              <w:bidi w:val="0"/>
              <w:snapToGrid/>
              <w:spacing w:line="360" w:lineRule="exact"/>
              <w:textAlignment w:val="auto"/>
              <w:rPr>
                <w:szCs w:val="21"/>
              </w:rPr>
            </w:pPr>
          </w:p>
        </w:tc>
      </w:tr>
      <w:tr w14:paraId="697D3C41">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9393E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4</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EC3D5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重大活动前应对设备设施系统进行安全检查，保证节日期间各项设施运行正常。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2D1BB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C5F5B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重大活动前未对设备设施系统进行安全检查每次扣2分；导致节日期间设施运行不正常每次扣3分。扣完5分为止。</w:t>
            </w:r>
          </w:p>
        </w:tc>
        <w:tc>
          <w:tcPr>
            <w:tcW w:w="0" w:type="auto"/>
            <w:tcBorders>
              <w:top w:val="single" w:color="000000" w:sz="6" w:space="0"/>
              <w:left w:val="single" w:color="000000" w:sz="6" w:space="0"/>
              <w:bottom w:val="single" w:color="000000" w:sz="6" w:space="0"/>
              <w:right w:val="single" w:color="000000" w:sz="6" w:space="0"/>
            </w:tcBorders>
          </w:tcPr>
          <w:p w14:paraId="0E53D893">
            <w:pPr>
              <w:keepNext w:val="0"/>
              <w:keepLines w:val="0"/>
              <w:pageBreakBefore w:val="0"/>
              <w:kinsoku/>
              <w:wordWrap/>
              <w:overflowPunct/>
              <w:topLinePunct w:val="0"/>
              <w:autoSpaceDE/>
              <w:autoSpaceDN/>
              <w:bidi w:val="0"/>
              <w:snapToGrid/>
              <w:spacing w:line="360" w:lineRule="exact"/>
              <w:textAlignment w:val="auto"/>
              <w:rPr>
                <w:szCs w:val="21"/>
              </w:rPr>
            </w:pPr>
          </w:p>
        </w:tc>
      </w:tr>
      <w:tr w14:paraId="75CB1946">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9293D7">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五、宿舍管理</w:t>
            </w:r>
            <w:r>
              <w:rPr>
                <w:rFonts w:hint="eastAsia"/>
                <w:b/>
                <w:bCs/>
                <w:szCs w:val="21"/>
              </w:rPr>
              <w:t>（总分15分）</w:t>
            </w:r>
          </w:p>
        </w:tc>
        <w:tc>
          <w:tcPr>
            <w:tcW w:w="0" w:type="auto"/>
            <w:tcBorders>
              <w:top w:val="single" w:color="000000" w:sz="6" w:space="0"/>
              <w:left w:val="single" w:color="000000" w:sz="6" w:space="0"/>
              <w:bottom w:val="single" w:color="000000" w:sz="6" w:space="0"/>
              <w:right w:val="single" w:color="000000" w:sz="6" w:space="0"/>
            </w:tcBorders>
          </w:tcPr>
          <w:p w14:paraId="755D9FC6">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03EE5D2F">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707722">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F98178">
            <w:pPr>
              <w:keepNext w:val="0"/>
              <w:keepLines w:val="0"/>
              <w:pageBreakBefore w:val="0"/>
              <w:kinsoku/>
              <w:wordWrap/>
              <w:overflowPunct/>
              <w:topLinePunct w:val="0"/>
              <w:autoSpaceDE/>
              <w:autoSpaceDN/>
              <w:bidi w:val="0"/>
              <w:snapToGrid/>
              <w:spacing w:line="360" w:lineRule="exact"/>
              <w:textAlignment w:val="auto"/>
              <w:rPr>
                <w:szCs w:val="21"/>
                <w:highlight w:val="none"/>
              </w:rPr>
            </w:pPr>
            <w:r>
              <w:rPr>
                <w:rFonts w:hint="eastAsia"/>
                <w:szCs w:val="21"/>
                <w:highlight w:val="none"/>
              </w:rPr>
              <w:t>维护宿舍楼内正常</w:t>
            </w:r>
            <w:r>
              <w:rPr>
                <w:rFonts w:hint="eastAsia"/>
                <w:szCs w:val="21"/>
                <w:highlight w:val="none"/>
                <w:lang w:val="en-US" w:eastAsia="zh-CN"/>
              </w:rPr>
              <w:t>纪律</w:t>
            </w:r>
            <w:r>
              <w:rPr>
                <w:rFonts w:hint="eastAsia"/>
                <w:szCs w:val="21"/>
                <w:highlight w:val="none"/>
              </w:rPr>
              <w:t>，对学生起哄、闹事现象不加制止的。</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CCFE7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10C866">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未制止宿舍楼内起哄、闹事现象每次扣2分；造成严重后果扣5分。扣完5分为止。</w:t>
            </w:r>
          </w:p>
        </w:tc>
        <w:tc>
          <w:tcPr>
            <w:tcW w:w="0" w:type="auto"/>
            <w:tcBorders>
              <w:top w:val="single" w:color="000000" w:sz="6" w:space="0"/>
              <w:left w:val="single" w:color="000000" w:sz="6" w:space="0"/>
              <w:bottom w:val="single" w:color="000000" w:sz="6" w:space="0"/>
              <w:right w:val="single" w:color="000000" w:sz="6" w:space="0"/>
            </w:tcBorders>
          </w:tcPr>
          <w:p w14:paraId="4AEC1E8C">
            <w:pPr>
              <w:keepNext w:val="0"/>
              <w:keepLines w:val="0"/>
              <w:pageBreakBefore w:val="0"/>
              <w:kinsoku/>
              <w:wordWrap/>
              <w:overflowPunct/>
              <w:topLinePunct w:val="0"/>
              <w:autoSpaceDE/>
              <w:autoSpaceDN/>
              <w:bidi w:val="0"/>
              <w:snapToGrid/>
              <w:spacing w:line="360" w:lineRule="exact"/>
              <w:textAlignment w:val="auto"/>
              <w:rPr>
                <w:szCs w:val="21"/>
              </w:rPr>
            </w:pPr>
          </w:p>
        </w:tc>
      </w:tr>
      <w:tr w14:paraId="156D4B16">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845EE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B3ADC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教育学生养成良好的卫生习惯，制止学生乱泼脏水，乱倒、乱丢垃圾，对三乱现象不制止的；楼内有人为积水而不及时清理，造成事故的。</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7E2CE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B2B49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未制止学生乱泼脏水、乱倒乱丢垃圾每次扣1分；楼内有人为积水未及时清理造成事故每次扣3分。扣完5分为止。</w:t>
            </w:r>
          </w:p>
        </w:tc>
        <w:tc>
          <w:tcPr>
            <w:tcW w:w="0" w:type="auto"/>
            <w:tcBorders>
              <w:top w:val="single" w:color="000000" w:sz="6" w:space="0"/>
              <w:left w:val="single" w:color="000000" w:sz="6" w:space="0"/>
              <w:bottom w:val="single" w:color="000000" w:sz="6" w:space="0"/>
              <w:right w:val="single" w:color="000000" w:sz="6" w:space="0"/>
            </w:tcBorders>
          </w:tcPr>
          <w:p w14:paraId="2B41B253">
            <w:pPr>
              <w:keepNext w:val="0"/>
              <w:keepLines w:val="0"/>
              <w:pageBreakBefore w:val="0"/>
              <w:kinsoku/>
              <w:wordWrap/>
              <w:overflowPunct/>
              <w:topLinePunct w:val="0"/>
              <w:autoSpaceDE/>
              <w:autoSpaceDN/>
              <w:bidi w:val="0"/>
              <w:snapToGrid/>
              <w:spacing w:line="360" w:lineRule="exact"/>
              <w:textAlignment w:val="auto"/>
              <w:rPr>
                <w:szCs w:val="21"/>
              </w:rPr>
            </w:pPr>
          </w:p>
        </w:tc>
      </w:tr>
      <w:tr w14:paraId="116BA1B1">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5CCEC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1BF071">
            <w:pPr>
              <w:keepNext w:val="0"/>
              <w:keepLines w:val="0"/>
              <w:pageBreakBefore w:val="0"/>
              <w:kinsoku/>
              <w:wordWrap/>
              <w:overflowPunct/>
              <w:topLinePunct w:val="0"/>
              <w:autoSpaceDE/>
              <w:autoSpaceDN/>
              <w:bidi w:val="0"/>
              <w:snapToGrid/>
              <w:spacing w:line="360" w:lineRule="exact"/>
              <w:textAlignment w:val="auto"/>
              <w:rPr>
                <w:szCs w:val="21"/>
                <w:highlight w:val="none"/>
              </w:rPr>
            </w:pPr>
            <w:r>
              <w:rPr>
                <w:rFonts w:hint="eastAsia"/>
                <w:szCs w:val="21"/>
                <w:highlight w:val="none"/>
                <w:lang w:val="en-US" w:eastAsia="zh-CN"/>
              </w:rPr>
              <w:t>安全</w:t>
            </w:r>
            <w:r>
              <w:rPr>
                <w:rFonts w:hint="eastAsia"/>
                <w:szCs w:val="21"/>
                <w:highlight w:val="none"/>
              </w:rPr>
              <w:t>防范</w:t>
            </w:r>
            <w:r>
              <w:rPr>
                <w:rFonts w:hint="eastAsia"/>
                <w:szCs w:val="21"/>
                <w:highlight w:val="none"/>
                <w:lang w:eastAsia="zh-CN"/>
              </w:rPr>
              <w:t>、</w:t>
            </w:r>
            <w:r>
              <w:rPr>
                <w:rFonts w:hint="eastAsia"/>
                <w:szCs w:val="21"/>
                <w:highlight w:val="none"/>
                <w:lang w:val="en-US" w:eastAsia="zh-CN"/>
              </w:rPr>
              <w:t>纪律</w:t>
            </w:r>
            <w:r>
              <w:rPr>
                <w:rFonts w:hint="eastAsia"/>
                <w:szCs w:val="21"/>
                <w:highlight w:val="none"/>
              </w:rPr>
              <w:t>工作到位，做到"7无"，即：无火灾、无盗窃、无打架斗殴、无男女生混居、无赌博、无敲诈勒索、无燃放烟花爆竹等7种现象发生。</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F715D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C43A45">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发生"7无"中任一现象（火灾、盗窃、打架斗殴、男女生混居、赌博、敲诈勒索、燃放烟花爆竹）每次扣3分；发生重大事故扣5分。扣完5分为止。</w:t>
            </w:r>
          </w:p>
        </w:tc>
        <w:tc>
          <w:tcPr>
            <w:tcW w:w="0" w:type="auto"/>
            <w:tcBorders>
              <w:top w:val="single" w:color="000000" w:sz="6" w:space="0"/>
              <w:left w:val="single" w:color="000000" w:sz="6" w:space="0"/>
              <w:bottom w:val="single" w:color="000000" w:sz="6" w:space="0"/>
              <w:right w:val="single" w:color="000000" w:sz="6" w:space="0"/>
            </w:tcBorders>
          </w:tcPr>
          <w:p w14:paraId="601B1E9D">
            <w:pPr>
              <w:keepNext w:val="0"/>
              <w:keepLines w:val="0"/>
              <w:pageBreakBefore w:val="0"/>
              <w:kinsoku/>
              <w:wordWrap/>
              <w:overflowPunct/>
              <w:topLinePunct w:val="0"/>
              <w:autoSpaceDE/>
              <w:autoSpaceDN/>
              <w:bidi w:val="0"/>
              <w:snapToGrid/>
              <w:spacing w:line="360" w:lineRule="exact"/>
              <w:textAlignment w:val="auto"/>
              <w:rPr>
                <w:szCs w:val="21"/>
              </w:rPr>
            </w:pPr>
          </w:p>
        </w:tc>
      </w:tr>
      <w:tr w14:paraId="0F213866">
        <w:tblPrEx>
          <w:tblCellMar>
            <w:top w:w="15" w:type="dxa"/>
            <w:left w:w="15" w:type="dxa"/>
            <w:bottom w:w="15" w:type="dxa"/>
            <w:right w:w="15" w:type="dxa"/>
          </w:tblCellMar>
        </w:tblPrEx>
        <w:trPr>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074B77">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总分合计</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6ABD875">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100分</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62DE9E9">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扣分合计</w:t>
            </w:r>
          </w:p>
        </w:tc>
        <w:tc>
          <w:tcPr>
            <w:tcW w:w="0" w:type="auto"/>
            <w:tcBorders>
              <w:top w:val="single" w:color="000000" w:sz="6" w:space="0"/>
              <w:left w:val="single" w:color="000000" w:sz="6" w:space="0"/>
              <w:bottom w:val="single" w:color="000000" w:sz="6" w:space="0"/>
              <w:right w:val="single" w:color="000000" w:sz="6" w:space="0"/>
            </w:tcBorders>
          </w:tcPr>
          <w:p w14:paraId="145AF84E">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r>
              <w:rPr>
                <w:rStyle w:val="21"/>
                <w:rFonts w:hint="eastAsia"/>
                <w:szCs w:val="21"/>
              </w:rPr>
              <w:t>分</w:t>
            </w:r>
          </w:p>
        </w:tc>
      </w:tr>
      <w:tr w14:paraId="62F49988">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85DE19">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r>
              <w:rPr>
                <w:rStyle w:val="21"/>
                <w:rFonts w:hint="eastAsia"/>
                <w:szCs w:val="21"/>
              </w:rPr>
              <w:t>备注：</w:t>
            </w:r>
          </w:p>
          <w:p w14:paraId="360F183C">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r>
              <w:rPr>
                <w:rStyle w:val="21"/>
                <w:rFonts w:hint="eastAsia"/>
                <w:szCs w:val="21"/>
              </w:rPr>
              <w:t>1.按满分100分，100分减去以上考核内容扣分之和即为每次考核的得分。</w:t>
            </w:r>
          </w:p>
          <w:p w14:paraId="4FF2ED8E">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r>
              <w:rPr>
                <w:rStyle w:val="21"/>
                <w:rFonts w:hint="eastAsia"/>
                <w:szCs w:val="21"/>
              </w:rPr>
              <w:t>2.每月考核1次，全年综合得分为考核分，如考核80分及以上为合格。</w:t>
            </w:r>
          </w:p>
          <w:p w14:paraId="448E3791">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r>
              <w:rPr>
                <w:rStyle w:val="21"/>
                <w:rFonts w:hint="eastAsia"/>
                <w:szCs w:val="21"/>
              </w:rPr>
              <w:t>3.具体实施方案由甲乙双方共同协商商定。</w:t>
            </w:r>
          </w:p>
        </w:tc>
        <w:tc>
          <w:tcPr>
            <w:tcW w:w="0" w:type="auto"/>
            <w:tcBorders>
              <w:top w:val="single" w:color="000000" w:sz="6" w:space="0"/>
              <w:left w:val="single" w:color="000000" w:sz="6" w:space="0"/>
              <w:bottom w:val="single" w:color="000000" w:sz="6" w:space="0"/>
              <w:right w:val="single" w:color="000000" w:sz="6" w:space="0"/>
            </w:tcBorders>
          </w:tcPr>
          <w:p w14:paraId="6265DC58">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p>
        </w:tc>
      </w:tr>
    </w:tbl>
    <w:p w14:paraId="3741B409">
      <w:pPr>
        <w:pStyle w:val="26"/>
        <w:keepNext w:val="0"/>
        <w:keepLines w:val="0"/>
        <w:pageBreakBefore w:val="0"/>
        <w:kinsoku/>
        <w:wordWrap/>
        <w:overflowPunct/>
        <w:topLinePunct w:val="0"/>
        <w:autoSpaceDE/>
        <w:autoSpaceDN/>
        <w:bidi w:val="0"/>
        <w:snapToGrid/>
        <w:spacing w:line="360" w:lineRule="exact"/>
        <w:ind w:firstLine="420"/>
        <w:textAlignment w:val="auto"/>
        <w:rPr>
          <w:rFonts w:ascii="宋体" w:hAnsi="宋体" w:cs="宋体"/>
        </w:rPr>
      </w:pPr>
    </w:p>
    <w:p w14:paraId="231722EB">
      <w:pPr>
        <w:pStyle w:val="34"/>
        <w:keepNext w:val="0"/>
        <w:keepLines w:val="0"/>
        <w:pageBreakBefore w:val="0"/>
        <w:kinsoku/>
        <w:wordWrap/>
        <w:overflowPunct/>
        <w:topLinePunct w:val="0"/>
        <w:autoSpaceDE/>
        <w:autoSpaceDN/>
        <w:bidi w:val="0"/>
        <w:snapToGrid/>
        <w:spacing w:before="0" w:line="360" w:lineRule="exact"/>
        <w:ind w:firstLine="482" w:firstLineChars="200"/>
        <w:textAlignment w:val="auto"/>
        <w:outlineLvl w:val="1"/>
        <w:rPr>
          <w:rFonts w:ascii="宋体" w:hAnsi="宋体" w:cs="宋体"/>
          <w:b/>
          <w:szCs w:val="24"/>
        </w:rPr>
      </w:pPr>
      <w:r>
        <w:rPr>
          <w:rFonts w:hint="eastAsia" w:ascii="宋体" w:hAnsi="宋体" w:cs="宋体"/>
          <w:b/>
          <w:szCs w:val="24"/>
        </w:rPr>
        <w:t>（二）付款方式</w:t>
      </w:r>
    </w:p>
    <w:p w14:paraId="79C9CE6D">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 w:val="32"/>
          <w:szCs w:val="32"/>
        </w:rPr>
      </w:pPr>
      <w:r>
        <w:rPr>
          <w:rFonts w:hint="eastAsia" w:ascii="宋体" w:hAnsi="宋体" w:cs="宋体"/>
          <w:szCs w:val="21"/>
          <w:lang w:val="zh-CN"/>
        </w:rPr>
        <w:t>中标人当月完成校园卫生保洁、校园绿化、宿舍管理、水电维修等工作后，经甲方验收合格后由甲方按月支付，次月15日前凭中标人提供的税务发票由学校通过转账方式支付上月的物业服务费。</w:t>
      </w:r>
    </w:p>
    <w:p w14:paraId="4B10D5F2">
      <w:r>
        <w:br w:type="page"/>
      </w:r>
    </w:p>
    <w:p w14:paraId="3EC20B02">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4"/>
          <w:szCs w:val="44"/>
          <w:highlight w:val="none"/>
        </w:rPr>
      </w:pPr>
      <w:bookmarkStart w:id="29" w:name="_Toc32381"/>
      <w:r>
        <w:rPr>
          <w:rFonts w:hint="eastAsia" w:ascii="宋体" w:hAnsi="宋体" w:eastAsia="宋体" w:cs="宋体"/>
          <w:b/>
          <w:bCs/>
          <w:color w:val="auto"/>
          <w:kern w:val="44"/>
          <w:sz w:val="44"/>
          <w:szCs w:val="44"/>
          <w:lang w:val="en-US" w:eastAsia="zh-CN" w:bidi="ar-SA"/>
        </w:rPr>
        <w:t>第三章</w:t>
      </w:r>
      <w:r>
        <w:rPr>
          <w:rFonts w:hint="eastAsia" w:ascii="宋体" w:hAnsi="宋体" w:eastAsia="宋体" w:cs="宋体"/>
          <w:color w:val="auto"/>
          <w:sz w:val="44"/>
          <w:szCs w:val="44"/>
          <w:highlight w:val="none"/>
          <w:lang w:val="en-US" w:eastAsia="zh-CN"/>
        </w:rPr>
        <w:t xml:space="preserve"> </w:t>
      </w:r>
      <w:bookmarkStart w:id="30" w:name="_Toc29035"/>
      <w:r>
        <w:rPr>
          <w:rFonts w:hint="eastAsia" w:ascii="宋体" w:hAnsi="宋体" w:eastAsia="宋体" w:cs="宋体"/>
          <w:color w:val="auto"/>
          <w:sz w:val="44"/>
          <w:szCs w:val="44"/>
          <w:highlight w:val="none"/>
        </w:rPr>
        <w:t>投标人须知</w:t>
      </w:r>
      <w:bookmarkEnd w:id="29"/>
      <w:bookmarkEnd w:id="30"/>
    </w:p>
    <w:p w14:paraId="1EF98BBA">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31" w:name="_Toc254970526"/>
      <w:bookmarkStart w:id="32" w:name="_Toc254970667"/>
      <w:r>
        <w:rPr>
          <w:rFonts w:hint="eastAsia" w:ascii="宋体" w:hAnsi="宋体" w:eastAsia="宋体" w:cs="宋体"/>
          <w:b/>
          <w:bCs/>
          <w:color w:val="auto"/>
          <w:sz w:val="24"/>
          <w:szCs w:val="24"/>
          <w:highlight w:val="none"/>
        </w:rPr>
        <w:t>投标人须知前附表</w:t>
      </w:r>
      <w:bookmarkEnd w:id="31"/>
      <w:bookmarkEnd w:id="32"/>
    </w:p>
    <w:tbl>
      <w:tblPr>
        <w:tblStyle w:val="18"/>
        <w:tblW w:w="0" w:type="auto"/>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61"/>
        <w:gridCol w:w="9377"/>
      </w:tblGrid>
      <w:tr w14:paraId="5FAFA5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22DFA42">
            <w:pPr>
              <w:keepNext w:val="0"/>
              <w:keepLines w:val="0"/>
              <w:pageBreakBefore w:val="0"/>
              <w:widowControl w:val="0"/>
              <w:kinsoku/>
              <w:wordWrap/>
              <w:overflowPunct/>
              <w:topLinePunct w:val="0"/>
              <w:bidi w:val="0"/>
              <w:adjustRightInd/>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条款号</w:t>
            </w:r>
          </w:p>
        </w:tc>
        <w:tc>
          <w:tcPr>
            <w:tcW w:w="0" w:type="auto"/>
            <w:tcBorders>
              <w:top w:val="single" w:color="auto" w:sz="4" w:space="0"/>
              <w:left w:val="single" w:color="auto" w:sz="4" w:space="0"/>
              <w:bottom w:val="single" w:color="auto" w:sz="4" w:space="0"/>
              <w:right w:val="single" w:color="auto" w:sz="4" w:space="0"/>
            </w:tcBorders>
            <w:vAlign w:val="center"/>
          </w:tcPr>
          <w:p w14:paraId="7FC2C7DE">
            <w:pPr>
              <w:keepNext w:val="0"/>
              <w:keepLines w:val="0"/>
              <w:pageBreakBefore w:val="0"/>
              <w:widowControl w:val="0"/>
              <w:kinsoku/>
              <w:wordWrap/>
              <w:overflowPunct/>
              <w:topLinePunct w:val="0"/>
              <w:bidi w:val="0"/>
              <w:adjustRightInd/>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编列内容</w:t>
            </w:r>
          </w:p>
        </w:tc>
      </w:tr>
      <w:tr w14:paraId="0C8908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FD79C2C">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0" w:type="auto"/>
            <w:tcBorders>
              <w:top w:val="single" w:color="auto" w:sz="4" w:space="0"/>
              <w:left w:val="single" w:color="auto" w:sz="4" w:space="0"/>
              <w:bottom w:val="single" w:color="auto" w:sz="4" w:space="0"/>
              <w:right w:val="single" w:color="auto" w:sz="4" w:space="0"/>
            </w:tcBorders>
            <w:vAlign w:val="center"/>
          </w:tcPr>
          <w:p w14:paraId="39B184A9">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1.投标人的资格要求详见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70323411">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2.投标人出现下列情形之一的，不得参加政府采购活动：</w:t>
            </w:r>
          </w:p>
          <w:p w14:paraId="5477F25D">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5837571">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tc>
      </w:tr>
      <w:tr w14:paraId="143024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1D7E633">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33" w:name="_9.2"/>
            <w:bookmarkEnd w:id="33"/>
            <w:bookmarkStart w:id="34" w:name="_8.1"/>
            <w:bookmarkEnd w:id="34"/>
            <w:bookmarkStart w:id="35" w:name="_5"/>
            <w:bookmarkEnd w:id="35"/>
            <w:r>
              <w:rPr>
                <w:rFonts w:hint="eastAsia" w:ascii="宋体" w:hAnsi="宋体" w:eastAsia="宋体" w:cs="宋体"/>
                <w:color w:val="auto"/>
                <w:sz w:val="21"/>
                <w:szCs w:val="21"/>
                <w:highlight w:val="none"/>
              </w:rPr>
              <w:t>6.1</w:t>
            </w:r>
          </w:p>
        </w:tc>
        <w:tc>
          <w:tcPr>
            <w:tcW w:w="0" w:type="auto"/>
            <w:tcBorders>
              <w:top w:val="single" w:color="auto" w:sz="4" w:space="0"/>
              <w:left w:val="single" w:color="auto" w:sz="4" w:space="0"/>
              <w:bottom w:val="single" w:color="auto" w:sz="4" w:space="0"/>
              <w:right w:val="single" w:color="auto" w:sz="4" w:space="0"/>
            </w:tcBorders>
            <w:vAlign w:val="center"/>
          </w:tcPr>
          <w:p w14:paraId="3268355A">
            <w:pPr>
              <w:pStyle w:val="7"/>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本项目是否接受联合体投标：详见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tc>
      </w:tr>
      <w:tr w14:paraId="2EC638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4EBBA806">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0" w:type="auto"/>
            <w:tcBorders>
              <w:top w:val="single" w:color="auto" w:sz="4" w:space="0"/>
              <w:left w:val="single" w:color="auto" w:sz="4" w:space="0"/>
              <w:bottom w:val="single" w:color="auto" w:sz="4" w:space="0"/>
              <w:right w:val="single" w:color="auto" w:sz="4" w:space="0"/>
            </w:tcBorders>
            <w:vAlign w:val="center"/>
          </w:tcPr>
          <w:p w14:paraId="46FA040C">
            <w:pPr>
              <w:pStyle w:val="7"/>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不允许分包</w:t>
            </w:r>
            <w:r>
              <w:rPr>
                <w:rFonts w:hint="eastAsia" w:ascii="宋体" w:hAnsi="宋体" w:eastAsia="宋体" w:cs="宋体"/>
                <w:color w:val="auto"/>
                <w:sz w:val="21"/>
                <w:szCs w:val="21"/>
                <w:highlight w:val="none"/>
                <w:lang w:eastAsia="zh-CN"/>
              </w:rPr>
              <w:t>。</w:t>
            </w:r>
          </w:p>
        </w:tc>
      </w:tr>
      <w:tr w14:paraId="78986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2E8E6C1">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w:t>
            </w:r>
          </w:p>
        </w:tc>
        <w:tc>
          <w:tcPr>
            <w:tcW w:w="0" w:type="auto"/>
            <w:tcBorders>
              <w:top w:val="single" w:color="auto" w:sz="4" w:space="0"/>
              <w:left w:val="single" w:color="auto" w:sz="4" w:space="0"/>
              <w:bottom w:val="single" w:color="auto" w:sz="4" w:space="0"/>
              <w:right w:val="single" w:color="auto" w:sz="4" w:space="0"/>
            </w:tcBorders>
            <w:vAlign w:val="center"/>
          </w:tcPr>
          <w:p w14:paraId="40D2CC84">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采用综合评分法的采购项目，提供相同品牌产品（非单一产品采购项目的，指核心产品）的不同投标人评审得分相同时，按照下列方式确定一个投标人获得中标人推荐资格：</w:t>
            </w:r>
          </w:p>
          <w:p w14:paraId="480AD8C7">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依次按投标报价低的优先、政策分得分高的优先、技术评分高的优先、商务评分高的优先、保修期长优先、交货期短优先、故障响应时间短优先的顺序推荐。</w:t>
            </w:r>
          </w:p>
        </w:tc>
      </w:tr>
      <w:tr w14:paraId="448D1A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0" w:type="auto"/>
            <w:vMerge w:val="restart"/>
            <w:tcBorders>
              <w:top w:val="single" w:color="auto" w:sz="4" w:space="0"/>
              <w:left w:val="single" w:color="auto" w:sz="4" w:space="0"/>
              <w:right w:val="single" w:color="auto" w:sz="4" w:space="0"/>
            </w:tcBorders>
            <w:vAlign w:val="center"/>
          </w:tcPr>
          <w:p w14:paraId="37D23A4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0" w:type="auto"/>
            <w:tcBorders>
              <w:top w:val="single" w:color="auto" w:sz="4" w:space="0"/>
              <w:left w:val="single" w:color="auto" w:sz="4" w:space="0"/>
              <w:bottom w:val="single" w:color="auto" w:sz="4" w:space="0"/>
              <w:right w:val="single" w:color="auto" w:sz="4" w:space="0"/>
            </w:tcBorders>
            <w:vAlign w:val="center"/>
          </w:tcPr>
          <w:p w14:paraId="3FDA053A">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不组织现场考察。</w:t>
            </w:r>
          </w:p>
        </w:tc>
      </w:tr>
      <w:tr w14:paraId="2C161A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vMerge w:val="continue"/>
            <w:tcBorders>
              <w:left w:val="single" w:color="auto" w:sz="4" w:space="0"/>
              <w:bottom w:val="single" w:color="auto" w:sz="4" w:space="0"/>
              <w:right w:val="single" w:color="auto" w:sz="4" w:space="0"/>
            </w:tcBorders>
            <w:vAlign w:val="center"/>
          </w:tcPr>
          <w:p w14:paraId="3442DC8F">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AFECBDA">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不组织召开开标前答疑会。</w:t>
            </w:r>
          </w:p>
        </w:tc>
      </w:tr>
      <w:tr w14:paraId="10A750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vMerge w:val="restart"/>
            <w:tcBorders>
              <w:top w:val="single" w:color="auto" w:sz="4" w:space="0"/>
              <w:left w:val="single" w:color="auto" w:sz="4" w:space="0"/>
              <w:right w:val="single" w:color="auto" w:sz="4" w:space="0"/>
            </w:tcBorders>
            <w:vAlign w:val="center"/>
          </w:tcPr>
          <w:p w14:paraId="064F8E09">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36" w:name="_13.1"/>
            <w:bookmarkEnd w:id="36"/>
            <w:r>
              <w:rPr>
                <w:rFonts w:hint="eastAsia" w:ascii="宋体" w:hAnsi="宋体" w:eastAsia="宋体" w:cs="宋体"/>
                <w:color w:val="auto"/>
                <w:sz w:val="21"/>
                <w:szCs w:val="21"/>
                <w:highlight w:val="none"/>
              </w:rPr>
              <w:t>13</w:t>
            </w:r>
          </w:p>
        </w:tc>
        <w:tc>
          <w:tcPr>
            <w:tcW w:w="0" w:type="auto"/>
            <w:tcBorders>
              <w:top w:val="single" w:color="auto" w:sz="4" w:space="0"/>
              <w:left w:val="single" w:color="auto" w:sz="4" w:space="0"/>
              <w:bottom w:val="single" w:color="auto" w:sz="4" w:space="0"/>
              <w:right w:val="single" w:color="auto" w:sz="4" w:space="0"/>
            </w:tcBorders>
            <w:vAlign w:val="center"/>
          </w:tcPr>
          <w:p w14:paraId="4A292D5C">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报价文件：</w:t>
            </w:r>
          </w:p>
          <w:p w14:paraId="2544FA41">
            <w:pPr>
              <w:keepNext w:val="0"/>
              <w:keepLines w:val="0"/>
              <w:pageBreakBefore w:val="0"/>
              <w:widowControl w:val="0"/>
              <w:tabs>
                <w:tab w:val="left" w:pos="459"/>
              </w:tabs>
              <w:kinsoku/>
              <w:wordWrap/>
              <w:overflowPunct/>
              <w:topLinePunct w:val="0"/>
              <w:bidi w:val="0"/>
              <w:adjustRightInd/>
              <w:snapToGrid w:val="0"/>
              <w:spacing w:line="360" w:lineRule="exact"/>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1.投标函（格式后附）；</w:t>
            </w:r>
            <w:r>
              <w:rPr>
                <w:rFonts w:hint="eastAsia" w:ascii="宋体" w:hAnsi="宋体" w:eastAsia="宋体" w:cs="宋体"/>
                <w:b/>
                <w:color w:val="auto"/>
                <w:sz w:val="21"/>
                <w:szCs w:val="21"/>
                <w:highlight w:val="none"/>
              </w:rPr>
              <w:t>（必须提供，否则按无效投标处理）</w:t>
            </w:r>
          </w:p>
          <w:p w14:paraId="1747E943">
            <w:pPr>
              <w:keepNext w:val="0"/>
              <w:keepLines w:val="0"/>
              <w:pageBreakBefore w:val="0"/>
              <w:widowControl w:val="0"/>
              <w:tabs>
                <w:tab w:val="left" w:pos="459"/>
              </w:tabs>
              <w:kinsoku/>
              <w:wordWrap/>
              <w:overflowPunct/>
              <w:topLinePunct w:val="0"/>
              <w:bidi w:val="0"/>
              <w:adjustRightInd/>
              <w:snapToGrid w:val="0"/>
              <w:spacing w:line="360" w:lineRule="exact"/>
              <w:ind w:left="420"/>
              <w:jc w:val="left"/>
              <w:rPr>
                <w:rFonts w:hint="eastAsia" w:ascii="宋体" w:hAnsi="宋体" w:eastAsia="宋体" w:cs="宋体"/>
                <w:color w:val="auto"/>
                <w:sz w:val="21"/>
                <w:szCs w:val="21"/>
                <w:highlight w:val="none"/>
              </w:rPr>
            </w:pPr>
            <w:bookmarkStart w:id="37" w:name="_Hlk71299233"/>
            <w:r>
              <w:rPr>
                <w:rFonts w:hint="eastAsia" w:ascii="宋体" w:hAnsi="宋体" w:eastAsia="宋体" w:cs="宋体"/>
                <w:color w:val="auto"/>
                <w:sz w:val="21"/>
                <w:szCs w:val="21"/>
                <w:highlight w:val="none"/>
              </w:rPr>
              <w:t>2.</w:t>
            </w:r>
            <w:bookmarkEnd w:id="37"/>
            <w:r>
              <w:rPr>
                <w:rFonts w:hint="eastAsia" w:ascii="宋体" w:hAnsi="宋体" w:eastAsia="宋体" w:cs="宋体"/>
                <w:color w:val="auto"/>
                <w:sz w:val="21"/>
                <w:szCs w:val="21"/>
                <w:highlight w:val="none"/>
                <w:lang w:eastAsia="zh-CN"/>
              </w:rPr>
              <w:t>开标一览表</w:t>
            </w:r>
            <w:r>
              <w:rPr>
                <w:rFonts w:hint="eastAsia" w:ascii="宋体" w:hAnsi="宋体" w:eastAsia="宋体" w:cs="宋体"/>
                <w:color w:val="auto"/>
                <w:sz w:val="21"/>
                <w:szCs w:val="21"/>
                <w:highlight w:val="none"/>
              </w:rPr>
              <w:t>（格式后附）；</w:t>
            </w:r>
            <w:r>
              <w:rPr>
                <w:rFonts w:hint="eastAsia" w:ascii="宋体" w:hAnsi="宋体" w:eastAsia="宋体" w:cs="宋体"/>
                <w:b/>
                <w:color w:val="auto"/>
                <w:sz w:val="21"/>
                <w:szCs w:val="21"/>
                <w:highlight w:val="none"/>
              </w:rPr>
              <w:t>（必须提供，否则按无效投标处理）</w:t>
            </w:r>
          </w:p>
          <w:p w14:paraId="093D7536">
            <w:pPr>
              <w:keepNext w:val="0"/>
              <w:keepLines w:val="0"/>
              <w:pageBreakBefore w:val="0"/>
              <w:widowControl w:val="0"/>
              <w:tabs>
                <w:tab w:val="left" w:pos="459"/>
              </w:tabs>
              <w:kinsoku/>
              <w:wordWrap/>
              <w:overflowPunct/>
              <w:topLinePunct w:val="0"/>
              <w:bidi w:val="0"/>
              <w:adjustRightInd/>
              <w:snapToGrid w:val="0"/>
              <w:spacing w:line="360" w:lineRule="exact"/>
              <w:ind w:left="42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3.投标人针对报价需要说明的其他文件和说明（格式自拟）。</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如有请提供</w:t>
            </w:r>
            <w:r>
              <w:rPr>
                <w:rFonts w:hint="eastAsia" w:ascii="宋体" w:hAnsi="宋体" w:eastAsia="宋体" w:cs="宋体"/>
                <w:b/>
                <w:bCs/>
                <w:color w:val="auto"/>
                <w:sz w:val="21"/>
                <w:szCs w:val="21"/>
                <w:highlight w:val="none"/>
                <w:lang w:eastAsia="zh-CN"/>
              </w:rPr>
              <w:t>）</w:t>
            </w:r>
          </w:p>
          <w:p w14:paraId="42D347DC">
            <w:pPr>
              <w:keepNext w:val="0"/>
              <w:keepLines w:val="0"/>
              <w:pageBreakBefore w:val="0"/>
              <w:widowControl w:val="0"/>
              <w:tabs>
                <w:tab w:val="left" w:pos="459"/>
              </w:tabs>
              <w:kinsoku/>
              <w:wordWrap/>
              <w:overflowPunct/>
              <w:topLinePunct w:val="0"/>
              <w:bidi w:val="0"/>
              <w:adjustRightInd/>
              <w:snapToGrid w:val="0"/>
              <w:spacing w:line="360" w:lineRule="exact"/>
              <w:jc w:val="left"/>
              <w:rPr>
                <w:rFonts w:hint="eastAsia"/>
              </w:rPr>
            </w:pPr>
            <w:r>
              <w:rPr>
                <w:rFonts w:hint="eastAsia" w:ascii="宋体" w:hAnsi="宋体" w:eastAsia="宋体" w:cs="宋体"/>
                <w:b/>
                <w:bCs/>
                <w:color w:val="auto"/>
                <w:sz w:val="21"/>
                <w:szCs w:val="21"/>
                <w:highlight w:val="none"/>
              </w:rPr>
              <w:t>注：以上标明“必须提供”的材料属于复印件的，必须加盖投标人公章，否则按无效投标处理。</w:t>
            </w:r>
          </w:p>
        </w:tc>
      </w:tr>
      <w:tr w14:paraId="2FFEF0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left w:val="single" w:color="auto" w:sz="4" w:space="0"/>
              <w:right w:val="single" w:color="auto" w:sz="4" w:space="0"/>
            </w:tcBorders>
            <w:vAlign w:val="center"/>
          </w:tcPr>
          <w:p w14:paraId="196016AF">
            <w:pPr>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rPr>
            </w:pPr>
            <w:bookmarkStart w:id="38" w:name="_13.2"/>
            <w:bookmarkEnd w:id="38"/>
          </w:p>
        </w:tc>
        <w:tc>
          <w:tcPr>
            <w:tcW w:w="0" w:type="auto"/>
            <w:tcBorders>
              <w:top w:val="single" w:color="auto" w:sz="4" w:space="0"/>
              <w:left w:val="single" w:color="auto" w:sz="4" w:space="0"/>
              <w:bottom w:val="single" w:color="auto" w:sz="4" w:space="0"/>
              <w:right w:val="single" w:color="auto" w:sz="4" w:space="0"/>
            </w:tcBorders>
            <w:vAlign w:val="center"/>
          </w:tcPr>
          <w:p w14:paraId="123ED325">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资格证明文件</w:t>
            </w:r>
            <w:r>
              <w:rPr>
                <w:rFonts w:hint="eastAsia" w:ascii="宋体" w:hAnsi="宋体" w:eastAsia="宋体" w:cs="宋体"/>
                <w:b/>
                <w:color w:val="auto"/>
                <w:sz w:val="21"/>
                <w:szCs w:val="21"/>
                <w:highlight w:val="none"/>
                <w:lang w:eastAsia="zh-CN"/>
              </w:rPr>
              <w:t>：</w:t>
            </w:r>
          </w:p>
          <w:p w14:paraId="03693D74">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相关注册或登记等证明材料，其中：投标人是企业（包括合伙企业）的，应提供其在工商部门注册的有效“企业法人营业执照”或“营业执照”的复印件；投标人是事业单位的，应提供其有效的“事业单位法人证书”复印件；投标人是非企业专业服务机构的，应提供其有效的执业许可证复印件；投标人是个体工商户的，应提供其有效的“个体工商户营业执照”复印件</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rPr>
              <w:t>（必须提供，否则按无效投标处理）</w:t>
            </w:r>
          </w:p>
          <w:p w14:paraId="2241BEC4">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.防城港市政府采购供应商信用承诺函（格式后附）；</w:t>
            </w:r>
            <w:r>
              <w:rPr>
                <w:rFonts w:hint="eastAsia" w:ascii="宋体" w:hAnsi="宋体" w:eastAsia="宋体" w:cs="宋体"/>
                <w:b/>
                <w:bCs/>
                <w:color w:val="auto"/>
                <w:sz w:val="21"/>
                <w:szCs w:val="21"/>
                <w:highlight w:val="none"/>
              </w:rPr>
              <w:t>（必须提供，否则按无效投标处理）</w:t>
            </w:r>
          </w:p>
          <w:p w14:paraId="2D0F8E09">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.投标人直接控股、管理关系信息表（格式后附）；</w:t>
            </w:r>
            <w:r>
              <w:rPr>
                <w:rFonts w:hint="eastAsia" w:ascii="宋体" w:hAnsi="宋体" w:eastAsia="宋体" w:cs="宋体"/>
                <w:b/>
                <w:bCs/>
                <w:color w:val="auto"/>
                <w:sz w:val="21"/>
                <w:szCs w:val="21"/>
                <w:highlight w:val="none"/>
              </w:rPr>
              <w:t>（必须提供，否则按无效投标处理）</w:t>
            </w:r>
          </w:p>
          <w:p w14:paraId="2840617B">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.投标声明（格式后附）；</w:t>
            </w:r>
            <w:r>
              <w:rPr>
                <w:rFonts w:hint="eastAsia" w:ascii="宋体" w:hAnsi="宋体" w:eastAsia="宋体" w:cs="宋体"/>
                <w:b/>
                <w:bCs/>
                <w:color w:val="auto"/>
                <w:sz w:val="21"/>
                <w:szCs w:val="21"/>
                <w:highlight w:val="none"/>
              </w:rPr>
              <w:t>（必须提供，否则按无效投标处理）</w:t>
            </w:r>
          </w:p>
          <w:p w14:paraId="7EB2195B">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cs="宋体"/>
                <w:bCs/>
                <w:color w:val="auto"/>
                <w:sz w:val="21"/>
                <w:szCs w:val="21"/>
                <w:highlight w:val="none"/>
                <w:lang w:val="en-US" w:eastAsia="zh-CN"/>
              </w:rPr>
              <w:t>中小</w:t>
            </w:r>
            <w:r>
              <w:rPr>
                <w:rFonts w:hint="eastAsia" w:ascii="宋体" w:hAnsi="宋体" w:eastAsia="宋体" w:cs="宋体"/>
                <w:bCs/>
                <w:color w:val="auto"/>
                <w:sz w:val="21"/>
                <w:szCs w:val="21"/>
                <w:highlight w:val="none"/>
              </w:rPr>
              <w:t>企业声明函或监狱企业证明材料或</w:t>
            </w:r>
            <w:r>
              <w:rPr>
                <w:rFonts w:hint="eastAsia" w:ascii="宋体" w:hAnsi="宋体" w:cs="宋体"/>
                <w:bCs/>
                <w:color w:val="auto"/>
                <w:sz w:val="21"/>
                <w:szCs w:val="21"/>
                <w:highlight w:val="none"/>
                <w:lang w:val="en-US" w:eastAsia="zh-CN"/>
              </w:rPr>
              <w:t>残疾人福利性单位声明函</w:t>
            </w:r>
            <w:r>
              <w:rPr>
                <w:rFonts w:hint="eastAsia" w:ascii="宋体" w:hAnsi="宋体" w:eastAsia="宋体" w:cs="宋体"/>
                <w:color w:val="auto"/>
                <w:sz w:val="21"/>
                <w:szCs w:val="21"/>
                <w:highlight w:val="none"/>
              </w:rPr>
              <w:t>（格式后附）；</w:t>
            </w:r>
            <w:r>
              <w:rPr>
                <w:rFonts w:hint="eastAsia" w:ascii="宋体" w:hAnsi="宋体" w:eastAsia="宋体" w:cs="宋体"/>
                <w:b/>
                <w:bCs/>
                <w:color w:val="auto"/>
                <w:sz w:val="21"/>
                <w:szCs w:val="21"/>
                <w:highlight w:val="none"/>
              </w:rPr>
              <w:t>（必须提供，否则按无效投标处理）</w:t>
            </w:r>
          </w:p>
          <w:p w14:paraId="33D1AEF7">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lang w:val="en-US" w:eastAsia="zh-CN"/>
              </w:rPr>
              <w:t>6.</w:t>
            </w:r>
            <w:r>
              <w:rPr>
                <w:rFonts w:hint="eastAsia" w:ascii="宋体" w:hAnsi="宋体"/>
                <w:b w:val="0"/>
                <w:bCs/>
                <w:color w:val="auto"/>
                <w:highlight w:val="none"/>
              </w:rPr>
              <w:t>具备履行合同所必需的设备和专业技术能力的证明材料</w:t>
            </w:r>
            <w:r>
              <w:rPr>
                <w:rFonts w:hint="eastAsia" w:ascii="宋体" w:hAnsi="宋体"/>
                <w:b w:val="0"/>
                <w:bCs/>
                <w:color w:val="auto"/>
                <w:highlight w:val="none"/>
                <w:lang w:eastAsia="zh-CN"/>
              </w:rPr>
              <w:t>（</w:t>
            </w:r>
            <w:r>
              <w:rPr>
                <w:rFonts w:hint="eastAsia" w:ascii="宋体" w:hAnsi="宋体"/>
                <w:b w:val="0"/>
                <w:bCs/>
                <w:color w:val="auto"/>
                <w:highlight w:val="none"/>
                <w:lang w:val="en-US" w:eastAsia="zh-CN"/>
              </w:rPr>
              <w:t>格式自拟</w:t>
            </w:r>
            <w:r>
              <w:rPr>
                <w:rFonts w:hint="eastAsia" w:ascii="宋体" w:hAnsi="宋体"/>
                <w:b w:val="0"/>
                <w:bCs/>
                <w:color w:val="auto"/>
                <w:highlight w:val="none"/>
                <w:lang w:eastAsia="zh-CN"/>
              </w:rPr>
              <w:t>）</w:t>
            </w:r>
            <w:r>
              <w:rPr>
                <w:rFonts w:hint="eastAsia" w:ascii="宋体" w:hAnsi="宋体"/>
                <w:b w:val="0"/>
                <w:bCs/>
                <w:color w:val="auto"/>
                <w:highlight w:val="none"/>
              </w:rPr>
              <w:t>；</w:t>
            </w:r>
            <w:r>
              <w:rPr>
                <w:rFonts w:hint="eastAsia" w:ascii="宋体" w:hAnsi="宋体"/>
                <w:b/>
                <w:bCs w:val="0"/>
                <w:color w:val="auto"/>
                <w:highlight w:val="none"/>
              </w:rPr>
              <w:t>（必须提供，否则响应文件作无效处理）</w:t>
            </w:r>
          </w:p>
          <w:p w14:paraId="1DFE773C">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.投标人认为需要提供的其他证明材料（格式自拟）。</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如有请提供</w:t>
            </w:r>
            <w:r>
              <w:rPr>
                <w:rFonts w:hint="eastAsia" w:ascii="宋体" w:hAnsi="宋体" w:eastAsia="宋体" w:cs="宋体"/>
                <w:b/>
                <w:bCs/>
                <w:color w:val="auto"/>
                <w:sz w:val="21"/>
                <w:szCs w:val="21"/>
                <w:highlight w:val="none"/>
                <w:lang w:eastAsia="zh-CN"/>
              </w:rPr>
              <w:t>）</w:t>
            </w:r>
          </w:p>
          <w:p w14:paraId="286F8B64">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注：1.以上标明“必须提供”的材料属于复印件的，必须加盖投标人公章，否则按无效投标</w:t>
            </w:r>
            <w:r>
              <w:rPr>
                <w:rFonts w:hint="eastAsia" w:ascii="宋体" w:hAnsi="宋体" w:eastAsia="宋体" w:cs="宋体"/>
                <w:b/>
                <w:color w:val="auto"/>
                <w:sz w:val="21"/>
                <w:szCs w:val="21"/>
                <w:highlight w:val="none"/>
              </w:rPr>
              <w:t>处理。</w:t>
            </w:r>
            <w:r>
              <w:rPr>
                <w:rFonts w:hint="eastAsia" w:ascii="宋体" w:hAnsi="宋体" w:eastAsia="宋体" w:cs="宋体"/>
                <w:b/>
                <w:bCs/>
                <w:color w:val="auto"/>
                <w:sz w:val="21"/>
                <w:szCs w:val="21"/>
                <w:highlight w:val="none"/>
              </w:rPr>
              <w:t>2.分公司参加投标的，应当取得总公司授权，否则按无效投标</w:t>
            </w:r>
            <w:r>
              <w:rPr>
                <w:rFonts w:hint="eastAsia" w:ascii="宋体" w:hAnsi="宋体" w:eastAsia="宋体" w:cs="宋体"/>
                <w:b/>
                <w:color w:val="auto"/>
                <w:sz w:val="21"/>
                <w:szCs w:val="21"/>
                <w:highlight w:val="none"/>
              </w:rPr>
              <w:t>处理。</w:t>
            </w:r>
          </w:p>
        </w:tc>
      </w:tr>
      <w:tr w14:paraId="0A8EBC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2" w:hRule="atLeast"/>
        </w:trPr>
        <w:tc>
          <w:tcPr>
            <w:tcW w:w="0" w:type="auto"/>
            <w:vMerge w:val="continue"/>
            <w:tcBorders>
              <w:left w:val="single" w:color="auto" w:sz="4" w:space="0"/>
              <w:right w:val="single" w:color="auto" w:sz="4" w:space="0"/>
            </w:tcBorders>
            <w:vAlign w:val="center"/>
          </w:tcPr>
          <w:p w14:paraId="131C608A">
            <w:pPr>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rPr>
            </w:pPr>
            <w:bookmarkStart w:id="39" w:name="_13.3"/>
            <w:bookmarkEnd w:id="39"/>
          </w:p>
        </w:tc>
        <w:tc>
          <w:tcPr>
            <w:tcW w:w="0" w:type="auto"/>
            <w:tcBorders>
              <w:top w:val="single" w:color="auto" w:sz="4" w:space="0"/>
              <w:left w:val="single" w:color="auto" w:sz="4" w:space="0"/>
              <w:bottom w:val="single" w:color="auto" w:sz="4" w:space="0"/>
              <w:right w:val="single" w:color="auto" w:sz="4" w:space="0"/>
            </w:tcBorders>
            <w:vAlign w:val="center"/>
          </w:tcPr>
          <w:p w14:paraId="63478469">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商务文件：</w:t>
            </w:r>
          </w:p>
          <w:p w14:paraId="7D22B1F3">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1.无</w:t>
            </w:r>
            <w:r>
              <w:rPr>
                <w:rFonts w:hint="eastAsia" w:ascii="宋体" w:hAnsi="宋体" w:eastAsia="宋体" w:cs="宋体"/>
                <w:color w:val="auto"/>
                <w:sz w:val="21"/>
                <w:szCs w:val="21"/>
                <w:highlight w:val="none"/>
                <w:lang w:val="en-US" w:eastAsia="zh-CN"/>
              </w:rPr>
              <w:t>围标</w:t>
            </w:r>
            <w:r>
              <w:rPr>
                <w:rFonts w:hint="eastAsia" w:ascii="宋体" w:hAnsi="宋体" w:eastAsia="宋体" w:cs="宋体"/>
                <w:color w:val="auto"/>
                <w:sz w:val="21"/>
                <w:szCs w:val="21"/>
                <w:highlight w:val="none"/>
              </w:rPr>
              <w:t>串</w:t>
            </w:r>
            <w:r>
              <w:rPr>
                <w:rFonts w:hint="eastAsia" w:ascii="宋体" w:hAnsi="宋体" w:eastAsia="宋体" w:cs="宋体"/>
                <w:color w:val="auto"/>
                <w:sz w:val="21"/>
                <w:szCs w:val="21"/>
                <w:highlight w:val="none"/>
                <w:lang w:val="en-US" w:eastAsia="zh-CN"/>
              </w:rPr>
              <w:t>标</w:t>
            </w:r>
            <w:r>
              <w:rPr>
                <w:rFonts w:hint="eastAsia" w:ascii="宋体" w:hAnsi="宋体" w:eastAsia="宋体" w:cs="宋体"/>
                <w:color w:val="auto"/>
                <w:sz w:val="21"/>
                <w:szCs w:val="21"/>
                <w:highlight w:val="none"/>
              </w:rPr>
              <w:t>行为的承诺函（格式后附）；</w:t>
            </w:r>
            <w:r>
              <w:rPr>
                <w:rFonts w:hint="eastAsia" w:ascii="宋体" w:hAnsi="宋体" w:eastAsia="宋体" w:cs="宋体"/>
                <w:b/>
                <w:bCs/>
                <w:color w:val="auto"/>
                <w:sz w:val="21"/>
                <w:szCs w:val="21"/>
                <w:highlight w:val="none"/>
              </w:rPr>
              <w:t>（必须提供，否则按无效投标处理）</w:t>
            </w:r>
          </w:p>
          <w:p w14:paraId="2909D8C3">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2.法定代表人身份证明及法定代表人有效身份证正反面复印件（格式后附）；</w:t>
            </w:r>
            <w:r>
              <w:rPr>
                <w:rFonts w:hint="eastAsia" w:ascii="宋体" w:hAnsi="宋体" w:eastAsia="宋体" w:cs="宋体"/>
                <w:b/>
                <w:bCs/>
                <w:color w:val="auto"/>
                <w:sz w:val="21"/>
                <w:szCs w:val="21"/>
                <w:highlight w:val="none"/>
              </w:rPr>
              <w:t>（除自然人投标外必须提供，否则按无效投标处理）</w:t>
            </w:r>
          </w:p>
          <w:p w14:paraId="7A5BABDC">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3.授权委托书及委托代理人有效身份证正反面复印件（格式后附）；</w:t>
            </w:r>
            <w:r>
              <w:rPr>
                <w:rFonts w:hint="eastAsia" w:ascii="宋体" w:hAnsi="宋体" w:eastAsia="宋体" w:cs="宋体"/>
                <w:b/>
                <w:bCs/>
                <w:color w:val="auto"/>
                <w:sz w:val="21"/>
                <w:szCs w:val="21"/>
                <w:highlight w:val="none"/>
              </w:rPr>
              <w:t>（委托时必须提供，否则按无效投标处理）</w:t>
            </w:r>
          </w:p>
          <w:p w14:paraId="35C59D46">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4.商务要求偏离表（格式后附）；</w:t>
            </w:r>
            <w:r>
              <w:rPr>
                <w:rFonts w:hint="eastAsia" w:ascii="宋体" w:hAnsi="宋体" w:eastAsia="宋体" w:cs="宋体"/>
                <w:b/>
                <w:bCs/>
                <w:color w:val="auto"/>
                <w:sz w:val="21"/>
                <w:szCs w:val="21"/>
                <w:highlight w:val="none"/>
              </w:rPr>
              <w:t>（必须提供，否则按无效投标处理）</w:t>
            </w:r>
          </w:p>
          <w:p w14:paraId="59296735">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bCs/>
                <w:color w:val="auto"/>
                <w:sz w:val="21"/>
                <w:szCs w:val="21"/>
                <w:highlight w:val="none"/>
              </w:rPr>
              <w:t>服务</w:t>
            </w:r>
            <w:r>
              <w:rPr>
                <w:rFonts w:hint="eastAsia" w:ascii="宋体" w:hAnsi="宋体" w:eastAsia="宋体" w:cs="宋体"/>
                <w:color w:val="auto"/>
                <w:sz w:val="21"/>
                <w:szCs w:val="21"/>
                <w:highlight w:val="none"/>
              </w:rPr>
              <w:t>承诺（格式自拟）；</w:t>
            </w:r>
            <w:r>
              <w:rPr>
                <w:rFonts w:hint="eastAsia" w:ascii="宋体" w:hAnsi="宋体" w:eastAsia="宋体" w:cs="宋体"/>
                <w:b/>
                <w:bCs/>
                <w:color w:val="auto"/>
                <w:sz w:val="21"/>
                <w:szCs w:val="21"/>
                <w:highlight w:val="none"/>
              </w:rPr>
              <w:t>（必须提供，否则按无效投标处理）</w:t>
            </w:r>
          </w:p>
          <w:p w14:paraId="33E268BC">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6.投标人情况介绍（格式自拟）；</w:t>
            </w:r>
            <w:r>
              <w:rPr>
                <w:rFonts w:hint="eastAsia" w:ascii="宋体" w:hAnsi="宋体" w:eastAsia="宋体" w:cs="宋体"/>
                <w:b/>
                <w:bCs/>
                <w:color w:val="auto"/>
                <w:sz w:val="21"/>
                <w:szCs w:val="21"/>
                <w:highlight w:val="none"/>
                <w:lang w:eastAsia="zh-CN"/>
              </w:rPr>
              <w:t>（</w:t>
            </w:r>
            <w:r>
              <w:rPr>
                <w:rFonts w:hint="eastAsia" w:ascii="宋体" w:hAnsi="宋体" w:cs="宋体"/>
                <w:b/>
                <w:bCs/>
                <w:szCs w:val="21"/>
              </w:rPr>
              <w:t>如有请提供</w:t>
            </w:r>
            <w:r>
              <w:rPr>
                <w:rFonts w:hint="eastAsia" w:ascii="宋体" w:hAnsi="宋体" w:eastAsia="宋体" w:cs="宋体"/>
                <w:b/>
                <w:bCs/>
                <w:color w:val="auto"/>
                <w:sz w:val="21"/>
                <w:szCs w:val="21"/>
                <w:highlight w:val="none"/>
                <w:lang w:eastAsia="zh-CN"/>
              </w:rPr>
              <w:t>）</w:t>
            </w:r>
          </w:p>
          <w:p w14:paraId="086F918F">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7.投标人认为需要提供的其他证明材料（格式自拟）（</w:t>
            </w:r>
            <w:r>
              <w:rPr>
                <w:rFonts w:hint="eastAsia" w:ascii="宋体" w:hAnsi="宋体" w:eastAsia="宋体" w:cs="宋体"/>
                <w:color w:val="auto"/>
                <w:sz w:val="21"/>
                <w:szCs w:val="21"/>
                <w:highlight w:val="none"/>
                <w:lang w:val="en-US" w:eastAsia="zh-CN"/>
              </w:rPr>
              <w:t>如有请提供，</w:t>
            </w:r>
            <w:r>
              <w:rPr>
                <w:rFonts w:hint="eastAsia" w:ascii="宋体" w:hAnsi="宋体" w:eastAsia="宋体" w:cs="宋体"/>
                <w:color w:val="auto"/>
                <w:sz w:val="21"/>
                <w:szCs w:val="21"/>
                <w:highlight w:val="none"/>
              </w:rPr>
              <w:t>投标人根据“第二章 采购需求”及“第四章 评标方法及评标标准”提供有关证明材料）。</w:t>
            </w:r>
          </w:p>
          <w:p w14:paraId="003A317B">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注：以上标明“必须提供”的材料属于复印件的，必须加盖投标人公章，否则按无效投标</w:t>
            </w:r>
            <w:r>
              <w:rPr>
                <w:rFonts w:hint="eastAsia" w:ascii="宋体" w:hAnsi="宋体" w:eastAsia="宋体" w:cs="宋体"/>
                <w:b/>
                <w:color w:val="auto"/>
                <w:sz w:val="21"/>
                <w:szCs w:val="21"/>
                <w:highlight w:val="none"/>
              </w:rPr>
              <w:t>处理</w:t>
            </w:r>
            <w:r>
              <w:rPr>
                <w:rFonts w:hint="eastAsia" w:ascii="宋体" w:hAnsi="宋体" w:eastAsia="宋体" w:cs="宋体"/>
                <w:b/>
                <w:bCs/>
                <w:color w:val="auto"/>
                <w:sz w:val="21"/>
                <w:szCs w:val="21"/>
                <w:highlight w:val="none"/>
              </w:rPr>
              <w:t>。</w:t>
            </w:r>
          </w:p>
        </w:tc>
      </w:tr>
      <w:tr w14:paraId="2320FA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left w:val="single" w:color="auto" w:sz="4" w:space="0"/>
              <w:bottom w:val="single" w:color="auto" w:sz="4" w:space="0"/>
              <w:right w:val="single" w:color="auto" w:sz="4" w:space="0"/>
            </w:tcBorders>
            <w:vAlign w:val="center"/>
          </w:tcPr>
          <w:p w14:paraId="07F23833">
            <w:pPr>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rPr>
            </w:pPr>
            <w:bookmarkStart w:id="40" w:name="_13.4"/>
            <w:bookmarkEnd w:id="40"/>
          </w:p>
        </w:tc>
        <w:tc>
          <w:tcPr>
            <w:tcW w:w="0" w:type="auto"/>
            <w:tcBorders>
              <w:top w:val="single" w:color="auto" w:sz="4" w:space="0"/>
              <w:left w:val="single" w:color="auto" w:sz="4" w:space="0"/>
              <w:bottom w:val="single" w:color="auto" w:sz="4" w:space="0"/>
              <w:right w:val="single" w:color="auto" w:sz="4" w:space="0"/>
            </w:tcBorders>
            <w:vAlign w:val="center"/>
          </w:tcPr>
          <w:p w14:paraId="58380690">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技术文件：</w:t>
            </w:r>
          </w:p>
          <w:p w14:paraId="79CE3094">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1.技术要求偏离表（格式后附）；</w:t>
            </w:r>
            <w:r>
              <w:rPr>
                <w:rFonts w:hint="eastAsia" w:ascii="宋体" w:hAnsi="宋体" w:eastAsia="宋体" w:cs="宋体"/>
                <w:b/>
                <w:color w:val="auto"/>
                <w:sz w:val="21"/>
                <w:szCs w:val="21"/>
                <w:highlight w:val="none"/>
              </w:rPr>
              <w:t>（必须提供，否则按无效投标处理）</w:t>
            </w:r>
          </w:p>
          <w:p w14:paraId="258B87CD">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2.服务方案</w:t>
            </w:r>
            <w:r>
              <w:rPr>
                <w:rFonts w:hint="eastAsia" w:ascii="宋体" w:hAnsi="宋体" w:eastAsia="宋体" w:cs="宋体"/>
                <w:b w:val="0"/>
                <w:bCs w:val="0"/>
                <w:color w:val="auto"/>
                <w:sz w:val="21"/>
                <w:szCs w:val="21"/>
                <w:highlight w:val="none"/>
              </w:rPr>
              <w:t>（格式自拟）</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（必须提供，否则按无效投标处理）</w:t>
            </w:r>
          </w:p>
          <w:p w14:paraId="3850D6E3">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3.项目实施人员一览表</w:t>
            </w:r>
            <w:r>
              <w:rPr>
                <w:rFonts w:hint="eastAsia" w:ascii="宋体" w:hAnsi="宋体" w:eastAsia="宋体" w:cs="宋体"/>
                <w:b w:val="0"/>
                <w:bCs w:val="0"/>
                <w:color w:val="auto"/>
                <w:sz w:val="21"/>
                <w:szCs w:val="21"/>
                <w:highlight w:val="none"/>
              </w:rPr>
              <w:t>（格式后附）</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（必须提供，否则按无效投标处理）</w:t>
            </w:r>
          </w:p>
          <w:p w14:paraId="7C31AF47">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4.除</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文件规定必须提供以外，投标人需要说明的其他文件和说明（格式自拟）。</w:t>
            </w:r>
            <w:r>
              <w:rPr>
                <w:rFonts w:hint="eastAsia" w:ascii="宋体" w:hAnsi="宋体" w:eastAsia="宋体" w:cs="宋体"/>
                <w:b/>
                <w:bCs/>
                <w:color w:val="auto"/>
                <w:sz w:val="21"/>
                <w:szCs w:val="21"/>
                <w:highlight w:val="none"/>
                <w:lang w:eastAsia="zh-CN"/>
              </w:rPr>
              <w:t>（</w:t>
            </w:r>
            <w:r>
              <w:rPr>
                <w:rFonts w:hint="eastAsia" w:ascii="宋体" w:hAnsi="宋体" w:cs="宋体"/>
                <w:b/>
                <w:bCs/>
                <w:szCs w:val="21"/>
              </w:rPr>
              <w:t>如有请提供</w:t>
            </w:r>
            <w:r>
              <w:rPr>
                <w:rFonts w:hint="eastAsia" w:ascii="宋体" w:hAnsi="宋体" w:eastAsia="宋体" w:cs="宋体"/>
                <w:b/>
                <w:bCs/>
                <w:color w:val="auto"/>
                <w:sz w:val="21"/>
                <w:szCs w:val="21"/>
                <w:highlight w:val="none"/>
                <w:lang w:eastAsia="zh-CN"/>
              </w:rPr>
              <w:t>）</w:t>
            </w:r>
          </w:p>
          <w:p w14:paraId="400B8CF6">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注：以上标明“必须提供”的材料属于复印件的，必须加盖投标人公章，否则按无效投标</w:t>
            </w:r>
            <w:r>
              <w:rPr>
                <w:rFonts w:hint="eastAsia" w:ascii="宋体" w:hAnsi="宋体" w:eastAsia="宋体" w:cs="宋体"/>
                <w:b/>
                <w:color w:val="auto"/>
                <w:sz w:val="21"/>
                <w:szCs w:val="21"/>
                <w:highlight w:val="none"/>
              </w:rPr>
              <w:t>处理</w:t>
            </w:r>
            <w:r>
              <w:rPr>
                <w:rFonts w:hint="eastAsia" w:ascii="宋体" w:hAnsi="宋体" w:eastAsia="宋体" w:cs="宋体"/>
                <w:b/>
                <w:bCs/>
                <w:color w:val="auto"/>
                <w:sz w:val="21"/>
                <w:szCs w:val="21"/>
                <w:highlight w:val="none"/>
              </w:rPr>
              <w:t>。</w:t>
            </w:r>
          </w:p>
        </w:tc>
      </w:tr>
      <w:tr w14:paraId="4D665E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7D40B56">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41" w:name="_16.2"/>
            <w:bookmarkEnd w:id="41"/>
            <w:bookmarkStart w:id="42" w:name="_13.5"/>
            <w:bookmarkEnd w:id="42"/>
            <w:r>
              <w:rPr>
                <w:rFonts w:hint="eastAsia" w:ascii="宋体" w:hAnsi="宋体" w:eastAsia="宋体" w:cs="宋体"/>
                <w:color w:val="auto"/>
                <w:sz w:val="21"/>
                <w:szCs w:val="21"/>
                <w:highlight w:val="none"/>
              </w:rPr>
              <w:t>16</w:t>
            </w:r>
            <w:bookmarkStart w:id="43" w:name="_Hlt19693759"/>
            <w:bookmarkStart w:id="44" w:name="_Hlt19194067"/>
            <w:bookmarkStart w:id="45" w:name="_Hlt19194066"/>
            <w:bookmarkStart w:id="46" w:name="_Hlt19693758"/>
            <w:r>
              <w:rPr>
                <w:rFonts w:hint="eastAsia" w:ascii="宋体" w:hAnsi="宋体" w:eastAsia="宋体" w:cs="宋体"/>
                <w:color w:val="auto"/>
                <w:sz w:val="21"/>
                <w:szCs w:val="21"/>
                <w:highlight w:val="none"/>
              </w:rPr>
              <w:t>.</w:t>
            </w:r>
            <w:bookmarkEnd w:id="43"/>
            <w:bookmarkEnd w:id="44"/>
            <w:bookmarkEnd w:id="45"/>
            <w:bookmarkEnd w:id="46"/>
            <w:r>
              <w:rPr>
                <w:rFonts w:hint="eastAsia" w:ascii="宋体" w:hAnsi="宋体" w:eastAsia="宋体" w:cs="宋体"/>
                <w:color w:val="auto"/>
                <w:sz w:val="21"/>
                <w:szCs w:val="21"/>
                <w:highlight w:val="none"/>
              </w:rPr>
              <w:t>2</w:t>
            </w:r>
          </w:p>
        </w:tc>
        <w:tc>
          <w:tcPr>
            <w:tcW w:w="0" w:type="auto"/>
            <w:tcBorders>
              <w:top w:val="single" w:color="auto" w:sz="4" w:space="0"/>
              <w:left w:val="single" w:color="auto" w:sz="4" w:space="0"/>
              <w:bottom w:val="single" w:color="auto" w:sz="4" w:space="0"/>
              <w:right w:val="single" w:color="auto" w:sz="4" w:space="0"/>
            </w:tcBorders>
            <w:vAlign w:val="center"/>
          </w:tcPr>
          <w:p w14:paraId="4E94FB0C">
            <w:pPr>
              <w:keepNext w:val="0"/>
              <w:keepLines w:val="0"/>
              <w:pageBreakBefore w:val="0"/>
              <w:widowControl w:val="0"/>
              <w:tabs>
                <w:tab w:val="left" w:pos="2155"/>
              </w:tabs>
              <w:kinsoku/>
              <w:wordWrap/>
              <w:overflowPunct/>
              <w:topLinePunct w:val="0"/>
              <w:bidi w:val="0"/>
              <w:adjustRightInd/>
              <w:spacing w:line="360" w:lineRule="exact"/>
              <w:ind w:firstLine="420" w:firstLineChars="200"/>
              <w:rPr>
                <w:rFonts w:hint="eastAsia" w:ascii="宋体" w:hAnsi="宋体" w:cs="宋体"/>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报价是含税的报价；</w:t>
            </w:r>
            <w:r>
              <w:rPr>
                <w:rFonts w:hint="eastAsia" w:ascii="宋体" w:hAnsi="宋体" w:cs="宋体"/>
                <w:color w:val="000000" w:themeColor="text1"/>
                <w14:textFill>
                  <w14:solidFill>
                    <w14:schemeClr w14:val="tx1"/>
                  </w14:solidFill>
                </w14:textFill>
              </w:rPr>
              <w:t>投标人报价以本项目采购预算为最高限价，本项目报价为一口价。</w:t>
            </w:r>
          </w:p>
          <w:p w14:paraId="52BA7A5A">
            <w:pPr>
              <w:keepNext w:val="0"/>
              <w:keepLines w:val="0"/>
              <w:pageBreakBefore w:val="0"/>
              <w:widowControl w:val="0"/>
              <w:tabs>
                <w:tab w:val="left" w:pos="2155"/>
              </w:tabs>
              <w:kinsoku/>
              <w:wordWrap/>
              <w:overflowPunct/>
              <w:topLinePunct w:val="0"/>
              <w:bidi w:val="0"/>
              <w:adjustRightInd/>
              <w:spacing w:line="360" w:lineRule="exact"/>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结合本招标文件在采购需求下的说明，请投标人谨慎注意：</w:t>
            </w:r>
          </w:p>
          <w:p w14:paraId="23CF24C6">
            <w:pPr>
              <w:keepNext w:val="0"/>
              <w:keepLines w:val="0"/>
              <w:pageBreakBefore w:val="0"/>
              <w:widowControl w:val="0"/>
              <w:tabs>
                <w:tab w:val="left" w:pos="2155"/>
              </w:tabs>
              <w:kinsoku/>
              <w:wordWrap/>
              <w:overflowPunct/>
              <w:topLinePunct w:val="0"/>
              <w:bidi w:val="0"/>
              <w:adjustRightInd/>
              <w:spacing w:line="360" w:lineRule="exact"/>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除招标文件载明的另有由招标人承担、由第三方服务商承担的事项（费用）外，凡在合同范围内已明确为中标人义务的内容以及由中标人实施的行为（事项），其对价和成本均应包含在投标人的报价之内（包括但不限于：投标人为提供服务所需的人力、车辆、器材、器械、设备、劳动器具、装备、服装、消耗品、耗材、管理、办公、工具、税费、或有风险等全部应有、或有的事项成本，投标人应负担其服务人员的工资、加班工资、补贴、补助、待遇、奖金、交通、住宿、伙食、用工保障、劳动保护、体检、社会保险、医疗保险、商业保险等全部应有、或有的用人用工费用以及事项成本；其他的经由本项目政府采购确定后的、合同明确的由中标人履行的行为、义务之对价和成本；招标文件明示或暗示的中标人的所有责任、义务和风险等中标人完成本项目所需一切费用）。</w:t>
            </w:r>
          </w:p>
          <w:p w14:paraId="0B68D1FA">
            <w:pPr>
              <w:keepNext w:val="0"/>
              <w:keepLines w:val="0"/>
              <w:pageBreakBefore w:val="0"/>
              <w:widowControl w:val="0"/>
              <w:tabs>
                <w:tab w:val="left" w:pos="2155"/>
              </w:tabs>
              <w:kinsoku/>
              <w:wordWrap/>
              <w:overflowPunct/>
              <w:topLinePunct w:val="0"/>
              <w:bidi w:val="0"/>
              <w:adjustRightInd/>
              <w:spacing w:line="360" w:lineRule="exact"/>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中标后，以合同主文为依据结算的合同价款将会是完全涵盖中标人依合同实施的全部行为、履行合同中全部的中标人义务、实施合同明确约定应由中标人实施的事项所应获得的所有对价及所应支出的所有成本，不论是否能实际涵盖上述所有对价及所应支出的所有成本，以合同主文为依据结算的合同价款即中标人为实施本项目、为签订和履行合同所应获得的价款总额，若有未能实际涵盖的部分由中标人自行承担</w:t>
            </w:r>
            <w:r>
              <w:rPr>
                <w:rFonts w:hint="eastAsia" w:ascii="宋体" w:hAnsi="宋体"/>
                <w:color w:val="000000" w:themeColor="text1"/>
                <w:szCs w:val="21"/>
                <w:lang w:val="zh-CN"/>
                <w14:textFill>
                  <w14:solidFill>
                    <w14:schemeClr w14:val="tx1"/>
                  </w14:solidFill>
                </w14:textFill>
              </w:rPr>
              <w:t>。</w:t>
            </w:r>
          </w:p>
          <w:p w14:paraId="70F69A26">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hAnsi="宋体"/>
                <w:color w:val="000000" w:themeColor="text1"/>
                <w:szCs w:val="21"/>
                <w14:textFill>
                  <w14:solidFill>
                    <w14:schemeClr w14:val="tx1"/>
                  </w14:solidFill>
                </w14:textFill>
              </w:rPr>
              <w:t>因此，</w:t>
            </w:r>
            <w:r>
              <w:rPr>
                <w:rFonts w:hAnsi="宋体"/>
                <w:color w:val="000000" w:themeColor="text1"/>
                <w:szCs w:val="21"/>
                <w14:textFill>
                  <w14:solidFill>
                    <w14:schemeClr w14:val="tx1"/>
                  </w14:solidFill>
                </w14:textFill>
              </w:rPr>
              <w:t>投标人</w:t>
            </w:r>
            <w:r>
              <w:rPr>
                <w:rFonts w:hint="eastAsia" w:hAnsi="宋体"/>
                <w:color w:val="000000" w:themeColor="text1"/>
                <w:szCs w:val="21"/>
                <w14:textFill>
                  <w14:solidFill>
                    <w14:schemeClr w14:val="tx1"/>
                  </w14:solidFill>
                </w14:textFill>
              </w:rPr>
              <w:t>的</w:t>
            </w:r>
            <w:r>
              <w:rPr>
                <w:rFonts w:hAnsi="宋体"/>
                <w:color w:val="000000" w:themeColor="text1"/>
                <w:szCs w:val="21"/>
                <w14:textFill>
                  <w14:solidFill>
                    <w14:schemeClr w14:val="tx1"/>
                  </w14:solidFill>
                </w14:textFill>
              </w:rPr>
              <w:t>报价必须充分考虑，中标后，</w:t>
            </w:r>
            <w:r>
              <w:rPr>
                <w:rFonts w:hint="eastAsia" w:hAnsi="宋体"/>
                <w:color w:val="000000" w:themeColor="text1"/>
                <w:szCs w:val="21"/>
                <w14:textFill>
                  <w14:solidFill>
                    <w14:schemeClr w14:val="tx1"/>
                  </w14:solidFill>
                </w14:textFill>
              </w:rPr>
              <w:t>中标</w:t>
            </w:r>
            <w:r>
              <w:rPr>
                <w:rFonts w:hAnsi="宋体"/>
                <w:color w:val="000000" w:themeColor="text1"/>
                <w:szCs w:val="21"/>
                <w14:textFill>
                  <w14:solidFill>
                    <w14:schemeClr w14:val="tx1"/>
                  </w14:solidFill>
                </w14:textFill>
              </w:rPr>
              <w:t>人不得以</w:t>
            </w:r>
            <w:r>
              <w:rPr>
                <w:rFonts w:hint="eastAsia" w:hAnsi="宋体"/>
                <w:color w:val="000000" w:themeColor="text1"/>
                <w:szCs w:val="21"/>
                <w14:textFill>
                  <w14:solidFill>
                    <w14:schemeClr w14:val="tx1"/>
                  </w14:solidFill>
                </w14:textFill>
              </w:rPr>
              <w:t>其</w:t>
            </w:r>
            <w:r>
              <w:rPr>
                <w:rFonts w:hAnsi="宋体"/>
                <w:color w:val="000000" w:themeColor="text1"/>
                <w:szCs w:val="21"/>
                <w14:textFill>
                  <w14:solidFill>
                    <w14:schemeClr w14:val="tx1"/>
                  </w14:solidFill>
                </w14:textFill>
              </w:rPr>
              <w:t>报价未能涵盖</w:t>
            </w:r>
            <w:r>
              <w:rPr>
                <w:rFonts w:hint="eastAsia" w:hAnsi="宋体"/>
                <w:color w:val="000000" w:themeColor="text1"/>
                <w:szCs w:val="21"/>
                <w14:textFill>
                  <w14:solidFill>
                    <w14:schemeClr w14:val="tx1"/>
                  </w14:solidFill>
                </w14:textFill>
              </w:rPr>
              <w:t>合同范围内</w:t>
            </w:r>
            <w:r>
              <w:rPr>
                <w:rFonts w:hAnsi="宋体"/>
                <w:color w:val="000000" w:themeColor="text1"/>
                <w:szCs w:val="21"/>
                <w14:textFill>
                  <w14:solidFill>
                    <w14:schemeClr w14:val="tx1"/>
                  </w14:solidFill>
                </w14:textFill>
              </w:rPr>
              <w:t>为</w:t>
            </w:r>
            <w:r>
              <w:rPr>
                <w:rFonts w:hint="eastAsia" w:hAnsi="宋体"/>
                <w:color w:val="000000" w:themeColor="text1"/>
                <w:szCs w:val="21"/>
                <w14:textFill>
                  <w14:solidFill>
                    <w14:schemeClr w14:val="tx1"/>
                  </w14:solidFill>
                </w14:textFill>
              </w:rPr>
              <w:t>提供</w:t>
            </w:r>
            <w:r>
              <w:rPr>
                <w:rFonts w:hAnsi="宋体"/>
                <w:color w:val="000000" w:themeColor="text1"/>
                <w:szCs w:val="21"/>
                <w14:textFill>
                  <w14:solidFill>
                    <w14:schemeClr w14:val="tx1"/>
                  </w14:solidFill>
                </w14:textFill>
              </w:rPr>
              <w:t>本项目服务、为签订和履行合同所应获得的所有对价及所应支出的所有成本费用等任何理由，而要求</w:t>
            </w:r>
            <w:r>
              <w:rPr>
                <w:rFonts w:hint="eastAsia" w:hAnsi="宋体"/>
                <w:color w:val="000000" w:themeColor="text1"/>
                <w:szCs w:val="21"/>
                <w14:textFill>
                  <w14:solidFill>
                    <w14:schemeClr w14:val="tx1"/>
                  </w14:solidFill>
                </w14:textFill>
              </w:rPr>
              <w:t>在其</w:t>
            </w:r>
            <w:r>
              <w:rPr>
                <w:rFonts w:hAnsi="宋体"/>
                <w:color w:val="000000" w:themeColor="text1"/>
                <w:szCs w:val="21"/>
                <w14:textFill>
                  <w14:solidFill>
                    <w14:schemeClr w14:val="tx1"/>
                  </w14:solidFill>
                </w14:textFill>
              </w:rPr>
              <w:t>报价以外</w:t>
            </w:r>
            <w:r>
              <w:rPr>
                <w:rFonts w:hint="eastAsia" w:hAnsi="宋体"/>
                <w:color w:val="000000" w:themeColor="text1"/>
                <w:szCs w:val="21"/>
                <w14:textFill>
                  <w14:solidFill>
                    <w14:schemeClr w14:val="tx1"/>
                  </w14:solidFill>
                </w14:textFill>
              </w:rPr>
              <w:t>实施本项目的</w:t>
            </w:r>
            <w:r>
              <w:rPr>
                <w:rFonts w:hAnsi="宋体"/>
                <w:color w:val="000000" w:themeColor="text1"/>
                <w:szCs w:val="21"/>
                <w14:textFill>
                  <w14:solidFill>
                    <w14:schemeClr w14:val="tx1"/>
                  </w14:solidFill>
                </w14:textFill>
              </w:rPr>
              <w:t>其他费用，对这些费用，不再另外支付</w:t>
            </w:r>
            <w:r>
              <w:rPr>
                <w:rFonts w:hint="eastAsia" w:hAnsi="宋体" w:cs="宋体"/>
                <w:color w:val="000000" w:themeColor="text1"/>
                <w14:textFill>
                  <w14:solidFill>
                    <w14:schemeClr w14:val="tx1"/>
                  </w14:solidFill>
                </w14:textFill>
              </w:rPr>
              <w:t>。</w:t>
            </w:r>
          </w:p>
        </w:tc>
      </w:tr>
      <w:tr w14:paraId="5F3917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7F457AAE">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47" w:name="_17.1"/>
            <w:bookmarkEnd w:id="47"/>
            <w:r>
              <w:rPr>
                <w:rFonts w:hint="eastAsia" w:ascii="宋体" w:hAnsi="宋体" w:eastAsia="宋体" w:cs="宋体"/>
                <w:color w:val="auto"/>
                <w:sz w:val="21"/>
                <w:szCs w:val="21"/>
                <w:highlight w:val="none"/>
              </w:rPr>
              <w:t>17.2</w:t>
            </w:r>
          </w:p>
        </w:tc>
        <w:tc>
          <w:tcPr>
            <w:tcW w:w="0" w:type="auto"/>
            <w:tcBorders>
              <w:top w:val="single" w:color="auto" w:sz="4" w:space="0"/>
              <w:left w:val="single" w:color="auto" w:sz="4" w:space="0"/>
              <w:bottom w:val="single" w:color="auto" w:sz="4" w:space="0"/>
              <w:right w:val="single" w:color="auto" w:sz="4" w:space="0"/>
            </w:tcBorders>
            <w:vAlign w:val="center"/>
          </w:tcPr>
          <w:p w14:paraId="423591B0">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投标有效期：自投标截止之日起</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w:t>
            </w:r>
          </w:p>
        </w:tc>
      </w:tr>
      <w:tr w14:paraId="345F14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177804C">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48" w:name="_18"/>
            <w:bookmarkEnd w:id="48"/>
            <w:r>
              <w:rPr>
                <w:rFonts w:hint="eastAsia" w:ascii="宋体" w:hAnsi="宋体" w:eastAsia="宋体" w:cs="宋体"/>
                <w:color w:val="auto"/>
                <w:sz w:val="21"/>
                <w:szCs w:val="21"/>
                <w:highlight w:val="none"/>
              </w:rPr>
              <w:t>18.1</w:t>
            </w:r>
          </w:p>
        </w:tc>
        <w:tc>
          <w:tcPr>
            <w:tcW w:w="0" w:type="auto"/>
            <w:tcBorders>
              <w:top w:val="single" w:color="auto" w:sz="4" w:space="0"/>
              <w:left w:val="single" w:color="auto" w:sz="4" w:space="0"/>
              <w:bottom w:val="single" w:color="auto" w:sz="4" w:space="0"/>
              <w:right w:val="single" w:color="auto" w:sz="4" w:space="0"/>
            </w:tcBorders>
            <w:vAlign w:val="center"/>
          </w:tcPr>
          <w:p w14:paraId="0CBADE61">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本项目不收取投标保证金。</w:t>
            </w:r>
          </w:p>
        </w:tc>
      </w:tr>
      <w:tr w14:paraId="6065E5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4B27885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49" w:name="_19.2"/>
            <w:bookmarkEnd w:id="49"/>
            <w:r>
              <w:rPr>
                <w:rFonts w:hint="eastAsia" w:ascii="宋体" w:hAnsi="宋体" w:eastAsia="宋体" w:cs="宋体"/>
                <w:color w:val="auto"/>
                <w:sz w:val="21"/>
                <w:szCs w:val="21"/>
                <w:highlight w:val="none"/>
              </w:rPr>
              <w:t>20</w:t>
            </w:r>
          </w:p>
        </w:tc>
        <w:tc>
          <w:tcPr>
            <w:tcW w:w="0" w:type="auto"/>
            <w:tcBorders>
              <w:top w:val="single" w:color="auto" w:sz="4" w:space="0"/>
              <w:left w:val="single" w:color="auto" w:sz="4" w:space="0"/>
              <w:bottom w:val="single" w:color="auto" w:sz="4" w:space="0"/>
              <w:right w:val="single" w:color="auto" w:sz="4" w:space="0"/>
            </w:tcBorders>
            <w:vAlign w:val="center"/>
          </w:tcPr>
          <w:p w14:paraId="4C31DC1E">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本项目不接受电子备份投标文件。</w:t>
            </w:r>
          </w:p>
        </w:tc>
      </w:tr>
      <w:tr w14:paraId="503106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0" w:type="auto"/>
            <w:tcBorders>
              <w:top w:val="single" w:color="auto" w:sz="4" w:space="0"/>
              <w:left w:val="single" w:color="auto" w:sz="4" w:space="0"/>
              <w:bottom w:val="single" w:color="auto" w:sz="4" w:space="0"/>
              <w:right w:val="single" w:color="auto" w:sz="4" w:space="0"/>
            </w:tcBorders>
            <w:vAlign w:val="center"/>
          </w:tcPr>
          <w:p w14:paraId="4161F70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0" w:name="_21.1"/>
            <w:bookmarkEnd w:id="50"/>
            <w:r>
              <w:rPr>
                <w:rFonts w:hint="eastAsia" w:ascii="宋体" w:hAnsi="宋体" w:eastAsia="宋体" w:cs="宋体"/>
                <w:color w:val="auto"/>
                <w:sz w:val="21"/>
                <w:szCs w:val="21"/>
                <w:highlight w:val="none"/>
              </w:rPr>
              <w:t>21.1</w:t>
            </w:r>
          </w:p>
        </w:tc>
        <w:tc>
          <w:tcPr>
            <w:tcW w:w="0" w:type="auto"/>
            <w:tcBorders>
              <w:top w:val="single" w:color="auto" w:sz="4" w:space="0"/>
              <w:left w:val="single" w:color="auto" w:sz="4" w:space="0"/>
              <w:bottom w:val="single" w:color="auto" w:sz="4" w:space="0"/>
              <w:right w:val="single" w:color="auto" w:sz="4" w:space="0"/>
            </w:tcBorders>
            <w:vAlign w:val="center"/>
          </w:tcPr>
          <w:p w14:paraId="28D8264F">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1.投标文件提交截止时间：详见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32BE13BF">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2.投标地点：详见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tc>
      </w:tr>
      <w:tr w14:paraId="319F67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732ED2B8">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1" w:name="_23"/>
            <w:bookmarkEnd w:id="51"/>
            <w:r>
              <w:rPr>
                <w:rFonts w:hint="eastAsia" w:ascii="宋体" w:hAnsi="宋体" w:eastAsia="宋体" w:cs="宋体"/>
                <w:color w:val="auto"/>
                <w:sz w:val="21"/>
                <w:szCs w:val="21"/>
                <w:highlight w:val="none"/>
              </w:rPr>
              <w:t>23</w:t>
            </w:r>
          </w:p>
        </w:tc>
        <w:tc>
          <w:tcPr>
            <w:tcW w:w="0" w:type="auto"/>
            <w:tcBorders>
              <w:top w:val="single" w:color="auto" w:sz="4" w:space="0"/>
              <w:left w:val="single" w:color="auto" w:sz="4" w:space="0"/>
              <w:bottom w:val="single" w:color="auto" w:sz="4" w:space="0"/>
              <w:right w:val="single" w:color="auto" w:sz="4" w:space="0"/>
            </w:tcBorders>
            <w:vAlign w:val="center"/>
          </w:tcPr>
          <w:p w14:paraId="146ACA8D">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1.开标时间：详见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5E00B529">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2.开标地点：详见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tc>
      </w:tr>
      <w:tr w14:paraId="72B2EE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533A0FC">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24.3（1）</w:t>
            </w:r>
          </w:p>
        </w:tc>
        <w:tc>
          <w:tcPr>
            <w:tcW w:w="0" w:type="auto"/>
            <w:tcBorders>
              <w:top w:val="single" w:color="auto" w:sz="4" w:space="0"/>
              <w:left w:val="single" w:color="auto" w:sz="4" w:space="0"/>
              <w:bottom w:val="single" w:color="auto" w:sz="4" w:space="0"/>
              <w:right w:val="single" w:color="auto" w:sz="4" w:space="0"/>
            </w:tcBorders>
            <w:vAlign w:val="center"/>
          </w:tcPr>
          <w:p w14:paraId="5C568F45">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电子投标文件解密时间：30分钟</w:t>
            </w:r>
          </w:p>
        </w:tc>
      </w:tr>
      <w:tr w14:paraId="63643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46A1D99">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24.3（2）</w:t>
            </w:r>
          </w:p>
        </w:tc>
        <w:tc>
          <w:tcPr>
            <w:tcW w:w="0" w:type="auto"/>
            <w:tcBorders>
              <w:top w:val="single" w:color="auto" w:sz="4" w:space="0"/>
              <w:left w:val="single" w:color="auto" w:sz="4" w:space="0"/>
              <w:bottom w:val="single" w:color="auto" w:sz="4" w:space="0"/>
              <w:right w:val="single" w:color="auto" w:sz="4" w:space="0"/>
            </w:tcBorders>
            <w:vAlign w:val="center"/>
          </w:tcPr>
          <w:p w14:paraId="30EC88BB">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宣布的内容：投标人名称、投标价格。</w:t>
            </w:r>
          </w:p>
        </w:tc>
      </w:tr>
      <w:tr w14:paraId="533D55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708C846">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2" w:name="_25.3"/>
            <w:bookmarkEnd w:id="52"/>
            <w:r>
              <w:rPr>
                <w:rFonts w:hint="eastAsia" w:ascii="宋体" w:hAnsi="宋体" w:eastAsia="宋体" w:cs="宋体"/>
                <w:color w:val="auto"/>
                <w:sz w:val="21"/>
                <w:szCs w:val="21"/>
                <w:highlight w:val="none"/>
              </w:rPr>
              <w:t>25.3（2）</w:t>
            </w:r>
          </w:p>
        </w:tc>
        <w:tc>
          <w:tcPr>
            <w:tcW w:w="0" w:type="auto"/>
            <w:tcBorders>
              <w:top w:val="single" w:color="auto" w:sz="4" w:space="0"/>
              <w:left w:val="single" w:color="auto" w:sz="4" w:space="0"/>
              <w:bottom w:val="single" w:color="auto" w:sz="4" w:space="0"/>
              <w:right w:val="single" w:color="auto" w:sz="4" w:space="0"/>
            </w:tcBorders>
            <w:vAlign w:val="center"/>
          </w:tcPr>
          <w:p w14:paraId="7D9D9C04">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采购人或者采购代理机构在资格审查结束前，对投标人进行信用查询。</w:t>
            </w:r>
          </w:p>
          <w:p w14:paraId="3B67146F">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查询渠道：“信用中国”网站（www.creditchina.gov.cn）、中国政府采购网（www.ccgp.gov.cn）。</w:t>
            </w:r>
          </w:p>
        </w:tc>
      </w:tr>
      <w:tr w14:paraId="105C83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CA0960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3" w:name="_26"/>
            <w:bookmarkEnd w:id="53"/>
            <w:r>
              <w:rPr>
                <w:rFonts w:hint="eastAsia" w:ascii="宋体" w:hAnsi="宋体" w:eastAsia="宋体" w:cs="宋体"/>
                <w:color w:val="auto"/>
                <w:sz w:val="21"/>
                <w:szCs w:val="21"/>
                <w:highlight w:val="none"/>
              </w:rPr>
              <w:t>26.1</w:t>
            </w:r>
          </w:p>
        </w:tc>
        <w:tc>
          <w:tcPr>
            <w:tcW w:w="0" w:type="auto"/>
            <w:tcBorders>
              <w:top w:val="single" w:color="auto" w:sz="4" w:space="0"/>
              <w:left w:val="single" w:color="auto" w:sz="4" w:space="0"/>
              <w:bottom w:val="single" w:color="auto" w:sz="4" w:space="0"/>
              <w:right w:val="single" w:color="auto" w:sz="4" w:space="0"/>
            </w:tcBorders>
            <w:vAlign w:val="center"/>
          </w:tcPr>
          <w:p w14:paraId="750A0A55">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评标委员会的人数：</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rPr>
              <w:t>人。</w:t>
            </w:r>
          </w:p>
        </w:tc>
      </w:tr>
      <w:tr w14:paraId="48B2AB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00F155AC">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4" w:name="_28.3"/>
            <w:bookmarkEnd w:id="54"/>
            <w:r>
              <w:rPr>
                <w:rFonts w:hint="eastAsia" w:ascii="宋体" w:hAnsi="宋体" w:eastAsia="宋体" w:cs="宋体"/>
                <w:color w:val="auto"/>
                <w:sz w:val="21"/>
                <w:szCs w:val="21"/>
                <w:highlight w:val="none"/>
              </w:rPr>
              <w:t>29.1</w:t>
            </w:r>
          </w:p>
        </w:tc>
        <w:tc>
          <w:tcPr>
            <w:tcW w:w="0" w:type="auto"/>
            <w:tcBorders>
              <w:top w:val="single" w:color="auto" w:sz="4" w:space="0"/>
              <w:left w:val="single" w:color="auto" w:sz="4" w:space="0"/>
              <w:bottom w:val="single" w:color="auto" w:sz="4" w:space="0"/>
              <w:right w:val="single" w:color="auto" w:sz="4" w:space="0"/>
            </w:tcBorders>
            <w:vAlign w:val="center"/>
          </w:tcPr>
          <w:p w14:paraId="60922612">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评标方法：综合评分法。</w:t>
            </w:r>
          </w:p>
        </w:tc>
      </w:tr>
      <w:tr w14:paraId="1A724D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0" w:type="auto"/>
            <w:tcBorders>
              <w:top w:val="single" w:color="auto" w:sz="4" w:space="0"/>
              <w:left w:val="single" w:color="auto" w:sz="4" w:space="0"/>
              <w:bottom w:val="single" w:color="auto" w:sz="4" w:space="0"/>
              <w:right w:val="single" w:color="auto" w:sz="4" w:space="0"/>
            </w:tcBorders>
            <w:vAlign w:val="center"/>
          </w:tcPr>
          <w:p w14:paraId="090B25C7">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5" w:name="_29.2.2（2）"/>
            <w:bookmarkEnd w:id="55"/>
            <w:r>
              <w:rPr>
                <w:rFonts w:hint="eastAsia" w:ascii="宋体" w:hAnsi="宋体" w:eastAsia="宋体" w:cs="宋体"/>
                <w:color w:val="auto"/>
                <w:sz w:val="21"/>
                <w:szCs w:val="21"/>
                <w:highlight w:val="none"/>
              </w:rPr>
              <w:t>29.2</w:t>
            </w:r>
          </w:p>
        </w:tc>
        <w:tc>
          <w:tcPr>
            <w:tcW w:w="0" w:type="auto"/>
            <w:tcBorders>
              <w:top w:val="single" w:color="auto" w:sz="4" w:space="0"/>
              <w:left w:val="single" w:color="auto" w:sz="4" w:space="0"/>
              <w:right w:val="single" w:color="auto" w:sz="4" w:space="0"/>
            </w:tcBorders>
            <w:vAlign w:val="center"/>
          </w:tcPr>
          <w:p w14:paraId="42F6090B">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auto"/>
                <w:sz w:val="21"/>
                <w:szCs w:val="21"/>
                <w:highlight w:val="none"/>
              </w:rPr>
              <w:t>商务要求评审中允许负偏离的条款数为</w:t>
            </w:r>
            <w:r>
              <w:rPr>
                <w:rFonts w:hint="eastAsia" w:ascii="宋体" w:hAnsi="宋体" w:cs="宋体"/>
                <w:color w:val="000000" w:themeColor="text1"/>
                <w:sz w:val="21"/>
                <w:szCs w:val="21"/>
                <w:highlight w:val="none"/>
                <w:u w:val="single"/>
                <w:lang w:val="en-US" w:eastAsia="zh-CN"/>
                <w14:textFill>
                  <w14:solidFill>
                    <w14:schemeClr w14:val="tx1"/>
                  </w14:solidFill>
                </w14:textFill>
              </w:rPr>
              <w:t>0</w:t>
            </w:r>
            <w:r>
              <w:rPr>
                <w:rFonts w:hint="eastAsia" w:ascii="宋体" w:hAnsi="宋体" w:eastAsia="宋体" w:cs="宋体"/>
                <w:color w:val="000000" w:themeColor="text1"/>
                <w:sz w:val="21"/>
                <w:szCs w:val="21"/>
                <w:highlight w:val="none"/>
                <w14:textFill>
                  <w14:solidFill>
                    <w14:schemeClr w14:val="tx1"/>
                  </w14:solidFill>
                </w14:textFill>
              </w:rPr>
              <w:t>项。</w:t>
            </w:r>
          </w:p>
          <w:p w14:paraId="4284262C">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000000" w:themeColor="text1"/>
                <w:sz w:val="21"/>
                <w:szCs w:val="21"/>
                <w:highlight w:val="none"/>
                <w14:textFill>
                  <w14:solidFill>
                    <w14:schemeClr w14:val="tx1"/>
                  </w14:solidFill>
                </w14:textFill>
              </w:rPr>
              <w:t>技术要求评审中允许负偏离的条款数为</w:t>
            </w:r>
            <w:r>
              <w:rPr>
                <w:rFonts w:hint="eastAsia" w:ascii="宋体" w:hAnsi="宋体" w:cs="宋体"/>
                <w:color w:val="000000" w:themeColor="text1"/>
                <w:sz w:val="21"/>
                <w:szCs w:val="21"/>
                <w:highlight w:val="none"/>
                <w:u w:val="single"/>
                <w:lang w:val="en-US" w:eastAsia="zh-CN"/>
                <w14:textFill>
                  <w14:solidFill>
                    <w14:schemeClr w14:val="tx1"/>
                  </w14:solidFill>
                </w14:textFill>
              </w:rPr>
              <w:t>0</w:t>
            </w:r>
            <w:r>
              <w:rPr>
                <w:rFonts w:hint="eastAsia" w:ascii="宋体" w:hAnsi="宋体" w:eastAsia="宋体" w:cs="宋体"/>
                <w:color w:val="auto"/>
                <w:sz w:val="21"/>
                <w:szCs w:val="21"/>
                <w:highlight w:val="none"/>
              </w:rPr>
              <w:t>项。</w:t>
            </w:r>
          </w:p>
        </w:tc>
      </w:tr>
      <w:tr w14:paraId="1D6759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0" w:type="auto"/>
            <w:tcBorders>
              <w:top w:val="single" w:color="auto" w:sz="4" w:space="0"/>
              <w:left w:val="single" w:color="auto" w:sz="4" w:space="0"/>
              <w:bottom w:val="single" w:color="auto" w:sz="4" w:space="0"/>
              <w:right w:val="single" w:color="auto" w:sz="4" w:space="0"/>
            </w:tcBorders>
            <w:vAlign w:val="center"/>
          </w:tcPr>
          <w:p w14:paraId="73F55833">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w:t>
            </w:r>
          </w:p>
        </w:tc>
        <w:tc>
          <w:tcPr>
            <w:tcW w:w="0" w:type="auto"/>
            <w:tcBorders>
              <w:top w:val="single" w:color="auto" w:sz="4" w:space="0"/>
              <w:left w:val="single" w:color="auto" w:sz="4" w:space="0"/>
              <w:right w:val="single" w:color="auto" w:sz="4" w:space="0"/>
            </w:tcBorders>
            <w:vAlign w:val="center"/>
          </w:tcPr>
          <w:p w14:paraId="346D93CF">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中标候选人推荐数量：</w:t>
            </w:r>
            <w:r>
              <w:rPr>
                <w:rFonts w:hint="eastAsia" w:ascii="宋体" w:hAnsi="宋体" w:eastAsia="宋体" w:cs="宋体"/>
                <w:color w:val="auto"/>
                <w:sz w:val="21"/>
                <w:szCs w:val="21"/>
                <w:highlight w:val="none"/>
                <w:u w:val="single"/>
              </w:rPr>
              <w:t>3</w:t>
            </w:r>
            <w:r>
              <w:rPr>
                <w:rFonts w:hint="eastAsia" w:ascii="宋体" w:hAnsi="宋体" w:eastAsia="宋体" w:cs="宋体"/>
                <w:color w:val="auto"/>
                <w:sz w:val="21"/>
                <w:szCs w:val="21"/>
                <w:highlight w:val="none"/>
              </w:rPr>
              <w:t>名。</w:t>
            </w:r>
          </w:p>
        </w:tc>
      </w:tr>
      <w:tr w14:paraId="4E96B3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761" w:type="dxa"/>
            <w:tcBorders>
              <w:top w:val="single" w:color="auto" w:sz="4" w:space="0"/>
              <w:left w:val="single" w:color="auto" w:sz="4" w:space="0"/>
              <w:bottom w:val="single" w:color="auto" w:sz="4" w:space="0"/>
              <w:right w:val="single" w:color="auto" w:sz="4" w:space="0"/>
            </w:tcBorders>
            <w:vAlign w:val="center"/>
          </w:tcPr>
          <w:p w14:paraId="058CD50C">
            <w:pPr>
              <w:keepNext w:val="0"/>
              <w:keepLines w:val="0"/>
              <w:pageBreakBefore w:val="0"/>
              <w:widowControl w:val="0"/>
              <w:kinsoku/>
              <w:wordWrap/>
              <w:overflowPunct/>
              <w:topLinePunct w:val="0"/>
              <w:bidi w:val="0"/>
              <w:adjustRightInd/>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29.5</w:t>
            </w:r>
          </w:p>
        </w:tc>
        <w:tc>
          <w:tcPr>
            <w:tcW w:w="9377" w:type="dxa"/>
            <w:tcBorders>
              <w:top w:val="single" w:color="auto" w:sz="4" w:space="0"/>
              <w:left w:val="single" w:color="auto" w:sz="4" w:space="0"/>
              <w:right w:val="single" w:color="auto" w:sz="4" w:space="0"/>
            </w:tcBorders>
            <w:vAlign w:val="center"/>
          </w:tcPr>
          <w:p w14:paraId="34C79158">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异常低价审查：根据《关于推动解决政府采购异常低价问题的通知》财库〔2026〕2号规定，政府采购评审中出现下列情形之一的，评审委员会应当启动异常低价投标（响应）审查程序：</w:t>
            </w:r>
          </w:p>
          <w:p w14:paraId="437BAD33">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1.投标（响应）报价低于全部通过符合性审查供应商投标（响应）报价平均值</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%的，即投标（响应）报价&lt;全部通过符合性审查供应商投标（响应）报价平均值×</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w:t>
            </w:r>
          </w:p>
          <w:p w14:paraId="0A358F7D">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2.投标（响应）报价低于通过符合性审查的次低报价供应商投标（响应）报价</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%的，即投标（响应）报价&lt;通过符合性审查的次低报价供应商投标（响应）报价×</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w:t>
            </w:r>
          </w:p>
          <w:p w14:paraId="1F27933A">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3.投标（响应）报价低于采购项目最高限价</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%的，即投标（响应）报价&lt;采购项目最高限价×</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w:t>
            </w:r>
          </w:p>
          <w:p w14:paraId="2F7FFE42">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4.评审委员会基于专业判断，认为供应商报价过低，有可能影响产品质量或者不能诚信履约的其他情形。</w:t>
            </w:r>
          </w:p>
          <w:p w14:paraId="52EF5A2D">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相关法律法规对供应商报价有规定的，从其规定。</w:t>
            </w:r>
          </w:p>
        </w:tc>
      </w:tr>
      <w:tr w14:paraId="397B1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2FB37181">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w:t>
            </w:r>
          </w:p>
        </w:tc>
        <w:tc>
          <w:tcPr>
            <w:tcW w:w="0" w:type="auto"/>
            <w:tcBorders>
              <w:top w:val="single" w:color="auto" w:sz="4" w:space="0"/>
              <w:left w:val="single" w:color="auto" w:sz="4" w:space="0"/>
              <w:bottom w:val="single" w:color="auto" w:sz="4" w:space="0"/>
              <w:right w:val="single" w:color="auto" w:sz="4" w:space="0"/>
            </w:tcBorders>
            <w:vAlign w:val="center"/>
          </w:tcPr>
          <w:p w14:paraId="1A62ADEC">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采用综合评分法的采购项目，采购人确定中标人时，出现中标候选人并列的情形，采购人按以下的方式确定中标人：按综合评分中服务水平、售后服务、履约能力得分高低依次确定。</w:t>
            </w:r>
          </w:p>
          <w:p w14:paraId="41089629">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最低评标价法的采购项目，采购人确定中标人时，出现中标候选人并列的情形，采购人按以下的方式确定中标人：按服务水平技术指标高优先、服务方案好优先、拟投入人员多优先、服务响应时间短优先的顺序依次确定。</w:t>
            </w:r>
          </w:p>
        </w:tc>
      </w:tr>
      <w:tr w14:paraId="7C0DAE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vAlign w:val="center"/>
          </w:tcPr>
          <w:p w14:paraId="587F6C3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6" w:name="_39.1"/>
            <w:bookmarkEnd w:id="56"/>
            <w:r>
              <w:rPr>
                <w:rFonts w:hint="eastAsia" w:ascii="宋体" w:hAnsi="宋体" w:eastAsia="宋体" w:cs="宋体"/>
                <w:color w:val="auto"/>
                <w:sz w:val="21"/>
                <w:szCs w:val="21"/>
                <w:highlight w:val="none"/>
              </w:rPr>
              <w:t>35.1</w:t>
            </w:r>
          </w:p>
        </w:tc>
        <w:tc>
          <w:tcPr>
            <w:tcW w:w="0" w:type="auto"/>
            <w:tcBorders>
              <w:top w:val="single" w:color="auto" w:sz="4" w:space="0"/>
              <w:left w:val="single" w:color="auto" w:sz="4" w:space="0"/>
              <w:bottom w:val="single" w:color="auto" w:sz="4" w:space="0"/>
              <w:right w:val="single" w:color="auto" w:sz="4" w:space="0"/>
            </w:tcBorders>
            <w:vAlign w:val="center"/>
          </w:tcPr>
          <w:p w14:paraId="1D47D217">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eastAsia="zh-CN"/>
              </w:rPr>
              <w:t>不收取</w:t>
            </w:r>
            <w:r>
              <w:rPr>
                <w:rFonts w:hint="eastAsia" w:ascii="宋体" w:hAnsi="宋体" w:eastAsia="宋体" w:cs="宋体"/>
                <w:color w:val="auto"/>
                <w:sz w:val="21"/>
                <w:szCs w:val="21"/>
                <w:highlight w:val="none"/>
              </w:rPr>
              <w:t>履约保证金。</w:t>
            </w:r>
          </w:p>
        </w:tc>
      </w:tr>
      <w:tr w14:paraId="3B33C3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8FC5A12">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7" w:name="_40.1"/>
            <w:bookmarkEnd w:id="57"/>
            <w:r>
              <w:rPr>
                <w:rFonts w:hint="eastAsia" w:ascii="宋体" w:hAnsi="宋体" w:eastAsia="宋体" w:cs="宋体"/>
                <w:color w:val="auto"/>
                <w:sz w:val="21"/>
                <w:szCs w:val="21"/>
                <w:highlight w:val="none"/>
              </w:rPr>
              <w:t>36.1</w:t>
            </w:r>
          </w:p>
        </w:tc>
        <w:tc>
          <w:tcPr>
            <w:tcW w:w="0" w:type="auto"/>
            <w:tcBorders>
              <w:top w:val="single" w:color="auto" w:sz="4" w:space="0"/>
              <w:left w:val="single" w:color="auto" w:sz="4" w:space="0"/>
              <w:bottom w:val="single" w:color="auto" w:sz="4" w:space="0"/>
              <w:right w:val="single" w:color="auto" w:sz="4" w:space="0"/>
            </w:tcBorders>
            <w:vAlign w:val="center"/>
          </w:tcPr>
          <w:p w14:paraId="27ED642D">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签订合同携带的证明材料：</w:t>
            </w:r>
          </w:p>
          <w:p w14:paraId="5BEF1BF6">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委托代理人负责签订合同的，须携带授权委托书及委托代理人身份证原件等其他资格证件。</w:t>
            </w:r>
          </w:p>
          <w:p w14:paraId="17199BC0">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法定代表人负责签订合同的，须携带法定代表人身份证明原件及身份证原件等其他证明材料。</w:t>
            </w:r>
          </w:p>
        </w:tc>
      </w:tr>
      <w:tr w14:paraId="4B815A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33" w:type="dxa"/>
            <w:tcBorders>
              <w:top w:val="single" w:color="auto" w:sz="4" w:space="0"/>
              <w:left w:val="single" w:color="auto" w:sz="4" w:space="0"/>
              <w:bottom w:val="single" w:color="auto" w:sz="4" w:space="0"/>
              <w:right w:val="single" w:color="auto" w:sz="4" w:space="0"/>
            </w:tcBorders>
            <w:vAlign w:val="center"/>
          </w:tcPr>
          <w:p w14:paraId="766AD6A8">
            <w:pPr>
              <w:spacing w:line="360" w:lineRule="auto"/>
              <w:jc w:val="center"/>
              <w:rPr>
                <w:rFonts w:hint="default" w:ascii="宋体" w:hAnsi="宋体" w:eastAsia="宋体" w:cs="宋体"/>
                <w:color w:val="auto"/>
                <w:sz w:val="21"/>
                <w:szCs w:val="21"/>
                <w:highlight w:val="none"/>
                <w:lang w:val="en-US"/>
              </w:rPr>
            </w:pPr>
            <w:r>
              <w:rPr>
                <w:rFonts w:hint="eastAsia" w:ascii="宋体" w:hAnsi="宋体" w:cs="宋体"/>
                <w:szCs w:val="21"/>
                <w:lang w:val="en-US" w:eastAsia="zh-CN"/>
              </w:rPr>
              <w:t>37</w:t>
            </w:r>
          </w:p>
        </w:tc>
        <w:tc>
          <w:tcPr>
            <w:tcW w:w="9305" w:type="dxa"/>
            <w:tcBorders>
              <w:top w:val="single" w:color="auto" w:sz="4" w:space="0"/>
              <w:left w:val="single" w:color="auto" w:sz="4" w:space="0"/>
              <w:bottom w:val="single" w:color="auto" w:sz="4" w:space="0"/>
              <w:right w:val="single" w:color="auto" w:sz="4" w:space="0"/>
            </w:tcBorders>
            <w:vAlign w:val="center"/>
          </w:tcPr>
          <w:p w14:paraId="38CEA88F">
            <w:pPr>
              <w:pStyle w:val="10"/>
              <w:keepNext w:val="0"/>
              <w:keepLines w:val="0"/>
              <w:pageBreakBefore w:val="0"/>
              <w:widowControl w:val="0"/>
              <w:kinsoku/>
              <w:wordWrap/>
              <w:overflowPunct/>
              <w:topLinePunct w:val="0"/>
              <w:bidi w:val="0"/>
              <w:adjustRightInd/>
              <w:snapToGrid w:val="0"/>
              <w:spacing w:line="360" w:lineRule="exact"/>
              <w:rPr>
                <w:rFonts w:hint="eastAsia" w:hAnsi="宋体" w:cs="宋体"/>
              </w:rPr>
            </w:pPr>
            <w:r>
              <w:rPr>
                <w:rFonts w:hint="eastAsia" w:hAnsi="宋体" w:cs="宋体"/>
              </w:rPr>
              <w:t>政府采购合同公告。</w:t>
            </w:r>
          </w:p>
          <w:p w14:paraId="67933A9B">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hAnsi="宋体" w:cs="宋体"/>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采购人须在合同签订之日起2个工作日内把合同副本以及扫描件送达我中心。</w:t>
            </w:r>
          </w:p>
        </w:tc>
      </w:tr>
      <w:tr w14:paraId="769ECB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05679CA7">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38.2</w:t>
            </w:r>
          </w:p>
        </w:tc>
        <w:tc>
          <w:tcPr>
            <w:tcW w:w="0" w:type="auto"/>
            <w:tcBorders>
              <w:top w:val="single" w:color="auto" w:sz="4" w:space="0"/>
              <w:left w:val="single" w:color="auto" w:sz="4" w:space="0"/>
              <w:bottom w:val="single" w:color="auto" w:sz="4" w:space="0"/>
              <w:right w:val="single" w:color="auto" w:sz="4" w:space="0"/>
            </w:tcBorders>
            <w:vAlign w:val="center"/>
          </w:tcPr>
          <w:p w14:paraId="747B66FE">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接收质疑函方式：以书面形式。</w:t>
            </w:r>
          </w:p>
          <w:p w14:paraId="5FEB21AD">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质疑联系部门及联系方式：</w:t>
            </w:r>
          </w:p>
          <w:p w14:paraId="5576556E">
            <w:pPr>
              <w:keepNext w:val="0"/>
              <w:keepLines w:val="0"/>
              <w:pageBreakBefore w:val="0"/>
              <w:kinsoku/>
              <w:wordWrap w:val="0"/>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r>
              <w:rPr>
                <w:rFonts w:hint="eastAsia" w:hAnsi="宋体" w:cs="宋体"/>
                <w:color w:val="auto"/>
                <w:szCs w:val="21"/>
              </w:rPr>
              <w:t>防城港市北部湾高级中学</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0770-2208889</w:t>
            </w:r>
            <w:r>
              <w:rPr>
                <w:rFonts w:hint="eastAsia" w:ascii="宋体" w:hAnsi="宋体" w:eastAsia="宋体" w:cs="宋体"/>
                <w:color w:val="auto"/>
                <w:sz w:val="21"/>
                <w:szCs w:val="21"/>
                <w:highlight w:val="none"/>
              </w:rPr>
              <w:t>；通讯地址：防城港市防城区</w:t>
            </w:r>
            <w:r>
              <w:rPr>
                <w:rFonts w:hint="eastAsia" w:ascii="宋体" w:hAnsi="宋体" w:eastAsia="宋体" w:cs="宋体"/>
                <w:color w:val="auto"/>
                <w:sz w:val="21"/>
                <w:szCs w:val="21"/>
                <w:highlight w:val="none"/>
                <w:lang w:val="en-US" w:eastAsia="zh-CN"/>
              </w:rPr>
              <w:t>文昌街道民乐街116号</w:t>
            </w:r>
            <w:r>
              <w:rPr>
                <w:rFonts w:hint="eastAsia" w:ascii="宋体" w:hAnsi="宋体" w:eastAsia="宋体" w:cs="宋体"/>
                <w:color w:val="auto"/>
                <w:sz w:val="21"/>
                <w:szCs w:val="21"/>
                <w:highlight w:val="none"/>
              </w:rPr>
              <w:t>；业务时间：工作日每天上午9时00分到12时00分，下午3时00分到6时00分。</w:t>
            </w:r>
          </w:p>
          <w:p w14:paraId="3692028E">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采购代理机构：防城港市政府采购中心；联系电话：0770-6126192；通讯地址：防城港市红树林大厦东塔6楼；业务时间：工作日每天上午9时00分到12时00分，下午1时30分到4时30分。</w:t>
            </w:r>
          </w:p>
          <w:p w14:paraId="223C18A2">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双休日和法定节假日不办理业务。</w:t>
            </w:r>
          </w:p>
        </w:tc>
      </w:tr>
      <w:tr w14:paraId="0317E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80493ED">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8" w:name="_42"/>
            <w:bookmarkEnd w:id="58"/>
            <w:bookmarkStart w:id="59" w:name="_41"/>
            <w:bookmarkEnd w:id="59"/>
            <w:bookmarkStart w:id="60" w:name="_Hlt17709148"/>
            <w:r>
              <w:rPr>
                <w:rFonts w:hint="eastAsia" w:ascii="宋体" w:hAnsi="宋体" w:eastAsia="宋体" w:cs="宋体"/>
                <w:color w:val="auto"/>
                <w:sz w:val="21"/>
                <w:szCs w:val="21"/>
                <w:highlight w:val="none"/>
              </w:rPr>
              <w:t>3</w:t>
            </w:r>
            <w:bookmarkEnd w:id="60"/>
            <w:r>
              <w:rPr>
                <w:rFonts w:hint="eastAsia" w:ascii="宋体" w:hAnsi="宋体" w:eastAsia="宋体" w:cs="宋体"/>
                <w:color w:val="auto"/>
                <w:sz w:val="21"/>
                <w:szCs w:val="21"/>
                <w:highlight w:val="none"/>
              </w:rPr>
              <w:t>9.1</w:t>
            </w:r>
          </w:p>
        </w:tc>
        <w:tc>
          <w:tcPr>
            <w:tcW w:w="0" w:type="auto"/>
            <w:tcBorders>
              <w:top w:val="single" w:color="auto" w:sz="4" w:space="0"/>
              <w:left w:val="single" w:color="auto" w:sz="4" w:space="0"/>
              <w:bottom w:val="single" w:color="auto" w:sz="4" w:space="0"/>
              <w:right w:val="single" w:color="auto" w:sz="4" w:space="0"/>
            </w:tcBorders>
            <w:vAlign w:val="center"/>
          </w:tcPr>
          <w:p w14:paraId="3638149A">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lang w:eastAsia="zh-CN"/>
              </w:rPr>
            </w:pPr>
            <w:r>
              <w:rPr>
                <w:rFonts w:hint="eastAsia" w:ascii="宋体" w:hAnsi="宋体" w:eastAsia="宋体" w:cs="宋体"/>
                <w:color w:val="000000" w:themeColor="text1"/>
                <w:sz w:val="21"/>
                <w:szCs w:val="21"/>
                <w:highlight w:val="none"/>
                <w14:textFill>
                  <w14:solidFill>
                    <w14:schemeClr w14:val="tx1"/>
                  </w14:solidFill>
                </w14:textFill>
              </w:rPr>
              <w:t>本项目</w:t>
            </w:r>
            <w:r>
              <w:rPr>
                <w:rFonts w:hint="eastAsia" w:ascii="宋体" w:hAnsi="宋体" w:cs="宋体"/>
                <w:color w:val="000000" w:themeColor="text1"/>
                <w:sz w:val="21"/>
                <w:szCs w:val="21"/>
                <w:highlight w:val="none"/>
                <w:lang w:val="en-US" w:eastAsia="zh-CN"/>
                <w14:textFill>
                  <w14:solidFill>
                    <w14:schemeClr w14:val="tx1"/>
                  </w14:solidFill>
                </w14:textFill>
              </w:rPr>
              <w:t>不收取</w:t>
            </w:r>
            <w:r>
              <w:rPr>
                <w:rFonts w:hint="eastAsia" w:ascii="宋体" w:hAnsi="宋体" w:eastAsia="宋体" w:cs="宋体"/>
                <w:bCs/>
                <w:color w:val="000000" w:themeColor="text1"/>
                <w:sz w:val="21"/>
                <w:szCs w:val="21"/>
                <w:highlight w:val="none"/>
                <w14:textFill>
                  <w14:solidFill>
                    <w14:schemeClr w14:val="tx1"/>
                  </w14:solidFill>
                </w14:textFill>
              </w:rPr>
              <w:t>代理服务费</w:t>
            </w:r>
            <w:r>
              <w:rPr>
                <w:rFonts w:hint="eastAsia" w:ascii="宋体" w:hAnsi="宋体" w:eastAsia="宋体" w:cs="宋体"/>
                <w:bCs/>
                <w:color w:val="000000" w:themeColor="text1"/>
                <w:sz w:val="21"/>
                <w:szCs w:val="21"/>
                <w:highlight w:val="none"/>
                <w:lang w:eastAsia="zh-CN"/>
                <w14:textFill>
                  <w14:solidFill>
                    <w14:schemeClr w14:val="tx1"/>
                  </w14:solidFill>
                </w14:textFill>
              </w:rPr>
              <w:t>。</w:t>
            </w:r>
          </w:p>
        </w:tc>
      </w:tr>
      <w:tr w14:paraId="609F6A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EE484B1">
            <w:pPr>
              <w:keepNext w:val="0"/>
              <w:keepLines w:val="0"/>
              <w:pageBreakBefore w:val="0"/>
              <w:widowControl w:val="0"/>
              <w:kinsoku/>
              <w:wordWrap/>
              <w:overflowPunct/>
              <w:topLinePunct w:val="0"/>
              <w:bidi w:val="0"/>
              <w:adjustRightInd/>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40.1</w:t>
            </w:r>
          </w:p>
        </w:tc>
        <w:tc>
          <w:tcPr>
            <w:tcW w:w="0" w:type="auto"/>
            <w:tcBorders>
              <w:top w:val="single" w:color="auto" w:sz="4" w:space="0"/>
              <w:left w:val="single" w:color="auto" w:sz="4" w:space="0"/>
              <w:bottom w:val="single" w:color="auto" w:sz="4" w:space="0"/>
              <w:right w:val="single" w:color="auto" w:sz="4" w:space="0"/>
            </w:tcBorders>
            <w:vAlign w:val="center"/>
          </w:tcPr>
          <w:p w14:paraId="4436AD92">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解释：构成本</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文件的各个组成文件应互为解释，互为说明；除</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文件中有特别规定外，仅适用于</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投标阶段的规定，按更正公告（澄清公告）、</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文件不一致时以更正公告（澄清公告）为准。按本款前述规定仍不能形成结论的，由采购人或者采购代理机构负责解释。</w:t>
            </w:r>
          </w:p>
        </w:tc>
      </w:tr>
      <w:tr w14:paraId="36CBF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0" w:type="auto"/>
            <w:tcBorders>
              <w:top w:val="single" w:color="auto" w:sz="4" w:space="0"/>
              <w:left w:val="single" w:color="auto" w:sz="4" w:space="0"/>
              <w:bottom w:val="single" w:color="auto" w:sz="4" w:space="0"/>
              <w:right w:val="single" w:color="auto" w:sz="4" w:space="0"/>
            </w:tcBorders>
            <w:vAlign w:val="center"/>
          </w:tcPr>
          <w:p w14:paraId="76A1A343">
            <w:pPr>
              <w:keepNext w:val="0"/>
              <w:keepLines w:val="0"/>
              <w:pageBreakBefore w:val="0"/>
              <w:widowControl w:val="0"/>
              <w:kinsoku/>
              <w:wordWrap/>
              <w:overflowPunct/>
              <w:topLinePunct w:val="0"/>
              <w:bidi w:val="0"/>
              <w:adjustRightInd/>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40.2</w:t>
            </w:r>
          </w:p>
        </w:tc>
        <w:tc>
          <w:tcPr>
            <w:tcW w:w="0" w:type="auto"/>
            <w:tcBorders>
              <w:top w:val="single" w:color="auto" w:sz="4" w:space="0"/>
              <w:left w:val="single" w:color="auto" w:sz="4" w:space="0"/>
              <w:bottom w:val="single" w:color="auto" w:sz="4" w:space="0"/>
              <w:right w:val="single" w:color="auto" w:sz="4" w:space="0"/>
            </w:tcBorders>
            <w:vAlign w:val="center"/>
          </w:tcPr>
          <w:p w14:paraId="463C1455">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文件中描述投标人的“公章”是指根据我国对公章的管理规定，用投标人法定主体行为名称制作的印章，除本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文件有特殊规定外，投标人的财务章、部门章、分公司章、工会章、合同章、投标专用章、业务专用章及银行的转账章、现金收讫章、现金付讫章等其他形式印章均不能代替公章。</w:t>
            </w:r>
          </w:p>
          <w:p w14:paraId="5F536B2B">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文件所称的“</w:t>
            </w:r>
            <w:r>
              <w:rPr>
                <w:rFonts w:hint="eastAsia" w:ascii="宋体" w:hAnsi="宋体" w:eastAsia="宋体" w:cs="宋体"/>
                <w:color w:val="auto"/>
                <w:sz w:val="21"/>
                <w:szCs w:val="21"/>
                <w:highlight w:val="none"/>
              </w:rPr>
              <w:t>电子签章</w:t>
            </w:r>
            <w:r>
              <w:rPr>
                <w:rFonts w:hint="eastAsia" w:ascii="宋体" w:hAnsi="宋体" w:eastAsia="宋体" w:cs="宋体"/>
                <w:bCs/>
                <w:color w:val="auto"/>
                <w:sz w:val="21"/>
                <w:szCs w:val="21"/>
                <w:highlight w:val="none"/>
              </w:rPr>
              <w:t>”、“电子签名”</w:t>
            </w:r>
            <w:r>
              <w:rPr>
                <w:rFonts w:hint="eastAsia" w:ascii="宋体" w:hAnsi="宋体" w:eastAsia="宋体" w:cs="宋体"/>
                <w:color w:val="auto"/>
                <w:sz w:val="21"/>
                <w:szCs w:val="21"/>
                <w:highlight w:val="none"/>
              </w:rPr>
              <w:t>，是指经</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认可的CA认证的电子签名数据为表现形式的印章，可用于签署电子投标文件，电子印章与实物印章具有同等法律效力，不因其采用电子化表现形式而否定其法律效力。</w:t>
            </w:r>
          </w:p>
          <w:p w14:paraId="2143B4DE">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3.投标人为其他组织或者自然人时，本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文件规定的法定代表人指负责人或者自然人。本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文件所称负责人是指参加投标的其他组织营业执照或者执业许可证等证照上的负责人，本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文件所称自然人指参与投标的自然人本人，且应具备独立承担民事责任能力，自然人应当为年满18岁以上成年人（十六周岁以上的未成年人，以自己的劳动收入为主要生活来源的，视为完全民事行为能力人）。</w:t>
            </w:r>
          </w:p>
          <w:p w14:paraId="577E7003">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文件中描述投标人的“签字”是指投标人的法定代表人或者委托代理人亲自在文件规定签字处亲笔写上个人的名字的行为，私章、签字章、印鉴、影印等其他形式均不能代替亲笔签字。</w:t>
            </w:r>
          </w:p>
          <w:p w14:paraId="41139EA6">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文件所称的“以上”“以下”“以内”“届满”，包括本数；所称的“不满”“超过”“以外”，不包括本数。</w:t>
            </w:r>
          </w:p>
        </w:tc>
      </w:tr>
    </w:tbl>
    <w:p w14:paraId="02D0794C">
      <w:r>
        <w:br w:type="page"/>
      </w:r>
    </w:p>
    <w:p w14:paraId="53ABC37E">
      <w:pPr>
        <w:pageBreakBefore w:val="0"/>
        <w:kinsoku/>
        <w:overflowPunct/>
        <w:topLinePunct w:val="0"/>
        <w:bidi w:val="0"/>
        <w:spacing w:line="24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投标人须知正文</w:t>
      </w:r>
    </w:p>
    <w:p w14:paraId="224332B4">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一、总</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则</w:t>
      </w:r>
    </w:p>
    <w:p w14:paraId="065C0D1B">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61" w:name="_Toc254970527"/>
      <w:bookmarkStart w:id="62" w:name="_Toc254970668"/>
      <w:r>
        <w:rPr>
          <w:rFonts w:hint="eastAsia" w:ascii="宋体" w:hAnsi="宋体" w:eastAsia="宋体" w:cs="宋体"/>
          <w:color w:val="auto"/>
          <w:sz w:val="21"/>
          <w:szCs w:val="21"/>
          <w:highlight w:val="none"/>
        </w:rPr>
        <w:t>1.适用范围</w:t>
      </w:r>
      <w:bookmarkEnd w:id="61"/>
      <w:bookmarkEnd w:id="62"/>
    </w:p>
    <w:p w14:paraId="7714665F">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AABF76D">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rPr>
        <w:t>1.2本</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w:t>
      </w:r>
      <w:r>
        <w:rPr>
          <w:rFonts w:hint="eastAsia" w:ascii="宋体" w:hAnsi="宋体" w:eastAsia="宋体" w:cs="宋体"/>
          <w:color w:val="auto"/>
          <w:spacing w:val="-6"/>
          <w:sz w:val="21"/>
          <w:szCs w:val="21"/>
          <w:highlight w:val="none"/>
        </w:rPr>
        <w:t>适用于本项目的所有采购程序和环节（法律、法规另有规定的，从其规定）。</w:t>
      </w:r>
    </w:p>
    <w:p w14:paraId="2E4F610C">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63" w:name="_Toc254970669"/>
      <w:bookmarkStart w:id="64" w:name="_Toc254970528"/>
      <w:r>
        <w:rPr>
          <w:rFonts w:hint="eastAsia" w:ascii="宋体" w:hAnsi="宋体" w:eastAsia="宋体" w:cs="宋体"/>
          <w:color w:val="auto"/>
          <w:sz w:val="21"/>
          <w:szCs w:val="21"/>
          <w:highlight w:val="none"/>
        </w:rPr>
        <w:t>2.定义</w:t>
      </w:r>
      <w:bookmarkEnd w:id="63"/>
      <w:bookmarkEnd w:id="64"/>
    </w:p>
    <w:p w14:paraId="185C972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2.1“采购人”是指依法进行政府采购的国家机关、事业单位、团体组织。</w:t>
      </w:r>
    </w:p>
    <w:p w14:paraId="4A7D9384">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2.2“采购代理机构”是指政府采购集中采购机构和集中采购机构以外的采购代理机构。</w:t>
      </w:r>
    </w:p>
    <w:p w14:paraId="70D7287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2.3“供应商”是指向采购人提供货物、工程或者服务的法人、其他组织或者自然人。</w:t>
      </w:r>
    </w:p>
    <w:p w14:paraId="6FE9EA29">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2.4“投标人”是指响应</w:t>
      </w:r>
      <w:r>
        <w:rPr>
          <w:rFonts w:hint="eastAsia" w:ascii="宋体" w:hAnsi="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auto"/>
          <w:sz w:val="21"/>
          <w:szCs w:val="21"/>
          <w:highlight w:val="none"/>
        </w:rPr>
        <w:t>、参加投标竞争的法人、其他组织或者自然人。</w:t>
      </w:r>
    </w:p>
    <w:p w14:paraId="0E1B0549">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2.5“货物”是指各种形态和种类的物品，包括原材料、燃料、设备、产品等。</w:t>
      </w:r>
    </w:p>
    <w:p w14:paraId="5E99BB3E">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2.6“售后服务”是指商品出售以后所提供的各种服务，包含但不限于投标人须承担的备品备件、包装、运输、装卸、保险、货到就位以及安装、调试、培训、保修以及其他各种服务。</w:t>
      </w:r>
    </w:p>
    <w:p w14:paraId="70881C9B">
      <w:pPr>
        <w:pStyle w:val="5"/>
        <w:pageBreakBefore w:val="0"/>
        <w:widowControl w:val="0"/>
        <w:kinsoku/>
        <w:wordWrap/>
        <w:overflowPunct/>
        <w:topLinePunct w:val="0"/>
        <w:autoSpaceDE/>
        <w:autoSpaceDN/>
        <w:bidi w:val="0"/>
        <w:spacing w:before="0" w:after="0" w:line="360" w:lineRule="exac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2.7“书面形式”是指合同书、信件和数据电文（包括电报、电传、传真、电子数据交换和电子邮件）等可以有形地表现所载内容的形式。</w:t>
      </w:r>
    </w:p>
    <w:p w14:paraId="179B0EB9">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2.8“实质性要求”是指</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文件中已经指明不满足则投标无效的条款，或者不能负偏离的条款，或者采购需求中带“▲”的条款。</w:t>
      </w:r>
    </w:p>
    <w:p w14:paraId="5215CAAF">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2.9“正偏离”，是指投标文件对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文件“采购需求”中有关条款作出的响应优于条款要求并有利于采购人的情形。</w:t>
      </w:r>
    </w:p>
    <w:p w14:paraId="1C03CCBB">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2.10“负偏离”，是指投标文件对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文件“采购需求”中有关条款作出的响应不满足条款要求，导致采购人要求不能得到满足的情形。</w:t>
      </w:r>
    </w:p>
    <w:p w14:paraId="0A64388A">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2.11“允许负偏离的条款”是指采购需求中的不属于“实质性要求”的条款。</w:t>
      </w:r>
      <w:bookmarkStart w:id="65" w:name="_Toc254970670"/>
      <w:bookmarkStart w:id="66" w:name="_Toc254970529"/>
    </w:p>
    <w:p w14:paraId="4F3F7462">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End w:id="65"/>
      <w:bookmarkEnd w:id="66"/>
      <w:r>
        <w:rPr>
          <w:rFonts w:hint="eastAsia" w:ascii="宋体" w:hAnsi="宋体" w:eastAsia="宋体" w:cs="宋体"/>
          <w:color w:val="auto"/>
          <w:sz w:val="21"/>
          <w:szCs w:val="21"/>
          <w:highlight w:val="none"/>
        </w:rPr>
        <w:t>投标人的资格要求</w:t>
      </w:r>
    </w:p>
    <w:p w14:paraId="5AB5CBEA">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投标人的资格要求详见“投标人须知前附表”。</w:t>
      </w:r>
    </w:p>
    <w:p w14:paraId="3B58D41A">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67" w:name="_Toc254970530"/>
      <w:bookmarkStart w:id="68" w:name="_Toc254970671"/>
      <w:r>
        <w:rPr>
          <w:rFonts w:hint="eastAsia" w:ascii="宋体" w:hAnsi="宋体" w:eastAsia="宋体" w:cs="宋体"/>
          <w:color w:val="auto"/>
          <w:sz w:val="21"/>
          <w:szCs w:val="21"/>
          <w:highlight w:val="none"/>
        </w:rPr>
        <w:t>4.投标委托</w:t>
      </w:r>
      <w:bookmarkEnd w:id="67"/>
      <w:bookmarkEnd w:id="68"/>
    </w:p>
    <w:p w14:paraId="70C7004D">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投标人代表参加投标活动过程中必须携带个人有效身份证件。如投标人代表不是法定代表人，须持有授权委托书（按第六章要求格式填写）。</w:t>
      </w:r>
    </w:p>
    <w:p w14:paraId="09F502C0">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69" w:name="_5.投标费用"/>
      <w:bookmarkEnd w:id="69"/>
      <w:bookmarkStart w:id="70" w:name="_Toc254970672"/>
      <w:bookmarkStart w:id="71" w:name="_Toc254970531"/>
      <w:r>
        <w:rPr>
          <w:rFonts w:hint="eastAsia" w:ascii="宋体" w:hAnsi="宋体" w:eastAsia="宋体" w:cs="宋体"/>
          <w:color w:val="auto"/>
          <w:sz w:val="21"/>
          <w:szCs w:val="21"/>
          <w:highlight w:val="none"/>
        </w:rPr>
        <w:t>5.投标费用</w:t>
      </w:r>
      <w:bookmarkEnd w:id="70"/>
      <w:bookmarkEnd w:id="71"/>
    </w:p>
    <w:p w14:paraId="08411538">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投标费用：投标人应承担参与本次采购活动有关的所有费用，包括但不限于获取</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文件、勘查现场、编制和提交投标文件、参加澄清说明、签订合同等，不论投标结果如何，均应自行承担。</w:t>
      </w:r>
    </w:p>
    <w:p w14:paraId="38AF41C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6.联合体投标</w:t>
      </w:r>
    </w:p>
    <w:p w14:paraId="294323F4">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6.1本项目不接受联合体投标。</w:t>
      </w:r>
    </w:p>
    <w:p w14:paraId="5E3987E0">
      <w:pPr>
        <w:pageBreakBefore w:val="0"/>
        <w:widowControl w:val="0"/>
        <w:kinsoku/>
        <w:wordWrap/>
        <w:overflowPunct/>
        <w:topLinePunct w:val="0"/>
        <w:autoSpaceDE/>
        <w:autoSpaceDN/>
        <w:bidi w:val="0"/>
        <w:snapToGrid w:val="0"/>
        <w:spacing w:line="36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转包与分包</w:t>
      </w:r>
    </w:p>
    <w:p w14:paraId="3D52A7BA">
      <w:pPr>
        <w:pageBreakBefore w:val="0"/>
        <w:widowControl w:val="0"/>
        <w:numPr>
          <w:ilvl w:val="0"/>
          <w:numId w:val="0"/>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7.1本项目不允许转包。</w:t>
      </w:r>
    </w:p>
    <w:p w14:paraId="663046EB">
      <w:pPr>
        <w:pageBreakBefore w:val="0"/>
        <w:widowControl w:val="0"/>
        <w:numPr>
          <w:ilvl w:val="0"/>
          <w:numId w:val="0"/>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7.2本项目不允许分包。</w:t>
      </w:r>
    </w:p>
    <w:p w14:paraId="46D05295">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8.特别说明</w:t>
      </w:r>
    </w:p>
    <w:p w14:paraId="0426017C">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8.1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Pr>
          <w:rFonts w:hint="eastAsia" w:ascii="宋体" w:hAnsi="宋体" w:eastAsia="宋体" w:cs="宋体"/>
          <w:b/>
          <w:bCs/>
          <w:color w:val="auto"/>
          <w:kern w:val="2"/>
          <w:sz w:val="21"/>
          <w:szCs w:val="21"/>
          <w:highlight w:val="none"/>
          <w:lang w:val="en-US" w:eastAsia="zh-CN" w:bidi="ar-SA"/>
        </w:rPr>
        <w:t>其他投标无效。</w:t>
      </w:r>
    </w:p>
    <w:p w14:paraId="65277F3A">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人。</w:t>
      </w:r>
    </w:p>
    <w:p w14:paraId="432B999E">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非单一产品采购项目，多家投标人提供的核心产品品牌相同的，按前两款规定处理。</w:t>
      </w:r>
    </w:p>
    <w:p w14:paraId="522210AE">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 xml:space="preserve"> 8.2如果本采购文件要求提供投标人或制造商的资格、信誉、荣誉、业绩与企业认证等材料的，资格、信誉、荣誉、业绩与企业认证等必须为投标人或者制造商所拥有或自身获得。</w:t>
      </w:r>
    </w:p>
    <w:p w14:paraId="696D940B">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 xml:space="preserve"> 8.3投标人应仔细阅读采购文件的所有内容，按照采购文件的要求提交投标文件，并对所提供的全部资料的真实性承担法律责任。</w:t>
      </w:r>
    </w:p>
    <w:p w14:paraId="7A18454B">
      <w:pPr>
        <w:pStyle w:val="26"/>
        <w:pageBreakBefore w:val="0"/>
        <w:widowControl w:val="0"/>
        <w:kinsoku/>
        <w:wordWrap/>
        <w:overflowPunct/>
        <w:topLinePunct w:val="0"/>
        <w:autoSpaceDE/>
        <w:autoSpaceDN/>
        <w:bidi w:val="0"/>
        <w:spacing w:line="360" w:lineRule="exact"/>
        <w:textAlignment w:val="auto"/>
        <w:rPr>
          <w:rFonts w:hint="eastAsia"/>
        </w:rPr>
      </w:pPr>
      <w:r>
        <w:rPr>
          <w:rFonts w:hint="eastAsia" w:ascii="宋体" w:hAnsi="宋体" w:eastAsia="宋体" w:cs="宋体"/>
          <w:b w:val="0"/>
          <w:color w:val="auto"/>
          <w:kern w:val="2"/>
          <w:sz w:val="21"/>
          <w:szCs w:val="21"/>
          <w:highlight w:val="none"/>
          <w:lang w:val="en-US" w:eastAsia="zh-CN" w:bidi="ar-SA"/>
        </w:rPr>
        <w:t xml:space="preserve"> 8.4投标人在投标活动中提供任何虚假材料，将报监管部门查处；中标后发现的，中标人须依照《中华人民共和国消费者</w:t>
      </w:r>
      <w:r>
        <w:rPr>
          <w:rFonts w:hint="eastAsia"/>
        </w:rPr>
        <w:t>权益保护法》规定赔偿采购人，且民事赔偿并不免除违法投标人的行政与刑事责任。</w:t>
      </w:r>
    </w:p>
    <w:p w14:paraId="437F46DA">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9.回避与串通投标</w:t>
      </w:r>
    </w:p>
    <w:p w14:paraId="33D0DABA">
      <w:pPr>
        <w:pStyle w:val="5"/>
        <w:pageBreakBefore w:val="0"/>
        <w:widowControl w:val="0"/>
        <w:kinsoku/>
        <w:wordWrap/>
        <w:overflowPunct/>
        <w:topLinePunct w:val="0"/>
        <w:autoSpaceDE/>
        <w:autoSpaceDN/>
        <w:bidi w:val="0"/>
        <w:spacing w:before="0" w:after="0" w:line="360" w:lineRule="exact"/>
        <w:ind w:firstLine="367" w:firstLineChars="175"/>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9.1在政府采购活动中，采购人员及相关人员与供应商有下列利害关系之一的，应当回避：</w:t>
      </w:r>
    </w:p>
    <w:p w14:paraId="64C8B2D7">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（1）参加采购活动前3年内与供应商存在劳动关系；</w:t>
      </w:r>
    </w:p>
    <w:p w14:paraId="17E82B4A">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（2）参加采购活动前3年内担任供应商的董事、监事；</w:t>
      </w:r>
    </w:p>
    <w:p w14:paraId="367A4DA8">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（3）参加采购活动前3年内是供应商的控股股东或者实际控制人；</w:t>
      </w:r>
    </w:p>
    <w:p w14:paraId="6861428B">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（4）与供应商的法定代表人或者负责人有夫妻、直系血亲、三代以内旁系血亲或者近姻亲关系；</w:t>
      </w:r>
    </w:p>
    <w:p w14:paraId="1B497444">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（5）与供应商有其他可能影响政府采购活动公平、公正进行的关系。</w:t>
      </w:r>
    </w:p>
    <w:p w14:paraId="3FBB3B03">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002297F">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9.2有下列情形之一的视为投标人相互串通投标，投标文件将被视为无效：</w:t>
      </w:r>
    </w:p>
    <w:p w14:paraId="1C51CA59">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（1）不同投标人的投标文件由同一单位或者个人编制；</w:t>
      </w:r>
    </w:p>
    <w:p w14:paraId="139AA307">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（2）不同投标人委托同一单位或者个人办理投标事宜；</w:t>
      </w:r>
    </w:p>
    <w:p w14:paraId="0BD91A17">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（3）不同的投标人的投标文件载明的项目管理员为同一个人；</w:t>
      </w:r>
    </w:p>
    <w:p w14:paraId="19B28034">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（4）不同投标人的投标文件异常一致或者投标报价呈规律性差异；</w:t>
      </w:r>
    </w:p>
    <w:p w14:paraId="11F96620">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（5）不同投标人的投标文件相互混装。</w:t>
      </w:r>
    </w:p>
    <w:p w14:paraId="64B371C4">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9.3供应商有下列情形之一的，属于恶意串通行为，将报同级监督管理部门：</w:t>
      </w:r>
    </w:p>
    <w:p w14:paraId="04E07E52">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（1）供应商直接或者间接从采购人或者采购代理机构处获得其他供应商的相关信息并修改其投标文件或者投标文件；</w:t>
      </w:r>
    </w:p>
    <w:p w14:paraId="2397EAC7">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（2）供应商按照采购人或者采购代理机构的授意撤换、修改投标文件或者投标文件；</w:t>
      </w:r>
    </w:p>
    <w:p w14:paraId="71B69034">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（3）供应商之间协商报价、技术方案等投标文件或者投标文件的实质性内容；</w:t>
      </w:r>
    </w:p>
    <w:p w14:paraId="3AC08D79">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（4）属于同一集团、协会、商会等组织成员的供应商按照该组织要求协同参加政府采购活动；</w:t>
      </w:r>
    </w:p>
    <w:p w14:paraId="65C9AC33">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（5）供应商之间事先约定一致抬高或者压低投标报价，或者在</w:t>
      </w:r>
      <w:r>
        <w:rPr>
          <w:rFonts w:hint="eastAsia" w:hAnsi="宋体" w:cs="宋体"/>
          <w:color w:val="auto"/>
          <w:kern w:val="2"/>
          <w:sz w:val="21"/>
          <w:szCs w:val="21"/>
          <w:highlight w:val="none"/>
          <w:lang w:eastAsia="zh-CN"/>
        </w:rPr>
        <w:t>采购</w:t>
      </w:r>
      <w:r>
        <w:rPr>
          <w:rFonts w:hint="eastAsia" w:ascii="宋体" w:hAnsi="宋体" w:eastAsia="宋体" w:cs="宋体"/>
          <w:color w:val="auto"/>
          <w:kern w:val="2"/>
          <w:sz w:val="21"/>
          <w:szCs w:val="21"/>
          <w:highlight w:val="none"/>
        </w:rPr>
        <w:t>项目中事先约定轮流以高价位或者低价位中标，或者事先约定由某一特定供应商中标，然后再参加投标；</w:t>
      </w:r>
    </w:p>
    <w:p w14:paraId="64F93AD7">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（6）供应商之间商定部分供应商放弃参加政府采购活动或者放弃中标；</w:t>
      </w:r>
    </w:p>
    <w:p w14:paraId="7106BEBE">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（7）供应商与采购人或者采购代理机构之间、供应商相互之间，为谋求特定供应商中标或者排斥其他供应商的其他串通行为。</w:t>
      </w:r>
    </w:p>
    <w:p w14:paraId="345952DC">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bookmarkStart w:id="72" w:name="_Toc254970675"/>
      <w:bookmarkStart w:id="73" w:name="_Toc254970534"/>
      <w:r>
        <w:rPr>
          <w:rFonts w:hint="eastAsia" w:ascii="宋体" w:hAnsi="宋体" w:eastAsia="宋体" w:cs="宋体"/>
          <w:color w:val="auto"/>
          <w:sz w:val="21"/>
          <w:szCs w:val="21"/>
          <w:highlight w:val="none"/>
        </w:rPr>
        <w:t>二、</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w:t>
      </w:r>
      <w:bookmarkEnd w:id="72"/>
      <w:bookmarkEnd w:id="73"/>
    </w:p>
    <w:p w14:paraId="6A7F4033">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文件的组成</w:t>
      </w:r>
    </w:p>
    <w:p w14:paraId="495A2A32">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26CCE4E8">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（2）采购需求；</w:t>
      </w:r>
    </w:p>
    <w:p w14:paraId="3EBC845B">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（3）投标人须知；</w:t>
      </w:r>
    </w:p>
    <w:p w14:paraId="04428C15">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（4）评标方法及评标标准；</w:t>
      </w:r>
    </w:p>
    <w:p w14:paraId="55392FA3">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（5）拟签订的合同文本；</w:t>
      </w:r>
    </w:p>
    <w:p w14:paraId="05F704F7">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（6）投标文件格式。</w:t>
      </w:r>
    </w:p>
    <w:p w14:paraId="3F6D5298">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文件的澄清、修改、现场考察和答疑会</w:t>
      </w:r>
    </w:p>
    <w:p w14:paraId="0C4F37E2">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11.1采购人或者采购代理机构可以对已发出的</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文件进行必要的澄清或者修改，但不得改变采购标的和资格条件。澄清或者修改应当在原公告发布媒体上发布澄清公告。澄清或者修改的内容为</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文件的组成部分。</w:t>
      </w:r>
    </w:p>
    <w:p w14:paraId="2EAAF54E">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澄清或者修改的内容可能影响投标文件编制的，采购人或者采购代理机构应当在投标截止时间至少15日前，以书面形式通知所有获取</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文件的潜在投标人；不足15日的，采购人或者采购代理机构应当顺延提交投标文件的截止时间。</w:t>
      </w:r>
    </w:p>
    <w:p w14:paraId="19A6AEB7">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bookmarkStart w:id="74" w:name="_Hlk53134511"/>
      <w:r>
        <w:rPr>
          <w:rFonts w:hint="eastAsia" w:ascii="宋体" w:hAnsi="宋体" w:eastAsia="宋体" w:cs="宋体"/>
          <w:color w:val="auto"/>
          <w:sz w:val="21"/>
          <w:szCs w:val="21"/>
          <w:highlight w:val="none"/>
        </w:rPr>
        <w:t>采购人或者采购代理机构可以在</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文件提供期限截止后，组织已获取</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文件的潜在投标人现场考察或者召开开标前答疑会，具体详见“投标人须知前附表”。</w:t>
      </w:r>
    </w:p>
    <w:bookmarkEnd w:id="74"/>
    <w:p w14:paraId="7D49D279">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bookmarkStart w:id="75" w:name="_Toc254970676"/>
      <w:bookmarkStart w:id="76" w:name="_Toc254970535"/>
      <w:r>
        <w:rPr>
          <w:rFonts w:hint="eastAsia" w:ascii="宋体" w:hAnsi="宋体" w:eastAsia="宋体" w:cs="宋体"/>
          <w:color w:val="auto"/>
          <w:sz w:val="21"/>
          <w:szCs w:val="21"/>
          <w:highlight w:val="none"/>
        </w:rPr>
        <w:t>三、投标文件的编制</w:t>
      </w:r>
      <w:bookmarkEnd w:id="75"/>
      <w:bookmarkEnd w:id="76"/>
    </w:p>
    <w:p w14:paraId="73AC714C">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77" w:name="_Toc254970677"/>
      <w:bookmarkStart w:id="78" w:name="_Toc254970536"/>
      <w:r>
        <w:rPr>
          <w:rFonts w:hint="eastAsia" w:ascii="宋体" w:hAnsi="宋体" w:eastAsia="宋体" w:cs="宋体"/>
          <w:color w:val="auto"/>
          <w:sz w:val="21"/>
          <w:szCs w:val="21"/>
          <w:highlight w:val="none"/>
        </w:rPr>
        <w:t>12.投标文件的编制原则</w:t>
      </w:r>
    </w:p>
    <w:p w14:paraId="087EAD89">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投标人必须按照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文件的要求编制投标文件。投标文件必须对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文件提出的要求和条件作出明确响应。</w:t>
      </w:r>
    </w:p>
    <w:p w14:paraId="27235E88">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13.投标文件的组成</w:t>
      </w:r>
      <w:bookmarkEnd w:id="77"/>
      <w:bookmarkEnd w:id="78"/>
    </w:p>
    <w:p w14:paraId="283A876B">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投标文件由报价文件、资格证明文件、商务文件、技术文件四部分组成。</w:t>
      </w:r>
      <w:bookmarkStart w:id="79" w:name="_13.1报价文件:_具体材料见“投标人须知前附表”。"/>
      <w:bookmarkEnd w:id="79"/>
    </w:p>
    <w:p w14:paraId="661EF40C">
      <w:pPr>
        <w:pageBreakBefore w:val="0"/>
        <w:widowControl w:val="0"/>
        <w:numPr>
          <w:ilvl w:val="0"/>
          <w:numId w:val="3"/>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报价文件：具体材料见“投标人须知前附表”。</w:t>
      </w:r>
      <w:bookmarkStart w:id="80" w:name="_13.2资格证明文件：具体材料见“投标人须知前附表”。"/>
      <w:bookmarkEnd w:id="80"/>
    </w:p>
    <w:p w14:paraId="5A195A7D">
      <w:pPr>
        <w:pageBreakBefore w:val="0"/>
        <w:widowControl w:val="0"/>
        <w:numPr>
          <w:ilvl w:val="0"/>
          <w:numId w:val="3"/>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资格证明文件：具体材料见“投标人须知前附表”。</w:t>
      </w:r>
      <w:bookmarkStart w:id="81" w:name="_13.3商务文件:_具体材料见“投标人须知前附表”。"/>
      <w:bookmarkEnd w:id="81"/>
    </w:p>
    <w:p w14:paraId="57319B54">
      <w:pPr>
        <w:pageBreakBefore w:val="0"/>
        <w:widowControl w:val="0"/>
        <w:numPr>
          <w:ilvl w:val="0"/>
          <w:numId w:val="3"/>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商务文件：具体材料见“投标人须知前附表”。</w:t>
      </w:r>
      <w:bookmarkStart w:id="82" w:name="_13.4技术文件：具体材料见“投标人须知前附表”。"/>
      <w:bookmarkEnd w:id="82"/>
    </w:p>
    <w:p w14:paraId="0A94DE1F">
      <w:pPr>
        <w:pageBreakBefore w:val="0"/>
        <w:widowControl w:val="0"/>
        <w:numPr>
          <w:ilvl w:val="0"/>
          <w:numId w:val="3"/>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技术文件：具体材料见“投标人须知前附表”。</w:t>
      </w:r>
      <w:bookmarkStart w:id="83" w:name="_13.5投标文件电子版：具体材料见“投标人须知前附表”。"/>
      <w:bookmarkEnd w:id="83"/>
      <w:bookmarkStart w:id="84" w:name="_Toc254970537"/>
      <w:bookmarkStart w:id="85" w:name="_Toc254970678"/>
    </w:p>
    <w:p w14:paraId="3D2CF7D5">
      <w:pPr>
        <w:pageBreakBefore w:val="0"/>
        <w:widowControl w:val="0"/>
        <w:numPr>
          <w:ilvl w:val="0"/>
          <w:numId w:val="4"/>
        </w:numPr>
        <w:kinsoku/>
        <w:wordWrap/>
        <w:overflowPunct/>
        <w:topLinePunct w:val="0"/>
        <w:autoSpaceDE/>
        <w:autoSpaceDN/>
        <w:bidi w:val="0"/>
        <w:snapToGrid w:val="0"/>
        <w:spacing w:line="360" w:lineRule="exact"/>
        <w:ind w:left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投标文件的语言及计量</w:t>
      </w:r>
      <w:bookmarkEnd w:id="84"/>
      <w:bookmarkEnd w:id="85"/>
    </w:p>
    <w:p w14:paraId="726A956D">
      <w:pPr>
        <w:pageBreakBefore w:val="0"/>
        <w:widowControl w:val="0"/>
        <w:numPr>
          <w:ilvl w:val="0"/>
          <w:numId w:val="0"/>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14.1语言文字</w:t>
      </w:r>
    </w:p>
    <w:p w14:paraId="5670BB47">
      <w:pPr>
        <w:pageBreakBefore w:val="0"/>
        <w:widowControl w:val="0"/>
        <w:numPr>
          <w:ilvl w:val="0"/>
          <w:numId w:val="0"/>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投标文件以及投标人与采购人就有关投标事宜的所有来往函电，均应以中文书写（除专用术语外，与</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4EC8BB21">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14.2投标计量单位</w:t>
      </w:r>
    </w:p>
    <w:p w14:paraId="6B997DFD">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文件已有明确规定的，使用</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文件规定的计量单位；</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文件没有规定的，应采用中华人民共和国法定计量单位，货币种类为人民币，</w:t>
      </w:r>
      <w:r>
        <w:rPr>
          <w:rFonts w:hint="eastAsia" w:ascii="宋体" w:hAnsi="宋体" w:eastAsia="宋体" w:cs="宋体"/>
          <w:color w:val="auto"/>
          <w:sz w:val="21"/>
          <w:szCs w:val="21"/>
          <w:highlight w:val="none"/>
        </w:rPr>
        <w:t>否则视同未响应。</w:t>
      </w:r>
    </w:p>
    <w:p w14:paraId="2A9CAC8A">
      <w:pPr>
        <w:pStyle w:val="5"/>
        <w:pageBreakBefore w:val="0"/>
        <w:widowControl w:val="0"/>
        <w:kinsoku/>
        <w:wordWrap/>
        <w:overflowPunct/>
        <w:topLinePunct w:val="0"/>
        <w:autoSpaceDE/>
        <w:autoSpaceDN/>
        <w:bidi w:val="0"/>
        <w:spacing w:before="0" w:after="0"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15.投标的风险</w:t>
      </w:r>
    </w:p>
    <w:p w14:paraId="33553AE3">
      <w:pPr>
        <w:pStyle w:val="10"/>
        <w:pageBreakBefore w:val="0"/>
        <w:widowControl w:val="0"/>
        <w:kinsoku/>
        <w:wordWrap/>
        <w:overflowPunct/>
        <w:topLinePunct w:val="0"/>
        <w:autoSpaceDE/>
        <w:autoSpaceDN/>
        <w:bidi w:val="0"/>
        <w:snapToGrid w:val="0"/>
        <w:spacing w:line="360" w:lineRule="exact"/>
        <w:ind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投标人没有按照</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文件要求提供全部资料，或者投标人没有对</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文件作出实质性响应是投标人的风险，并可能导致其投标被拒绝。</w:t>
      </w:r>
      <w:bookmarkStart w:id="86" w:name="_Toc254970538"/>
      <w:bookmarkStart w:id="87" w:name="_Toc254970679"/>
    </w:p>
    <w:p w14:paraId="7BADFA42">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lang w:val="en-US" w:eastAsia="zh-CN" w:bidi="ar-SA"/>
        </w:rPr>
        <w:t>16.</w:t>
      </w:r>
      <w:r>
        <w:rPr>
          <w:rFonts w:hint="eastAsia" w:ascii="宋体" w:hAnsi="宋体" w:eastAsia="宋体" w:cs="宋体"/>
          <w:color w:val="auto"/>
          <w:sz w:val="21"/>
          <w:szCs w:val="21"/>
          <w:highlight w:val="none"/>
        </w:rPr>
        <w:t>投标报价</w:t>
      </w:r>
      <w:bookmarkEnd w:id="86"/>
      <w:bookmarkEnd w:id="87"/>
    </w:p>
    <w:p w14:paraId="4606EFF1">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16.1投标报价应按“第六章　投标文件格式”中“开标一览表”格式填写。</w:t>
      </w:r>
      <w:bookmarkStart w:id="88" w:name="_16.2投标报价具体定义见投标人须知前附表。"/>
      <w:bookmarkEnd w:id="88"/>
    </w:p>
    <w:p w14:paraId="5DC103FD">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16.2投标报价具体包括内容详见“投标人须知前附表”。</w:t>
      </w:r>
    </w:p>
    <w:p w14:paraId="0D292A24">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16.3投标人必须就所投每个分标的全部内容分别作完整唯一总价报价，不得存在漏项报价；投标人必须就所投分标的单项内容作唯一报价。</w:t>
      </w:r>
    </w:p>
    <w:p w14:paraId="71006AD8">
      <w:pPr>
        <w:pStyle w:val="10"/>
        <w:pageBreakBefore w:val="0"/>
        <w:widowControl w:val="0"/>
        <w:numPr>
          <w:ilvl w:val="0"/>
          <w:numId w:val="0"/>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lang w:val="en-US" w:eastAsia="zh-CN" w:bidi="ar-SA"/>
        </w:rPr>
        <w:t>17.</w:t>
      </w:r>
      <w:r>
        <w:rPr>
          <w:rFonts w:hint="eastAsia" w:ascii="宋体" w:hAnsi="宋体" w:eastAsia="宋体" w:cs="宋体"/>
          <w:color w:val="auto"/>
          <w:sz w:val="21"/>
          <w:szCs w:val="21"/>
          <w:highlight w:val="none"/>
        </w:rPr>
        <w:t>投标有效期</w:t>
      </w:r>
      <w:bookmarkStart w:id="89" w:name="_17.1投标有效期应按“投标人须知中的前附表”规定的期限。"/>
      <w:bookmarkEnd w:id="89"/>
    </w:p>
    <w:p w14:paraId="138C4610">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17.1投标有效期是指为保证采购人有足够的时间在开标后完成评标、定标、合同签订等工作而要求投标人提交的投标文件在一定时间内保持有效的期限。</w:t>
      </w:r>
    </w:p>
    <w:p w14:paraId="0AD21F54">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17.2</w:t>
      </w:r>
      <w:bookmarkStart w:id="90" w:name="_Toc254970540"/>
      <w:bookmarkStart w:id="91" w:name="_Toc254970681"/>
      <w:r>
        <w:rPr>
          <w:rFonts w:hint="eastAsia" w:ascii="宋体" w:hAnsi="宋体" w:eastAsia="宋体" w:cs="宋体"/>
          <w:b w:val="0"/>
          <w:color w:val="auto"/>
          <w:sz w:val="21"/>
          <w:szCs w:val="21"/>
          <w:highlight w:val="none"/>
        </w:rPr>
        <w:t>投标有效期应按规定的期限作出承诺，具体详见“投标人须知前附表”。</w:t>
      </w:r>
    </w:p>
    <w:p w14:paraId="701B5C7B">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17.3投标人的投标文件在投标有效期内均保持有效。</w:t>
      </w:r>
      <w:bookmarkEnd w:id="90"/>
      <w:bookmarkEnd w:id="91"/>
      <w:bookmarkStart w:id="92" w:name="_18.投标保证金"/>
      <w:bookmarkEnd w:id="92"/>
      <w:bookmarkStart w:id="93" w:name="_Toc254970682"/>
      <w:bookmarkStart w:id="94" w:name="_Toc254970541"/>
    </w:p>
    <w:p w14:paraId="7423039B">
      <w:pPr>
        <w:pStyle w:val="10"/>
        <w:pageBreakBefore w:val="0"/>
        <w:widowControl w:val="0"/>
        <w:numPr>
          <w:ilvl w:val="0"/>
          <w:numId w:val="0"/>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kern w:val="0"/>
          <w:sz w:val="21"/>
          <w:szCs w:val="21"/>
          <w:lang w:val="en-US" w:eastAsia="zh-CN" w:bidi="ar-SA"/>
        </w:rPr>
        <w:t>18.</w:t>
      </w:r>
      <w:r>
        <w:rPr>
          <w:rFonts w:hint="eastAsia" w:ascii="宋体" w:hAnsi="宋体" w:eastAsia="宋体" w:cs="宋体"/>
          <w:color w:val="auto"/>
          <w:sz w:val="21"/>
          <w:szCs w:val="21"/>
          <w:highlight w:val="none"/>
        </w:rPr>
        <w:t>投标保证金</w:t>
      </w:r>
      <w:bookmarkEnd w:id="93"/>
      <w:bookmarkEnd w:id="94"/>
      <w:r>
        <w:rPr>
          <w:rFonts w:hint="eastAsia" w:ascii="宋体" w:hAnsi="宋体" w:eastAsia="宋体" w:cs="宋体"/>
          <w:color w:val="auto"/>
          <w:sz w:val="21"/>
          <w:szCs w:val="21"/>
          <w:highlight w:val="none"/>
        </w:rPr>
        <w:t>：</w:t>
      </w:r>
      <w:r>
        <w:rPr>
          <w:rFonts w:hint="eastAsia" w:ascii="宋体" w:hAnsi="宋体" w:eastAsia="宋体" w:cs="宋体"/>
          <w:b w:val="0"/>
          <w:color w:val="auto"/>
          <w:sz w:val="21"/>
          <w:szCs w:val="21"/>
          <w:highlight w:val="none"/>
        </w:rPr>
        <w:t>本项目不收取投标保证金。</w:t>
      </w:r>
      <w:bookmarkStart w:id="95" w:name="_Toc254970683"/>
      <w:bookmarkStart w:id="96" w:name="_Toc254970542"/>
    </w:p>
    <w:p w14:paraId="186223F6">
      <w:pPr>
        <w:pStyle w:val="10"/>
        <w:pageBreakBefore w:val="0"/>
        <w:widowControl w:val="0"/>
        <w:numPr>
          <w:ilvl w:val="0"/>
          <w:numId w:val="0"/>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lang w:val="en-US" w:eastAsia="zh-CN" w:bidi="ar-SA"/>
        </w:rPr>
        <w:t>19.</w:t>
      </w:r>
      <w:r>
        <w:rPr>
          <w:rFonts w:hint="eastAsia" w:ascii="宋体" w:hAnsi="宋体" w:eastAsia="宋体" w:cs="宋体"/>
          <w:color w:val="auto"/>
          <w:sz w:val="21"/>
          <w:szCs w:val="21"/>
          <w:highlight w:val="none"/>
        </w:rPr>
        <w:t>投标文件的</w:t>
      </w:r>
      <w:bookmarkEnd w:id="95"/>
      <w:bookmarkEnd w:id="96"/>
      <w:r>
        <w:rPr>
          <w:rFonts w:hint="eastAsia" w:ascii="宋体" w:hAnsi="宋体" w:eastAsia="宋体" w:cs="宋体"/>
          <w:color w:val="auto"/>
          <w:sz w:val="21"/>
          <w:szCs w:val="21"/>
          <w:highlight w:val="none"/>
        </w:rPr>
        <w:t>编制</w:t>
      </w:r>
    </w:p>
    <w:p w14:paraId="58FBB36D">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19.1投标人应先安装“政采云电子投标客户端”（请自行前往</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进行下载），并按照本项目</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文件规定的格式和顺序和</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的要求编制并加密。投标文件内容不完整、编排混乱导致投标文件被误读、漏读或者查找不到相关内容的，由此引发的后果由投标人承担。</w:t>
      </w:r>
      <w:bookmarkStart w:id="97" w:name="_19.2投标文件应按报价文件、资格证明文件、商务文件、技术文件分别编制"/>
      <w:bookmarkEnd w:id="97"/>
    </w:p>
    <w:p w14:paraId="061845F0">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19.2为确保网上操作合法、有效和安全，投标人应当在投标截止时间前完成在</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的身份认证，确保在电子投标过程中能够对相关数据电文进行加密和使用电子签章。</w:t>
      </w:r>
    </w:p>
    <w:p w14:paraId="2A4AA47A">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19.3投标文件须由投标人在规定位置签字（或者电子签名）、盖章（具体以投标人须知前附表或投标文件格式规定为准），</w:t>
      </w:r>
      <w:r>
        <w:rPr>
          <w:rFonts w:hint="eastAsia" w:ascii="宋体" w:hAnsi="宋体" w:eastAsia="宋体" w:cs="宋体"/>
          <w:bCs/>
          <w:color w:val="auto"/>
          <w:sz w:val="21"/>
          <w:szCs w:val="21"/>
          <w:highlight w:val="none"/>
        </w:rPr>
        <w:t>否则按无效投标处理</w:t>
      </w:r>
      <w:r>
        <w:rPr>
          <w:rFonts w:hint="eastAsia" w:ascii="宋体" w:hAnsi="宋体" w:eastAsia="宋体" w:cs="宋体"/>
          <w:b w:val="0"/>
          <w:color w:val="auto"/>
          <w:sz w:val="21"/>
          <w:szCs w:val="21"/>
          <w:highlight w:val="none"/>
        </w:rPr>
        <w:t>。</w:t>
      </w:r>
    </w:p>
    <w:p w14:paraId="446A2425">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19.4投标文件中标注的投标人名称应与主体资格证明（如营业执照或者事业单位法人证书或者执业许可证或者登记证书等）及公章一致，并与“政采云”中获取</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文件的投标人名称一致，投标人为自然人的，标注的投标人名称应与身份证姓名及签名一致，</w:t>
      </w:r>
      <w:r>
        <w:rPr>
          <w:rFonts w:hint="eastAsia" w:ascii="宋体" w:hAnsi="宋体" w:eastAsia="宋体" w:cs="宋体"/>
          <w:color w:val="auto"/>
          <w:sz w:val="21"/>
          <w:szCs w:val="21"/>
          <w:highlight w:val="none"/>
        </w:rPr>
        <w:t>否则按无效投标处理</w:t>
      </w:r>
      <w:r>
        <w:rPr>
          <w:rFonts w:hint="eastAsia" w:ascii="宋体" w:hAnsi="宋体" w:eastAsia="宋体" w:cs="宋体"/>
          <w:b w:val="0"/>
          <w:color w:val="auto"/>
          <w:sz w:val="21"/>
          <w:szCs w:val="21"/>
          <w:highlight w:val="none"/>
        </w:rPr>
        <w:t>。</w:t>
      </w:r>
    </w:p>
    <w:p w14:paraId="1A6E1EC4">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0F9F6F87">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20.电子备份投标文件</w:t>
      </w:r>
    </w:p>
    <w:p w14:paraId="3BE61B0D">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电子备份投标文件是指通过“政采云电子投标客户端”在线编制生成且后缀名为“bfbs”的文件，是否接受电子备份投标文件</w:t>
      </w:r>
      <w:r>
        <w:rPr>
          <w:rFonts w:hint="eastAsia" w:ascii="宋体" w:hAnsi="宋体" w:eastAsia="宋体" w:cs="宋体"/>
          <w:bCs/>
          <w:color w:val="auto"/>
          <w:sz w:val="21"/>
          <w:szCs w:val="21"/>
          <w:highlight w:val="none"/>
        </w:rPr>
        <w:t>详见在“投标人须知前附表”。</w:t>
      </w:r>
    </w:p>
    <w:p w14:paraId="69E77C2A">
      <w:pPr>
        <w:pageBreakBefore w:val="0"/>
        <w:widowControl w:val="0"/>
        <w:numPr>
          <w:ilvl w:val="0"/>
          <w:numId w:val="5"/>
        </w:numPr>
        <w:kinsoku/>
        <w:wordWrap/>
        <w:overflowPunct/>
        <w:topLinePunct w:val="0"/>
        <w:autoSpaceDE/>
        <w:autoSpaceDN/>
        <w:bidi w:val="0"/>
        <w:spacing w:line="3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投标文件的提交</w:t>
      </w:r>
      <w:bookmarkStart w:id="98" w:name="_21.1投标人必须在“投标人须知中的前附表”规定的投标文件接收时间和投"/>
      <w:bookmarkEnd w:id="98"/>
    </w:p>
    <w:p w14:paraId="44FEB017">
      <w:pPr>
        <w:pageBreakBefore w:val="0"/>
        <w:widowControl w:val="0"/>
        <w:numPr>
          <w:ilvl w:val="0"/>
          <w:numId w:val="0"/>
        </w:numPr>
        <w:kinsoku/>
        <w:wordWrap/>
        <w:overflowPunct/>
        <w:topLinePunct w:val="0"/>
        <w:autoSpaceDE/>
        <w:autoSpaceDN/>
        <w:bidi w:val="0"/>
        <w:spacing w:line="360" w:lineRule="exac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21.1投标人必须在“投标人须知前附表”规定的</w:t>
      </w:r>
      <w:r>
        <w:rPr>
          <w:rFonts w:hint="eastAsia" w:ascii="宋体" w:hAnsi="宋体" w:eastAsia="宋体" w:cs="宋体"/>
          <w:color w:val="auto"/>
          <w:sz w:val="21"/>
          <w:szCs w:val="21"/>
          <w:highlight w:val="none"/>
        </w:rPr>
        <w:t>投标文件提交截止时间前将</w:t>
      </w:r>
      <w:r>
        <w:rPr>
          <w:rFonts w:hint="eastAsia" w:ascii="宋体" w:hAnsi="宋体" w:eastAsia="宋体" w:cs="宋体"/>
          <w:bCs/>
          <w:color w:val="auto"/>
          <w:sz w:val="21"/>
          <w:szCs w:val="21"/>
          <w:highlight w:val="none"/>
        </w:rPr>
        <w:t>电子投标文件提交至投标地点。电子投标文件应在制作完成后，在投标截止时间前通过有效数字证书（CA认证锁）进行电子签章、加密，然后通过网络将加密的电子投标文件递交至</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bCs/>
          <w:color w:val="auto"/>
          <w:sz w:val="21"/>
          <w:szCs w:val="21"/>
          <w:highlight w:val="none"/>
        </w:rPr>
        <w:t>。</w:t>
      </w:r>
    </w:p>
    <w:p w14:paraId="2D343140">
      <w:pPr>
        <w:pageBreakBefore w:val="0"/>
        <w:widowControl w:val="0"/>
        <w:kinsoku/>
        <w:wordWrap/>
        <w:overflowPunct/>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21.2未在规定时间内提交或者未按照</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文件要求加密的电子投标文件，</w:t>
      </w:r>
      <w:r>
        <w:rPr>
          <w:rFonts w:hint="eastAsia" w:ascii="宋体" w:hAnsi="宋体" w:eastAsia="宋体" w:cs="宋体"/>
          <w:b/>
          <w:color w:val="auto"/>
          <w:sz w:val="21"/>
          <w:szCs w:val="21"/>
          <w:highlight w:val="none"/>
          <w:lang w:eastAsia="zh-CN"/>
        </w:rPr>
        <w:t>广西政府采购云平台</w:t>
      </w:r>
      <w:r>
        <w:rPr>
          <w:rFonts w:hint="eastAsia" w:ascii="宋体" w:hAnsi="宋体" w:eastAsia="宋体" w:cs="宋体"/>
          <w:b/>
          <w:color w:val="auto"/>
          <w:sz w:val="21"/>
          <w:szCs w:val="21"/>
          <w:highlight w:val="none"/>
        </w:rPr>
        <w:t>将拒收。</w:t>
      </w:r>
    </w:p>
    <w:p w14:paraId="17D9BBDE">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22.投标文件的补充、修改、撤回与退回</w:t>
      </w:r>
    </w:p>
    <w:p w14:paraId="30A50073">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bookmarkStart w:id="99" w:name="_Toc254970684"/>
      <w:bookmarkStart w:id="100" w:name="_Toc254970543"/>
      <w:r>
        <w:rPr>
          <w:rFonts w:hint="eastAsia" w:ascii="宋体" w:hAnsi="宋体" w:eastAsia="宋体" w:cs="宋体"/>
          <w:color w:val="auto"/>
          <w:sz w:val="21"/>
          <w:szCs w:val="21"/>
          <w:highlight w:val="none"/>
        </w:rPr>
        <w:t>22.1</w:t>
      </w:r>
      <w:r>
        <w:rPr>
          <w:rFonts w:hint="eastAsia" w:ascii="宋体" w:hAnsi="宋体" w:eastAsia="宋体" w:cs="宋体"/>
          <w:bCs/>
          <w:color w:val="auto"/>
          <w:sz w:val="21"/>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宋体" w:hAnsi="宋体" w:eastAsia="宋体" w:cs="宋体"/>
          <w:bCs/>
          <w:color w:val="auto"/>
          <w:sz w:val="21"/>
          <w:szCs w:val="21"/>
          <w:highlight w:val="none"/>
          <w:lang w:eastAsia="zh-CN"/>
        </w:rPr>
        <w:t>广西政府采购云平台</w:t>
      </w:r>
      <w:r>
        <w:rPr>
          <w:rFonts w:hint="eastAsia" w:ascii="宋体" w:hAnsi="宋体" w:eastAsia="宋体" w:cs="宋体"/>
          <w:bCs/>
          <w:color w:val="auto"/>
          <w:sz w:val="21"/>
          <w:szCs w:val="21"/>
          <w:highlight w:val="none"/>
        </w:rPr>
        <w:t>将予以拒收。</w:t>
      </w:r>
      <w:r>
        <w:rPr>
          <w:rFonts w:hint="eastAsia" w:ascii="宋体" w:hAnsi="宋体" w:eastAsia="宋体" w:cs="宋体"/>
          <w:color w:val="auto"/>
          <w:sz w:val="21"/>
          <w:szCs w:val="21"/>
          <w:highlight w:val="none"/>
        </w:rPr>
        <w:t>（补充、修改或者撤回方式可登陆</w:t>
      </w:r>
      <w:r>
        <w:rPr>
          <w:rFonts w:hint="eastAsia" w:ascii="宋体" w:hAnsi="宋体" w:eastAsia="宋体" w:cs="宋体"/>
          <w:color w:val="auto"/>
          <w:kern w:val="0"/>
          <w:sz w:val="21"/>
          <w:szCs w:val="21"/>
          <w:highlight w:val="none"/>
          <w:lang w:eastAsia="zh-CN"/>
        </w:rPr>
        <w:t>广西政府采购云平台</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进入“服务中心”中查看“电子投标文件制作与投送教程”）</w:t>
      </w:r>
    </w:p>
    <w:bookmarkEnd w:id="99"/>
    <w:bookmarkEnd w:id="100"/>
    <w:p w14:paraId="2CFF91AB">
      <w:pPr>
        <w:pStyle w:val="34"/>
        <w:pageBreakBefore w:val="0"/>
        <w:widowControl w:val="0"/>
        <w:kinsoku/>
        <w:wordWrap/>
        <w:overflowPunct/>
        <w:topLinePunct w:val="0"/>
        <w:autoSpaceDE/>
        <w:autoSpaceDN/>
        <w:bidi w:val="0"/>
        <w:spacing w:before="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收到投标文件后向供应商发出确认回执通知。在投标截止时间前，除供应商补充、修改或者撤回投标文件外，任何单位和个人不得解密或提取投标文件。</w:t>
      </w:r>
    </w:p>
    <w:p w14:paraId="079AE69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22.3在投标截止时间后，采购人和采购代理机构对已提交的投标文件概不退回。</w:t>
      </w:r>
    </w:p>
    <w:p w14:paraId="594DF43D">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bookmarkStart w:id="101" w:name="_Toc254970685"/>
      <w:bookmarkStart w:id="102" w:name="_Toc254970544"/>
      <w:r>
        <w:rPr>
          <w:rFonts w:hint="eastAsia" w:ascii="宋体" w:hAnsi="宋体" w:eastAsia="宋体" w:cs="宋体"/>
          <w:color w:val="auto"/>
          <w:sz w:val="21"/>
          <w:szCs w:val="21"/>
          <w:highlight w:val="none"/>
        </w:rPr>
        <w:t>四、开    标</w:t>
      </w:r>
      <w:bookmarkEnd w:id="101"/>
      <w:bookmarkEnd w:id="102"/>
    </w:p>
    <w:p w14:paraId="6EED6A8B">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103" w:name="_23.开标时间和地点"/>
      <w:bookmarkEnd w:id="103"/>
      <w:r>
        <w:rPr>
          <w:rFonts w:hint="eastAsia" w:ascii="宋体" w:hAnsi="宋体" w:eastAsia="宋体" w:cs="宋体"/>
          <w:color w:val="auto"/>
          <w:sz w:val="21"/>
          <w:szCs w:val="21"/>
          <w:highlight w:val="none"/>
        </w:rPr>
        <w:t>23.开标时间和地点</w:t>
      </w:r>
    </w:p>
    <w:p w14:paraId="053C2E7B">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开标时间及地点详见“投标人须知前附表”</w:t>
      </w:r>
    </w:p>
    <w:p w14:paraId="5BF03C2A">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24.开标程序</w:t>
      </w:r>
    </w:p>
    <w:p w14:paraId="6628668A">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24.1提交投标文件截止时间止，投标人不足3家的，不得开标。</w:t>
      </w:r>
    </w:p>
    <w:p w14:paraId="6F46EDC0">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24.2采购代理机构将按照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文件规定的时间通过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组织线上开标活动，所有供应商均应当准时在线参加，投标人因未在线参加开标而导致投标文件无法按时解密等一切后果由投标人自己承担。</w:t>
      </w:r>
    </w:p>
    <w:p w14:paraId="1FC41FBE">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24.3开标程序</w:t>
      </w:r>
    </w:p>
    <w:p w14:paraId="5C3B35B2">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（1）解密电子投标文件。</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按开标时间自动提取所有投标文件。采购代理机构依托</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向各投标人发出电子加密投标文件【开始解密】通知，由投标人按</w:t>
      </w:r>
      <w:r>
        <w:rPr>
          <w:rFonts w:hint="eastAsia" w:ascii="宋体" w:hAnsi="宋体" w:eastAsia="宋体" w:cs="宋体"/>
          <w:bCs/>
          <w:color w:val="auto"/>
          <w:sz w:val="21"/>
          <w:szCs w:val="21"/>
          <w:highlight w:val="none"/>
        </w:rPr>
        <w:t>“投标人须知前附表”</w:t>
      </w:r>
      <w:r>
        <w:rPr>
          <w:rFonts w:hint="eastAsia" w:ascii="宋体" w:hAnsi="宋体" w:eastAsia="宋体" w:cs="宋体"/>
          <w:color w:val="auto"/>
          <w:sz w:val="21"/>
          <w:szCs w:val="21"/>
          <w:highlight w:val="none"/>
        </w:rPr>
        <w:t>规定的时间内自行进行投标文件解密。投标人的法定代表人或其委托代理人须凭加密时所用的CA锁准时登录到</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电子开标大厅签到并对电子投标文件解密。</w:t>
      </w:r>
      <w:r>
        <w:rPr>
          <w:rFonts w:hint="eastAsia" w:ascii="宋体" w:hAnsi="宋体" w:eastAsia="宋体" w:cs="宋体"/>
          <w:b/>
          <w:color w:val="auto"/>
          <w:sz w:val="21"/>
          <w:szCs w:val="21"/>
          <w:highlight w:val="none"/>
        </w:rPr>
        <w:t>投标人未在规定的时间内解密投标文件或者解密失败的，投标人的投标文件作无效处理。</w:t>
      </w:r>
    </w:p>
    <w:p w14:paraId="194C76D8">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（2）电子唱标。投标文件解密结束，宣布的内容均在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远程开标大厅展示，具体详见</w:t>
      </w:r>
      <w:r>
        <w:rPr>
          <w:rFonts w:hint="eastAsia" w:ascii="宋体" w:hAnsi="宋体" w:eastAsia="宋体" w:cs="宋体"/>
          <w:bCs/>
          <w:color w:val="auto"/>
          <w:sz w:val="21"/>
          <w:szCs w:val="21"/>
          <w:highlight w:val="none"/>
        </w:rPr>
        <w:t>“投标人须知前附表”</w:t>
      </w:r>
      <w:r>
        <w:rPr>
          <w:rFonts w:hint="eastAsia" w:ascii="宋体" w:hAnsi="宋体" w:eastAsia="宋体" w:cs="宋体"/>
          <w:color w:val="auto"/>
          <w:sz w:val="21"/>
          <w:szCs w:val="21"/>
          <w:highlight w:val="none"/>
        </w:rPr>
        <w:t>；</w:t>
      </w:r>
    </w:p>
    <w:p w14:paraId="5601C34F">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（3）开标过程由采购代理机构如实记录，并电子留痕，由参加电子开标的各投标人代表对电子开标记录在开标记录公布后15分钟内进行校核及勘误，并线上确认是否有异议，未确认的视同认可开标结果。</w:t>
      </w:r>
    </w:p>
    <w:p w14:paraId="1D16B81E">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5C592ED6">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（5）开标结束。</w:t>
      </w:r>
    </w:p>
    <w:p w14:paraId="471B3AF7">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特别说明：如遇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电子化开标或评审程序调整的，按调整后执行。</w:t>
      </w:r>
    </w:p>
    <w:p w14:paraId="48AFC0C8">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五、资格审查</w:t>
      </w:r>
    </w:p>
    <w:p w14:paraId="708DBBC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25.资格审查</w:t>
      </w:r>
    </w:p>
    <w:p w14:paraId="12C8FC06">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25.1开标结束后，采购人或者采购代理机构通过电子开评标系统依据</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文件对电子投标文件进行线上资格审查。</w:t>
      </w:r>
    </w:p>
    <w:p w14:paraId="4F40621A">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25.2资格审查标准为本</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文件中载明对投标人资格要求的条件。本项目资格审查采用合格制，凡符合</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文件规定的投标人资格要求的投标人均通过资格审查。</w:t>
      </w:r>
    </w:p>
    <w:p w14:paraId="5DE67539">
      <w:pPr>
        <w:pStyle w:val="5"/>
        <w:pageBreakBefore w:val="0"/>
        <w:widowControl w:val="0"/>
        <w:numPr>
          <w:ilvl w:val="4"/>
          <w:numId w:val="0"/>
        </w:numPr>
        <w:kinsoku/>
        <w:wordWrap/>
        <w:overflowPunct/>
        <w:topLinePunct w:val="0"/>
        <w:autoSpaceDE/>
        <w:autoSpaceDN/>
        <w:bidi w:val="0"/>
        <w:spacing w:before="0" w:after="0" w:line="360" w:lineRule="exact"/>
        <w:ind w:firstLine="422" w:firstLineChars="200"/>
        <w:textAlignment w:val="auto"/>
        <w:rPr>
          <w:rFonts w:hint="eastAsia" w:ascii="宋体" w:hAnsi="宋体" w:eastAsia="宋体" w:cs="宋体"/>
          <w:color w:val="auto"/>
          <w:sz w:val="21"/>
          <w:szCs w:val="21"/>
          <w:highlight w:val="none"/>
        </w:rPr>
      </w:pPr>
      <w:bookmarkStart w:id="104" w:name="_25.3_投标人有下列情形之一的，资格审查不通过而导致其投标无效："/>
      <w:bookmarkEnd w:id="104"/>
      <w:r>
        <w:rPr>
          <w:rFonts w:hint="eastAsia" w:ascii="宋体" w:hAnsi="宋体" w:eastAsia="宋体" w:cs="宋体"/>
          <w:color w:val="auto"/>
          <w:sz w:val="21"/>
          <w:szCs w:val="21"/>
          <w:highlight w:val="none"/>
        </w:rPr>
        <w:t>25.3投标人有下列情形之一的，资格审查不通过，作无效投标处理：</w:t>
      </w:r>
    </w:p>
    <w:p w14:paraId="484DCA20">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（1）不具备</w:t>
      </w:r>
      <w:r>
        <w:rPr>
          <w:rFonts w:hint="eastAsia"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文件中规定的资格要求的；</w:t>
      </w:r>
    </w:p>
    <w:p w14:paraId="6DD512EF">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在“信用中国”网站（www.creditchina.gov.cn）、中国政府采购网（www.ccgp.gov.cn）被列入失信被执行人、重大税收违法案件当事人名单、政府采购严重违法失信行为记录名单及其他不符合《中华人民共和国政府采购法》第二十二条规定条件的；（注：其中信用查询规则见“投标人须知前附表”，</w:t>
      </w:r>
      <w:r>
        <w:rPr>
          <w:rFonts w:hint="eastAsia" w:ascii="宋体" w:hAnsi="宋体" w:eastAsia="宋体" w:cs="宋体"/>
          <w:b/>
          <w:color w:val="auto"/>
          <w:sz w:val="21"/>
          <w:szCs w:val="21"/>
          <w:highlight w:val="none"/>
          <w:lang w:eastAsia="zh-CN"/>
        </w:rPr>
        <w:t>广西政府采购云平台</w:t>
      </w:r>
      <w:r>
        <w:rPr>
          <w:rFonts w:hint="eastAsia" w:ascii="宋体" w:hAnsi="宋体" w:eastAsia="宋体" w:cs="宋体"/>
          <w:b/>
          <w:color w:val="auto"/>
          <w:sz w:val="21"/>
          <w:szCs w:val="21"/>
          <w:highlight w:val="none"/>
        </w:rPr>
        <w:t>已与“信用中国”网站、中国政府采购网实现数据对接，可直接在线查询）</w:t>
      </w:r>
    </w:p>
    <w:p w14:paraId="401AA96F">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58989FD6">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（4）投标文件中的资格证明文件缺少任一项“投标人须知前附表”资格证明文件规定“必须提供”的文件资料的；</w:t>
      </w:r>
    </w:p>
    <w:p w14:paraId="7E365D09">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（5）投标文件中的资格证明文件出现任一项不符合“投标人须知前附表”资格证明文件规定“必须提供”的文件资料要求或者无效的。</w:t>
      </w:r>
    </w:p>
    <w:p w14:paraId="1696D191">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color w:val="auto"/>
          <w:sz w:val="21"/>
          <w:szCs w:val="21"/>
          <w:highlight w:val="none"/>
        </w:rPr>
        <w:t>25.4合格投标人不足3家的，不得评标。</w:t>
      </w:r>
    </w:p>
    <w:p w14:paraId="7073774D">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六、评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标</w:t>
      </w:r>
    </w:p>
    <w:p w14:paraId="04C258C0">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105" w:name="_26.组建评标委员会"/>
      <w:bookmarkEnd w:id="105"/>
      <w:r>
        <w:rPr>
          <w:rFonts w:hint="eastAsia" w:ascii="宋体" w:hAnsi="宋体" w:eastAsia="宋体" w:cs="宋体"/>
          <w:color w:val="auto"/>
          <w:sz w:val="21"/>
          <w:szCs w:val="21"/>
          <w:highlight w:val="none"/>
        </w:rPr>
        <w:t>26.组建评标委员会</w:t>
      </w:r>
    </w:p>
    <w:p w14:paraId="0E37E9D4">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26.1评标委员会由采购人代表和评审专家组成，具体人数详见“投标人须知前附表”，其中评审专家不得少于成员总数的三分之二。</w:t>
      </w:r>
    </w:p>
    <w:p w14:paraId="36AF7BBB">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26.2参加过采购项目前期咨询论证的专家，不得参加该采购项目的评审活动。</w:t>
      </w:r>
    </w:p>
    <w:p w14:paraId="2982749F">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26.3</w:t>
      </w:r>
      <w:r>
        <w:rPr>
          <w:rFonts w:hint="eastAsia" w:ascii="宋体" w:hAnsi="宋体" w:eastAsia="宋体" w:cs="宋体"/>
          <w:bCs/>
          <w:color w:val="auto"/>
          <w:sz w:val="21"/>
          <w:szCs w:val="21"/>
          <w:highlight w:val="none"/>
        </w:rPr>
        <w:t>采购代理机构应当基于</w:t>
      </w:r>
      <w:r>
        <w:rPr>
          <w:rFonts w:hint="eastAsia" w:ascii="宋体" w:hAnsi="宋体" w:eastAsia="宋体" w:cs="宋体"/>
          <w:bCs/>
          <w:color w:val="auto"/>
          <w:sz w:val="21"/>
          <w:szCs w:val="21"/>
          <w:highlight w:val="none"/>
          <w:lang w:eastAsia="zh-CN"/>
        </w:rPr>
        <w:t>广西政府采购云平台</w:t>
      </w:r>
      <w:r>
        <w:rPr>
          <w:rFonts w:hint="eastAsia" w:ascii="宋体" w:hAnsi="宋体" w:eastAsia="宋体" w:cs="宋体"/>
          <w:bCs/>
          <w:color w:val="auto"/>
          <w:sz w:val="21"/>
          <w:szCs w:val="21"/>
          <w:highlight w:val="none"/>
        </w:rPr>
        <w:t>抽（选）取评审专家。</w:t>
      </w:r>
    </w:p>
    <w:p w14:paraId="3672CA7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27.评标的依据</w:t>
      </w:r>
    </w:p>
    <w:p w14:paraId="69D6FCD7">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评标委员会以“第四章 评标方法和评标标准”为依据对投标文件进行评审，没有规定的方法、评审因素和标准，不作为评标依据。</w:t>
      </w:r>
    </w:p>
    <w:p w14:paraId="2DD586DB">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28.评标原则</w:t>
      </w:r>
    </w:p>
    <w:p w14:paraId="364B45D3">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13CE04FF">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28.2</w:t>
      </w:r>
      <w:bookmarkStart w:id="106" w:name="_28.3评标方法。本项目将按须知前附表规定的评标办法进行评标，具体评标"/>
      <w:bookmarkEnd w:id="106"/>
      <w:r>
        <w:rPr>
          <w:rFonts w:hint="eastAsia" w:ascii="宋体" w:hAnsi="宋体" w:eastAsia="宋体" w:cs="宋体"/>
          <w:color w:val="auto"/>
          <w:sz w:val="21"/>
          <w:szCs w:val="21"/>
          <w:highlight w:val="none"/>
        </w:rPr>
        <w:t>评委表决。评标委员会成员对需要共同认定的事项存在争议的，应当按照少数服从多数的原则作出结论。</w:t>
      </w:r>
    </w:p>
    <w:p w14:paraId="79F97FA9">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58994F06">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28.4评标过程的监控。本项目电子评标过程实行网上留痕、全程录音、录像监控，</w:t>
      </w:r>
      <w:r>
        <w:rPr>
          <w:rFonts w:hint="eastAsia" w:ascii="宋体" w:hAnsi="宋体" w:eastAsia="宋体" w:cs="宋体"/>
          <w:b/>
          <w:color w:val="auto"/>
          <w:sz w:val="21"/>
          <w:szCs w:val="21"/>
          <w:highlight w:val="none"/>
        </w:rPr>
        <w:t>投标人在评标过程中所进行的试图影响评标结果的不公正活动，可能导致其投标按无效处理。</w:t>
      </w:r>
    </w:p>
    <w:p w14:paraId="6EE08A73">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29.评标方法及中标候选人推荐</w:t>
      </w:r>
    </w:p>
    <w:p w14:paraId="4FFA9F19">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29.1本项目的评标方法详见“投标人须知前附表”。</w:t>
      </w:r>
    </w:p>
    <w:p w14:paraId="1C2C8C61">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29.2商务/技术要求允许负偏离的条款数详见“投标人须知前附表”。</w:t>
      </w:r>
    </w:p>
    <w:p w14:paraId="4658741D">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29.3中标候选人推荐数量详见“投标人须知前附表”。</w:t>
      </w:r>
    </w:p>
    <w:p w14:paraId="40F0D487">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29.4电子交易活动的中止。采购过程中出现以下情形，导致电子交易平台无法正常运行，或者无法保证电子交易的公平、公正和安全时，采购代理机构可以中止电子交易活动：</w:t>
      </w:r>
    </w:p>
    <w:p w14:paraId="4F949FF6">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（1）电子交易平台发生故障而无法登录访问的；</w:t>
      </w:r>
    </w:p>
    <w:p w14:paraId="45D12D70">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（2）电子交易平台应用或数据库出现错误，不能进行正常操作的；</w:t>
      </w:r>
    </w:p>
    <w:p w14:paraId="1A0521A3">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（3）电子交易平台发现严重安全漏洞，有潜在泄密危险的；</w:t>
      </w:r>
    </w:p>
    <w:p w14:paraId="3F32D033">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（4）病毒发作导致不能进行正常操作的；</w:t>
      </w:r>
    </w:p>
    <w:p w14:paraId="450ADE8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（5）其他无法保证电子交易的公平、公正和安全的情况。</w:t>
      </w:r>
    </w:p>
    <w:p w14:paraId="1233B6CC">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7A80255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29.5异常低价审查</w:t>
      </w:r>
    </w:p>
    <w:p w14:paraId="0AA6837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本项目异常低价审查情形见“投标人须知前附表”规定。</w:t>
      </w:r>
    </w:p>
    <w:p w14:paraId="4A28FE97">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90503A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B2299E6">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78C04EB">
      <w:pPr>
        <w:pageBreakBefore w:val="0"/>
        <w:widowControl w:val="0"/>
        <w:kinsoku/>
        <w:wordWrap/>
        <w:overflowPunct/>
        <w:topLinePunct w:val="0"/>
        <w:autoSpaceDE/>
        <w:autoSpaceDN/>
        <w:bidi w:val="0"/>
        <w:spacing w:line="360" w:lineRule="exact"/>
        <w:ind w:firstLine="420" w:firstLineChars="200"/>
        <w:textAlignment w:val="auto"/>
        <w:rPr>
          <w:rFonts w:hint="eastAsia"/>
        </w:rPr>
      </w:pPr>
      <w:r>
        <w:rPr>
          <w:rFonts w:hint="eastAsia" w:ascii="宋体" w:hAnsi="宋体" w:eastAsia="宋体" w:cs="宋体"/>
          <w:color w:val="auto"/>
          <w:sz w:val="21"/>
          <w:szCs w:val="21"/>
          <w:highlight w:val="none"/>
        </w:rPr>
        <w:t>异常低价投标（响应）审查的启动原因、审查意见和审查结果应当在评审报告中记录，并随供应商提供的相关书面说明及证明材料，以及评审委员会有关互联网浏览、查询历史一并归档。</w:t>
      </w:r>
    </w:p>
    <w:p w14:paraId="619413AF">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bookmarkStart w:id="107" w:name="_Toc254970546"/>
      <w:bookmarkStart w:id="108" w:name="_Toc254970687"/>
      <w:r>
        <w:rPr>
          <w:rFonts w:hint="eastAsia" w:ascii="宋体" w:hAnsi="宋体" w:eastAsia="宋体" w:cs="宋体"/>
          <w:color w:val="auto"/>
          <w:sz w:val="21"/>
          <w:szCs w:val="21"/>
          <w:highlight w:val="none"/>
        </w:rPr>
        <w:t>七、</w:t>
      </w:r>
      <w:bookmarkEnd w:id="107"/>
      <w:bookmarkEnd w:id="108"/>
      <w:r>
        <w:rPr>
          <w:rFonts w:hint="eastAsia" w:ascii="宋体" w:hAnsi="宋体" w:eastAsia="宋体" w:cs="宋体"/>
          <w:color w:val="auto"/>
          <w:sz w:val="21"/>
          <w:szCs w:val="21"/>
          <w:highlight w:val="none"/>
        </w:rPr>
        <w:t>中标和合同</w:t>
      </w:r>
    </w:p>
    <w:p w14:paraId="4F194709">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确定中标人</w:t>
      </w:r>
    </w:p>
    <w:p w14:paraId="21B1CFCB">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4831C273">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30.2采购人在收到评标报告5个工作日内未按评标报告推荐的中标候选人顺序确定中标人，又不能说明合法理由的，视同按评标报告推荐的顺序确定排名第一的中标候选人为中标人。</w:t>
      </w:r>
    </w:p>
    <w:p w14:paraId="335C6007">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30.3出现下列情形之一的，应予废标：</w:t>
      </w:r>
    </w:p>
    <w:p w14:paraId="5B3A2BF6">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（1）符合专业条件的供应商或者对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文件作实质响应的供应商不足三家的；</w:t>
      </w:r>
    </w:p>
    <w:p w14:paraId="33D2ECAC">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（2）出现影响采购公正的违法、违规行为的；</w:t>
      </w:r>
    </w:p>
    <w:p w14:paraId="2FA7330E">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（3）投标人的报价均超过了采购预算，采购人不能支付的；</w:t>
      </w:r>
    </w:p>
    <w:p w14:paraId="44C25623">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（4）因重大变故，采购任务取消的。</w:t>
      </w:r>
    </w:p>
    <w:p w14:paraId="5B564E7F">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废标后，采购人应当将废标理由通知所有投标人。</w:t>
      </w:r>
    </w:p>
    <w:p w14:paraId="306D3286">
      <w:pPr>
        <w:pageBreakBefore w:val="0"/>
        <w:widowControl w:val="0"/>
        <w:numPr>
          <w:ilvl w:val="0"/>
          <w:numId w:val="6"/>
        </w:numPr>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结果公告</w:t>
      </w:r>
    </w:p>
    <w:p w14:paraId="5BBA251B">
      <w:pPr>
        <w:pageBreakBefore w:val="0"/>
        <w:widowControl w:val="0"/>
        <w:numPr>
          <w:ilvl w:val="0"/>
          <w:numId w:val="0"/>
        </w:numPr>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 w:val="0"/>
          <w:color w:val="FF0000"/>
          <w:sz w:val="21"/>
          <w:szCs w:val="21"/>
          <w:highlight w:val="none"/>
        </w:rPr>
      </w:pPr>
      <w:r>
        <w:rPr>
          <w:rFonts w:hint="eastAsia" w:ascii="宋体" w:hAnsi="宋体" w:eastAsia="宋体" w:cs="宋体"/>
          <w:b w:val="0"/>
          <w:color w:val="auto"/>
          <w:sz w:val="21"/>
          <w:szCs w:val="21"/>
          <w:highlight w:val="none"/>
        </w:rPr>
        <w:t>31.1</w:t>
      </w:r>
      <w:r>
        <w:rPr>
          <w:rFonts w:hint="eastAsia" w:ascii="宋体" w:hAnsi="宋体" w:eastAsia="宋体" w:cs="宋体"/>
          <w:b w:val="0"/>
          <w:color w:val="000000" w:themeColor="text1"/>
          <w:sz w:val="21"/>
          <w:szCs w:val="21"/>
          <w:highlight w:val="none"/>
          <w14:textFill>
            <w14:solidFill>
              <w14:schemeClr w14:val="tx1"/>
            </w14:solidFill>
          </w14:textFill>
        </w:rPr>
        <w:t>采购人或者采购代理机构应当自中标人确定之日起2个工作日内，在省级以上财政部门指定的媒体上公告中标结果，</w:t>
      </w:r>
      <w:r>
        <w:rPr>
          <w:rFonts w:hint="eastAsia" w:ascii="宋体" w:hAnsi="宋体" w:cs="宋体"/>
          <w:b w:val="0"/>
          <w:color w:val="000000" w:themeColor="text1"/>
          <w:sz w:val="21"/>
          <w:szCs w:val="21"/>
          <w:highlight w:val="none"/>
          <w:lang w:eastAsia="zh-CN"/>
          <w14:textFill>
            <w14:solidFill>
              <w14:schemeClr w14:val="tx1"/>
            </w14:solidFill>
          </w14:textFill>
        </w:rPr>
        <w:t>采购</w:t>
      </w:r>
      <w:r>
        <w:rPr>
          <w:rFonts w:hint="eastAsia" w:ascii="宋体" w:hAnsi="宋体" w:eastAsia="宋体" w:cs="宋体"/>
          <w:b w:val="0"/>
          <w:color w:val="000000" w:themeColor="text1"/>
          <w:sz w:val="21"/>
          <w:szCs w:val="21"/>
          <w:highlight w:val="none"/>
          <w14:textFill>
            <w14:solidFill>
              <w14:schemeClr w14:val="tx1"/>
            </w14:solidFill>
          </w14:textFill>
        </w:rPr>
        <w:t>文件应当随中标结果同时公告。采购人或者采购代理发出中标通知书前，应当对中标人信用进行查询，对列入失信被执行人、重大税收违法案件当事人名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3746CE14">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以上信息查询记录及相关证据与采购文件一并保存。</w:t>
      </w:r>
    </w:p>
    <w:p w14:paraId="57A4888F">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31.2中标供应商享受《政府采购促进中小企业发展管理办法》（财库〔2020〕46号）规定的中小企业扶持政策的，采购人、采购代理机构应当随中标结果公开中标供应商的《中小企业声明函》。</w:t>
      </w:r>
    </w:p>
    <w:p w14:paraId="52979519">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32.发出中标通知书</w:t>
      </w:r>
    </w:p>
    <w:p w14:paraId="3B2FC29A">
      <w:pPr>
        <w:pStyle w:val="5"/>
        <w:pageBreakBefore w:val="0"/>
        <w:widowControl w:val="0"/>
        <w:kinsoku/>
        <w:wordWrap/>
        <w:overflowPunct/>
        <w:topLinePunct w:val="0"/>
        <w:autoSpaceDE/>
        <w:autoSpaceDN/>
        <w:bidi w:val="0"/>
        <w:spacing w:before="0" w:after="0" w:line="360" w:lineRule="exac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在发布中标公告的同时，采购代理机构向中标人通过</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发出电子中标通知书。对未通过资格审查的投标人，应当告知其未通过的原因；采用综合评分办法评审的，还应当告知未中标人本人的评审得分与排序。</w:t>
      </w:r>
    </w:p>
    <w:p w14:paraId="4D2DD757">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33.无义务解释未中标原因</w:t>
      </w:r>
    </w:p>
    <w:p w14:paraId="43515859">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采购代理机构无义务向未中标的投标人解释未中标原因。</w:t>
      </w:r>
    </w:p>
    <w:p w14:paraId="4BC19598">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34.合同授予标准</w:t>
      </w:r>
    </w:p>
    <w:p w14:paraId="429C401A">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合同将授予被确定实质上响应</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文件要求，具备履行合同能力的中标人。</w:t>
      </w:r>
    </w:p>
    <w:p w14:paraId="4B3200A3">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35.履约保证金</w:t>
      </w:r>
    </w:p>
    <w:p w14:paraId="33AF77B0">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bookmarkStart w:id="109" w:name="_39.1中标人须于签订合同前按本须知前附表规定的金额转账或电汇到指定账"/>
      <w:bookmarkEnd w:id="109"/>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eastAsia="zh-CN"/>
        </w:rPr>
        <w:t>不收取</w:t>
      </w:r>
      <w:r>
        <w:rPr>
          <w:rFonts w:hint="eastAsia" w:ascii="宋体" w:hAnsi="宋体" w:eastAsia="宋体" w:cs="宋体"/>
          <w:color w:val="auto"/>
          <w:sz w:val="21"/>
          <w:szCs w:val="21"/>
          <w:highlight w:val="none"/>
        </w:rPr>
        <w:t>履约保证金。</w:t>
      </w:r>
    </w:p>
    <w:p w14:paraId="48F8A17A">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36.签订合同</w:t>
      </w:r>
    </w:p>
    <w:p w14:paraId="14207130">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bookmarkStart w:id="110" w:name="_40.1投标人接到中标通知书后，按须知前附表规定向采购人出示相关资格证"/>
      <w:bookmarkEnd w:id="110"/>
      <w:r>
        <w:rPr>
          <w:rFonts w:hint="eastAsia" w:ascii="宋体" w:hAnsi="宋体" w:eastAsia="宋体" w:cs="宋体"/>
          <w:b w:val="0"/>
          <w:color w:val="auto"/>
          <w:sz w:val="21"/>
          <w:szCs w:val="21"/>
          <w:highlight w:val="none"/>
        </w:rPr>
        <w:t xml:space="preserve"> </w:t>
      </w:r>
      <w:r>
        <w:rPr>
          <w:rFonts w:hint="eastAsia" w:ascii="宋体" w:hAnsi="宋体" w:eastAsia="宋体" w:cs="宋体"/>
          <w:color w:val="auto"/>
          <w:sz w:val="21"/>
          <w:szCs w:val="21"/>
          <w:highlight w:val="none"/>
        </w:rPr>
        <w:t>36.1签订电子采购合同：中标人领取电子中标通知书后，</w:t>
      </w:r>
      <w:r>
        <w:rPr>
          <w:rFonts w:hint="eastAsia" w:ascii="宋体" w:hAnsi="宋体" w:eastAsia="宋体" w:cs="宋体"/>
          <w:color w:val="auto"/>
          <w:kern w:val="0"/>
          <w:sz w:val="21"/>
          <w:szCs w:val="21"/>
          <w:highlight w:val="none"/>
        </w:rPr>
        <w:t>在</w:t>
      </w:r>
      <w:r>
        <w:rPr>
          <w:rFonts w:hint="eastAsia" w:ascii="宋体" w:hAnsi="宋体" w:eastAsia="宋体" w:cs="宋体"/>
          <w:color w:val="auto"/>
          <w:kern w:val="0"/>
          <w:sz w:val="21"/>
          <w:szCs w:val="21"/>
          <w:highlight w:val="none"/>
          <w:lang w:val="zh-CN"/>
        </w:rPr>
        <w:t>规定的日期、时间、地点，由法定代表人或其授权代表与采购人代表签订电子采购合同。</w:t>
      </w:r>
    </w:p>
    <w:p w14:paraId="1DE60727">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线下签订纸质合同：投标人领取中标通知书后，按“投标人须知前附表”规定向采购人出示相关证明材料，经采购人核验合格后方可签订合同。</w:t>
      </w:r>
    </w:p>
    <w:p w14:paraId="76CACEE2">
      <w:pPr>
        <w:pStyle w:val="5"/>
        <w:pageBreakBefore w:val="0"/>
        <w:widowControl w:val="0"/>
        <w:numPr>
          <w:ilvl w:val="4"/>
          <w:numId w:val="0"/>
        </w:numPr>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36.2签订合同时间：按中标通知书规定的时间与采购人签订合同。</w:t>
      </w:r>
    </w:p>
    <w:p w14:paraId="550854A9">
      <w:pPr>
        <w:pStyle w:val="5"/>
        <w:pageBreakBefore w:val="0"/>
        <w:widowControl w:val="0"/>
        <w:kinsoku/>
        <w:wordWrap/>
        <w:overflowPunct/>
        <w:topLinePunct w:val="0"/>
        <w:autoSpaceDE/>
        <w:autoSpaceDN/>
        <w:bidi w:val="0"/>
        <w:spacing w:before="0" w:after="0" w:line="360" w:lineRule="exac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36.3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6C9C9B67">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B299D8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36.5采购人或中标供应商不得单方面向合同另一方提出任何</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文件没有约定的条件或不合理的要求，作为签订合同的条件；也不得协商另行订立背离</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文件和合同实质性内容的协议。</w:t>
      </w:r>
    </w:p>
    <w:p w14:paraId="4413904F">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36.6如签订合同并生效后，供应商无故拒绝或延期，除按照合同条款处理外，将承担相应的法律责任。</w:t>
      </w:r>
    </w:p>
    <w:p w14:paraId="4C159454">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36.7政府采购合同履行中，采购人需追加与合同标的相同的货物、工程或者服务的，在不改变合同其他条款的前提下，可以与供应商协商签订补充合同，但所有补充合同的采购金额不得超过原合同采购金额的10%。</w:t>
      </w:r>
    </w:p>
    <w:p w14:paraId="26DA856D">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111" w:name="_41.政府采购合同公告"/>
      <w:bookmarkEnd w:id="111"/>
      <w:r>
        <w:rPr>
          <w:rFonts w:hint="eastAsia" w:ascii="宋体" w:hAnsi="宋体" w:eastAsia="宋体" w:cs="宋体"/>
          <w:color w:val="auto"/>
          <w:sz w:val="21"/>
          <w:szCs w:val="21"/>
          <w:highlight w:val="none"/>
        </w:rPr>
        <w:t>37.政府采购合同公告</w:t>
      </w:r>
    </w:p>
    <w:p w14:paraId="2C19F669">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采购人或者受托采购代理机构应当自政府采购合同签订之日起2个工作日内，将政府采购合同在省级以上人民政府财政部门指定的媒体上公告，但政府采购合同中涉及国家秘密、商业秘密的内容除外。</w:t>
      </w:r>
    </w:p>
    <w:p w14:paraId="21306F0F">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38.询问、质疑和投诉</w:t>
      </w:r>
    </w:p>
    <w:p w14:paraId="46570B76">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38.1供应商对政府采购活动事项有疑问的，可以向采购人提出询问，采购人或者采购代理机构应当在3个工作日内对供应商依法提出的询问作出答复，但答复的内容不得涉及商业秘密。</w:t>
      </w:r>
    </w:p>
    <w:p w14:paraId="279D984C">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38.2供应商认为</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w:t>
      </w:r>
    </w:p>
    <w:p w14:paraId="7EBCF6F2">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（1）对可以质疑的</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文件提出质疑的，为收到</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文件之日或者</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文件公告期限届满之日；</w:t>
      </w:r>
    </w:p>
    <w:p w14:paraId="2946C651">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（2）对采购过程提出质疑的，为各采购程序环节结束之日；</w:t>
      </w:r>
    </w:p>
    <w:p w14:paraId="607B96CC">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（3）对中标结果提出质疑的，为中标结果公告期限届满之日。</w:t>
      </w:r>
    </w:p>
    <w:p w14:paraId="4602DF61">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38.3</w:t>
      </w:r>
      <w:r>
        <w:rPr>
          <w:rFonts w:hint="eastAsia" w:ascii="宋体" w:hAnsi="宋体" w:eastAsia="宋体" w:cs="宋体"/>
          <w:b w:val="0"/>
          <w:bCs/>
          <w:color w:val="auto"/>
          <w:sz w:val="21"/>
          <w:szCs w:val="21"/>
          <w:highlight w:val="none"/>
        </w:rPr>
        <w:t>供应商提出质疑应当提交质疑函和必要的证明材料，针对同一采购程序环节的质疑必须在法定质疑期内一次性提出。质疑函应当包括下列内容（质疑函格式后附）：</w:t>
      </w:r>
    </w:p>
    <w:p w14:paraId="235B2F51">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（1）供应商的姓名或者名称、地址、邮编、联系人及联系电话；</w:t>
      </w:r>
    </w:p>
    <w:p w14:paraId="03762FAD">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（2）质疑项目的名称、编号；</w:t>
      </w:r>
    </w:p>
    <w:p w14:paraId="088D43DB">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（3）具体、明确的质疑事项和与质疑事项相关的请求；</w:t>
      </w:r>
    </w:p>
    <w:p w14:paraId="24B3D14D">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（4）事实依据；</w:t>
      </w:r>
    </w:p>
    <w:p w14:paraId="193A6D8E">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（5）必要的法律依据；</w:t>
      </w:r>
    </w:p>
    <w:p w14:paraId="36C0216E">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（6）提出质疑的日期。</w:t>
      </w:r>
    </w:p>
    <w:p w14:paraId="03D277B7">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供应商为自然人的，应当由本人签字；供应商为法人或者其他组织的，应当由法定代表人、主要负责人，或者其委托代理人签字或者盖章，并加盖公章。</w:t>
      </w:r>
    </w:p>
    <w:p w14:paraId="4E81EFFA">
      <w:pPr>
        <w:pStyle w:val="5"/>
        <w:pageBreakBefore w:val="0"/>
        <w:widowControl w:val="0"/>
        <w:kinsoku/>
        <w:wordWrap/>
        <w:overflowPunct/>
        <w:topLinePunct w:val="0"/>
        <w:autoSpaceDE/>
        <w:autoSpaceDN/>
        <w:bidi w:val="0"/>
        <w:snapToGrid w:val="0"/>
        <w:spacing w:before="0" w:after="0" w:line="3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color w:val="auto"/>
          <w:sz w:val="21"/>
          <w:szCs w:val="21"/>
          <w:highlight w:val="none"/>
        </w:rPr>
        <w:t>3</w:t>
      </w:r>
      <w:r>
        <w:rPr>
          <w:rFonts w:hint="eastAsia" w:ascii="宋体" w:hAnsi="宋体" w:eastAsia="宋体" w:cs="宋体"/>
          <w:b w:val="0"/>
          <w:bCs/>
          <w:color w:val="auto"/>
          <w:sz w:val="21"/>
          <w:szCs w:val="21"/>
          <w:highlight w:val="none"/>
        </w:rPr>
        <w:t>8.4采购人、采购代理机构认为供应商质疑不成立，或者成立但未对中标结果构成影响的，继续开展采购活动；认为供应商质疑成立且影响或者可能影响中标结果的，按照下列情况处理：</w:t>
      </w:r>
    </w:p>
    <w:p w14:paraId="2046FB8B">
      <w:pPr>
        <w:pStyle w:val="10"/>
        <w:pageBreakBefore w:val="0"/>
        <w:widowControl w:val="0"/>
        <w:kinsoku/>
        <w:wordWrap/>
        <w:overflowPunct/>
        <w:topLinePunct w:val="0"/>
        <w:autoSpaceDE/>
        <w:autoSpaceDN/>
        <w:bidi w:val="0"/>
        <w:snapToGrid w:val="0"/>
        <w:spacing w:line="36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（一）对</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文件提出的质疑，依法通过澄清或者修改可以继续开展采购活动的，澄清或者修改</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文件后继续开展采购活动；否则应当修改</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文件后重新开展采购活动。</w:t>
      </w:r>
    </w:p>
    <w:p w14:paraId="5216A957">
      <w:pPr>
        <w:pStyle w:val="10"/>
        <w:pageBreakBefore w:val="0"/>
        <w:widowControl w:val="0"/>
        <w:kinsoku/>
        <w:wordWrap/>
        <w:overflowPunct/>
        <w:topLinePunct w:val="0"/>
        <w:autoSpaceDE/>
        <w:autoSpaceDN/>
        <w:bidi w:val="0"/>
        <w:snapToGrid w:val="0"/>
        <w:spacing w:line="36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（二）对采购过程、中标结果提出的质疑，合格供应商符合法定数量时，可以从合格的中标候选人中另行确定中标供应商的，应当依法另行确定中标供应商；否则应当重新开展采购活动。</w:t>
      </w:r>
    </w:p>
    <w:p w14:paraId="5A0B7847">
      <w:pPr>
        <w:pStyle w:val="10"/>
        <w:pageBreakBefore w:val="0"/>
        <w:widowControl w:val="0"/>
        <w:kinsoku/>
        <w:wordWrap/>
        <w:overflowPunct/>
        <w:topLinePunct w:val="0"/>
        <w:autoSpaceDE/>
        <w:autoSpaceDN/>
        <w:bidi w:val="0"/>
        <w:snapToGrid w:val="0"/>
        <w:spacing w:line="360" w:lineRule="exact"/>
        <w:ind w:firstLine="42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质疑答复导致中标结果改变的，采购人或者采购代理机构应当将有关情况书面报告本级财政部门。</w:t>
      </w:r>
    </w:p>
    <w:p w14:paraId="18543A6D">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D6872A3">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八、其他事项</w:t>
      </w:r>
    </w:p>
    <w:p w14:paraId="782B488C">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112" w:name="_42.代理服务费"/>
      <w:bookmarkEnd w:id="112"/>
      <w:r>
        <w:rPr>
          <w:rFonts w:hint="eastAsia" w:ascii="宋体" w:hAnsi="宋体" w:eastAsia="宋体" w:cs="宋体"/>
          <w:color w:val="000000" w:themeColor="text1"/>
          <w:sz w:val="21"/>
          <w:szCs w:val="21"/>
          <w:highlight w:val="none"/>
          <w14:textFill>
            <w14:solidFill>
              <w14:schemeClr w14:val="tx1"/>
            </w14:solidFill>
          </w14:textFill>
        </w:rPr>
        <w:t>39.代理服务费</w:t>
      </w:r>
    </w:p>
    <w:p w14:paraId="59181182">
      <w:pPr>
        <w:pStyle w:val="6"/>
        <w:pageBreakBefore w:val="0"/>
        <w:widowControl w:val="0"/>
        <w:kinsoku/>
        <w:wordWrap/>
        <w:overflowPunct/>
        <w:topLinePunct w:val="0"/>
        <w:autoSpaceDE/>
        <w:autoSpaceDN/>
        <w:bidi w:val="0"/>
        <w:spacing w:line="360" w:lineRule="exact"/>
        <w:textAlignment w:val="auto"/>
        <w:rPr>
          <w:rFonts w:hint="default" w:eastAsia="宋体"/>
          <w:color w:val="000000" w:themeColor="text1"/>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本项目不收取代理服务费</w:t>
      </w:r>
    </w:p>
    <w:p w14:paraId="6C4CA920">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40.需要补充的其他内容</w:t>
      </w:r>
    </w:p>
    <w:p w14:paraId="0532EDA4">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40.1本</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文件解释规则详见“投标人须知前附表”。</w:t>
      </w:r>
    </w:p>
    <w:p w14:paraId="1C022626">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40.2其他事项详见“投标人须知前附表”。</w:t>
      </w:r>
    </w:p>
    <w:p w14:paraId="72B75168">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40.3</w:t>
      </w:r>
      <w:bookmarkStart w:id="113" w:name="_Hlk65857140"/>
      <w:r>
        <w:rPr>
          <w:rFonts w:hint="eastAsia" w:ascii="宋体" w:hAnsi="宋体" w:eastAsia="宋体" w:cs="宋体"/>
          <w:color w:val="000000" w:themeColor="text1"/>
          <w:sz w:val="21"/>
          <w:szCs w:val="21"/>
          <w:highlight w:val="none"/>
          <w14:textFill>
            <w14:solidFill>
              <w14:schemeClr w14:val="tx1"/>
            </w14:solidFill>
          </w14:textFill>
        </w:rPr>
        <w:t>本</w:t>
      </w:r>
      <w:r>
        <w:rPr>
          <w:rFonts w:hint="eastAsia" w:hAnsi="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文件所称</w:t>
      </w:r>
      <w:r>
        <w:rPr>
          <w:rFonts w:hint="eastAsia" w:hAnsi="宋体" w:cs="宋体"/>
          <w:color w:val="000000" w:themeColor="text1"/>
          <w:sz w:val="21"/>
          <w:szCs w:val="21"/>
          <w:highlight w:val="none"/>
          <w:lang w:val="en-US" w:eastAsia="zh-CN"/>
          <w14:textFill>
            <w14:solidFill>
              <w14:schemeClr w14:val="tx1"/>
            </w14:solidFill>
          </w14:textFill>
        </w:rPr>
        <w:t>中小</w:t>
      </w:r>
      <w:r>
        <w:rPr>
          <w:rFonts w:hint="eastAsia" w:ascii="宋体" w:hAnsi="宋体" w:eastAsia="宋体" w:cs="宋体"/>
          <w:color w:val="000000" w:themeColor="text1"/>
          <w:sz w:val="21"/>
          <w:szCs w:val="21"/>
          <w:highlight w:val="none"/>
          <w14:textFill>
            <w14:solidFill>
              <w14:schemeClr w14:val="tx1"/>
            </w14:solidFill>
          </w14:textFill>
        </w:rPr>
        <w:t>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w:t>
      </w:r>
      <w:r>
        <w:rPr>
          <w:rFonts w:hint="eastAsia" w:hAnsi="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文件规定的中小企业扶持政策：</w:t>
      </w:r>
    </w:p>
    <w:p w14:paraId="28546A32">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51908E47">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（2）在工程采购项目中，工程由中小企业承建，即工程施工单位为中小企业，不对其中涉及的货物的制造商和服务的承接商作出要求；</w:t>
      </w:r>
    </w:p>
    <w:p w14:paraId="730E388C">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0B483082">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在货物采购项目中，供应商提供的货物既有中小企业制造货物，也有大型企业制造货物的，不享受本</w:t>
      </w:r>
      <w:r>
        <w:rPr>
          <w:rFonts w:hint="eastAsia" w:ascii="宋体" w:hAnsi="宋体" w:eastAsia="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文件规定的中小企业扶持政策。</w:t>
      </w:r>
    </w:p>
    <w:p w14:paraId="786F9A73">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依据本</w:t>
      </w:r>
      <w:r>
        <w:rPr>
          <w:rFonts w:hint="eastAsia" w:ascii="宋体" w:hAnsi="宋体" w:eastAsia="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文件规定享受扶持政策获得政府采购合同的，小微企业不得将合同分包给大中型企业，中型企业不得将合同分包给大型企业。</w:t>
      </w:r>
      <w:bookmarkEnd w:id="113"/>
    </w:p>
    <w:p w14:paraId="09F3E1A3">
      <w:p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br w:type="page"/>
      </w:r>
    </w:p>
    <w:p w14:paraId="2BAC1D75">
      <w:pPr>
        <w:pageBreakBefore w:val="0"/>
        <w:kinsoku/>
        <w:overflowPunct/>
        <w:topLinePunct w:val="0"/>
        <w:bidi w:val="0"/>
        <w:snapToGrid w:val="0"/>
        <w:spacing w:line="240" w:lineRule="auto"/>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附件1：</w:t>
      </w:r>
    </w:p>
    <w:p w14:paraId="574BD13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广西壮族自治区政府采购项目合同验收书（格式）</w:t>
      </w:r>
    </w:p>
    <w:p w14:paraId="52E195B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p>
    <w:p w14:paraId="36510E2D">
      <w:pPr>
        <w:pageBreakBefore w:val="0"/>
        <w:widowControl/>
        <w:kinsoku/>
        <w:overflowPunct/>
        <w:topLinePunct w:val="0"/>
        <w:bidi w:val="0"/>
        <w:snapToGrid w:val="0"/>
        <w:spacing w:line="240" w:lineRule="auto"/>
        <w:ind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根据政府采购项目（</w:t>
      </w:r>
      <w:r>
        <w:rPr>
          <w:rFonts w:hint="eastAsia" w:ascii="宋体" w:hAnsi="宋体" w:eastAsia="宋体" w:cs="宋体"/>
          <w:color w:val="auto"/>
          <w:kern w:val="0"/>
          <w:sz w:val="21"/>
          <w:szCs w:val="21"/>
          <w:highlight w:val="none"/>
          <w:u w:val="single"/>
        </w:rPr>
        <w:t xml:space="preserve">采购合同编号： </w:t>
      </w:r>
      <w:r>
        <w:rPr>
          <w:rFonts w:hint="eastAsia" w:ascii="宋体" w:hAnsi="宋体" w:eastAsia="宋体" w:cs="宋体"/>
          <w:color w:val="auto"/>
          <w:kern w:val="0"/>
          <w:sz w:val="21"/>
          <w:szCs w:val="21"/>
          <w:highlight w:val="none"/>
        </w:rPr>
        <w:t>）的约定，我单位对（</w:t>
      </w:r>
      <w:r>
        <w:rPr>
          <w:rFonts w:hint="eastAsia" w:ascii="宋体" w:hAnsi="宋体" w:eastAsia="宋体" w:cs="宋体"/>
          <w:color w:val="auto"/>
          <w:kern w:val="0"/>
          <w:sz w:val="21"/>
          <w:szCs w:val="21"/>
          <w:highlight w:val="none"/>
          <w:u w:val="single"/>
        </w:rPr>
        <w:t xml:space="preserve"> 项目名称 </w:t>
      </w:r>
      <w:r>
        <w:rPr>
          <w:rFonts w:hint="eastAsia" w:ascii="宋体" w:hAnsi="宋体" w:eastAsia="宋体" w:cs="宋体"/>
          <w:color w:val="auto"/>
          <w:kern w:val="0"/>
          <w:sz w:val="21"/>
          <w:szCs w:val="21"/>
          <w:highlight w:val="none"/>
        </w:rPr>
        <w:t>） 政府采购项目中标人（</w:t>
      </w:r>
      <w:r>
        <w:rPr>
          <w:rFonts w:hint="eastAsia" w:ascii="宋体" w:hAnsi="宋体" w:eastAsia="宋体" w:cs="宋体"/>
          <w:color w:val="auto"/>
          <w:kern w:val="0"/>
          <w:sz w:val="21"/>
          <w:szCs w:val="21"/>
          <w:highlight w:val="none"/>
          <w:u w:val="single"/>
        </w:rPr>
        <w:t xml:space="preserve"> 公司名称 </w:t>
      </w:r>
      <w:r>
        <w:rPr>
          <w:rFonts w:hint="eastAsia" w:ascii="宋体" w:hAnsi="宋体" w:eastAsia="宋体" w:cs="宋体"/>
          <w:color w:val="auto"/>
          <w:kern w:val="0"/>
          <w:sz w:val="21"/>
          <w:szCs w:val="21"/>
          <w:highlight w:val="none"/>
        </w:rPr>
        <w:t>） 提供的货物（或者工程、服务）进行了验收，验收情况如下：</w:t>
      </w:r>
    </w:p>
    <w:tbl>
      <w:tblPr>
        <w:tblStyle w:val="18"/>
        <w:tblW w:w="8951" w:type="dxa"/>
        <w:jc w:val="center"/>
        <w:tblLayout w:type="fixed"/>
        <w:tblCellMar>
          <w:top w:w="0" w:type="dxa"/>
          <w:left w:w="0" w:type="dxa"/>
          <w:bottom w:w="0" w:type="dxa"/>
          <w:right w:w="0" w:type="dxa"/>
        </w:tblCellMar>
      </w:tblPr>
      <w:tblGrid>
        <w:gridCol w:w="804"/>
        <w:gridCol w:w="825"/>
        <w:gridCol w:w="1623"/>
        <w:gridCol w:w="798"/>
        <w:gridCol w:w="102"/>
        <w:gridCol w:w="2002"/>
        <w:gridCol w:w="178"/>
        <w:gridCol w:w="1191"/>
        <w:gridCol w:w="1428"/>
      </w:tblGrid>
      <w:tr w14:paraId="35366142">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2DF871B2">
            <w:pPr>
              <w:pageBreakBefore w:val="0"/>
              <w:widowControl/>
              <w:kinsoku/>
              <w:overflowPunct/>
              <w:topLinePunct w:val="0"/>
              <w:bidi w:val="0"/>
              <w:snapToGrid w:val="0"/>
              <w:spacing w:before="100" w:beforeAutospacing="1" w:after="100" w:afterAutospacing="1" w:line="240" w:lineRule="auto"/>
              <w:ind w:firstLine="5"/>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验收方式：</w:t>
            </w:r>
          </w:p>
        </w:tc>
        <w:tc>
          <w:tcPr>
            <w:tcW w:w="5699" w:type="dxa"/>
            <w:gridSpan w:val="6"/>
            <w:tcBorders>
              <w:top w:val="single" w:color="auto" w:sz="8" w:space="0"/>
              <w:left w:val="nil"/>
              <w:bottom w:val="single" w:color="auto" w:sz="8" w:space="0"/>
              <w:right w:val="single" w:color="auto" w:sz="8" w:space="0"/>
            </w:tcBorders>
            <w:vAlign w:val="center"/>
          </w:tcPr>
          <w:p w14:paraId="42AD09D8">
            <w:pPr>
              <w:pageBreakBefore w:val="0"/>
              <w:widowControl/>
              <w:kinsoku/>
              <w:overflowPunct/>
              <w:topLinePunct w:val="0"/>
              <w:bidi w:val="0"/>
              <w:snapToGrid w:val="0"/>
              <w:spacing w:before="100" w:beforeAutospacing="1" w:after="100" w:afterAutospacing="1"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□自行验收 □委托验收</w:t>
            </w:r>
          </w:p>
        </w:tc>
      </w:tr>
      <w:tr w14:paraId="5DAD4FB0">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4365823F">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序号</w:t>
            </w:r>
          </w:p>
        </w:tc>
        <w:tc>
          <w:tcPr>
            <w:tcW w:w="2448" w:type="dxa"/>
            <w:gridSpan w:val="2"/>
            <w:tcBorders>
              <w:top w:val="nil"/>
              <w:left w:val="nil"/>
              <w:bottom w:val="single" w:color="auto" w:sz="8" w:space="0"/>
              <w:right w:val="single" w:color="auto" w:sz="8" w:space="0"/>
            </w:tcBorders>
            <w:vAlign w:val="center"/>
          </w:tcPr>
          <w:p w14:paraId="4772FEA0">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名称</w:t>
            </w:r>
          </w:p>
        </w:tc>
        <w:tc>
          <w:tcPr>
            <w:tcW w:w="2902" w:type="dxa"/>
            <w:gridSpan w:val="3"/>
            <w:tcBorders>
              <w:top w:val="nil"/>
              <w:left w:val="nil"/>
              <w:bottom w:val="single" w:color="auto" w:sz="8" w:space="0"/>
              <w:right w:val="single" w:color="auto" w:sz="8" w:space="0"/>
            </w:tcBorders>
            <w:vAlign w:val="center"/>
          </w:tcPr>
          <w:p w14:paraId="605B4065">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货物型号规格、标准及配置等（或者服务内容、标准）</w:t>
            </w:r>
          </w:p>
        </w:tc>
        <w:tc>
          <w:tcPr>
            <w:tcW w:w="1369" w:type="dxa"/>
            <w:gridSpan w:val="2"/>
            <w:tcBorders>
              <w:top w:val="nil"/>
              <w:left w:val="nil"/>
              <w:bottom w:val="single" w:color="auto" w:sz="8" w:space="0"/>
              <w:right w:val="single" w:color="auto" w:sz="8" w:space="0"/>
            </w:tcBorders>
            <w:vAlign w:val="center"/>
          </w:tcPr>
          <w:p w14:paraId="6E705126">
            <w:pPr>
              <w:pageBreakBefore w:val="0"/>
              <w:widowControl/>
              <w:kinsoku/>
              <w:overflowPunct/>
              <w:topLinePunct w:val="0"/>
              <w:bidi w:val="0"/>
              <w:snapToGrid w:val="0"/>
              <w:spacing w:before="100" w:beforeAutospacing="1" w:after="100" w:afterAutospacing="1"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w:t>
            </w:r>
          </w:p>
        </w:tc>
        <w:tc>
          <w:tcPr>
            <w:tcW w:w="1428" w:type="dxa"/>
            <w:tcBorders>
              <w:top w:val="nil"/>
              <w:left w:val="nil"/>
              <w:bottom w:val="single" w:color="auto" w:sz="8" w:space="0"/>
              <w:right w:val="single" w:color="auto" w:sz="8" w:space="0"/>
            </w:tcBorders>
            <w:vAlign w:val="center"/>
          </w:tcPr>
          <w:p w14:paraId="184ADA37">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金额</w:t>
            </w:r>
          </w:p>
        </w:tc>
      </w:tr>
      <w:tr w14:paraId="2AAAC97D">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49838F01">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48" w:type="dxa"/>
            <w:gridSpan w:val="2"/>
            <w:tcBorders>
              <w:top w:val="nil"/>
              <w:left w:val="nil"/>
              <w:bottom w:val="single" w:color="auto" w:sz="8" w:space="0"/>
              <w:right w:val="single" w:color="auto" w:sz="8" w:space="0"/>
            </w:tcBorders>
            <w:vAlign w:val="center"/>
          </w:tcPr>
          <w:p w14:paraId="5CB839BE">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902" w:type="dxa"/>
            <w:gridSpan w:val="3"/>
            <w:tcBorders>
              <w:top w:val="nil"/>
              <w:left w:val="nil"/>
              <w:bottom w:val="single" w:color="auto" w:sz="8" w:space="0"/>
              <w:right w:val="single" w:color="auto" w:sz="8" w:space="0"/>
            </w:tcBorders>
            <w:vAlign w:val="center"/>
          </w:tcPr>
          <w:p w14:paraId="04B48909">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369" w:type="dxa"/>
            <w:gridSpan w:val="2"/>
            <w:tcBorders>
              <w:top w:val="nil"/>
              <w:left w:val="nil"/>
              <w:bottom w:val="single" w:color="auto" w:sz="8" w:space="0"/>
              <w:right w:val="single" w:color="auto" w:sz="8" w:space="0"/>
            </w:tcBorders>
            <w:vAlign w:val="center"/>
          </w:tcPr>
          <w:p w14:paraId="16204F1D">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466D79E7">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15759D8D">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5B034FAF">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48" w:type="dxa"/>
            <w:gridSpan w:val="2"/>
            <w:tcBorders>
              <w:top w:val="nil"/>
              <w:left w:val="nil"/>
              <w:bottom w:val="single" w:color="auto" w:sz="8" w:space="0"/>
              <w:right w:val="single" w:color="auto" w:sz="8" w:space="0"/>
            </w:tcBorders>
            <w:vAlign w:val="center"/>
          </w:tcPr>
          <w:p w14:paraId="5E1A49D5">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902" w:type="dxa"/>
            <w:gridSpan w:val="3"/>
            <w:tcBorders>
              <w:top w:val="nil"/>
              <w:left w:val="nil"/>
              <w:bottom w:val="single" w:color="auto" w:sz="8" w:space="0"/>
              <w:right w:val="single" w:color="auto" w:sz="8" w:space="0"/>
            </w:tcBorders>
            <w:vAlign w:val="center"/>
          </w:tcPr>
          <w:p w14:paraId="33A97580">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369" w:type="dxa"/>
            <w:gridSpan w:val="2"/>
            <w:tcBorders>
              <w:top w:val="nil"/>
              <w:left w:val="nil"/>
              <w:bottom w:val="single" w:color="auto" w:sz="8" w:space="0"/>
              <w:right w:val="single" w:color="auto" w:sz="8" w:space="0"/>
            </w:tcBorders>
            <w:vAlign w:val="center"/>
          </w:tcPr>
          <w:p w14:paraId="6AAC92D0">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50C3F8A1">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2B77241A">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1DDF774F">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48" w:type="dxa"/>
            <w:gridSpan w:val="2"/>
            <w:tcBorders>
              <w:top w:val="nil"/>
              <w:left w:val="nil"/>
              <w:bottom w:val="single" w:color="auto" w:sz="8" w:space="0"/>
              <w:right w:val="single" w:color="auto" w:sz="8" w:space="0"/>
            </w:tcBorders>
            <w:vAlign w:val="center"/>
          </w:tcPr>
          <w:p w14:paraId="37C5214D">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902" w:type="dxa"/>
            <w:gridSpan w:val="3"/>
            <w:tcBorders>
              <w:top w:val="nil"/>
              <w:left w:val="nil"/>
              <w:bottom w:val="single" w:color="auto" w:sz="8" w:space="0"/>
              <w:right w:val="single" w:color="auto" w:sz="8" w:space="0"/>
            </w:tcBorders>
            <w:vAlign w:val="center"/>
          </w:tcPr>
          <w:p w14:paraId="6C702EA9">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369" w:type="dxa"/>
            <w:gridSpan w:val="2"/>
            <w:tcBorders>
              <w:top w:val="nil"/>
              <w:left w:val="nil"/>
              <w:bottom w:val="single" w:color="auto" w:sz="8" w:space="0"/>
              <w:right w:val="single" w:color="auto" w:sz="8" w:space="0"/>
            </w:tcBorders>
            <w:vAlign w:val="center"/>
          </w:tcPr>
          <w:p w14:paraId="621A501E">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1F319030">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7391169B">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411385A2">
            <w:pPr>
              <w:pageBreakBefore w:val="0"/>
              <w:widowControl/>
              <w:kinsoku/>
              <w:overflowPunct/>
              <w:topLinePunct w:val="0"/>
              <w:bidi w:val="0"/>
              <w:snapToGrid w:val="0"/>
              <w:spacing w:before="100" w:beforeAutospacing="1" w:after="100" w:afterAutospacing="1" w:line="240" w:lineRule="auto"/>
              <w:ind w:firstLine="5"/>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 计</w:t>
            </w:r>
          </w:p>
        </w:tc>
        <w:tc>
          <w:tcPr>
            <w:tcW w:w="1369" w:type="dxa"/>
            <w:gridSpan w:val="2"/>
            <w:tcBorders>
              <w:top w:val="nil"/>
              <w:left w:val="nil"/>
              <w:bottom w:val="single" w:color="auto" w:sz="8" w:space="0"/>
              <w:right w:val="single" w:color="auto" w:sz="8" w:space="0"/>
            </w:tcBorders>
            <w:vAlign w:val="center"/>
          </w:tcPr>
          <w:p w14:paraId="5F00FE4D">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3116ED95">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637F256E">
        <w:tblPrEx>
          <w:tblCellMar>
            <w:top w:w="0" w:type="dxa"/>
            <w:left w:w="0" w:type="dxa"/>
            <w:bottom w:w="0" w:type="dxa"/>
            <w:right w:w="0" w:type="dxa"/>
          </w:tblCellMar>
        </w:tblPrEx>
        <w:trPr>
          <w:trHeight w:val="641" w:hRule="atLeast"/>
          <w:jc w:val="center"/>
        </w:trPr>
        <w:tc>
          <w:tcPr>
            <w:tcW w:w="8951" w:type="dxa"/>
            <w:gridSpan w:val="9"/>
            <w:tcBorders>
              <w:top w:val="nil"/>
              <w:left w:val="single" w:color="auto" w:sz="8" w:space="0"/>
              <w:bottom w:val="single" w:color="auto" w:sz="8" w:space="0"/>
              <w:right w:val="single" w:color="auto" w:sz="8" w:space="0"/>
            </w:tcBorders>
            <w:vAlign w:val="center"/>
          </w:tcPr>
          <w:p w14:paraId="58A64882">
            <w:pPr>
              <w:pageBreakBefore w:val="0"/>
              <w:widowControl/>
              <w:kinsoku/>
              <w:overflowPunct/>
              <w:topLinePunct w:val="0"/>
              <w:bidi w:val="0"/>
              <w:snapToGrid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合计大写金额：  仟  佰  拾  万  仟  佰  拾  元</w:t>
            </w:r>
          </w:p>
        </w:tc>
      </w:tr>
      <w:tr w14:paraId="6F37A0D0">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5E07F58F">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实际供货日期</w:t>
            </w:r>
          </w:p>
        </w:tc>
        <w:tc>
          <w:tcPr>
            <w:tcW w:w="2421" w:type="dxa"/>
            <w:gridSpan w:val="2"/>
            <w:tcBorders>
              <w:top w:val="nil"/>
              <w:left w:val="nil"/>
              <w:bottom w:val="single" w:color="auto" w:sz="8" w:space="0"/>
              <w:right w:val="single" w:color="auto" w:sz="8" w:space="0"/>
            </w:tcBorders>
            <w:vAlign w:val="center"/>
          </w:tcPr>
          <w:p w14:paraId="293BD1A2">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282" w:type="dxa"/>
            <w:gridSpan w:val="3"/>
            <w:tcBorders>
              <w:top w:val="nil"/>
              <w:left w:val="nil"/>
              <w:bottom w:val="single" w:color="auto" w:sz="8" w:space="0"/>
              <w:right w:val="single" w:color="auto" w:sz="8" w:space="0"/>
            </w:tcBorders>
            <w:vAlign w:val="center"/>
          </w:tcPr>
          <w:p w14:paraId="17F91FDB">
            <w:pPr>
              <w:pageBreakBefore w:val="0"/>
              <w:widowControl/>
              <w:kinsoku/>
              <w:overflowPunct/>
              <w:topLinePunct w:val="0"/>
              <w:bidi w:val="0"/>
              <w:snapToGrid w:val="0"/>
              <w:spacing w:before="100" w:beforeAutospacing="1" w:after="100" w:afterAutospacing="1" w:line="240" w:lineRule="auto"/>
              <w:ind w:firstLine="46"/>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合同交货验收日期</w:t>
            </w:r>
          </w:p>
        </w:tc>
        <w:tc>
          <w:tcPr>
            <w:tcW w:w="2619" w:type="dxa"/>
            <w:gridSpan w:val="2"/>
            <w:tcBorders>
              <w:top w:val="nil"/>
              <w:left w:val="nil"/>
              <w:bottom w:val="single" w:color="auto" w:sz="8" w:space="0"/>
              <w:right w:val="single" w:color="auto" w:sz="8" w:space="0"/>
            </w:tcBorders>
            <w:vAlign w:val="center"/>
          </w:tcPr>
          <w:p w14:paraId="6B177C4C">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47CF01F0">
        <w:tblPrEx>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077CB2B1">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21" w:type="dxa"/>
            <w:gridSpan w:val="2"/>
            <w:tcBorders>
              <w:top w:val="nil"/>
              <w:left w:val="nil"/>
              <w:bottom w:val="single" w:color="auto" w:sz="8" w:space="0"/>
              <w:right w:val="single" w:color="auto" w:sz="8" w:space="0"/>
            </w:tcBorders>
            <w:vAlign w:val="center"/>
          </w:tcPr>
          <w:p w14:paraId="1126068E">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282" w:type="dxa"/>
            <w:gridSpan w:val="3"/>
            <w:tcBorders>
              <w:top w:val="nil"/>
              <w:left w:val="nil"/>
              <w:bottom w:val="single" w:color="auto" w:sz="8" w:space="0"/>
              <w:right w:val="single" w:color="auto" w:sz="8" w:space="0"/>
            </w:tcBorders>
            <w:vAlign w:val="center"/>
          </w:tcPr>
          <w:p w14:paraId="26DF1C6B">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619" w:type="dxa"/>
            <w:gridSpan w:val="2"/>
            <w:tcBorders>
              <w:top w:val="nil"/>
              <w:left w:val="nil"/>
              <w:bottom w:val="single" w:color="auto" w:sz="8" w:space="0"/>
              <w:right w:val="single" w:color="auto" w:sz="8" w:space="0"/>
            </w:tcBorders>
            <w:vAlign w:val="center"/>
          </w:tcPr>
          <w:p w14:paraId="5663DE0B">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26574457">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E769E36">
            <w:pPr>
              <w:pageBreakBefore w:val="0"/>
              <w:widowControl/>
              <w:kinsoku/>
              <w:overflowPunct/>
              <w:topLinePunct w:val="0"/>
              <w:bidi w:val="0"/>
              <w:snapToGrid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验收具体内容</w:t>
            </w:r>
          </w:p>
        </w:tc>
        <w:tc>
          <w:tcPr>
            <w:tcW w:w="7322"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4E3FA8D0">
            <w:pPr>
              <w:pageBreakBefore w:val="0"/>
              <w:widowControl/>
              <w:kinsoku/>
              <w:overflowPunct/>
              <w:topLinePunct w:val="0"/>
              <w:bidi w:val="0"/>
              <w:snapToGrid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（应按采购合同、</w:t>
            </w:r>
            <w:r>
              <w:rPr>
                <w:rFonts w:hint="eastAsia" w:ascii="宋体" w:hAnsi="宋体" w:cs="宋体"/>
                <w:color w:val="auto"/>
                <w:kern w:val="0"/>
                <w:sz w:val="21"/>
                <w:szCs w:val="21"/>
                <w:highlight w:val="none"/>
                <w:lang w:eastAsia="zh-CN"/>
              </w:rPr>
              <w:t>采购</w:t>
            </w:r>
            <w:r>
              <w:rPr>
                <w:rFonts w:hint="eastAsia" w:ascii="宋体" w:hAnsi="宋体" w:eastAsia="宋体" w:cs="宋体"/>
                <w:color w:val="auto"/>
                <w:kern w:val="0"/>
                <w:sz w:val="21"/>
                <w:szCs w:val="21"/>
                <w:highlight w:val="none"/>
              </w:rPr>
              <w:t>文件、投标文件及验收方案等进行验收；并核对中标人在安装调试等方面是否违反合同约定或者服务规范要求、提供的质量保证证明材料是否齐全、应有的配件及附件是否达到合同约定等。可附件)</w:t>
            </w:r>
          </w:p>
        </w:tc>
      </w:tr>
      <w:tr w14:paraId="09FE7851">
        <w:tblPrEx>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A656353">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验收小组意见</w:t>
            </w:r>
          </w:p>
        </w:tc>
        <w:tc>
          <w:tcPr>
            <w:tcW w:w="7322" w:type="dxa"/>
            <w:gridSpan w:val="7"/>
            <w:tcBorders>
              <w:top w:val="nil"/>
              <w:left w:val="nil"/>
              <w:bottom w:val="single" w:color="auto" w:sz="8" w:space="0"/>
              <w:right w:val="single" w:color="auto" w:sz="8" w:space="0"/>
            </w:tcBorders>
            <w:vAlign w:val="center"/>
          </w:tcPr>
          <w:p w14:paraId="328F252F">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验收结论性意见：</w:t>
            </w:r>
          </w:p>
        </w:tc>
      </w:tr>
      <w:tr w14:paraId="08D1057D">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423F3893">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7322" w:type="dxa"/>
            <w:gridSpan w:val="7"/>
            <w:tcBorders>
              <w:top w:val="nil"/>
              <w:left w:val="nil"/>
              <w:bottom w:val="single" w:color="auto" w:sz="8" w:space="0"/>
              <w:right w:val="single" w:color="auto" w:sz="8" w:space="0"/>
            </w:tcBorders>
            <w:vAlign w:val="center"/>
          </w:tcPr>
          <w:p w14:paraId="3205B0E9">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有异议的意见和说明理由：</w:t>
            </w:r>
          </w:p>
          <w:p w14:paraId="2824C667">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签字：</w:t>
            </w:r>
          </w:p>
        </w:tc>
      </w:tr>
      <w:tr w14:paraId="00D54DBA">
        <w:tblPrEx>
          <w:tblCellMar>
            <w:top w:w="0" w:type="dxa"/>
            <w:left w:w="0" w:type="dxa"/>
            <w:bottom w:w="0" w:type="dxa"/>
            <w:right w:w="0" w:type="dxa"/>
          </w:tblCellMar>
        </w:tblPrEx>
        <w:trPr>
          <w:trHeight w:val="507" w:hRule="atLeast"/>
          <w:jc w:val="center"/>
        </w:trPr>
        <w:tc>
          <w:tcPr>
            <w:tcW w:w="8951"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75B44A8">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验收小组成员签字：</w:t>
            </w:r>
          </w:p>
        </w:tc>
      </w:tr>
      <w:tr w14:paraId="4951DA1B">
        <w:tblPrEx>
          <w:tblCellMar>
            <w:top w:w="0" w:type="dxa"/>
            <w:left w:w="0" w:type="dxa"/>
            <w:bottom w:w="0" w:type="dxa"/>
            <w:right w:w="0" w:type="dxa"/>
          </w:tblCellMar>
        </w:tblPrEx>
        <w:trPr>
          <w:trHeight w:val="736" w:hRule="atLeast"/>
          <w:jc w:val="center"/>
        </w:trPr>
        <w:tc>
          <w:tcPr>
            <w:tcW w:w="8951"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0835ADA">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监督人员或者其他相关人员签字：</w:t>
            </w:r>
          </w:p>
          <w:p w14:paraId="57571F48">
            <w:pPr>
              <w:pageBreakBefore w:val="0"/>
              <w:widowControl/>
              <w:kinsoku/>
              <w:overflowPunct/>
              <w:topLinePunct w:val="0"/>
              <w:bidi w:val="0"/>
              <w:spacing w:before="100" w:beforeAutospacing="1" w:after="100" w:afterAutospacing="1" w:line="240" w:lineRule="auto"/>
              <w:ind w:firstLine="74"/>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或者受邀机构的意见（盖章）：</w:t>
            </w:r>
          </w:p>
        </w:tc>
      </w:tr>
      <w:tr w14:paraId="2DE192F2">
        <w:tblPrEx>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4B9C495F">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中标人负责人签字或者盖章：</w:t>
            </w:r>
          </w:p>
          <w:p w14:paraId="6D3B76F5">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p>
          <w:p w14:paraId="6EE5D430">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联系电话：                年  月  日</w:t>
            </w:r>
          </w:p>
        </w:tc>
        <w:tc>
          <w:tcPr>
            <w:tcW w:w="4799" w:type="dxa"/>
            <w:gridSpan w:val="4"/>
            <w:tcBorders>
              <w:top w:val="nil"/>
              <w:left w:val="nil"/>
              <w:bottom w:val="single" w:color="auto" w:sz="8" w:space="0"/>
              <w:right w:val="single" w:color="auto" w:sz="8" w:space="0"/>
            </w:tcBorders>
            <w:vAlign w:val="center"/>
          </w:tcPr>
          <w:p w14:paraId="4EE9B95D">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采购人或者受托机构的意见（盖章）：</w:t>
            </w:r>
          </w:p>
          <w:p w14:paraId="7C72E1F6">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p>
          <w:p w14:paraId="5AA64F23">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联系电话：                  年  月  日</w:t>
            </w:r>
          </w:p>
        </w:tc>
      </w:tr>
    </w:tbl>
    <w:p w14:paraId="62FC1B00">
      <w:pPr>
        <w:rPr>
          <w:rFonts w:hint="eastAsia"/>
        </w:rPr>
      </w:pPr>
      <w:r>
        <w:rPr>
          <w:rFonts w:hint="eastAsia"/>
        </w:rPr>
        <w:br w:type="page"/>
      </w:r>
    </w:p>
    <w:p w14:paraId="064263AE">
      <w:pPr>
        <w:pageBreakBefore w:val="0"/>
        <w:kinsoku/>
        <w:overflowPunct/>
        <w:topLinePunct w:val="0"/>
        <w:bidi w:val="0"/>
        <w:snapToGrid w:val="0"/>
        <w:spacing w:line="240" w:lineRule="auto"/>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附件</w:t>
      </w:r>
      <w:r>
        <w:rPr>
          <w:rFonts w:hint="eastAsia" w:ascii="宋体" w:hAnsi="宋体" w:eastAsia="宋体" w:cs="宋体"/>
          <w:bCs/>
          <w:color w:val="auto"/>
          <w:kern w:val="0"/>
          <w:sz w:val="21"/>
          <w:szCs w:val="21"/>
          <w:highlight w:val="none"/>
          <w:lang w:val="en-US" w:eastAsia="zh-CN"/>
        </w:rPr>
        <w:t>2</w:t>
      </w:r>
      <w:r>
        <w:rPr>
          <w:rFonts w:hint="eastAsia" w:ascii="宋体" w:hAnsi="宋体" w:eastAsia="宋体" w:cs="宋体"/>
          <w:bCs/>
          <w:color w:val="auto"/>
          <w:kern w:val="0"/>
          <w:sz w:val="21"/>
          <w:szCs w:val="21"/>
          <w:highlight w:val="none"/>
        </w:rPr>
        <w:t>：</w:t>
      </w:r>
    </w:p>
    <w:p w14:paraId="480C45C4">
      <w:pPr>
        <w:rPr>
          <w:rFonts w:hint="eastAsia"/>
        </w:rPr>
      </w:pPr>
    </w:p>
    <w:p w14:paraId="3ACAA001">
      <w:pPr>
        <w:pageBreakBefore w:val="0"/>
        <w:widowControl/>
        <w:kinsoku/>
        <w:overflowPunct/>
        <w:topLinePunct w:val="0"/>
        <w:bidi w:val="0"/>
        <w:spacing w:before="120" w:beforeLines="50" w:after="120" w:afterLines="50" w:line="240" w:lineRule="auto"/>
        <w:jc w:val="center"/>
        <w:rPr>
          <w:rFonts w:hint="eastAsia" w:ascii="宋体" w:hAnsi="宋体" w:eastAsia="宋体" w:cs="宋体"/>
          <w:b/>
          <w:bCs/>
          <w:color w:val="auto"/>
          <w:kern w:val="0"/>
          <w:sz w:val="21"/>
          <w:szCs w:val="21"/>
          <w:highlight w:val="none"/>
        </w:rPr>
      </w:pPr>
      <w:bookmarkStart w:id="114" w:name="_Toc28361_WPSOffice_Level2"/>
      <w:r>
        <w:rPr>
          <w:rFonts w:hint="eastAsia" w:ascii="宋体" w:hAnsi="宋体" w:eastAsia="宋体" w:cs="宋体"/>
          <w:b/>
          <w:bCs/>
          <w:color w:val="auto"/>
          <w:kern w:val="0"/>
          <w:sz w:val="21"/>
          <w:szCs w:val="21"/>
          <w:highlight w:val="none"/>
        </w:rPr>
        <w:t>大中小微型企业划分标准</w:t>
      </w:r>
      <w:bookmarkEnd w:id="114"/>
    </w:p>
    <w:tbl>
      <w:tblPr>
        <w:tblStyle w:val="18"/>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441"/>
        <w:gridCol w:w="720"/>
        <w:gridCol w:w="1170"/>
        <w:gridCol w:w="1735"/>
        <w:gridCol w:w="1426"/>
        <w:gridCol w:w="992"/>
      </w:tblGrid>
      <w:tr w14:paraId="3A04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951" w:type="dxa"/>
            <w:shd w:val="clear" w:color="auto" w:fill="8DB3E2"/>
            <w:vAlign w:val="center"/>
          </w:tcPr>
          <w:p w14:paraId="3CCA7D3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行业名称</w:t>
            </w:r>
          </w:p>
        </w:tc>
        <w:tc>
          <w:tcPr>
            <w:tcW w:w="1441" w:type="dxa"/>
            <w:shd w:val="clear" w:color="auto" w:fill="8DB3E2"/>
            <w:vAlign w:val="center"/>
          </w:tcPr>
          <w:p w14:paraId="0A73C14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指标名称</w:t>
            </w:r>
          </w:p>
        </w:tc>
        <w:tc>
          <w:tcPr>
            <w:tcW w:w="720" w:type="dxa"/>
            <w:shd w:val="clear" w:color="auto" w:fill="8DB3E2"/>
            <w:vAlign w:val="center"/>
          </w:tcPr>
          <w:p w14:paraId="578CDA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计量</w:t>
            </w:r>
          </w:p>
          <w:p w14:paraId="36FFFA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单位</w:t>
            </w:r>
          </w:p>
        </w:tc>
        <w:tc>
          <w:tcPr>
            <w:tcW w:w="1170" w:type="dxa"/>
            <w:shd w:val="clear" w:color="auto" w:fill="8DB3E2"/>
            <w:vAlign w:val="center"/>
          </w:tcPr>
          <w:p w14:paraId="44C6A61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大型</w:t>
            </w:r>
          </w:p>
        </w:tc>
        <w:tc>
          <w:tcPr>
            <w:tcW w:w="1735" w:type="dxa"/>
            <w:shd w:val="clear" w:color="auto" w:fill="8DB3E2"/>
            <w:vAlign w:val="center"/>
          </w:tcPr>
          <w:p w14:paraId="100114E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中型</w:t>
            </w:r>
          </w:p>
        </w:tc>
        <w:tc>
          <w:tcPr>
            <w:tcW w:w="1426" w:type="dxa"/>
            <w:shd w:val="clear" w:color="auto" w:fill="8DB3E2"/>
            <w:vAlign w:val="center"/>
          </w:tcPr>
          <w:p w14:paraId="2727E5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小型</w:t>
            </w:r>
          </w:p>
        </w:tc>
        <w:tc>
          <w:tcPr>
            <w:tcW w:w="992" w:type="dxa"/>
            <w:shd w:val="clear" w:color="auto" w:fill="8DB3E2"/>
            <w:vAlign w:val="center"/>
          </w:tcPr>
          <w:p w14:paraId="7B9FE2E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微型</w:t>
            </w:r>
          </w:p>
        </w:tc>
      </w:tr>
      <w:tr w14:paraId="7E86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Align w:val="center"/>
          </w:tcPr>
          <w:p w14:paraId="285AA6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农、林、牧、渔业</w:t>
            </w:r>
          </w:p>
        </w:tc>
        <w:tc>
          <w:tcPr>
            <w:tcW w:w="1441" w:type="dxa"/>
            <w:vAlign w:val="center"/>
          </w:tcPr>
          <w:p w14:paraId="2F69D8F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13DBC6E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659377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35" w:type="dxa"/>
            <w:vAlign w:val="center"/>
          </w:tcPr>
          <w:p w14:paraId="1F8DB76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500≤Y＜20000</w:t>
            </w:r>
          </w:p>
        </w:tc>
        <w:tc>
          <w:tcPr>
            <w:tcW w:w="1426" w:type="dxa"/>
            <w:vAlign w:val="center"/>
          </w:tcPr>
          <w:p w14:paraId="4DE5817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50≤Y＜500</w:t>
            </w:r>
          </w:p>
        </w:tc>
        <w:tc>
          <w:tcPr>
            <w:tcW w:w="992" w:type="dxa"/>
            <w:vAlign w:val="center"/>
          </w:tcPr>
          <w:p w14:paraId="6BFE21D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52252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07464CC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 *</w:t>
            </w:r>
          </w:p>
        </w:tc>
        <w:tc>
          <w:tcPr>
            <w:tcW w:w="1441" w:type="dxa"/>
            <w:vAlign w:val="center"/>
          </w:tcPr>
          <w:p w14:paraId="17A7773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7C7370A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0A29E0B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35" w:type="dxa"/>
            <w:vAlign w:val="center"/>
          </w:tcPr>
          <w:p w14:paraId="3E7153C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vAlign w:val="center"/>
          </w:tcPr>
          <w:p w14:paraId="51DD6C4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992" w:type="dxa"/>
            <w:vAlign w:val="center"/>
          </w:tcPr>
          <w:p w14:paraId="1995171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03DB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0C5A743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620B403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A36478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6D0565E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35" w:type="dxa"/>
            <w:vAlign w:val="center"/>
          </w:tcPr>
          <w:p w14:paraId="7AAF12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2000≤Y＜40000</w:t>
            </w:r>
          </w:p>
        </w:tc>
        <w:tc>
          <w:tcPr>
            <w:tcW w:w="1426" w:type="dxa"/>
            <w:vAlign w:val="center"/>
          </w:tcPr>
          <w:p w14:paraId="5FCFDF1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300≤Y＜2000</w:t>
            </w:r>
          </w:p>
        </w:tc>
        <w:tc>
          <w:tcPr>
            <w:tcW w:w="992" w:type="dxa"/>
            <w:vAlign w:val="center"/>
          </w:tcPr>
          <w:p w14:paraId="73F2B1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1B0A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140409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建筑业</w:t>
            </w:r>
          </w:p>
        </w:tc>
        <w:tc>
          <w:tcPr>
            <w:tcW w:w="1441" w:type="dxa"/>
            <w:vAlign w:val="center"/>
          </w:tcPr>
          <w:p w14:paraId="78B570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0240AEB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1E0FB7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Y≥80000</w:t>
            </w:r>
          </w:p>
        </w:tc>
        <w:tc>
          <w:tcPr>
            <w:tcW w:w="1735" w:type="dxa"/>
            <w:vAlign w:val="center"/>
          </w:tcPr>
          <w:p w14:paraId="0946859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6000≤Y＜80000</w:t>
            </w:r>
          </w:p>
        </w:tc>
        <w:tc>
          <w:tcPr>
            <w:tcW w:w="1426" w:type="dxa"/>
            <w:vAlign w:val="center"/>
          </w:tcPr>
          <w:p w14:paraId="5B9A15E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300≤Y＜6000</w:t>
            </w:r>
          </w:p>
        </w:tc>
        <w:tc>
          <w:tcPr>
            <w:tcW w:w="992" w:type="dxa"/>
            <w:vAlign w:val="center"/>
          </w:tcPr>
          <w:p w14:paraId="06EB3AD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1D7A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20F3005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534D2B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720" w:type="dxa"/>
            <w:vAlign w:val="center"/>
          </w:tcPr>
          <w:p w14:paraId="03FABF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00242F6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Z≥80000</w:t>
            </w:r>
          </w:p>
        </w:tc>
        <w:tc>
          <w:tcPr>
            <w:tcW w:w="1735" w:type="dxa"/>
            <w:vAlign w:val="center"/>
          </w:tcPr>
          <w:p w14:paraId="0A4C971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5000≤Z＜80000</w:t>
            </w:r>
          </w:p>
        </w:tc>
        <w:tc>
          <w:tcPr>
            <w:tcW w:w="1426" w:type="dxa"/>
            <w:vAlign w:val="center"/>
          </w:tcPr>
          <w:p w14:paraId="129B82A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300≤Z＜5000</w:t>
            </w:r>
          </w:p>
        </w:tc>
        <w:tc>
          <w:tcPr>
            <w:tcW w:w="992" w:type="dxa"/>
            <w:vAlign w:val="center"/>
          </w:tcPr>
          <w:p w14:paraId="28F3ACF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Z＜300</w:t>
            </w:r>
          </w:p>
        </w:tc>
      </w:tr>
      <w:tr w14:paraId="6A05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4A5FDE7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批发业</w:t>
            </w:r>
          </w:p>
        </w:tc>
        <w:tc>
          <w:tcPr>
            <w:tcW w:w="1441" w:type="dxa"/>
            <w:vAlign w:val="center"/>
          </w:tcPr>
          <w:p w14:paraId="0ECBEB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3B996CE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2ACF83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35" w:type="dxa"/>
            <w:vAlign w:val="center"/>
          </w:tcPr>
          <w:p w14:paraId="1A39AA2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20≤X＜200</w:t>
            </w:r>
          </w:p>
        </w:tc>
        <w:tc>
          <w:tcPr>
            <w:tcW w:w="1426" w:type="dxa"/>
            <w:vAlign w:val="center"/>
          </w:tcPr>
          <w:p w14:paraId="1F4F040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5≤X＜20</w:t>
            </w:r>
          </w:p>
        </w:tc>
        <w:tc>
          <w:tcPr>
            <w:tcW w:w="992" w:type="dxa"/>
            <w:vAlign w:val="center"/>
          </w:tcPr>
          <w:p w14:paraId="3F470D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X＜5</w:t>
            </w:r>
          </w:p>
        </w:tc>
      </w:tr>
      <w:tr w14:paraId="3878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7CD9D0F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047C6F2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61ABF8D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63B0BD8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35" w:type="dxa"/>
            <w:vAlign w:val="center"/>
          </w:tcPr>
          <w:p w14:paraId="7F7A03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5000≤Y＜40000</w:t>
            </w:r>
          </w:p>
        </w:tc>
        <w:tc>
          <w:tcPr>
            <w:tcW w:w="1426" w:type="dxa"/>
            <w:vAlign w:val="center"/>
          </w:tcPr>
          <w:p w14:paraId="5D1FF23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1000≤Y＜5000</w:t>
            </w:r>
          </w:p>
        </w:tc>
        <w:tc>
          <w:tcPr>
            <w:tcW w:w="992" w:type="dxa"/>
            <w:vAlign w:val="center"/>
          </w:tcPr>
          <w:p w14:paraId="1B13035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w:t>
            </w:r>
          </w:p>
        </w:tc>
      </w:tr>
      <w:tr w14:paraId="5D3C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52A57B2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零售业</w:t>
            </w:r>
          </w:p>
        </w:tc>
        <w:tc>
          <w:tcPr>
            <w:tcW w:w="1441" w:type="dxa"/>
            <w:vAlign w:val="center"/>
          </w:tcPr>
          <w:p w14:paraId="71F4A6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1FDBB5F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021B74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4469EF1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50≤X＜300</w:t>
            </w:r>
          </w:p>
        </w:tc>
        <w:tc>
          <w:tcPr>
            <w:tcW w:w="1426" w:type="dxa"/>
            <w:vAlign w:val="center"/>
          </w:tcPr>
          <w:p w14:paraId="6082DFA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10≤X＜50 </w:t>
            </w:r>
          </w:p>
        </w:tc>
        <w:tc>
          <w:tcPr>
            <w:tcW w:w="992" w:type="dxa"/>
            <w:vAlign w:val="center"/>
          </w:tcPr>
          <w:p w14:paraId="021BA5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50CE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5454A88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246B721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302819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8A89F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35" w:type="dxa"/>
            <w:vAlign w:val="center"/>
          </w:tcPr>
          <w:p w14:paraId="67B375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500≤Y＜20000</w:t>
            </w:r>
          </w:p>
        </w:tc>
        <w:tc>
          <w:tcPr>
            <w:tcW w:w="1426" w:type="dxa"/>
            <w:vAlign w:val="center"/>
          </w:tcPr>
          <w:p w14:paraId="05DA941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100≤Y＜500</w:t>
            </w:r>
          </w:p>
        </w:tc>
        <w:tc>
          <w:tcPr>
            <w:tcW w:w="992" w:type="dxa"/>
            <w:vAlign w:val="center"/>
          </w:tcPr>
          <w:p w14:paraId="10532AB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65EA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459FA2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交通运输业 *</w:t>
            </w:r>
          </w:p>
        </w:tc>
        <w:tc>
          <w:tcPr>
            <w:tcW w:w="1441" w:type="dxa"/>
            <w:vAlign w:val="center"/>
          </w:tcPr>
          <w:p w14:paraId="2A2674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7ADC30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23F6929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35" w:type="dxa"/>
            <w:vAlign w:val="center"/>
          </w:tcPr>
          <w:p w14:paraId="070C4AB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vAlign w:val="center"/>
          </w:tcPr>
          <w:p w14:paraId="1066A9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992" w:type="dxa"/>
            <w:vAlign w:val="center"/>
          </w:tcPr>
          <w:p w14:paraId="4D12260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1469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0AAF978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47B6686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BF7B43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320AB1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35" w:type="dxa"/>
            <w:vAlign w:val="center"/>
          </w:tcPr>
          <w:p w14:paraId="2D04284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3000≤Y＜30000</w:t>
            </w:r>
          </w:p>
        </w:tc>
        <w:tc>
          <w:tcPr>
            <w:tcW w:w="1426" w:type="dxa"/>
            <w:vAlign w:val="center"/>
          </w:tcPr>
          <w:p w14:paraId="63532B7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200≤Y＜3000</w:t>
            </w:r>
          </w:p>
        </w:tc>
        <w:tc>
          <w:tcPr>
            <w:tcW w:w="992" w:type="dxa"/>
            <w:vAlign w:val="center"/>
          </w:tcPr>
          <w:p w14:paraId="4F4F711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w:t>
            </w:r>
          </w:p>
        </w:tc>
      </w:tr>
      <w:tr w14:paraId="5EF5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00AC11B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仓储业*</w:t>
            </w:r>
          </w:p>
        </w:tc>
        <w:tc>
          <w:tcPr>
            <w:tcW w:w="1441" w:type="dxa"/>
            <w:vAlign w:val="center"/>
          </w:tcPr>
          <w:p w14:paraId="6E01A6B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37735F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613225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35" w:type="dxa"/>
            <w:vAlign w:val="center"/>
          </w:tcPr>
          <w:p w14:paraId="5275E18A">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w:t>
            </w:r>
          </w:p>
        </w:tc>
        <w:tc>
          <w:tcPr>
            <w:tcW w:w="1426" w:type="dxa"/>
            <w:vAlign w:val="center"/>
          </w:tcPr>
          <w:p w14:paraId="3E9A5D5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20≤X＜100</w:t>
            </w:r>
          </w:p>
        </w:tc>
        <w:tc>
          <w:tcPr>
            <w:tcW w:w="992" w:type="dxa"/>
            <w:vAlign w:val="center"/>
          </w:tcPr>
          <w:p w14:paraId="0C6011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6FAB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2E01E3F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04823E2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64BF990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F58209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35" w:type="dxa"/>
            <w:vAlign w:val="center"/>
          </w:tcPr>
          <w:p w14:paraId="5EF78F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1000≤Y＜30000</w:t>
            </w:r>
          </w:p>
        </w:tc>
        <w:tc>
          <w:tcPr>
            <w:tcW w:w="1426" w:type="dxa"/>
            <w:vAlign w:val="center"/>
          </w:tcPr>
          <w:p w14:paraId="7340BB8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992" w:type="dxa"/>
            <w:vAlign w:val="center"/>
          </w:tcPr>
          <w:p w14:paraId="59AF45B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32AE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17B1B0A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邮政业</w:t>
            </w:r>
          </w:p>
        </w:tc>
        <w:tc>
          <w:tcPr>
            <w:tcW w:w="1441" w:type="dxa"/>
            <w:vAlign w:val="center"/>
          </w:tcPr>
          <w:p w14:paraId="2E05359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65269CD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4E2AAC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35" w:type="dxa"/>
            <w:vAlign w:val="center"/>
          </w:tcPr>
          <w:p w14:paraId="4FED593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vAlign w:val="center"/>
          </w:tcPr>
          <w:p w14:paraId="0552B1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992" w:type="dxa"/>
            <w:vAlign w:val="center"/>
          </w:tcPr>
          <w:p w14:paraId="5A8628B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6CBE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725AA7C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5E9678E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5F75950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5D89775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35" w:type="dxa"/>
            <w:vAlign w:val="center"/>
          </w:tcPr>
          <w:p w14:paraId="22B701B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2000≤Y＜30000</w:t>
            </w:r>
          </w:p>
        </w:tc>
        <w:tc>
          <w:tcPr>
            <w:tcW w:w="1426" w:type="dxa"/>
            <w:vAlign w:val="center"/>
          </w:tcPr>
          <w:p w14:paraId="2E89F9E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992" w:type="dxa"/>
            <w:vAlign w:val="center"/>
          </w:tcPr>
          <w:p w14:paraId="77FC05F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4973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20E7033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住宿业</w:t>
            </w:r>
          </w:p>
        </w:tc>
        <w:tc>
          <w:tcPr>
            <w:tcW w:w="1441" w:type="dxa"/>
            <w:vAlign w:val="center"/>
          </w:tcPr>
          <w:p w14:paraId="2B07066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031C1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2A1B4C0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75FA66B4">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vAlign w:val="center"/>
          </w:tcPr>
          <w:p w14:paraId="332D6B7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2B43C3D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6080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2E7099B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0FD8205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46C65A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165C2CF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35" w:type="dxa"/>
            <w:vAlign w:val="center"/>
          </w:tcPr>
          <w:p w14:paraId="1949EFF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426" w:type="dxa"/>
            <w:vAlign w:val="center"/>
          </w:tcPr>
          <w:p w14:paraId="30026F8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992" w:type="dxa"/>
            <w:vAlign w:val="center"/>
          </w:tcPr>
          <w:p w14:paraId="3586DEF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48A2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05BD1EA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餐饮业</w:t>
            </w:r>
          </w:p>
        </w:tc>
        <w:tc>
          <w:tcPr>
            <w:tcW w:w="1441" w:type="dxa"/>
            <w:vAlign w:val="center"/>
          </w:tcPr>
          <w:p w14:paraId="7E5E99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18FBD90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0F93EF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5A191D1D">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426" w:type="dxa"/>
            <w:vAlign w:val="center"/>
          </w:tcPr>
          <w:p w14:paraId="26870D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6037FD5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5B73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1BADE1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4A1E9BA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25B6B3C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39B3449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35" w:type="dxa"/>
            <w:vAlign w:val="center"/>
          </w:tcPr>
          <w:p w14:paraId="20A0590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426" w:type="dxa"/>
            <w:vAlign w:val="center"/>
          </w:tcPr>
          <w:p w14:paraId="55B138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992" w:type="dxa"/>
            <w:vAlign w:val="center"/>
          </w:tcPr>
          <w:p w14:paraId="777C272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1081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7946C8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信息传输业*</w:t>
            </w:r>
          </w:p>
        </w:tc>
        <w:tc>
          <w:tcPr>
            <w:tcW w:w="1441" w:type="dxa"/>
            <w:vAlign w:val="center"/>
          </w:tcPr>
          <w:p w14:paraId="65031C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42822A7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7485B1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X≥2000</w:t>
            </w:r>
          </w:p>
        </w:tc>
        <w:tc>
          <w:tcPr>
            <w:tcW w:w="1735" w:type="dxa"/>
            <w:vAlign w:val="center"/>
          </w:tcPr>
          <w:p w14:paraId="578D2D5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100≤X＜2000</w:t>
            </w:r>
          </w:p>
        </w:tc>
        <w:tc>
          <w:tcPr>
            <w:tcW w:w="1426" w:type="dxa"/>
            <w:vAlign w:val="center"/>
          </w:tcPr>
          <w:p w14:paraId="657A8F7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7CC9489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55C5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58F1F16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1A5549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4D17B4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EDCEB9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Y≥100000</w:t>
            </w:r>
          </w:p>
        </w:tc>
        <w:tc>
          <w:tcPr>
            <w:tcW w:w="1735" w:type="dxa"/>
            <w:vAlign w:val="center"/>
          </w:tcPr>
          <w:p w14:paraId="5A64EBD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1000≤Y＜100000</w:t>
            </w:r>
          </w:p>
        </w:tc>
        <w:tc>
          <w:tcPr>
            <w:tcW w:w="1426" w:type="dxa"/>
            <w:vAlign w:val="center"/>
          </w:tcPr>
          <w:p w14:paraId="64827C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992" w:type="dxa"/>
            <w:vAlign w:val="center"/>
          </w:tcPr>
          <w:p w14:paraId="3AD788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1FE9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4C6E82B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2"/>
                <w:kern w:val="0"/>
                <w:sz w:val="21"/>
                <w:szCs w:val="21"/>
                <w:highlight w:val="none"/>
              </w:rPr>
            </w:pPr>
            <w:r>
              <w:rPr>
                <w:rFonts w:hint="eastAsia" w:ascii="宋体" w:hAnsi="宋体" w:eastAsia="宋体" w:cs="宋体"/>
                <w:color w:val="auto"/>
                <w:spacing w:val="-12"/>
                <w:kern w:val="0"/>
                <w:sz w:val="21"/>
                <w:szCs w:val="21"/>
                <w:highlight w:val="none"/>
              </w:rPr>
              <w:t>软件和信息技术服</w:t>
            </w:r>
            <w:r>
              <w:rPr>
                <w:rFonts w:hint="eastAsia" w:ascii="宋体" w:hAnsi="宋体" w:eastAsia="宋体" w:cs="宋体"/>
                <w:color w:val="auto"/>
                <w:kern w:val="0"/>
                <w:sz w:val="21"/>
                <w:szCs w:val="21"/>
                <w:highlight w:val="none"/>
              </w:rPr>
              <w:t>务业</w:t>
            </w:r>
          </w:p>
        </w:tc>
        <w:tc>
          <w:tcPr>
            <w:tcW w:w="1441" w:type="dxa"/>
            <w:vAlign w:val="center"/>
          </w:tcPr>
          <w:p w14:paraId="4B3EBBC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817E6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02DCB09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7A67636A">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426" w:type="dxa"/>
            <w:vAlign w:val="center"/>
          </w:tcPr>
          <w:p w14:paraId="77FD8EE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0397361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2FE8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4D5492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2"/>
                <w:kern w:val="0"/>
                <w:sz w:val="21"/>
                <w:szCs w:val="21"/>
                <w:highlight w:val="none"/>
              </w:rPr>
            </w:pPr>
          </w:p>
        </w:tc>
        <w:tc>
          <w:tcPr>
            <w:tcW w:w="1441" w:type="dxa"/>
            <w:vAlign w:val="center"/>
          </w:tcPr>
          <w:p w14:paraId="610C0B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08DADE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D60D86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35" w:type="dxa"/>
            <w:vAlign w:val="center"/>
          </w:tcPr>
          <w:p w14:paraId="62DCDE2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1000≤Y＜10000</w:t>
            </w:r>
          </w:p>
        </w:tc>
        <w:tc>
          <w:tcPr>
            <w:tcW w:w="1426" w:type="dxa"/>
            <w:vAlign w:val="center"/>
          </w:tcPr>
          <w:p w14:paraId="1565159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50≤Y＜1000</w:t>
            </w:r>
          </w:p>
        </w:tc>
        <w:tc>
          <w:tcPr>
            <w:tcW w:w="992" w:type="dxa"/>
            <w:vAlign w:val="center"/>
          </w:tcPr>
          <w:p w14:paraId="4B103C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28F2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656D2CB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房地产开发经营</w:t>
            </w:r>
          </w:p>
        </w:tc>
        <w:tc>
          <w:tcPr>
            <w:tcW w:w="1441" w:type="dxa"/>
            <w:vAlign w:val="center"/>
          </w:tcPr>
          <w:p w14:paraId="0916C1B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34F97D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31FA95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Y≥200000</w:t>
            </w:r>
          </w:p>
        </w:tc>
        <w:tc>
          <w:tcPr>
            <w:tcW w:w="1735" w:type="dxa"/>
            <w:vAlign w:val="center"/>
          </w:tcPr>
          <w:p w14:paraId="5891F0B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1000≤Y＜200000</w:t>
            </w:r>
          </w:p>
        </w:tc>
        <w:tc>
          <w:tcPr>
            <w:tcW w:w="1426" w:type="dxa"/>
            <w:vAlign w:val="center"/>
          </w:tcPr>
          <w:p w14:paraId="452D519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992" w:type="dxa"/>
            <w:vAlign w:val="center"/>
          </w:tcPr>
          <w:p w14:paraId="774EF97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362E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6A586D2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5D2AAC5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720" w:type="dxa"/>
            <w:vAlign w:val="center"/>
          </w:tcPr>
          <w:p w14:paraId="5417ED1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5F54393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Z≥10000</w:t>
            </w:r>
          </w:p>
        </w:tc>
        <w:tc>
          <w:tcPr>
            <w:tcW w:w="1735" w:type="dxa"/>
            <w:vAlign w:val="center"/>
          </w:tcPr>
          <w:p w14:paraId="67D5E09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5000≤Z＜10000</w:t>
            </w:r>
          </w:p>
        </w:tc>
        <w:tc>
          <w:tcPr>
            <w:tcW w:w="1426" w:type="dxa"/>
            <w:vAlign w:val="center"/>
          </w:tcPr>
          <w:p w14:paraId="2365C0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2000≤Z＜5000</w:t>
            </w:r>
          </w:p>
        </w:tc>
        <w:tc>
          <w:tcPr>
            <w:tcW w:w="992" w:type="dxa"/>
            <w:vAlign w:val="center"/>
          </w:tcPr>
          <w:p w14:paraId="4F8CDF1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Z＜2000</w:t>
            </w:r>
          </w:p>
        </w:tc>
      </w:tr>
      <w:tr w14:paraId="45ED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226ED15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物业管理</w:t>
            </w:r>
          </w:p>
        </w:tc>
        <w:tc>
          <w:tcPr>
            <w:tcW w:w="1441" w:type="dxa"/>
            <w:vAlign w:val="center"/>
          </w:tcPr>
          <w:p w14:paraId="6980233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5A5CB19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57B0D8C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35" w:type="dxa"/>
            <w:vAlign w:val="center"/>
          </w:tcPr>
          <w:p w14:paraId="34266B6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vAlign w:val="center"/>
          </w:tcPr>
          <w:p w14:paraId="39A0C46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992" w:type="dxa"/>
            <w:vAlign w:val="center"/>
          </w:tcPr>
          <w:p w14:paraId="22CF64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w:t>
            </w:r>
          </w:p>
        </w:tc>
      </w:tr>
      <w:tr w14:paraId="27F0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23C0E1A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1C5C933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1F1954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052AA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Y≥5000</w:t>
            </w:r>
          </w:p>
        </w:tc>
        <w:tc>
          <w:tcPr>
            <w:tcW w:w="1735" w:type="dxa"/>
            <w:vAlign w:val="center"/>
          </w:tcPr>
          <w:p w14:paraId="6DA49AC3">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1000≤Y＜5000</w:t>
            </w:r>
          </w:p>
        </w:tc>
        <w:tc>
          <w:tcPr>
            <w:tcW w:w="1426" w:type="dxa"/>
            <w:vAlign w:val="center"/>
          </w:tcPr>
          <w:p w14:paraId="5A45EFA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500≤Y＜1000</w:t>
            </w:r>
          </w:p>
        </w:tc>
        <w:tc>
          <w:tcPr>
            <w:tcW w:w="992" w:type="dxa"/>
            <w:vAlign w:val="center"/>
          </w:tcPr>
          <w:p w14:paraId="11C4FAF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w:t>
            </w:r>
          </w:p>
        </w:tc>
      </w:tr>
      <w:tr w14:paraId="4633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5A2F144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租赁和商务服务业</w:t>
            </w:r>
          </w:p>
        </w:tc>
        <w:tc>
          <w:tcPr>
            <w:tcW w:w="1441" w:type="dxa"/>
            <w:vAlign w:val="center"/>
          </w:tcPr>
          <w:p w14:paraId="388858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5E8DE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6BD6497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4172F07F">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vAlign w:val="center"/>
          </w:tcPr>
          <w:p w14:paraId="0941FEB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1A53581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33AB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413704C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6724E7C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720" w:type="dxa"/>
            <w:vAlign w:val="center"/>
          </w:tcPr>
          <w:p w14:paraId="379AFD5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3062BA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Z≥120000</w:t>
            </w:r>
          </w:p>
        </w:tc>
        <w:tc>
          <w:tcPr>
            <w:tcW w:w="1735" w:type="dxa"/>
            <w:vAlign w:val="center"/>
          </w:tcPr>
          <w:p w14:paraId="18B7F22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8000≤Z＜120000</w:t>
            </w:r>
          </w:p>
        </w:tc>
        <w:tc>
          <w:tcPr>
            <w:tcW w:w="1426" w:type="dxa"/>
            <w:vAlign w:val="center"/>
          </w:tcPr>
          <w:p w14:paraId="683F04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100≤Z＜8000</w:t>
            </w:r>
          </w:p>
        </w:tc>
        <w:tc>
          <w:tcPr>
            <w:tcW w:w="992" w:type="dxa"/>
            <w:vAlign w:val="center"/>
          </w:tcPr>
          <w:p w14:paraId="7DDC285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Z＜100</w:t>
            </w:r>
          </w:p>
        </w:tc>
      </w:tr>
      <w:tr w14:paraId="4F64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Align w:val="center"/>
          </w:tcPr>
          <w:p w14:paraId="3409AA0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其他未列明行业 *</w:t>
            </w:r>
          </w:p>
        </w:tc>
        <w:tc>
          <w:tcPr>
            <w:tcW w:w="1441" w:type="dxa"/>
            <w:vAlign w:val="center"/>
          </w:tcPr>
          <w:p w14:paraId="12A9A9E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AE2F9B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6D2093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77FAFA75">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vAlign w:val="center"/>
          </w:tcPr>
          <w:p w14:paraId="6296BDA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393682C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bl>
    <w:p w14:paraId="5D5FF707">
      <w:pPr>
        <w:pageBreakBefore w:val="0"/>
        <w:widowControl/>
        <w:kinsoku/>
        <w:overflowPunct/>
        <w:topLinePunct w:val="0"/>
        <w:bidi w:val="0"/>
        <w:spacing w:line="240" w:lineRule="auto"/>
        <w:rPr>
          <w:rFonts w:hint="eastAsia" w:ascii="宋体" w:hAnsi="宋体" w:eastAsia="宋体" w:cs="宋体"/>
          <w:color w:val="auto"/>
          <w:kern w:val="0"/>
          <w:sz w:val="21"/>
          <w:szCs w:val="21"/>
          <w:highlight w:val="none"/>
        </w:rPr>
      </w:pPr>
      <w:r>
        <w:rPr>
          <w:rFonts w:hint="eastAsia" w:ascii="宋体" w:hAnsi="宋体" w:eastAsia="宋体" w:cs="宋体"/>
          <w:color w:val="auto"/>
          <w:spacing w:val="8"/>
          <w:kern w:val="0"/>
          <w:sz w:val="21"/>
          <w:szCs w:val="21"/>
          <w:highlight w:val="none"/>
        </w:rPr>
        <w:br w:type="page"/>
      </w:r>
      <w:r>
        <w:rPr>
          <w:rFonts w:hint="eastAsia" w:ascii="宋体" w:hAnsi="宋体" w:eastAsia="宋体" w:cs="宋体"/>
          <w:color w:val="auto"/>
          <w:kern w:val="0"/>
          <w:sz w:val="21"/>
          <w:szCs w:val="21"/>
          <w:highlight w:val="none"/>
        </w:rPr>
        <w:t>说明：</w:t>
      </w:r>
    </w:p>
    <w:p w14:paraId="675ED8DB">
      <w:pPr>
        <w:pStyle w:val="10"/>
        <w:pageBreakBefore w:val="0"/>
        <w:kinsoku/>
        <w:overflowPunct/>
        <w:topLinePunct w:val="0"/>
        <w:bidi w:val="0"/>
        <w:adjustRightInd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1.大型、中型和小型企业须同时满足所列指标的下限，否则下划一档；微型企业只须满足所列指标中的一项即可。</w:t>
      </w:r>
    </w:p>
    <w:p w14:paraId="737A8890">
      <w:pPr>
        <w:pStyle w:val="10"/>
        <w:pageBreakBefore w:val="0"/>
        <w:kinsoku/>
        <w:overflowPunct/>
        <w:topLinePunct w:val="0"/>
        <w:bidi w:val="0"/>
        <w:adjustRightInd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411D684">
      <w:pPr>
        <w:pStyle w:val="10"/>
        <w:pageBreakBefore w:val="0"/>
        <w:kinsoku/>
        <w:overflowPunct/>
        <w:topLinePunct w:val="0"/>
        <w:bidi w:val="0"/>
        <w:adjustRightInd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76AC2017">
      <w:r>
        <w:br w:type="page"/>
      </w:r>
    </w:p>
    <w:p w14:paraId="2C345488">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0"/>
          <w:szCs w:val="40"/>
          <w:highlight w:val="none"/>
          <w:lang w:val="en-US" w:eastAsia="zh-CN"/>
        </w:rPr>
      </w:pPr>
      <w:bookmarkStart w:id="115" w:name="_Toc2191"/>
      <w:bookmarkStart w:id="116" w:name="_Toc9297"/>
      <w:r>
        <w:rPr>
          <w:rFonts w:hint="eastAsia" w:ascii="宋体" w:hAnsi="宋体" w:eastAsia="宋体" w:cs="宋体"/>
          <w:b/>
          <w:bCs/>
          <w:color w:val="auto"/>
          <w:kern w:val="44"/>
          <w:sz w:val="40"/>
          <w:szCs w:val="40"/>
          <w:lang w:val="en-US" w:eastAsia="zh-CN" w:bidi="ar-SA"/>
        </w:rPr>
        <w:t xml:space="preserve">第四章 </w:t>
      </w:r>
      <w:r>
        <w:rPr>
          <w:rFonts w:hint="eastAsia" w:ascii="宋体" w:hAnsi="宋体" w:eastAsia="宋体" w:cs="宋体"/>
          <w:color w:val="auto"/>
          <w:sz w:val="40"/>
          <w:szCs w:val="40"/>
          <w:highlight w:val="none"/>
          <w:lang w:val="en-US" w:eastAsia="zh-CN"/>
        </w:rPr>
        <w:t>评标方法及评标标准</w:t>
      </w:r>
      <w:bookmarkEnd w:id="115"/>
      <w:bookmarkEnd w:id="116"/>
    </w:p>
    <w:p w14:paraId="632277A7">
      <w:pPr>
        <w:pStyle w:val="4"/>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一、评标方法</w:t>
      </w:r>
    </w:p>
    <w:p w14:paraId="3EAA6670">
      <w:pPr>
        <w:pStyle w:val="10"/>
        <w:pageBreakBefore w:val="0"/>
        <w:widowControl w:val="0"/>
        <w:kinsoku/>
        <w:wordWrap/>
        <w:overflowPunct/>
        <w:topLinePunct w:val="0"/>
        <w:autoSpaceDE/>
        <w:autoSpaceDN/>
        <w:bidi w:val="0"/>
        <w:adjustRightInd/>
        <w:spacing w:line="240" w:lineRule="auto"/>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综合评分法，是指投标文件满足</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文件全部实质性要求，且按照评审因素的量化指标评审得分最高的投标人为中标候选人的评标方法。</w:t>
      </w:r>
    </w:p>
    <w:p w14:paraId="131281DF">
      <w:pPr>
        <w:pStyle w:val="10"/>
        <w:pageBreakBefore w:val="0"/>
        <w:widowControl w:val="0"/>
        <w:kinsoku/>
        <w:wordWrap/>
        <w:overflowPunct/>
        <w:topLinePunct w:val="0"/>
        <w:autoSpaceDE/>
        <w:autoSpaceDN/>
        <w:bidi w:val="0"/>
        <w:adjustRightInd/>
        <w:spacing w:line="240" w:lineRule="auto"/>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最低评标价法，是指投标文件满足</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文件全部实质性要求，且投标报价最低的投标人为中标候选人的评标方法。</w:t>
      </w:r>
    </w:p>
    <w:p w14:paraId="20C48D91">
      <w:pPr>
        <w:pStyle w:val="4"/>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二、评标程序</w:t>
      </w:r>
    </w:p>
    <w:p w14:paraId="6F9A7CEA">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1.符合性审查</w:t>
      </w:r>
    </w:p>
    <w:p w14:paraId="0A0FAA4E">
      <w:pPr>
        <w:pStyle w:val="10"/>
        <w:pageBreakBefore w:val="0"/>
        <w:widowControl w:val="0"/>
        <w:kinsoku/>
        <w:wordWrap/>
        <w:overflowPunct/>
        <w:topLinePunct w:val="0"/>
        <w:autoSpaceDE/>
        <w:autoSpaceDN/>
        <w:bidi w:val="0"/>
        <w:adjustRightInd/>
        <w:snapToGrid w:val="0"/>
        <w:spacing w:line="240" w:lineRule="auto"/>
        <w:ind w:left="1" w:firstLine="42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评标委员会应当对符合资格的投标人的投标文件进行投标报价、商务、技术等实质性内容符合性审查，以确定其是否满足</w:t>
      </w:r>
      <w:r>
        <w:rPr>
          <w:rFonts w:hint="eastAsia" w:hAnsi="宋体" w:cs="宋体"/>
          <w:b/>
          <w:color w:val="auto"/>
          <w:kern w:val="2"/>
          <w:sz w:val="21"/>
          <w:szCs w:val="21"/>
          <w:highlight w:val="none"/>
          <w:lang w:eastAsia="zh-CN"/>
        </w:rPr>
        <w:t>采购</w:t>
      </w:r>
      <w:r>
        <w:rPr>
          <w:rFonts w:hint="eastAsia" w:ascii="宋体" w:hAnsi="宋体" w:eastAsia="宋体" w:cs="宋体"/>
          <w:b/>
          <w:color w:val="auto"/>
          <w:kern w:val="2"/>
          <w:sz w:val="21"/>
          <w:szCs w:val="21"/>
          <w:highlight w:val="none"/>
        </w:rPr>
        <w:t>文件的实质性要求。</w:t>
      </w:r>
    </w:p>
    <w:p w14:paraId="45580BBB">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2.符合性审查不通过而导致投标无效的情形</w:t>
      </w:r>
    </w:p>
    <w:p w14:paraId="2FB3683B">
      <w:pPr>
        <w:pageBreakBefore w:val="0"/>
        <w:widowControl w:val="0"/>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投标人的投标文件中存在对</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文件的任何实质性要求和条件的负偏离，将被视为投标无效。</w:t>
      </w:r>
    </w:p>
    <w:p w14:paraId="08436876">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2.1在报价评审时，如发现下列情形之一的，将被视为投标无效：</w:t>
      </w:r>
    </w:p>
    <w:p w14:paraId="4D572BA5">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pacing w:val="-6"/>
          <w:sz w:val="21"/>
          <w:szCs w:val="21"/>
          <w:highlight w:val="none"/>
        </w:rPr>
        <w:t>报价文件</w:t>
      </w:r>
      <w:r>
        <w:rPr>
          <w:rFonts w:hint="eastAsia" w:ascii="宋体" w:hAnsi="宋体" w:eastAsia="宋体" w:cs="宋体"/>
          <w:b/>
          <w:color w:val="auto"/>
          <w:sz w:val="21"/>
          <w:szCs w:val="21"/>
          <w:highlight w:val="none"/>
        </w:rPr>
        <w:t>未提供“投标人须知前附表”第13.1条规定中“必须提供”的文件资料的；</w:t>
      </w:r>
    </w:p>
    <w:p w14:paraId="5CCCBC7C">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未采用人民币报价或者未按照</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文件标明的币种报价的；</w:t>
      </w:r>
    </w:p>
    <w:p w14:paraId="1517602C">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各分标报价超出</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文件相应分标规定最高限价，或者超出相应分标采购预算金额的；</w:t>
      </w:r>
    </w:p>
    <w:p w14:paraId="244AE28B">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投标人未就所投分标进行报价或者存在漏项报价；投标人未就所投分标的单项内容作唯一报价；投标人未就所投分标的全部内容作完整唯一总价报价；存在有选择、有条件报价的（</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文件允许有备选方案或者其他约定的除外）；</w:t>
      </w:r>
    </w:p>
    <w:p w14:paraId="7B5E40A3">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修正后的报价，投标人不确认的；</w:t>
      </w:r>
    </w:p>
    <w:p w14:paraId="586EE2CE">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投标人属于本章第5.1条（2）或者第5.2条（2）项情形的；</w:t>
      </w:r>
    </w:p>
    <w:p w14:paraId="53A30BED">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pacing w:val="-6"/>
          <w:sz w:val="21"/>
          <w:szCs w:val="21"/>
          <w:highlight w:val="none"/>
        </w:rPr>
        <w:t>报价文件</w:t>
      </w:r>
      <w:r>
        <w:rPr>
          <w:rFonts w:hint="eastAsia" w:ascii="宋体" w:hAnsi="宋体" w:eastAsia="宋体" w:cs="宋体"/>
          <w:b/>
          <w:color w:val="auto"/>
          <w:sz w:val="21"/>
          <w:szCs w:val="21"/>
          <w:highlight w:val="none"/>
        </w:rPr>
        <w:t>响应的标的数量及单位与</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文件要求实质性不一致的。</w:t>
      </w:r>
    </w:p>
    <w:p w14:paraId="4D0EC778">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2.2在商务评审时，如发现下列情形之一的，将被视为投标无效：</w:t>
      </w:r>
    </w:p>
    <w:p w14:paraId="089E9DFC">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投标文件未按</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文件要求签署、盖章的；</w:t>
      </w:r>
    </w:p>
    <w:p w14:paraId="1E03F04D">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委托代理人未能出具有效身份证或者出具的身份证与授权委托书中的信息不符的；</w:t>
      </w:r>
    </w:p>
    <w:p w14:paraId="7597FA4C">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投标文件未提供“投标人须知前附表”第13.1条规定中“必须提供”或者“委托时必须提供”的文件资料的；</w:t>
      </w:r>
    </w:p>
    <w:p w14:paraId="4B7A329E">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商务要求评审允许负偏离的条款数超过“投标人须知前附表”规定项数的；</w:t>
      </w:r>
    </w:p>
    <w:p w14:paraId="4DDD6231">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投标文件的实质性内容未使用中文表述、使用计量单位不符合</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文件要求的；</w:t>
      </w:r>
    </w:p>
    <w:p w14:paraId="71095AF6">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投标文件中的文件资料因填写不齐全或者内容虚假或者出现其他情形而导致被评标委员会认定无效的；</w:t>
      </w:r>
    </w:p>
    <w:p w14:paraId="153D55A1">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投标文件含有采购人不能接受的附加条件的；</w:t>
      </w:r>
    </w:p>
    <w:p w14:paraId="3F4108B7">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属于投标人须知正文第9.2条情形的；</w:t>
      </w:r>
    </w:p>
    <w:p w14:paraId="50D702FA">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投标文件标注的项目名称或者项目编号与</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文件标注的项目名称或者项目编号不一致的；</w:t>
      </w:r>
    </w:p>
    <w:p w14:paraId="4576EBE0">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文件明确不允许分包，投标文件拟分包的；</w:t>
      </w:r>
    </w:p>
    <w:p w14:paraId="3386C92F">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未响应</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文件实质性要求的；</w:t>
      </w:r>
    </w:p>
    <w:p w14:paraId="2FD790BC">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法律、法规和</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文件规定的其他无效情形。</w:t>
      </w:r>
    </w:p>
    <w:p w14:paraId="1914E78F">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2.3在技术评审时，如发现下列情形之一的，将被视为投标无效：</w:t>
      </w:r>
    </w:p>
    <w:p w14:paraId="29181259">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（1）技术要求评审允许负偏离的条款数超过“投标人须知前附表”规定项数的；</w:t>
      </w:r>
    </w:p>
    <w:p w14:paraId="625266D4">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（2）投标文件未提供“投标人须知前附表”第13.1条规定中“必须提供”的文件资料的；</w:t>
      </w:r>
    </w:p>
    <w:p w14:paraId="7C1893C3">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（3）虚假投标，或者出现其他情形而导致被评标委员会认定无效的；</w:t>
      </w:r>
    </w:p>
    <w:p w14:paraId="529B3519">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（4）</w:t>
      </w:r>
      <w:bookmarkStart w:id="117" w:name="_Hlk71706244"/>
      <w:r>
        <w:rPr>
          <w:rFonts w:hint="eastAsia" w:ascii="宋体" w:hAnsi="宋体" w:eastAsia="宋体" w:cs="宋体"/>
          <w:b/>
          <w:color w:val="auto"/>
          <w:kern w:val="2"/>
          <w:sz w:val="21"/>
          <w:szCs w:val="21"/>
          <w:highlight w:val="none"/>
          <w:lang w:eastAsia="zh-CN"/>
        </w:rPr>
        <w:t>采购</w:t>
      </w:r>
      <w:r>
        <w:rPr>
          <w:rFonts w:hint="eastAsia" w:ascii="宋体" w:hAnsi="宋体" w:eastAsia="宋体" w:cs="宋体"/>
          <w:b/>
          <w:color w:val="auto"/>
          <w:kern w:val="2"/>
          <w:sz w:val="21"/>
          <w:szCs w:val="21"/>
          <w:highlight w:val="none"/>
        </w:rPr>
        <w:t>文件未载明允许提供备选（替代）投标方案或明确不允许提供备选（替代）投标方案时，投标人提供了备选（替代）投标方案的；</w:t>
      </w:r>
      <w:bookmarkEnd w:id="117"/>
    </w:p>
    <w:p w14:paraId="2CBBC140">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（5）未响应</w:t>
      </w:r>
      <w:r>
        <w:rPr>
          <w:rFonts w:hint="eastAsia" w:ascii="宋体" w:hAnsi="宋体" w:eastAsia="宋体" w:cs="宋体"/>
          <w:b/>
          <w:color w:val="auto"/>
          <w:kern w:val="2"/>
          <w:sz w:val="21"/>
          <w:szCs w:val="21"/>
          <w:highlight w:val="none"/>
          <w:lang w:eastAsia="zh-CN"/>
        </w:rPr>
        <w:t>采购</w:t>
      </w:r>
      <w:r>
        <w:rPr>
          <w:rFonts w:hint="eastAsia" w:ascii="宋体" w:hAnsi="宋体" w:eastAsia="宋体" w:cs="宋体"/>
          <w:b/>
          <w:color w:val="auto"/>
          <w:kern w:val="2"/>
          <w:sz w:val="21"/>
          <w:szCs w:val="21"/>
          <w:highlight w:val="none"/>
        </w:rPr>
        <w:t>文件实质性要求的。</w:t>
      </w:r>
    </w:p>
    <w:p w14:paraId="33C207A6">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3.澄清补正</w:t>
      </w:r>
    </w:p>
    <w:p w14:paraId="197FE835">
      <w:pPr>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对投标文件中含义不明确、同类问题表述不一致或者有明显文字和计算错误的内容，评标委员会应在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发布电子澄清函，要求投标人在规定时间内作出必要的澄清、说明或者补正。投标人在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634981E6">
      <w:pPr>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0CB27222">
      <w:pPr>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未按评标委员会的要求作出明确澄清、说明或者更正的投标人的投标文件将按照有利于采购人的原则由评标委员会进行判定。</w:t>
      </w:r>
    </w:p>
    <w:p w14:paraId="1D2751E0">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4.投标文件修正</w:t>
      </w:r>
    </w:p>
    <w:p w14:paraId="10B115C5">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4.1投标文件报价出现前后不一致的，按照下列规定修正：</w:t>
      </w:r>
    </w:p>
    <w:p w14:paraId="4D0EE01D">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（1）投标文件中开标一览表（报价表）内容与投标文件中相应内容不一致的，以开标一览表（报价表）为准；</w:t>
      </w:r>
    </w:p>
    <w:p w14:paraId="29B1D4AC">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（2）大写金额和小写金额不一致的，以大写金额为准；</w:t>
      </w:r>
    </w:p>
    <w:p w14:paraId="54C1A896">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（3）单价金额小数点或者百分比有明显错位的，以开标一览表的总价为准，并修改单价；</w:t>
      </w:r>
    </w:p>
    <w:p w14:paraId="1BE72D41">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（4）总价金额与按单价汇总金额不一致的，以单价金额计算结果为准。</w:t>
      </w:r>
    </w:p>
    <w:p w14:paraId="4DB9E098">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同时出现两种以上不一致的，按照以上（1）-（4）规定的顺序修正。修正后的报价经投标人确认后产生约束力，投标人不确认的，</w:t>
      </w:r>
      <w:r>
        <w:rPr>
          <w:rFonts w:hint="eastAsia" w:ascii="宋体" w:hAnsi="宋体" w:eastAsia="宋体" w:cs="宋体"/>
          <w:b/>
          <w:color w:val="auto"/>
          <w:kern w:val="2"/>
          <w:sz w:val="21"/>
          <w:szCs w:val="21"/>
          <w:highlight w:val="none"/>
        </w:rPr>
        <w:t>其投标无效</w:t>
      </w:r>
      <w:r>
        <w:rPr>
          <w:rFonts w:hint="eastAsia" w:ascii="宋体" w:hAnsi="宋体" w:eastAsia="宋体" w:cs="宋体"/>
          <w:color w:val="auto"/>
          <w:sz w:val="21"/>
          <w:szCs w:val="21"/>
          <w:highlight w:val="none"/>
        </w:rPr>
        <w:t>。</w:t>
      </w:r>
    </w:p>
    <w:p w14:paraId="04A4BCF1">
      <w:pPr>
        <w:pStyle w:val="5"/>
        <w:pageBreakBefore w:val="0"/>
        <w:widowControl w:val="0"/>
        <w:kinsoku/>
        <w:wordWrap/>
        <w:overflowPunct/>
        <w:topLinePunct w:val="0"/>
        <w:autoSpaceDE/>
        <w:autoSpaceDN/>
        <w:bidi w:val="0"/>
        <w:adjustRightInd/>
        <w:spacing w:before="0" w:after="0" w:line="240" w:lineRule="auto"/>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4.2经投标人确认修正后的报价若超过采购预算金额或者最高限价，</w:t>
      </w:r>
      <w:r>
        <w:rPr>
          <w:rFonts w:hint="eastAsia" w:ascii="宋体" w:hAnsi="宋体" w:eastAsia="宋体" w:cs="宋体"/>
          <w:color w:val="auto"/>
          <w:sz w:val="21"/>
          <w:szCs w:val="21"/>
          <w:highlight w:val="none"/>
        </w:rPr>
        <w:t>投标人的投标文件作无效投标处理</w:t>
      </w:r>
      <w:r>
        <w:rPr>
          <w:rFonts w:hint="eastAsia" w:ascii="宋体" w:hAnsi="宋体" w:eastAsia="宋体" w:cs="宋体"/>
          <w:b w:val="0"/>
          <w:color w:val="auto"/>
          <w:sz w:val="21"/>
          <w:szCs w:val="21"/>
          <w:highlight w:val="none"/>
        </w:rPr>
        <w:t>。</w:t>
      </w:r>
    </w:p>
    <w:p w14:paraId="0121C07C">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4.3经投标人确认修正后的报价作为签订合同的依据，并以此报价计算价格分。</w:t>
      </w:r>
    </w:p>
    <w:p w14:paraId="0B5CD357">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5.比较与评价</w:t>
      </w:r>
    </w:p>
    <w:p w14:paraId="03F1DA28">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5.1采用综合评分法的</w:t>
      </w:r>
    </w:p>
    <w:p w14:paraId="18F6A049">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文件中规定的评标方法及评标标准，对符合性审查合格的投标文件进行商务和技术评估，综合比较与评价。</w:t>
      </w:r>
    </w:p>
    <w:p w14:paraId="6F12C5B2">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（2）评标委员会独立对每个投标人的投标文件进行评价，并汇总每个投标人的得分。</w:t>
      </w:r>
    </w:p>
    <w:p w14:paraId="501530BD">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eastAsia="宋体" w:cs="宋体"/>
          <w:b/>
          <w:color w:val="auto"/>
          <w:sz w:val="21"/>
          <w:szCs w:val="21"/>
          <w:highlight w:val="none"/>
        </w:rPr>
        <w:t>投标人不能证明其报价合理性的，评标委员会将其作为无效投标处理</w:t>
      </w:r>
      <w:r>
        <w:rPr>
          <w:rFonts w:hint="eastAsia" w:ascii="宋体" w:hAnsi="宋体" w:eastAsia="宋体" w:cs="宋体"/>
          <w:color w:val="auto"/>
          <w:sz w:val="21"/>
          <w:szCs w:val="21"/>
          <w:highlight w:val="none"/>
        </w:rPr>
        <w:t>。</w:t>
      </w:r>
    </w:p>
    <w:p w14:paraId="1470DE7E">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文件中规定的评标方法和标准计算各投标人的报价得分。在计算过程中，不得去掉最高报价或者最低报价。</w:t>
      </w:r>
    </w:p>
    <w:p w14:paraId="4494339C">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（4）各投标人的得分为所有评委的有效评分的算术平均数。</w:t>
      </w:r>
    </w:p>
    <w:p w14:paraId="447E5980">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文件中的规定推荐中标候选人。</w:t>
      </w:r>
    </w:p>
    <w:p w14:paraId="0A51B879">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40CDB462">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5.2采用最低评标价法的</w:t>
      </w:r>
    </w:p>
    <w:p w14:paraId="38387B84">
      <w:pPr>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文件中规定的评标方法及评标标准，对符合性审查合格的投标文件报价进行比较。</w:t>
      </w:r>
    </w:p>
    <w:p w14:paraId="266BF5E9">
      <w:pPr>
        <w:pageBreakBefore w:val="0"/>
        <w:widowControl w:val="0"/>
        <w:kinsoku/>
        <w:wordWrap/>
        <w:overflowPunct/>
        <w:topLinePunct w:val="0"/>
        <w:autoSpaceDE/>
        <w:autoSpaceDN/>
        <w:bidi w:val="0"/>
        <w:adjustRightInd/>
        <w:snapToGrid w:val="0"/>
        <w:spacing w:line="240" w:lineRule="auto"/>
        <w:ind w:firstLine="399" w:firstLineChars="202"/>
        <w:jc w:val="left"/>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评标委员会认为投标人的报价明显高于其他通过符合性审查投标人的报价，有可能影响配送产品质量或者服务质量或者不能诚信履约的，应当要求其在评标现场合理的时间内提供书面说明，必要时提交相关证明材料；</w:t>
      </w:r>
      <w:r>
        <w:rPr>
          <w:rFonts w:hint="eastAsia" w:ascii="宋体" w:hAnsi="宋体" w:eastAsia="宋体" w:cs="宋体"/>
          <w:b/>
          <w:color w:val="auto"/>
          <w:spacing w:val="-6"/>
          <w:sz w:val="21"/>
          <w:szCs w:val="21"/>
          <w:highlight w:val="none"/>
        </w:rPr>
        <w:t>投标人不能证明其报价合理性的，评标委员会将其作为无效投标处理</w:t>
      </w:r>
      <w:r>
        <w:rPr>
          <w:rFonts w:hint="eastAsia" w:ascii="宋体" w:hAnsi="宋体" w:eastAsia="宋体" w:cs="宋体"/>
          <w:color w:val="auto"/>
          <w:spacing w:val="-6"/>
          <w:sz w:val="21"/>
          <w:szCs w:val="21"/>
          <w:highlight w:val="none"/>
        </w:rPr>
        <w:t>。</w:t>
      </w:r>
    </w:p>
    <w:p w14:paraId="78100FD3">
      <w:pPr>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文件中的规定推荐中标候选人。</w:t>
      </w:r>
    </w:p>
    <w:p w14:paraId="6515A156">
      <w:pPr>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3679BCF6">
      <w:pPr>
        <w:pStyle w:val="4"/>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评标标准</w:t>
      </w:r>
    </w:p>
    <w:p w14:paraId="16BDD6D6">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一、</w:t>
      </w:r>
      <w:r>
        <w:rPr>
          <w:rFonts w:hint="eastAsia" w:ascii="宋体" w:hAnsi="宋体" w:cs="宋体"/>
          <w:b/>
          <w:bCs/>
          <w:color w:val="auto"/>
          <w:szCs w:val="21"/>
        </w:rPr>
        <w:t>评标原则</w:t>
      </w:r>
    </w:p>
    <w:p w14:paraId="28746368">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rPr>
        <w:t>一</w:t>
      </w:r>
      <w:r>
        <w:rPr>
          <w:rFonts w:hint="eastAsia" w:ascii="宋体" w:hAnsi="宋体" w:cs="宋体"/>
          <w:color w:val="auto"/>
          <w:szCs w:val="21"/>
          <w:lang w:eastAsia="zh-CN"/>
        </w:rPr>
        <w:t>）</w:t>
      </w:r>
      <w:r>
        <w:rPr>
          <w:rFonts w:hint="eastAsia" w:ascii="宋体" w:hAnsi="宋体" w:cs="宋体"/>
          <w:color w:val="auto"/>
          <w:szCs w:val="21"/>
        </w:rPr>
        <w:t>评委构成：本招标采购项目的评标委员会由采购人代表和有关技术、经济等方面的专家组成，成员人数应当为五人以上单数。其中，技术、经济等方面的专家不得少于成员总数的三分之二。</w:t>
      </w:r>
    </w:p>
    <w:p w14:paraId="36F24E0B">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rPr>
        <w:t>二</w:t>
      </w:r>
      <w:r>
        <w:rPr>
          <w:rFonts w:hint="eastAsia" w:ascii="宋体" w:hAnsi="宋体" w:cs="宋体"/>
          <w:color w:val="auto"/>
          <w:szCs w:val="21"/>
          <w:lang w:eastAsia="zh-CN"/>
        </w:rPr>
        <w:t>）</w:t>
      </w:r>
      <w:r>
        <w:rPr>
          <w:rFonts w:hint="eastAsia" w:ascii="宋体" w:hAnsi="宋体" w:cs="宋体"/>
          <w:color w:val="auto"/>
          <w:szCs w:val="21"/>
        </w:rPr>
        <w:t>评标依据：评委将以招投标文件为评标依据，对投标人的内容按百分制打分。</w:t>
      </w:r>
    </w:p>
    <w:p w14:paraId="2CB87E0E">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rPr>
        <w:t>三</w:t>
      </w:r>
      <w:r>
        <w:rPr>
          <w:rFonts w:hint="eastAsia" w:ascii="宋体" w:hAnsi="宋体" w:cs="宋体"/>
          <w:color w:val="auto"/>
          <w:szCs w:val="21"/>
          <w:lang w:eastAsia="zh-CN"/>
        </w:rPr>
        <w:t>）</w:t>
      </w:r>
      <w:r>
        <w:rPr>
          <w:rFonts w:hint="eastAsia" w:ascii="宋体" w:hAnsi="宋体" w:cs="宋体"/>
          <w:color w:val="auto"/>
          <w:szCs w:val="21"/>
        </w:rPr>
        <w:t>评标方式：以封闭方式进行。</w:t>
      </w:r>
    </w:p>
    <w:p w14:paraId="53526DB1">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二、</w:t>
      </w:r>
      <w:r>
        <w:rPr>
          <w:rFonts w:hint="eastAsia" w:ascii="宋体" w:hAnsi="宋体" w:cs="宋体"/>
          <w:b/>
          <w:bCs/>
          <w:color w:val="auto"/>
          <w:szCs w:val="21"/>
        </w:rPr>
        <w:t>评标方法</w:t>
      </w:r>
    </w:p>
    <w:p w14:paraId="28DDDA83">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（一）对进入详评的，采用百分制综合评分法。</w:t>
      </w:r>
    </w:p>
    <w:p w14:paraId="0A118385">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（二）计分办法（按四舍五入取至百分位）：</w:t>
      </w:r>
    </w:p>
    <w:tbl>
      <w:tblPr>
        <w:tblStyle w:val="18"/>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1494"/>
        <w:gridCol w:w="7760"/>
      </w:tblGrid>
      <w:tr w14:paraId="669F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3A35B18E">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bookmarkStart w:id="118" w:name="_Hlk152003192"/>
            <w:r>
              <w:rPr>
                <w:rFonts w:hint="eastAsia" w:ascii="宋体" w:hAnsi="宋体" w:cs="宋体"/>
                <w:b/>
                <w:bCs/>
                <w:szCs w:val="21"/>
                <w:highlight w:val="none"/>
              </w:rPr>
              <w:t>序号</w:t>
            </w:r>
          </w:p>
        </w:tc>
        <w:tc>
          <w:tcPr>
            <w:tcW w:w="1494" w:type="dxa"/>
            <w:vAlign w:val="center"/>
          </w:tcPr>
          <w:p w14:paraId="4CF8DA1F">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评分</w:t>
            </w:r>
          </w:p>
          <w:p w14:paraId="39599EE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项目</w:t>
            </w:r>
          </w:p>
        </w:tc>
        <w:tc>
          <w:tcPr>
            <w:tcW w:w="7760" w:type="dxa"/>
            <w:vAlign w:val="center"/>
          </w:tcPr>
          <w:p w14:paraId="5B504DCD">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评分标准</w:t>
            </w:r>
          </w:p>
        </w:tc>
      </w:tr>
      <w:tr w14:paraId="31E2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5CFA1E7B">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1</w:t>
            </w:r>
          </w:p>
        </w:tc>
        <w:tc>
          <w:tcPr>
            <w:tcW w:w="1494" w:type="dxa"/>
            <w:vAlign w:val="center"/>
          </w:tcPr>
          <w:p w14:paraId="1FE971A8">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价格分</w:t>
            </w:r>
          </w:p>
          <w:p w14:paraId="04D107AD">
            <w:pPr>
              <w:pStyle w:val="12"/>
              <w:keepNext w:val="0"/>
              <w:keepLines w:val="0"/>
              <w:pageBreakBefore w:val="0"/>
              <w:widowControl w:val="0"/>
              <w:kinsoku/>
              <w:wordWrap/>
              <w:overflowPunct/>
              <w:topLinePunct w:val="0"/>
              <w:autoSpaceDE/>
              <w:autoSpaceDN/>
              <w:bidi w:val="0"/>
              <w:spacing w:line="360" w:lineRule="exact"/>
              <w:rPr>
                <w:rFonts w:ascii="宋体" w:hAnsi="宋体" w:cs="宋体"/>
                <w:b/>
                <w:sz w:val="21"/>
                <w:szCs w:val="21"/>
                <w:highlight w:val="none"/>
              </w:rPr>
            </w:pPr>
            <w:r>
              <w:rPr>
                <w:rFonts w:hint="eastAsia" w:ascii="宋体" w:hAnsi="宋体" w:cs="宋体"/>
                <w:b/>
                <w:sz w:val="21"/>
                <w:szCs w:val="21"/>
                <w:highlight w:val="none"/>
              </w:rPr>
              <w:t>（满分</w:t>
            </w:r>
            <w:r>
              <w:rPr>
                <w:rFonts w:hint="eastAsia" w:ascii="宋体" w:hAnsi="宋体" w:cs="宋体"/>
                <w:b/>
                <w:sz w:val="21"/>
                <w:szCs w:val="21"/>
                <w:highlight w:val="none"/>
                <w:lang w:val="en-US" w:eastAsia="zh-CN"/>
              </w:rPr>
              <w:t>20</w:t>
            </w:r>
            <w:r>
              <w:rPr>
                <w:rFonts w:hint="eastAsia" w:ascii="宋体" w:hAnsi="宋体" w:cs="宋体"/>
                <w:b/>
                <w:sz w:val="21"/>
                <w:szCs w:val="21"/>
                <w:highlight w:val="none"/>
              </w:rPr>
              <w:t>分）</w:t>
            </w:r>
          </w:p>
        </w:tc>
        <w:tc>
          <w:tcPr>
            <w:tcW w:w="7760" w:type="dxa"/>
            <w:vAlign w:val="center"/>
          </w:tcPr>
          <w:p w14:paraId="4DBC5DA2">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1.评审价为供应商的最后报价进行政策性扣除后的价格，评审价只是作为评审时使用。最终成交供应商的成交金额等于最后报价（如有修正，以确认修正后的最后报价为准）。</w:t>
            </w:r>
          </w:p>
          <w:p w14:paraId="71DD71D7">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2.政府采购政策性扣除计算方法。</w:t>
            </w:r>
          </w:p>
          <w:p w14:paraId="5EB7C338">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（1）按照财库〔2020〕46号文件、财库〔2022〕19号文件及《广西壮族自治区财政厅 广西壮族自治区工业和信息化厅关于转发财政部 工业和信息化部政府采购促进中小企业发展管理办法的通知》（桂财采〔2021〕70号）等文件要求，响应文件中提供《中小企业声明函》，且服务全部由符合政策要求的小型、微型企业承接的，对其最后报价给予20%的扣除。</w:t>
            </w:r>
          </w:p>
          <w:p w14:paraId="56E275B6">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20802D45">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BE4ED09">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（4）政策性扣除计算方法。</w:t>
            </w:r>
          </w:p>
          <w:p w14:paraId="50700DC6">
            <w:pPr>
              <w:keepNext w:val="0"/>
              <w:keepLines w:val="0"/>
              <w:pageBreakBefore w:val="0"/>
              <w:widowControl w:val="0"/>
              <w:kinsoku/>
              <w:wordWrap/>
              <w:overflowPunct/>
              <w:topLinePunct w:val="0"/>
              <w:autoSpaceDE/>
              <w:autoSpaceDN/>
              <w:bidi w:val="0"/>
              <w:snapToGrid w:val="0"/>
              <w:spacing w:line="360" w:lineRule="exact"/>
              <w:ind w:firstLine="420" w:firstLineChars="200"/>
              <w:rPr>
                <w:rFonts w:ascii="宋体" w:hAnsi="宋体" w:cs="宋体"/>
                <w:bCs/>
                <w:szCs w:val="21"/>
                <w:highlight w:val="none"/>
              </w:rPr>
            </w:pPr>
            <w:r>
              <w:rPr>
                <w:rFonts w:hint="eastAsia" w:ascii="宋体" w:hAnsi="宋体" w:cs="宋体"/>
                <w:bCs/>
                <w:szCs w:val="21"/>
                <w:highlight w:val="none"/>
              </w:rPr>
              <w:t>供应商被评定为监狱企业或者残疾人福利性单位或者其服务全部由符合政策要求的小型、微型企业承接的，该供应商的最后报价给予20%的扣除，扣除后的价格为评审价，即评审价=最后报价×（1-20%）；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6%的扣除，用扣除后的价格参加评审，扣除后的价格为评审价，即评审价=最后报价×（1-6%）。</w:t>
            </w:r>
          </w:p>
          <w:p w14:paraId="0A8C4096">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（5）除上述情况外，评审价＝最后报价。</w:t>
            </w:r>
          </w:p>
          <w:p w14:paraId="11C5DCE7">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（6）以进入比较与评价环节的最低的评审价为基准价，基准价得分为</w:t>
            </w:r>
            <w:r>
              <w:rPr>
                <w:rFonts w:hint="eastAsia" w:ascii="宋体" w:hAnsi="宋体" w:cs="宋体"/>
                <w:bCs/>
                <w:szCs w:val="21"/>
                <w:highlight w:val="none"/>
                <w:lang w:val="en-US" w:eastAsia="zh-CN"/>
              </w:rPr>
              <w:t>20</w:t>
            </w:r>
            <w:r>
              <w:rPr>
                <w:rFonts w:hint="eastAsia" w:ascii="宋体" w:hAnsi="宋体" w:cs="宋体"/>
                <w:bCs/>
                <w:szCs w:val="21"/>
                <w:highlight w:val="none"/>
              </w:rPr>
              <w:t>分。</w:t>
            </w:r>
          </w:p>
          <w:p w14:paraId="5FA41DCE">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（7）价格分计算公式：</w:t>
            </w:r>
          </w:p>
          <w:p w14:paraId="08462CBA">
            <w:pPr>
              <w:keepNext w:val="0"/>
              <w:keepLines w:val="0"/>
              <w:pageBreakBefore w:val="0"/>
              <w:widowControl w:val="0"/>
              <w:kinsoku/>
              <w:wordWrap/>
              <w:overflowPunct/>
              <w:topLinePunct w:val="0"/>
              <w:autoSpaceDE/>
              <w:autoSpaceDN/>
              <w:bidi w:val="0"/>
              <w:snapToGrid w:val="0"/>
              <w:spacing w:line="360" w:lineRule="exact"/>
              <w:ind w:firstLine="420" w:firstLineChars="200"/>
              <w:rPr>
                <w:rFonts w:ascii="宋体" w:hAnsi="宋体" w:cs="宋体"/>
                <w:bCs/>
                <w:szCs w:val="21"/>
                <w:highlight w:val="none"/>
              </w:rPr>
            </w:pPr>
            <w:r>
              <w:rPr>
                <w:rFonts w:hint="eastAsia" w:ascii="宋体" w:hAnsi="宋体" w:cs="宋体"/>
                <w:bCs/>
                <w:szCs w:val="21"/>
                <w:highlight w:val="none"/>
              </w:rPr>
              <w:t>报价得分=（基准价/评审价）×</w:t>
            </w:r>
            <w:r>
              <w:rPr>
                <w:rFonts w:hint="eastAsia" w:ascii="宋体" w:hAnsi="宋体" w:cs="宋体"/>
                <w:bCs/>
                <w:szCs w:val="21"/>
                <w:highlight w:val="none"/>
                <w:lang w:val="en-US" w:eastAsia="zh-CN"/>
              </w:rPr>
              <w:t>20</w:t>
            </w:r>
            <w:r>
              <w:rPr>
                <w:rFonts w:hint="eastAsia" w:ascii="宋体" w:hAnsi="宋体" w:cs="宋体"/>
                <w:bCs/>
                <w:szCs w:val="21"/>
                <w:highlight w:val="none"/>
              </w:rPr>
              <w:t>分</w:t>
            </w:r>
          </w:p>
        </w:tc>
      </w:tr>
      <w:tr w14:paraId="49AE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5E1272A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2</w:t>
            </w:r>
          </w:p>
        </w:tc>
        <w:tc>
          <w:tcPr>
            <w:tcW w:w="1494" w:type="dxa"/>
            <w:vAlign w:val="center"/>
          </w:tcPr>
          <w:p w14:paraId="6769D5F3">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技术分</w:t>
            </w:r>
          </w:p>
          <w:p w14:paraId="4870DE2F">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70</w:t>
            </w:r>
            <w:r>
              <w:rPr>
                <w:rFonts w:hint="eastAsia" w:ascii="宋体" w:hAnsi="宋体" w:cs="宋体"/>
                <w:b/>
                <w:szCs w:val="21"/>
                <w:highlight w:val="none"/>
              </w:rPr>
              <w:t>分）</w:t>
            </w:r>
          </w:p>
        </w:tc>
        <w:tc>
          <w:tcPr>
            <w:tcW w:w="7760" w:type="dxa"/>
            <w:vAlign w:val="center"/>
          </w:tcPr>
          <w:p w14:paraId="66B55219">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评分标准</w:t>
            </w:r>
          </w:p>
        </w:tc>
      </w:tr>
      <w:tr w14:paraId="624F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702CCD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2</w:t>
            </w:r>
            <w:r>
              <w:rPr>
                <w:rFonts w:ascii="宋体" w:hAnsi="宋体" w:cs="宋体"/>
                <w:b/>
                <w:bCs/>
                <w:szCs w:val="21"/>
                <w:highlight w:val="none"/>
              </w:rPr>
              <w:t>.1</w:t>
            </w:r>
          </w:p>
        </w:tc>
        <w:tc>
          <w:tcPr>
            <w:tcW w:w="1494" w:type="dxa"/>
            <w:vAlign w:val="center"/>
          </w:tcPr>
          <w:p w14:paraId="3FBBDFAB">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总体工作计划、管理规章制度及方案分</w:t>
            </w:r>
          </w:p>
          <w:p w14:paraId="5EECD1FA">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6</w:t>
            </w:r>
            <w:r>
              <w:rPr>
                <w:rFonts w:hint="eastAsia" w:ascii="宋体" w:hAnsi="宋体" w:cs="宋体"/>
                <w:b/>
                <w:szCs w:val="21"/>
                <w:highlight w:val="none"/>
              </w:rPr>
              <w:t>分）</w:t>
            </w:r>
          </w:p>
        </w:tc>
        <w:tc>
          <w:tcPr>
            <w:tcW w:w="7760" w:type="dxa"/>
            <w:vAlign w:val="center"/>
          </w:tcPr>
          <w:p w14:paraId="18ECFDF5">
            <w:pPr>
              <w:pStyle w:val="26"/>
              <w:keepNext w:val="0"/>
              <w:keepLines w:val="0"/>
              <w:pageBreakBefore w:val="0"/>
              <w:widowControl w:val="0"/>
              <w:kinsoku/>
              <w:wordWrap/>
              <w:overflowPunct/>
              <w:topLinePunct w:val="0"/>
              <w:autoSpaceDE/>
              <w:autoSpaceDN/>
              <w:bidi w:val="0"/>
              <w:spacing w:line="360" w:lineRule="exact"/>
              <w:ind w:firstLine="420"/>
              <w:rPr>
                <w:rFonts w:cs="仿宋"/>
                <w:color w:val="000000" w:themeColor="text1"/>
                <w:szCs w:val="21"/>
                <w:highlight w:val="none"/>
                <w14:textFill>
                  <w14:solidFill>
                    <w14:schemeClr w14:val="tx1"/>
                  </w14:solidFill>
                </w14:textFill>
              </w:rPr>
            </w:pPr>
            <w:r>
              <w:rPr>
                <w:rFonts w:hint="eastAsia" w:cs="仿宋"/>
                <w:color w:val="000000" w:themeColor="text1"/>
                <w:szCs w:val="21"/>
                <w:highlight w:val="none"/>
                <w14:textFill>
                  <w14:solidFill>
                    <w14:schemeClr w14:val="tx1"/>
                  </w14:solidFill>
                </w14:textFill>
              </w:rPr>
              <w:t>方案主要包括①规章制度、②管理架构、③岗位职责、④档案管理、⑤运作机制、⑥激励机制、⑦监督机制、⑧自我约束机制、⑨信息反馈处理机制等内容。</w:t>
            </w:r>
          </w:p>
          <w:p w14:paraId="2468C761">
            <w:pPr>
              <w:pStyle w:val="26"/>
              <w:keepNext w:val="0"/>
              <w:keepLines w:val="0"/>
              <w:pageBreakBefore w:val="0"/>
              <w:widowControl w:val="0"/>
              <w:kinsoku/>
              <w:wordWrap/>
              <w:overflowPunct/>
              <w:topLinePunct w:val="0"/>
              <w:autoSpaceDE/>
              <w:autoSpaceDN/>
              <w:bidi w:val="0"/>
              <w:spacing w:line="360" w:lineRule="exact"/>
              <w:ind w:firstLine="420"/>
              <w:rPr>
                <w:rFonts w:cs="仿宋"/>
                <w:color w:val="000000" w:themeColor="text1"/>
                <w:szCs w:val="21"/>
                <w:highlight w:val="none"/>
                <w14:textFill>
                  <w14:solidFill>
                    <w14:schemeClr w14:val="tx1"/>
                  </w14:solidFill>
                </w14:textFill>
              </w:rPr>
            </w:pPr>
            <w:r>
              <w:rPr>
                <w:rFonts w:hint="eastAsia" w:cs="仿宋"/>
                <w:color w:val="000000" w:themeColor="text1"/>
                <w:szCs w:val="21"/>
                <w:highlight w:val="none"/>
                <w14:textFill>
                  <w14:solidFill>
                    <w14:schemeClr w14:val="tx1"/>
                  </w14:solidFill>
                </w14:textFill>
              </w:rPr>
              <w:t>一档（</w:t>
            </w:r>
            <w:r>
              <w:rPr>
                <w:rFonts w:hint="eastAsia" w:cs="仿宋"/>
                <w:color w:val="000000" w:themeColor="text1"/>
                <w:szCs w:val="21"/>
                <w:highlight w:val="none"/>
                <w:lang w:val="en-US" w:eastAsia="zh-CN"/>
                <w14:textFill>
                  <w14:solidFill>
                    <w14:schemeClr w14:val="tx1"/>
                  </w14:solidFill>
                </w14:textFill>
              </w:rPr>
              <w:t>2</w:t>
            </w:r>
            <w:r>
              <w:rPr>
                <w:rFonts w:hint="eastAsia" w:cs="仿宋"/>
                <w:color w:val="000000" w:themeColor="text1"/>
                <w:szCs w:val="21"/>
                <w:highlight w:val="none"/>
                <w14:textFill>
                  <w14:solidFill>
                    <w14:schemeClr w14:val="tx1"/>
                  </w14:solidFill>
                </w14:textFill>
              </w:rPr>
              <w:t>分）：总体计划方案包括上述</w:t>
            </w:r>
            <w:r>
              <w:rPr>
                <w:rFonts w:hint="eastAsia" w:cs="仿宋"/>
                <w:color w:val="000000" w:themeColor="text1"/>
                <w:szCs w:val="21"/>
                <w:highlight w:val="none"/>
                <w:lang w:val="en-US" w:eastAsia="zh-CN"/>
                <w14:textFill>
                  <w14:solidFill>
                    <w14:schemeClr w14:val="tx1"/>
                  </w14:solidFill>
                </w14:textFill>
              </w:rPr>
              <w:t>9项内容中的第</w:t>
            </w:r>
            <w:r>
              <w:rPr>
                <w:rFonts w:hint="eastAsia" w:cs="仿宋"/>
                <w:color w:val="000000" w:themeColor="text1"/>
                <w:szCs w:val="21"/>
                <w:highlight w:val="none"/>
                <w14:textFill>
                  <w14:solidFill>
                    <w14:schemeClr w14:val="tx1"/>
                  </w14:solidFill>
                </w14:textFill>
              </w:rPr>
              <w:t>①-③项内容，仅有纲要、内容简略，未展开详细阐述但基本能够适用于本项目；</w:t>
            </w:r>
          </w:p>
          <w:p w14:paraId="56270041">
            <w:pPr>
              <w:pStyle w:val="26"/>
              <w:keepNext w:val="0"/>
              <w:keepLines w:val="0"/>
              <w:pageBreakBefore w:val="0"/>
              <w:widowControl w:val="0"/>
              <w:kinsoku/>
              <w:wordWrap/>
              <w:overflowPunct/>
              <w:topLinePunct w:val="0"/>
              <w:autoSpaceDE/>
              <w:autoSpaceDN/>
              <w:bidi w:val="0"/>
              <w:spacing w:line="360" w:lineRule="exact"/>
              <w:ind w:firstLine="420"/>
              <w:rPr>
                <w:rFonts w:cs="仿宋"/>
                <w:color w:val="000000" w:themeColor="text1"/>
                <w:szCs w:val="21"/>
                <w:highlight w:val="none"/>
                <w14:textFill>
                  <w14:solidFill>
                    <w14:schemeClr w14:val="tx1"/>
                  </w14:solidFill>
                </w14:textFill>
              </w:rPr>
            </w:pPr>
            <w:r>
              <w:rPr>
                <w:rFonts w:hint="eastAsia" w:cs="仿宋"/>
                <w:color w:val="000000" w:themeColor="text1"/>
                <w:szCs w:val="21"/>
                <w:highlight w:val="none"/>
                <w14:textFill>
                  <w14:solidFill>
                    <w14:schemeClr w14:val="tx1"/>
                  </w14:solidFill>
                </w14:textFill>
              </w:rPr>
              <w:t>二档（</w:t>
            </w:r>
            <w:r>
              <w:rPr>
                <w:rFonts w:hint="eastAsia" w:cs="仿宋"/>
                <w:color w:val="000000" w:themeColor="text1"/>
                <w:szCs w:val="21"/>
                <w:highlight w:val="none"/>
                <w:lang w:val="en-US" w:eastAsia="zh-CN"/>
                <w14:textFill>
                  <w14:solidFill>
                    <w14:schemeClr w14:val="tx1"/>
                  </w14:solidFill>
                </w14:textFill>
              </w:rPr>
              <w:t>4</w:t>
            </w:r>
            <w:r>
              <w:rPr>
                <w:rFonts w:hint="eastAsia" w:cs="仿宋"/>
                <w:color w:val="000000" w:themeColor="text1"/>
                <w:szCs w:val="21"/>
                <w:highlight w:val="none"/>
                <w14:textFill>
                  <w14:solidFill>
                    <w14:schemeClr w14:val="tx1"/>
                  </w14:solidFill>
                </w14:textFill>
              </w:rPr>
              <w:t>分）：总体计划方案包括上述</w:t>
            </w:r>
            <w:r>
              <w:rPr>
                <w:rFonts w:hint="eastAsia" w:cs="仿宋"/>
                <w:color w:val="000000" w:themeColor="text1"/>
                <w:szCs w:val="21"/>
                <w:highlight w:val="none"/>
                <w:lang w:val="en-US" w:eastAsia="zh-CN"/>
                <w14:textFill>
                  <w14:solidFill>
                    <w14:schemeClr w14:val="tx1"/>
                  </w14:solidFill>
                </w14:textFill>
              </w:rPr>
              <w:t>9项内容中的第</w:t>
            </w:r>
            <w:r>
              <w:rPr>
                <w:rFonts w:hint="eastAsia" w:cs="仿宋"/>
                <w:color w:val="000000" w:themeColor="text1"/>
                <w:szCs w:val="21"/>
                <w:highlight w:val="none"/>
                <w14:textFill>
                  <w14:solidFill>
                    <w14:schemeClr w14:val="tx1"/>
                  </w14:solidFill>
                </w14:textFill>
              </w:rPr>
              <w:t>①-⑦项内容，适用本项目用户需求，有管理规章制度且架构完整能够开展专业的物业管理工作、管理制度内容针对采购单位实际需求，机构设置合理，各岗位部门职责清晰明确；</w:t>
            </w:r>
          </w:p>
          <w:p w14:paraId="1B0844FD">
            <w:pPr>
              <w:pStyle w:val="26"/>
              <w:keepNext w:val="0"/>
              <w:keepLines w:val="0"/>
              <w:pageBreakBefore w:val="0"/>
              <w:widowControl w:val="0"/>
              <w:kinsoku/>
              <w:wordWrap/>
              <w:overflowPunct/>
              <w:topLinePunct w:val="0"/>
              <w:autoSpaceDE/>
              <w:autoSpaceDN/>
              <w:bidi w:val="0"/>
              <w:spacing w:line="360" w:lineRule="exact"/>
              <w:ind w:firstLine="420"/>
              <w:rPr>
                <w:rFonts w:hint="eastAsia" w:cs="仿宋"/>
                <w:color w:val="000000" w:themeColor="text1"/>
                <w:szCs w:val="21"/>
                <w:highlight w:val="none"/>
                <w14:textFill>
                  <w14:solidFill>
                    <w14:schemeClr w14:val="tx1"/>
                  </w14:solidFill>
                </w14:textFill>
              </w:rPr>
            </w:pPr>
            <w:r>
              <w:rPr>
                <w:rFonts w:hint="eastAsia" w:cs="仿宋"/>
                <w:color w:val="000000" w:themeColor="text1"/>
                <w:szCs w:val="21"/>
                <w:highlight w:val="none"/>
                <w14:textFill>
                  <w14:solidFill>
                    <w14:schemeClr w14:val="tx1"/>
                  </w14:solidFill>
                </w14:textFill>
              </w:rPr>
              <w:t>三档（</w:t>
            </w:r>
            <w:r>
              <w:rPr>
                <w:rFonts w:hint="eastAsia" w:cs="仿宋"/>
                <w:color w:val="000000" w:themeColor="text1"/>
                <w:szCs w:val="21"/>
                <w:highlight w:val="none"/>
                <w:lang w:val="en-US" w:eastAsia="zh-CN"/>
                <w14:textFill>
                  <w14:solidFill>
                    <w14:schemeClr w14:val="tx1"/>
                  </w14:solidFill>
                </w14:textFill>
              </w:rPr>
              <w:t>6</w:t>
            </w:r>
            <w:r>
              <w:rPr>
                <w:rFonts w:hint="eastAsia" w:cs="仿宋"/>
                <w:color w:val="000000" w:themeColor="text1"/>
                <w:szCs w:val="21"/>
                <w:highlight w:val="none"/>
                <w14:textFill>
                  <w14:solidFill>
                    <w14:schemeClr w14:val="tx1"/>
                  </w14:solidFill>
                </w14:textFill>
              </w:rPr>
              <w:t>分）：在满足二档的基础上，总体计划方案、规章管理制度与档案管理制度详细、完善，贴合采购单位需求，定期组织收集管理工作档案，归类整理定期存档，有完善科学的内部管理构架，管理运作机制、激励机制、监督机制、自我约束机制、信息反馈处理机制，每个机制要点均有展开详细阐述，标准体系结构合理，包括上述所有内容。</w:t>
            </w:r>
          </w:p>
          <w:p w14:paraId="212D9718">
            <w:pPr>
              <w:pStyle w:val="26"/>
              <w:keepNext w:val="0"/>
              <w:keepLines w:val="0"/>
              <w:pageBreakBefore w:val="0"/>
              <w:widowControl w:val="0"/>
              <w:kinsoku/>
              <w:wordWrap/>
              <w:overflowPunct/>
              <w:topLinePunct w:val="0"/>
              <w:autoSpaceDE/>
              <w:autoSpaceDN/>
              <w:bidi w:val="0"/>
              <w:spacing w:line="360" w:lineRule="exact"/>
              <w:ind w:left="0" w:leftChars="0" w:firstLine="0" w:firstLineChars="0"/>
              <w:rPr>
                <w:rFonts w:ascii="宋体" w:hAnsi="宋体" w:cs="宋体"/>
                <w:szCs w:val="21"/>
                <w:highlight w:val="none"/>
              </w:rPr>
            </w:pPr>
            <w:r>
              <w:rPr>
                <w:rFonts w:hint="eastAsia" w:ascii="宋体" w:hAnsi="宋体" w:eastAsia="宋体" w:cs="宋体"/>
                <w:b w:val="0"/>
                <w:bCs/>
                <w:color w:val="000000" w:themeColor="text1"/>
                <w:spacing w:val="0"/>
                <w:sz w:val="21"/>
                <w:szCs w:val="21"/>
                <w:highlight w:val="none"/>
                <w14:textFill>
                  <w14:solidFill>
                    <w14:schemeClr w14:val="tx1"/>
                  </w14:solidFill>
                </w14:textFill>
              </w:rPr>
              <w:t>注：未提供</w:t>
            </w:r>
            <w:r>
              <w:rPr>
                <w:rFonts w:hint="eastAsia" w:ascii="宋体" w:hAnsi="宋体" w:eastAsia="宋体" w:cs="宋体"/>
                <w:b w:val="0"/>
                <w:bCs/>
                <w:color w:val="000000" w:themeColor="text1"/>
                <w:spacing w:val="0"/>
                <w:sz w:val="21"/>
                <w:szCs w:val="21"/>
                <w:highlight w:val="none"/>
                <w:lang w:val="en-US" w:eastAsia="zh-CN"/>
                <w14:textFill>
                  <w14:solidFill>
                    <w14:schemeClr w14:val="tx1"/>
                  </w14:solidFill>
                </w14:textFill>
              </w:rPr>
              <w:t>方案</w:t>
            </w:r>
            <w:r>
              <w:rPr>
                <w:rFonts w:hint="eastAsia" w:ascii="宋体" w:hAnsi="宋体" w:eastAsia="宋体" w:cs="宋体"/>
                <w:b w:val="0"/>
                <w:bCs/>
                <w:color w:val="000000" w:themeColor="text1"/>
                <w:spacing w:val="0"/>
                <w:sz w:val="21"/>
                <w:szCs w:val="21"/>
                <w:highlight w:val="none"/>
                <w:lang w:eastAsia="zh-CN"/>
                <w14:textFill>
                  <w14:solidFill>
                    <w14:schemeClr w14:val="tx1"/>
                  </w14:solidFill>
                </w14:textFill>
              </w:rPr>
              <w:t>、</w:t>
            </w:r>
            <w:r>
              <w:rPr>
                <w:rFonts w:hint="eastAsia" w:cs="仿宋"/>
                <w:b w:val="0"/>
                <w:bCs/>
                <w:color w:val="000000" w:themeColor="text1"/>
                <w:szCs w:val="21"/>
                <w:highlight w:val="none"/>
                <w14:textFill>
                  <w14:solidFill>
                    <w14:schemeClr w14:val="tx1"/>
                  </w14:solidFill>
                </w14:textFill>
              </w:rPr>
              <w:t>不满足最低进档要求得</w:t>
            </w:r>
            <w:r>
              <w:rPr>
                <w:rFonts w:hint="eastAsia" w:cs="仿宋"/>
                <w:b w:val="0"/>
                <w:bCs/>
                <w:color w:val="000000" w:themeColor="text1"/>
                <w:szCs w:val="21"/>
                <w:highlight w:val="none"/>
                <w:lang w:val="en-US" w:eastAsia="zh-CN"/>
                <w14:textFill>
                  <w14:solidFill>
                    <w14:schemeClr w14:val="tx1"/>
                  </w14:solidFill>
                </w14:textFill>
              </w:rPr>
              <w:t>0</w:t>
            </w:r>
            <w:r>
              <w:rPr>
                <w:rFonts w:hint="eastAsia" w:cs="仿宋"/>
                <w:b w:val="0"/>
                <w:bCs/>
                <w:color w:val="000000" w:themeColor="text1"/>
                <w:szCs w:val="21"/>
                <w:highlight w:val="none"/>
                <w14:textFill>
                  <w14:solidFill>
                    <w14:schemeClr w14:val="tx1"/>
                  </w14:solidFill>
                </w14:textFill>
              </w:rPr>
              <w:t>分。</w:t>
            </w:r>
          </w:p>
        </w:tc>
      </w:tr>
      <w:tr w14:paraId="4635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FA6C988">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2.2</w:t>
            </w:r>
          </w:p>
        </w:tc>
        <w:tc>
          <w:tcPr>
            <w:tcW w:w="1494" w:type="dxa"/>
            <w:vAlign w:val="center"/>
          </w:tcPr>
          <w:p w14:paraId="2D571634">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校园环境管理服务方案分</w:t>
            </w:r>
          </w:p>
          <w:p w14:paraId="49172FDB">
            <w:pPr>
              <w:pStyle w:val="12"/>
              <w:keepNext w:val="0"/>
              <w:keepLines w:val="0"/>
              <w:pageBreakBefore w:val="0"/>
              <w:widowControl w:val="0"/>
              <w:kinsoku/>
              <w:wordWrap/>
              <w:overflowPunct/>
              <w:topLinePunct w:val="0"/>
              <w:autoSpaceDE/>
              <w:autoSpaceDN/>
              <w:bidi w:val="0"/>
              <w:spacing w:line="360" w:lineRule="exact"/>
              <w:rPr>
                <w:b/>
                <w:highlight w:val="none"/>
              </w:rPr>
            </w:pPr>
            <w:r>
              <w:rPr>
                <w:rFonts w:hint="eastAsia" w:ascii="宋体" w:hAnsi="宋体" w:cs="宋体"/>
                <w:b/>
                <w:sz w:val="21"/>
                <w:szCs w:val="21"/>
                <w:highlight w:val="none"/>
              </w:rPr>
              <w:t>（满分</w:t>
            </w:r>
            <w:r>
              <w:rPr>
                <w:rFonts w:hint="eastAsia" w:ascii="宋体" w:hAnsi="宋体" w:cs="宋体"/>
                <w:b/>
                <w:sz w:val="21"/>
                <w:szCs w:val="21"/>
                <w:highlight w:val="none"/>
                <w:lang w:val="en-US" w:eastAsia="zh-CN"/>
              </w:rPr>
              <w:t>12</w:t>
            </w:r>
            <w:r>
              <w:rPr>
                <w:rFonts w:hint="eastAsia" w:ascii="宋体" w:hAnsi="宋体" w:cs="宋体"/>
                <w:b/>
                <w:sz w:val="21"/>
                <w:szCs w:val="21"/>
                <w:highlight w:val="none"/>
              </w:rPr>
              <w:t>分）</w:t>
            </w:r>
          </w:p>
        </w:tc>
        <w:tc>
          <w:tcPr>
            <w:tcW w:w="7760" w:type="dxa"/>
            <w:vAlign w:val="center"/>
          </w:tcPr>
          <w:p w14:paraId="08B6177E">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方案包括但不限于：①服务要求及标准、②作业现场管理、③工作操作规程、④质量标准及频率、⑤工作管理制度、⑥安全保障措施、⑦服务质量保证措施、⑧管理思路及档案管理等内容。</w:t>
            </w:r>
          </w:p>
          <w:p w14:paraId="3052CEE8">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3</w:t>
            </w:r>
            <w:r>
              <w:rPr>
                <w:rFonts w:hint="eastAsia" w:ascii="宋体" w:hAnsi="宋体" w:cs="宋体"/>
                <w:szCs w:val="21"/>
                <w:highlight w:val="none"/>
              </w:rPr>
              <w:t>分）：投标人提供的服务方案包含（1）校园保洁服务、（2）垃圾清运及处理服务、（3）化粪池清理及卫生间疏通、（4）寒暑假及节假日保洁计划等4个方面，且每个方面对应的方案包括上述第①-②项内容，满足本项目采购需求，但仅有纲要、内容简略，未展开阐述；</w:t>
            </w:r>
          </w:p>
          <w:p w14:paraId="557AB234">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ascii="宋体" w:hAnsi="宋体" w:cs="宋体"/>
                <w:szCs w:val="21"/>
                <w:highlight w:val="none"/>
              </w:rPr>
              <w:t>6</w:t>
            </w:r>
            <w:r>
              <w:rPr>
                <w:rFonts w:hint="eastAsia" w:ascii="宋体" w:hAnsi="宋体" w:cs="宋体"/>
                <w:szCs w:val="21"/>
                <w:highlight w:val="none"/>
              </w:rPr>
              <w:t>分）：投标人提供的服务方案包含（1）校园保洁服务、（2）垃圾清运及处理服务、（3）化粪池清理及卫生间疏通、（4）寒暑假及节假日保洁计划等4个方面，且每个方面对应的方案包括上述第①-④项内容，内容完整，对服务内容展开了基本的阐述，有服务工作计划、落实措施；</w:t>
            </w:r>
          </w:p>
          <w:p w14:paraId="2856DBDA">
            <w:pPr>
              <w:keepNext w:val="0"/>
              <w:keepLines w:val="0"/>
              <w:pageBreakBefore w:val="0"/>
              <w:widowControl w:val="0"/>
              <w:kinsoku/>
              <w:wordWrap/>
              <w:overflowPunct/>
              <w:topLinePunct w:val="0"/>
              <w:autoSpaceDE/>
              <w:autoSpaceDN/>
              <w:bidi w:val="0"/>
              <w:spacing w:line="360" w:lineRule="exact"/>
              <w:ind w:firstLine="420" w:firstLineChars="200"/>
              <w:rPr>
                <w:rFonts w:hint="eastAsia" w:ascii="宋体" w:hAnsi="宋体" w:eastAsia="宋体" w:cs="宋体"/>
                <w:szCs w:val="21"/>
                <w:highlight w:val="none"/>
                <w:lang w:val="en-US" w:eastAsia="zh-CN"/>
              </w:rPr>
            </w:pPr>
            <w:r>
              <w:rPr>
                <w:rFonts w:hint="eastAsia" w:ascii="宋体" w:hAnsi="宋体" w:cs="宋体"/>
                <w:szCs w:val="21"/>
                <w:highlight w:val="none"/>
              </w:rPr>
              <w:t>三档（</w:t>
            </w:r>
            <w:r>
              <w:rPr>
                <w:rFonts w:ascii="宋体" w:hAnsi="宋体" w:cs="宋体"/>
                <w:szCs w:val="21"/>
                <w:highlight w:val="none"/>
              </w:rPr>
              <w:t>9</w:t>
            </w:r>
            <w:r>
              <w:rPr>
                <w:rFonts w:hint="eastAsia" w:ascii="宋体" w:hAnsi="宋体" w:cs="宋体"/>
                <w:szCs w:val="21"/>
                <w:highlight w:val="none"/>
              </w:rPr>
              <w:t>分）：投标人提供的服务方案包含（1）校园保洁服务、（2）垃圾清运及处理服务、（3）化粪池清理及卫生间疏通、（4）寒暑假及节假日保洁计划等4个方面，且每个方面对应的方案包括上述第①-⑥项内容，内容完整，对服务内容展开了</w:t>
            </w:r>
            <w:r>
              <w:rPr>
                <w:rFonts w:hint="eastAsia" w:ascii="宋体" w:hAnsi="宋体" w:cs="宋体"/>
                <w:szCs w:val="21"/>
                <w:highlight w:val="none"/>
                <w:lang w:val="en-US" w:eastAsia="zh-CN"/>
              </w:rPr>
              <w:t>详细</w:t>
            </w:r>
            <w:r>
              <w:rPr>
                <w:rFonts w:hint="eastAsia" w:ascii="宋体" w:hAnsi="宋体" w:cs="宋体"/>
                <w:szCs w:val="21"/>
                <w:highlight w:val="none"/>
              </w:rPr>
              <w:t>的阐述，有详细的服务工作计划、落实措施；</w:t>
            </w:r>
          </w:p>
          <w:p w14:paraId="1096FBF5">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四档（</w:t>
            </w:r>
            <w:r>
              <w:rPr>
                <w:rFonts w:ascii="宋体" w:hAnsi="宋体" w:cs="宋体"/>
                <w:szCs w:val="21"/>
                <w:highlight w:val="none"/>
              </w:rPr>
              <w:t>12</w:t>
            </w:r>
            <w:r>
              <w:rPr>
                <w:rFonts w:hint="eastAsia" w:ascii="宋体" w:hAnsi="宋体" w:cs="宋体"/>
                <w:szCs w:val="21"/>
                <w:highlight w:val="none"/>
              </w:rPr>
              <w:t>分）：投标人提供的服务方案包含（1）校园保洁服务、（2）垃圾清运及处理服务、（3）化粪池清理及卫生间疏通、（4）寒暑假及节假日保洁计划等4个方面，且每个方面对应的方案包括上述所有8项内容，服务方案内容细致详尽，能够根据采购单位的特点制定详细的方案服务计划、落实措施及服务质量考核办法，整体管理方案完全适用本项目，对于本项目的保洁卫生要点能够展开详细的阐述。服务方案包括上述全部内容。</w:t>
            </w:r>
          </w:p>
          <w:p w14:paraId="3C681851">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2156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9E8E6FF">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2.3</w:t>
            </w:r>
          </w:p>
        </w:tc>
        <w:tc>
          <w:tcPr>
            <w:tcW w:w="1494" w:type="dxa"/>
            <w:vAlign w:val="center"/>
          </w:tcPr>
          <w:p w14:paraId="62B0DDCA">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学生宿舍管理方案分</w:t>
            </w:r>
          </w:p>
          <w:p w14:paraId="19168FAC">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8</w:t>
            </w:r>
            <w:r>
              <w:rPr>
                <w:rFonts w:hint="eastAsia" w:ascii="宋体" w:hAnsi="宋体" w:cs="宋体"/>
                <w:b/>
                <w:szCs w:val="21"/>
                <w:highlight w:val="none"/>
              </w:rPr>
              <w:t>分）</w:t>
            </w:r>
          </w:p>
        </w:tc>
        <w:tc>
          <w:tcPr>
            <w:tcW w:w="7760" w:type="dxa"/>
            <w:shd w:val="clear" w:color="auto" w:fill="auto"/>
            <w:vAlign w:val="center"/>
          </w:tcPr>
          <w:p w14:paraId="7EAAA932">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2</w:t>
            </w:r>
            <w:r>
              <w:rPr>
                <w:rFonts w:hint="eastAsia" w:ascii="宋体" w:hAnsi="宋体" w:cs="宋体"/>
                <w:szCs w:val="21"/>
                <w:highlight w:val="none"/>
              </w:rPr>
              <w:t>分）：方案内容简单，提供的项目方案满足采购需求，基本可行，但方案内容设置没有针对性。</w:t>
            </w:r>
          </w:p>
          <w:p w14:paraId="3A04DF1E">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4</w:t>
            </w:r>
            <w:r>
              <w:rPr>
                <w:rFonts w:hint="eastAsia" w:ascii="宋体" w:hAnsi="宋体" w:cs="宋体"/>
                <w:szCs w:val="21"/>
                <w:highlight w:val="none"/>
              </w:rPr>
              <w:t>分）：方案内容完整可行，方案针对本项目的实际需求详细制定，方案具有一定的先进性且考虑周全，目标明确，学生宿舍管理员具有高中（含）或中等职业学校以上文化程度的人数不低于</w:t>
            </w:r>
            <w:r>
              <w:rPr>
                <w:rFonts w:ascii="宋体" w:hAnsi="宋体" w:cs="宋体"/>
                <w:szCs w:val="21"/>
                <w:highlight w:val="none"/>
              </w:rPr>
              <w:t>10</w:t>
            </w:r>
            <w:r>
              <w:rPr>
                <w:rFonts w:hint="eastAsia" w:ascii="宋体" w:hAnsi="宋体" w:cs="宋体"/>
                <w:szCs w:val="21"/>
                <w:highlight w:val="none"/>
              </w:rPr>
              <w:t>%；</w:t>
            </w:r>
          </w:p>
          <w:p w14:paraId="12F34328">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6</w:t>
            </w:r>
            <w:r>
              <w:rPr>
                <w:rFonts w:hint="eastAsia" w:ascii="宋体" w:hAnsi="宋体" w:cs="宋体"/>
                <w:szCs w:val="21"/>
                <w:highlight w:val="none"/>
              </w:rPr>
              <w:t>分）：方案内容详细完整、科学可行，提供的项目方案针对本项目的采购需求详细制定，具有创新性内容且考虑周全便于落实实施，学生宿舍管理员具有高中（含）或中等职业学校以上文化程度的人数不低于</w:t>
            </w:r>
            <w:r>
              <w:rPr>
                <w:rFonts w:ascii="宋体" w:hAnsi="宋体" w:cs="宋体"/>
                <w:szCs w:val="21"/>
                <w:highlight w:val="none"/>
              </w:rPr>
              <w:t>20</w:t>
            </w:r>
            <w:r>
              <w:rPr>
                <w:rFonts w:hint="eastAsia" w:ascii="宋体" w:hAnsi="宋体" w:cs="宋体"/>
                <w:szCs w:val="21"/>
                <w:highlight w:val="none"/>
              </w:rPr>
              <w:t>%。</w:t>
            </w:r>
          </w:p>
          <w:p w14:paraId="0CCC91BC">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四档（</w:t>
            </w:r>
            <w:r>
              <w:rPr>
                <w:rFonts w:hint="eastAsia" w:ascii="宋体" w:hAnsi="宋体" w:cs="宋体"/>
                <w:szCs w:val="21"/>
                <w:highlight w:val="none"/>
                <w:lang w:val="en-US" w:eastAsia="zh-CN"/>
              </w:rPr>
              <w:t>8</w:t>
            </w:r>
            <w:r>
              <w:rPr>
                <w:rFonts w:hint="eastAsia" w:ascii="宋体" w:hAnsi="宋体" w:cs="宋体"/>
                <w:szCs w:val="21"/>
                <w:highlight w:val="none"/>
              </w:rPr>
              <w:t>分）：方案内容详细完整、科学可行，提供的项目方案针对本项目的采购需求详细制定，具有创新性内容且考虑周全便于落实实施，学生宿舍管理员具有高中（含）或中等职业学校以上文化程度的人数不低于</w:t>
            </w:r>
            <w:r>
              <w:rPr>
                <w:rFonts w:ascii="宋体" w:hAnsi="宋体" w:cs="宋体"/>
                <w:szCs w:val="21"/>
                <w:highlight w:val="none"/>
              </w:rPr>
              <w:t>50</w:t>
            </w:r>
            <w:r>
              <w:rPr>
                <w:rFonts w:hint="eastAsia" w:ascii="宋体" w:hAnsi="宋体" w:cs="宋体"/>
                <w:szCs w:val="21"/>
                <w:highlight w:val="none"/>
              </w:rPr>
              <w:t>%。</w:t>
            </w:r>
          </w:p>
          <w:p w14:paraId="3DA834F4">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602B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2C06B3DA">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2.4</w:t>
            </w:r>
          </w:p>
        </w:tc>
        <w:tc>
          <w:tcPr>
            <w:tcW w:w="1494" w:type="dxa"/>
            <w:vAlign w:val="center"/>
          </w:tcPr>
          <w:p w14:paraId="67C806BE">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hint="eastAsia" w:ascii="宋体" w:hAnsi="宋体" w:cs="宋体"/>
                <w:b/>
                <w:szCs w:val="21"/>
                <w:highlight w:val="none"/>
              </w:rPr>
            </w:pPr>
            <w:r>
              <w:rPr>
                <w:rFonts w:hint="eastAsia" w:ascii="宋体" w:hAnsi="宋体" w:cs="宋体"/>
                <w:b/>
                <w:szCs w:val="21"/>
                <w:highlight w:val="none"/>
              </w:rPr>
              <w:t>设备设施维护方案分</w:t>
            </w:r>
          </w:p>
          <w:p w14:paraId="399EC532">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9</w:t>
            </w:r>
            <w:r>
              <w:rPr>
                <w:rFonts w:hint="eastAsia" w:ascii="宋体" w:hAnsi="宋体" w:cs="宋体"/>
                <w:b/>
                <w:szCs w:val="21"/>
                <w:highlight w:val="none"/>
              </w:rPr>
              <w:t>分）</w:t>
            </w:r>
          </w:p>
        </w:tc>
        <w:tc>
          <w:tcPr>
            <w:tcW w:w="7760" w:type="dxa"/>
            <w:vAlign w:val="center"/>
          </w:tcPr>
          <w:p w14:paraId="6BA7E971">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方案覆盖范围：弱电系统、消防系统、给排水设备、供电设备、空调系统、房屋公共设施养护</w:t>
            </w:r>
            <w:r>
              <w:rPr>
                <w:rFonts w:hint="eastAsia" w:ascii="宋体" w:hAnsi="宋体" w:cs="宋体"/>
                <w:szCs w:val="21"/>
                <w:highlight w:val="none"/>
                <w:lang w:val="en-US" w:eastAsia="zh-CN"/>
              </w:rPr>
              <w:t>共</w:t>
            </w:r>
            <w:r>
              <w:rPr>
                <w:rFonts w:hint="eastAsia" w:ascii="宋体" w:hAnsi="宋体" w:cs="宋体"/>
                <w:szCs w:val="21"/>
                <w:highlight w:val="none"/>
              </w:rPr>
              <w:t>六大板块；方案内容须包含①维保服务标准与周期、②现场作业管理规范、③分系统专项操作规程、④故障报修处置时限与应急方案、⑤设备台账及档案管理制度、⑥安全作业保障措施、⑦质量自检与整改机制、⑧年度维保计划与耗材管控等内容。</w:t>
            </w:r>
          </w:p>
          <w:p w14:paraId="26C5FD5D">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3</w:t>
            </w:r>
            <w:r>
              <w:rPr>
                <w:rFonts w:hint="eastAsia" w:ascii="宋体" w:hAnsi="宋体" w:cs="宋体"/>
                <w:szCs w:val="21"/>
                <w:highlight w:val="none"/>
              </w:rPr>
              <w:t>分）：投标人设备设施维护方案覆盖弱电、消防、给排水、供电、空调、房屋养护六大板块基础内容，方案仅包含上述8项内容中①-②项，内容简略、仅纲要表述，仅满足项目最低维保需求，无针对性细化内容。</w:t>
            </w:r>
          </w:p>
          <w:p w14:paraId="659D7661">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6</w:t>
            </w:r>
            <w:r>
              <w:rPr>
                <w:rFonts w:hint="eastAsia" w:ascii="宋体" w:hAnsi="宋体" w:cs="宋体"/>
                <w:szCs w:val="21"/>
                <w:highlight w:val="none"/>
              </w:rPr>
              <w:t>分）：投标人设备设施维护方案完整覆盖六大维保板块，每个板块方案包含上述8项内容中①-⑤项，内容完整可落地，对照采购需求列明各系统巡检、保养、维修频次，明确故障报修到场、处置时限，配套基础台账管理措施，贴合</w:t>
            </w:r>
            <w:r>
              <w:rPr>
                <w:rFonts w:hint="eastAsia" w:ascii="宋体" w:hAnsi="宋体" w:cs="宋体"/>
                <w:szCs w:val="21"/>
                <w:highlight w:val="none"/>
                <w:lang w:val="en-US" w:eastAsia="zh-CN"/>
              </w:rPr>
              <w:t>采购需求</w:t>
            </w:r>
            <w:r>
              <w:rPr>
                <w:rFonts w:hint="eastAsia" w:ascii="宋体" w:hAnsi="宋体" w:cs="宋体"/>
                <w:szCs w:val="21"/>
                <w:highlight w:val="none"/>
              </w:rPr>
              <w:t>。</w:t>
            </w:r>
          </w:p>
          <w:p w14:paraId="76882B6B">
            <w:pPr>
              <w:keepNext w:val="0"/>
              <w:keepLines w:val="0"/>
              <w:pageBreakBefore w:val="0"/>
              <w:widowControl w:val="0"/>
              <w:kinsoku/>
              <w:wordWrap/>
              <w:overflowPunct/>
              <w:topLinePunct w:val="0"/>
              <w:autoSpaceDE/>
              <w:autoSpaceDN/>
              <w:bidi w:val="0"/>
              <w:spacing w:line="360" w:lineRule="exact"/>
              <w:ind w:firstLine="420" w:firstLineChars="200"/>
              <w:rPr>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9</w:t>
            </w:r>
            <w:r>
              <w:rPr>
                <w:rFonts w:hint="eastAsia" w:ascii="宋体" w:hAnsi="宋体" w:cs="宋体"/>
                <w:szCs w:val="21"/>
                <w:highlight w:val="none"/>
              </w:rPr>
              <w:t>分）：投标人设备设施维护方案完整覆盖六大维保板块，每个板块方案完整包含上述全部8项内容；针对学校消防、监控、二次供水、高低压配电、空调、房屋零星维修制定分系统精细化维保细则，明确各类设备年度/季度/月度/周度保养清单、故障分级应急处置流程、消防平面图纸建档、二次供水清洗消杀、防雷年度检测等专项管控措施；具备完善设备档案、定期普查、维修回访、耗材包干管控机制。</w:t>
            </w:r>
          </w:p>
          <w:p w14:paraId="2784A137">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注：未提供方案、不满足最低</w:t>
            </w:r>
            <w:r>
              <w:rPr>
                <w:rFonts w:hint="eastAsia" w:ascii="宋体" w:hAnsi="宋体" w:cs="宋体"/>
                <w:szCs w:val="21"/>
                <w:highlight w:val="none"/>
                <w:lang w:val="en-US" w:eastAsia="zh-CN"/>
              </w:rPr>
              <w:t>进档</w:t>
            </w:r>
            <w:r>
              <w:rPr>
                <w:rFonts w:hint="eastAsia" w:ascii="宋体" w:hAnsi="宋体" w:cs="宋体"/>
                <w:szCs w:val="21"/>
                <w:highlight w:val="none"/>
              </w:rPr>
              <w:t>要求得0分。</w:t>
            </w:r>
          </w:p>
        </w:tc>
      </w:tr>
      <w:tr w14:paraId="191B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6C878617">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2.5</w:t>
            </w:r>
          </w:p>
        </w:tc>
        <w:tc>
          <w:tcPr>
            <w:tcW w:w="1494" w:type="dxa"/>
            <w:vAlign w:val="center"/>
          </w:tcPr>
          <w:p w14:paraId="683D0ACB">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hint="eastAsia" w:ascii="宋体" w:hAnsi="宋体" w:cs="宋体"/>
                <w:b/>
                <w:szCs w:val="21"/>
                <w:highlight w:val="none"/>
              </w:rPr>
            </w:pPr>
            <w:r>
              <w:rPr>
                <w:rFonts w:hint="eastAsia" w:ascii="宋体" w:hAnsi="宋体" w:cs="宋体"/>
                <w:b/>
                <w:szCs w:val="21"/>
                <w:highlight w:val="none"/>
              </w:rPr>
              <w:t>绿化维护服务方案分</w:t>
            </w:r>
          </w:p>
          <w:p w14:paraId="325EFCD2">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9</w:t>
            </w:r>
            <w:r>
              <w:rPr>
                <w:rFonts w:hint="eastAsia" w:ascii="宋体" w:hAnsi="宋体" w:cs="宋体"/>
                <w:b/>
                <w:szCs w:val="21"/>
                <w:highlight w:val="none"/>
              </w:rPr>
              <w:t>分）</w:t>
            </w:r>
          </w:p>
        </w:tc>
        <w:tc>
          <w:tcPr>
            <w:tcW w:w="7760" w:type="dxa"/>
            <w:vAlign w:val="center"/>
          </w:tcPr>
          <w:p w14:paraId="29C91532">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包括但不限于：①养护服务要求及标准、②现场作业管理、③工作操作规程（如修剪、施肥、灌溉等）、④养护质量标准和频率、⑤专项技术方案（如不同季节发生的虫害综合防治及保护等）、⑥季节性工作重点等内容、⑦应急处理预案。</w:t>
            </w:r>
          </w:p>
          <w:p w14:paraId="77540BB2">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3</w:t>
            </w:r>
            <w:r>
              <w:rPr>
                <w:rFonts w:hint="eastAsia" w:ascii="宋体" w:hAnsi="宋体" w:cs="宋体"/>
                <w:szCs w:val="21"/>
                <w:highlight w:val="none"/>
              </w:rPr>
              <w:t>分）：投标人提供的绿化养护服务方案包含（1）日常养护、（2）整形修剪、（3）病虫害防治、（4）植被培育、补植更新、（5）绿化垃圾处理等5个基本方面，且每个方面对应的方案内容包括上述第①-③项内容，方案仅满足本项目基本采购需求，但内容简略，多为纲要性描述，未结合校园环境进行具体阐述。</w:t>
            </w:r>
          </w:p>
          <w:p w14:paraId="3755A4D6">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6</w:t>
            </w:r>
            <w:r>
              <w:rPr>
                <w:rFonts w:hint="eastAsia" w:ascii="宋体" w:hAnsi="宋体" w:cs="宋体"/>
                <w:szCs w:val="21"/>
                <w:highlight w:val="none"/>
              </w:rPr>
              <w:t>分）：投标人提供的绿化养护服务方案包含（1）日常养护、（2）整形修剪、（3）病虫害防治、（4）植被培育、补植更新、（5）绿化垃圾处理等5个基本方面，且每个方面对应的方案内容包括上述第①-⑥项内容。方案内容完整，对服务标准、操作规程、养护频率等展开了基本阐述，有详细的年度或季度工作计划和落实措施，具备可操作性。</w:t>
            </w:r>
          </w:p>
          <w:p w14:paraId="6947D26F">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9</w:t>
            </w:r>
            <w:r>
              <w:rPr>
                <w:rFonts w:hint="eastAsia" w:ascii="宋体" w:hAnsi="宋体" w:cs="宋体"/>
                <w:szCs w:val="21"/>
                <w:highlight w:val="none"/>
              </w:rPr>
              <w:t>分）：投标人提供的绿化养护服务方案包含（1）日常养护、（2）整形修剪、（3）病虫害防治、（4）植被培育、补植更新、（5）绿化垃圾处理等5个基本方面，且每个方面对应的方案内容包括上述所有7项内容。服务方案内容细致详尽，能够根据校园的功能分区（如教学区、生活区等）、师生作息及安全要求等特点，制定差异化的精细养护计划、落实措施及质量考核办法。方案需体现大型乔木保护、极端天气应急响应等专项方案。整体方案科学、系统，完全适用于本项目，并对校园绿化景观效果的提升有详细阐述。</w:t>
            </w:r>
          </w:p>
          <w:p w14:paraId="482D4D88">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0DBB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6F0097F9">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2.6</w:t>
            </w:r>
          </w:p>
        </w:tc>
        <w:tc>
          <w:tcPr>
            <w:tcW w:w="1494" w:type="dxa"/>
            <w:vAlign w:val="center"/>
          </w:tcPr>
          <w:p w14:paraId="15044DEC">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人员、物资配置情况方案分</w:t>
            </w:r>
          </w:p>
          <w:p w14:paraId="20FDE0A1">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12</w:t>
            </w:r>
            <w:r>
              <w:rPr>
                <w:rFonts w:hint="eastAsia" w:ascii="宋体" w:hAnsi="宋体" w:cs="宋体"/>
                <w:b/>
                <w:szCs w:val="21"/>
                <w:highlight w:val="none"/>
              </w:rPr>
              <w:t>分）</w:t>
            </w:r>
          </w:p>
        </w:tc>
        <w:tc>
          <w:tcPr>
            <w:tcW w:w="7760" w:type="dxa"/>
            <w:vAlign w:val="center"/>
          </w:tcPr>
          <w:p w14:paraId="305C4CD4">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方案包括但不限于：①项目管理组织架构与人员配备（明确各岗位人员的工作经验、数量及职责）、②人员管理制度（含招聘、考核、激励、淘汰及后备机制）、③物资装备配置方案（含作业器械</w:t>
            </w:r>
            <w:r>
              <w:rPr>
                <w:rFonts w:hint="eastAsia" w:ascii="宋体" w:hAnsi="宋体" w:cs="宋体"/>
                <w:szCs w:val="21"/>
                <w:highlight w:val="none"/>
                <w:lang w:val="en-US" w:eastAsia="zh-CN"/>
              </w:rPr>
              <w:t>、</w:t>
            </w:r>
            <w:r>
              <w:rPr>
                <w:rFonts w:hint="eastAsia" w:ascii="宋体" w:hAnsi="宋体" w:cs="宋体"/>
                <w:szCs w:val="21"/>
                <w:highlight w:val="none"/>
              </w:rPr>
              <w:t>劳保装备等）、④人员与物资的协调保障措施、⑤服务团队稳定性保障方案、⑥关键岗位人员储备与应急预案、⑦物资仓储、维护与更新机制等7项内容。</w:t>
            </w:r>
          </w:p>
          <w:p w14:paraId="0C76982C">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ascii="宋体" w:hAnsi="宋体" w:cs="宋体"/>
                <w:szCs w:val="21"/>
                <w:highlight w:val="none"/>
              </w:rPr>
              <w:t>4</w:t>
            </w:r>
            <w:r>
              <w:rPr>
                <w:rFonts w:hint="eastAsia" w:ascii="宋体" w:hAnsi="宋体" w:cs="宋体"/>
                <w:szCs w:val="21"/>
                <w:highlight w:val="none"/>
              </w:rPr>
              <w:t>分）：投标人提供的人员、物资配置方案内容简略，仅包含上述</w:t>
            </w:r>
            <w:r>
              <w:rPr>
                <w:rFonts w:ascii="宋体" w:hAnsi="宋体" w:cs="宋体"/>
                <w:szCs w:val="21"/>
                <w:highlight w:val="none"/>
              </w:rPr>
              <w:t>7</w:t>
            </w:r>
            <w:r>
              <w:rPr>
                <w:rFonts w:hint="eastAsia" w:ascii="宋体" w:hAnsi="宋体" w:cs="宋体"/>
                <w:szCs w:val="21"/>
                <w:highlight w:val="none"/>
              </w:rPr>
              <w:t>项内容中的第①-③项。方案仅为纲要性描述，对岗位设置、人员管理、物资清单等缺乏具体规划和详细说明，未能体现与本项目实际需求的匹配度。</w:t>
            </w:r>
          </w:p>
          <w:p w14:paraId="05974E0D">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ascii="宋体" w:hAnsi="宋体" w:cs="宋体"/>
                <w:szCs w:val="21"/>
                <w:highlight w:val="none"/>
              </w:rPr>
              <w:t>8</w:t>
            </w:r>
            <w:r>
              <w:rPr>
                <w:rFonts w:hint="eastAsia" w:ascii="宋体" w:hAnsi="宋体" w:cs="宋体"/>
                <w:szCs w:val="21"/>
                <w:highlight w:val="none"/>
              </w:rPr>
              <w:t>分）：投标人提供的人员、物资配置方案内容较为系统、完整，包含上述</w:t>
            </w:r>
            <w:r>
              <w:rPr>
                <w:rFonts w:ascii="宋体" w:hAnsi="宋体" w:cs="宋体"/>
                <w:szCs w:val="21"/>
                <w:highlight w:val="none"/>
              </w:rPr>
              <w:t>7</w:t>
            </w:r>
            <w:r>
              <w:rPr>
                <w:rFonts w:hint="eastAsia" w:ascii="宋体" w:hAnsi="宋体" w:cs="宋体"/>
                <w:szCs w:val="21"/>
                <w:highlight w:val="none"/>
              </w:rPr>
              <w:t>项内容中的第①-⑤项。方案能针对项目需求合理设置岗位并规划人员配置，制定了基本的人员管理、考核制度。物资装备的品类、数量及质量要求描述清晰，能够满足服务的基本运行需求，方案具备可操作性。</w:t>
            </w:r>
          </w:p>
          <w:p w14:paraId="1BEA38A3">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ascii="宋体" w:hAnsi="宋体" w:cs="宋体"/>
                <w:szCs w:val="21"/>
                <w:highlight w:val="none"/>
              </w:rPr>
              <w:t>12</w:t>
            </w:r>
            <w:r>
              <w:rPr>
                <w:rFonts w:hint="eastAsia" w:ascii="宋体" w:hAnsi="宋体" w:cs="宋体"/>
                <w:szCs w:val="21"/>
                <w:highlight w:val="none"/>
              </w:rPr>
              <w:t>分）：投标人提供的方案全面覆盖上述全部</w:t>
            </w:r>
            <w:r>
              <w:rPr>
                <w:rFonts w:ascii="宋体" w:hAnsi="宋体" w:cs="宋体"/>
                <w:szCs w:val="21"/>
                <w:highlight w:val="none"/>
              </w:rPr>
              <w:t>7</w:t>
            </w:r>
            <w:r>
              <w:rPr>
                <w:rFonts w:hint="eastAsia" w:ascii="宋体" w:hAnsi="宋体" w:cs="宋体"/>
                <w:szCs w:val="21"/>
                <w:highlight w:val="none"/>
              </w:rPr>
              <w:t>项内容，且内容细致、科学、详尽。方案能紧密结合校园物业服务特点，提出创新性、精细化的人员管理措施（如员工职业发展通道、稳定的薪酬激励体系、高效的排班与替岗机制等）。物资装备配置方案先进、合理，明确投入计划，并制定了完善的物资管理与更新流程。整体方案充分体现了投标人优化资源配置、保障服务团队稳定性和提升服务效能的能力，完全适用于本项目。</w:t>
            </w:r>
          </w:p>
          <w:p w14:paraId="008CE15D">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投标人须按本项目需求提供人员投入数量、岗位总表（格式自拟，须加盖投标人公章）、物资配置情况表（格式自拟，须加盖投标人公章）；投标人须提供拟投入的以下核心岗位：项目经理、综合专员、工程主管、保洁绿化主管、宿舍主管相关证明文件的扫描件（格式自拟，须加盖投标人公章）。不能完全满足某一档次全部要求的，列入次低一档。</w:t>
            </w:r>
          </w:p>
          <w:p w14:paraId="03065D8F">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7BF2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549E814F">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2</w:t>
            </w:r>
            <w:r>
              <w:rPr>
                <w:rFonts w:ascii="宋体" w:hAnsi="宋体" w:cs="宋体"/>
                <w:b/>
                <w:bCs/>
                <w:szCs w:val="21"/>
                <w:highlight w:val="none"/>
              </w:rPr>
              <w:t>.7</w:t>
            </w:r>
          </w:p>
        </w:tc>
        <w:tc>
          <w:tcPr>
            <w:tcW w:w="1494" w:type="dxa"/>
            <w:vAlign w:val="center"/>
          </w:tcPr>
          <w:p w14:paraId="59FA8414">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人员培训方案</w:t>
            </w:r>
          </w:p>
          <w:p w14:paraId="66859CAF">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6</w:t>
            </w:r>
            <w:r>
              <w:rPr>
                <w:rFonts w:hint="eastAsia" w:ascii="宋体" w:hAnsi="宋体" w:cs="宋体"/>
                <w:b/>
                <w:szCs w:val="21"/>
                <w:highlight w:val="none"/>
              </w:rPr>
              <w:t>分）</w:t>
            </w:r>
          </w:p>
        </w:tc>
        <w:tc>
          <w:tcPr>
            <w:tcW w:w="7760" w:type="dxa"/>
            <w:vAlign w:val="center"/>
          </w:tcPr>
          <w:p w14:paraId="7C0999EC">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方案主要包括①培训机构、②培训资料、③培训标准、④培训记录、⑤培训大纲、⑥培训方式、⑦培训方法、⑧培训效果评估等内容。</w:t>
            </w:r>
          </w:p>
          <w:p w14:paraId="399EE214">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2</w:t>
            </w:r>
            <w:r>
              <w:rPr>
                <w:rFonts w:hint="eastAsia" w:ascii="宋体" w:hAnsi="宋体" w:cs="宋体"/>
                <w:szCs w:val="21"/>
                <w:highlight w:val="none"/>
              </w:rPr>
              <w:t>分）：培训方案包括上述8项内容中的第①-③项内容，适用本项目用户需求，但仅有纲要、内容简略未展开详细具体的阐述；</w:t>
            </w:r>
          </w:p>
          <w:p w14:paraId="6F5C530F">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4</w:t>
            </w:r>
            <w:r>
              <w:rPr>
                <w:rFonts w:hint="eastAsia" w:ascii="宋体" w:hAnsi="宋体" w:cs="宋体"/>
                <w:szCs w:val="21"/>
                <w:highlight w:val="none"/>
              </w:rPr>
              <w:t>分）：针对本项目制定有人员培训方案、方案架构完整，包括上述8项内容中的第①-⑥项内容，培训目标清晰明确，注重提供员工综合能力，同时对培训方案展开了详细具体的阐述，有培训计划、落实措施；</w:t>
            </w:r>
          </w:p>
          <w:p w14:paraId="4E62864D">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6</w:t>
            </w:r>
            <w:r>
              <w:rPr>
                <w:rFonts w:hint="eastAsia" w:ascii="宋体" w:hAnsi="宋体" w:cs="宋体"/>
                <w:szCs w:val="21"/>
                <w:highlight w:val="none"/>
              </w:rPr>
              <w:t>分）：方案适用本项目需求，包括上述全部8项内容，对整体方案展开了详细的阐述，培训时间安排合理，有详尽的培训时间计划表，对人员的培训能够联系实际，专业技术培训与职业道德教育相结合，保证员工能够适应现阶段物业管理服务市场、采购人等服务对象对物业从业人员的要求。</w:t>
            </w:r>
          </w:p>
          <w:p w14:paraId="208631EE">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02D5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0484B401">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2</w:t>
            </w:r>
            <w:r>
              <w:rPr>
                <w:rFonts w:ascii="宋体" w:hAnsi="宋体" w:cs="宋体"/>
                <w:b/>
                <w:bCs/>
                <w:szCs w:val="21"/>
                <w:highlight w:val="none"/>
              </w:rPr>
              <w:t>.8</w:t>
            </w:r>
          </w:p>
        </w:tc>
        <w:tc>
          <w:tcPr>
            <w:tcW w:w="1494" w:type="dxa"/>
            <w:vAlign w:val="center"/>
          </w:tcPr>
          <w:p w14:paraId="2EFBC751">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质量保障与服务承诺方案分</w:t>
            </w:r>
          </w:p>
          <w:p w14:paraId="4C267DAB">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8</w:t>
            </w:r>
            <w:r>
              <w:rPr>
                <w:rFonts w:hint="eastAsia" w:ascii="宋体" w:hAnsi="宋体" w:cs="宋体"/>
                <w:b/>
                <w:szCs w:val="21"/>
                <w:highlight w:val="none"/>
              </w:rPr>
              <w:t>分）</w:t>
            </w:r>
          </w:p>
        </w:tc>
        <w:tc>
          <w:tcPr>
            <w:tcW w:w="7760" w:type="dxa"/>
            <w:vAlign w:val="center"/>
          </w:tcPr>
          <w:p w14:paraId="0CA18CE7">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主要包括①内部管理、②科学技术管理、③风险防范措施、④服务质量管理、⑤物业服务承诺、⑥按法律法规开展各项服务及经营的承诺、⑦实施方案内容的承诺、⑧服务态度承诺、⑨服务响应时间和解决问题时限承诺、⑩服务指标承诺及监督保障等内容。</w:t>
            </w:r>
          </w:p>
          <w:p w14:paraId="6EDBCAC4">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ascii="宋体" w:hAnsi="宋体" w:cs="宋体"/>
                <w:szCs w:val="21"/>
                <w:highlight w:val="none"/>
              </w:rPr>
              <w:t>3</w:t>
            </w:r>
            <w:r>
              <w:rPr>
                <w:rFonts w:hint="eastAsia" w:ascii="宋体" w:hAnsi="宋体" w:cs="宋体"/>
                <w:szCs w:val="21"/>
                <w:highlight w:val="none"/>
              </w:rPr>
              <w:t xml:space="preserve">分）：针对本项目提出质量保障措施及服务承诺仅有纲要、内容简略，未展开阐述，包括上述10项内容中的第①-③项内容； </w:t>
            </w:r>
          </w:p>
          <w:p w14:paraId="28E2364C">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5</w:t>
            </w:r>
            <w:r>
              <w:rPr>
                <w:rFonts w:hint="eastAsia" w:ascii="宋体" w:hAnsi="宋体" w:cs="宋体"/>
                <w:szCs w:val="21"/>
                <w:highlight w:val="none"/>
              </w:rPr>
              <w:t>分）：质量保障内容详细、有保障工作计划、落实措施，能够保证服务期内定期在工作现场巡视、监督服务质量，能够针对采购单位服务要求能够合理设置应急人员，有保障应急工作顺利开展，服务承诺内容详细、对服务承诺有具体的承诺落实措施，服务质量有保障，包括上述10项内容中的第①-⑦项内容；</w:t>
            </w:r>
          </w:p>
          <w:p w14:paraId="274C65F3">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8</w:t>
            </w:r>
            <w:r>
              <w:rPr>
                <w:rFonts w:hint="eastAsia" w:ascii="宋体" w:hAnsi="宋体" w:cs="宋体"/>
                <w:szCs w:val="21"/>
                <w:highlight w:val="none"/>
              </w:rPr>
              <w:t>分）：提出的质量保障措施详细，并细分成内部管理措施、现代化科学技术管理保证措施、法律风险、用工风险防范措施、人员招聘能力措施、企业文化和班组建设能力保障措施等内容，且适用本项目用户需求。服务承诺包括上述全部内容，内容详细，在基础服务内容上，承诺项目服务期间能够对各项服务保持持续跟踪和改进，包括上述全部10项内容。</w:t>
            </w:r>
          </w:p>
          <w:p w14:paraId="41D95015">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2911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323DDEDE">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3</w:t>
            </w:r>
          </w:p>
        </w:tc>
        <w:tc>
          <w:tcPr>
            <w:tcW w:w="1494" w:type="dxa"/>
            <w:vAlign w:val="center"/>
          </w:tcPr>
          <w:p w14:paraId="544CD921">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szCs w:val="21"/>
                <w:highlight w:val="none"/>
              </w:rPr>
              <w:t>商务分</w:t>
            </w:r>
          </w:p>
          <w:p w14:paraId="4A345A7B">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10</w:t>
            </w:r>
            <w:r>
              <w:rPr>
                <w:rFonts w:hint="eastAsia" w:ascii="宋体" w:hAnsi="宋体" w:cs="宋体"/>
                <w:b/>
                <w:szCs w:val="21"/>
                <w:highlight w:val="none"/>
              </w:rPr>
              <w:t>分）</w:t>
            </w:r>
          </w:p>
        </w:tc>
        <w:tc>
          <w:tcPr>
            <w:tcW w:w="7760" w:type="dxa"/>
            <w:vAlign w:val="center"/>
          </w:tcPr>
          <w:p w14:paraId="78FD4B6D">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szCs w:val="21"/>
                <w:highlight w:val="none"/>
              </w:rPr>
              <w:t>评分标准</w:t>
            </w:r>
          </w:p>
        </w:tc>
      </w:tr>
      <w:tr w14:paraId="714C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6AC04ED9">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b/>
                <w:bCs/>
                <w:szCs w:val="21"/>
                <w:highlight w:val="none"/>
                <w:lang w:val="en-US" w:eastAsia="zh-CN"/>
              </w:rPr>
            </w:pPr>
            <w:r>
              <w:rPr>
                <w:rFonts w:ascii="宋体" w:hAnsi="宋体" w:cs="宋体"/>
                <w:b/>
                <w:bCs/>
                <w:szCs w:val="21"/>
                <w:highlight w:val="none"/>
              </w:rPr>
              <w:t>3.</w:t>
            </w:r>
            <w:r>
              <w:rPr>
                <w:rFonts w:hint="eastAsia" w:ascii="宋体" w:hAnsi="宋体" w:cs="宋体"/>
                <w:b/>
                <w:bCs/>
                <w:szCs w:val="21"/>
                <w:highlight w:val="none"/>
                <w:lang w:val="en-US" w:eastAsia="zh-CN"/>
              </w:rPr>
              <w:t>1</w:t>
            </w:r>
          </w:p>
        </w:tc>
        <w:tc>
          <w:tcPr>
            <w:tcW w:w="1494" w:type="dxa"/>
            <w:vAlign w:val="center"/>
          </w:tcPr>
          <w:p w14:paraId="520766A1">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人员资质分</w:t>
            </w:r>
          </w:p>
          <w:p w14:paraId="4B9D2F88">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bCs/>
                <w:szCs w:val="21"/>
                <w:highlight w:val="none"/>
              </w:rPr>
              <w:t>（满分</w:t>
            </w:r>
            <w:r>
              <w:rPr>
                <w:rFonts w:hint="eastAsia" w:ascii="宋体" w:hAnsi="宋体" w:cs="宋体"/>
                <w:b/>
                <w:bCs/>
                <w:szCs w:val="21"/>
                <w:highlight w:val="none"/>
                <w:lang w:val="en-US" w:eastAsia="zh-CN"/>
              </w:rPr>
              <w:t>4</w:t>
            </w:r>
            <w:r>
              <w:rPr>
                <w:rFonts w:hint="eastAsia" w:ascii="宋体" w:hAnsi="宋体" w:cs="宋体"/>
                <w:b/>
                <w:bCs/>
                <w:szCs w:val="21"/>
                <w:highlight w:val="none"/>
              </w:rPr>
              <w:t>分）</w:t>
            </w:r>
          </w:p>
        </w:tc>
        <w:tc>
          <w:tcPr>
            <w:tcW w:w="7760" w:type="dxa"/>
            <w:vAlign w:val="center"/>
          </w:tcPr>
          <w:p w14:paraId="5FA53E1D">
            <w:pPr>
              <w:keepNext w:val="0"/>
              <w:keepLines w:val="0"/>
              <w:pageBreakBefore w:val="0"/>
              <w:widowControl w:val="0"/>
              <w:kinsoku/>
              <w:wordWrap/>
              <w:overflowPunct/>
              <w:topLinePunct w:val="0"/>
              <w:autoSpaceDE/>
              <w:autoSpaceDN/>
              <w:bidi w:val="0"/>
              <w:spacing w:line="360" w:lineRule="exact"/>
              <w:ind w:firstLine="420" w:firstLineChars="200"/>
              <w:rPr>
                <w:rFonts w:hint="eastAsia" w:ascii="宋体" w:hAnsi="宋体" w:cs="宋体"/>
                <w:szCs w:val="21"/>
                <w:highlight w:val="none"/>
              </w:rPr>
            </w:pPr>
            <w:r>
              <w:rPr>
                <w:rFonts w:hint="eastAsia" w:ascii="宋体" w:hAnsi="宋体" w:cs="宋体"/>
                <w:szCs w:val="21"/>
                <w:highlight w:val="none"/>
              </w:rPr>
              <w:t>拟投入本项目的项目经理、综合专员具有本科及以上学历的得1分，满分2分；拟投入本项目的项目经理、综合专员具有相关的管理服务经验</w:t>
            </w:r>
            <w:r>
              <w:rPr>
                <w:rFonts w:hint="eastAsia" w:ascii="宋体" w:hAnsi="宋体" w:cs="宋体"/>
                <w:szCs w:val="21"/>
                <w:highlight w:val="none"/>
                <w:lang w:val="en-US" w:eastAsia="zh-CN"/>
              </w:rPr>
              <w:t>3</w:t>
            </w:r>
            <w:r>
              <w:rPr>
                <w:rFonts w:hint="eastAsia" w:ascii="宋体" w:hAnsi="宋体" w:cs="宋体"/>
                <w:szCs w:val="21"/>
                <w:highlight w:val="none"/>
              </w:rPr>
              <w:t>年以上的每人得1分，满分2分；本项满分4分。（须提供学历证书、聘任为管理岗位的服务合同关键页扫描件等相关证明材料，否则不得分）</w:t>
            </w:r>
          </w:p>
          <w:p w14:paraId="40683D38">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注：未提供的不得分。</w:t>
            </w:r>
          </w:p>
        </w:tc>
      </w:tr>
      <w:tr w14:paraId="7BEF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28FEAED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3</w:t>
            </w:r>
            <w:r>
              <w:rPr>
                <w:rFonts w:ascii="宋体" w:hAnsi="宋体" w:cs="宋体"/>
                <w:b/>
                <w:bCs/>
                <w:szCs w:val="21"/>
                <w:highlight w:val="none"/>
              </w:rPr>
              <w:t>.2</w:t>
            </w:r>
          </w:p>
        </w:tc>
        <w:tc>
          <w:tcPr>
            <w:tcW w:w="1494" w:type="dxa"/>
            <w:vAlign w:val="center"/>
          </w:tcPr>
          <w:p w14:paraId="77CDB4F4">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szCs w:val="21"/>
                <w:highlight w:val="none"/>
              </w:rPr>
              <w:t>业绩分</w:t>
            </w:r>
          </w:p>
          <w:p w14:paraId="5554546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6</w:t>
            </w:r>
            <w:r>
              <w:rPr>
                <w:rFonts w:hint="eastAsia" w:ascii="宋体" w:hAnsi="宋体" w:cs="宋体"/>
                <w:b/>
                <w:szCs w:val="21"/>
                <w:highlight w:val="none"/>
              </w:rPr>
              <w:t>分）</w:t>
            </w:r>
          </w:p>
        </w:tc>
        <w:tc>
          <w:tcPr>
            <w:tcW w:w="7760" w:type="dxa"/>
            <w:vAlign w:val="center"/>
          </w:tcPr>
          <w:p w14:paraId="6AB6074D">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 w:val="18"/>
                <w:szCs w:val="18"/>
                <w:highlight w:val="none"/>
              </w:rPr>
            </w:pPr>
            <w:r>
              <w:rPr>
                <w:rFonts w:hint="eastAsia" w:ascii="宋体" w:hAnsi="宋体" w:cs="宋体"/>
                <w:bCs/>
                <w:color w:val="000000" w:themeColor="text1"/>
                <w:kern w:val="0"/>
                <w:szCs w:val="21"/>
                <w:highlight w:val="none"/>
                <w14:textFill>
                  <w14:solidFill>
                    <w14:schemeClr w14:val="tx1"/>
                  </w14:solidFill>
                </w14:textFill>
              </w:rPr>
              <w:t>202</w:t>
            </w:r>
            <w:r>
              <w:rPr>
                <w:rFonts w:hint="eastAsia" w:ascii="宋体" w:hAnsi="宋体" w:cs="宋体"/>
                <w:bCs/>
                <w:color w:val="000000" w:themeColor="text1"/>
                <w:kern w:val="0"/>
                <w:szCs w:val="21"/>
                <w:highlight w:val="none"/>
                <w:lang w:val="en-US" w:eastAsia="zh-CN"/>
                <w14:textFill>
                  <w14:solidFill>
                    <w14:schemeClr w14:val="tx1"/>
                  </w14:solidFill>
                </w14:textFill>
              </w:rPr>
              <w:t>3</w:t>
            </w:r>
            <w:r>
              <w:rPr>
                <w:rFonts w:hint="eastAsia" w:ascii="宋体" w:hAnsi="宋体" w:cs="宋体"/>
                <w:bCs/>
                <w:color w:val="000000" w:themeColor="text1"/>
                <w:kern w:val="0"/>
                <w:szCs w:val="21"/>
                <w:highlight w:val="none"/>
                <w14:textFill>
                  <w14:solidFill>
                    <w14:schemeClr w14:val="tx1"/>
                  </w14:solidFill>
                </w14:textFill>
              </w:rPr>
              <w:t>年1月1日至提交响应文件截止时间止，供应商提供同类服务内容业绩的相关证明材料（以中标、成交通知书或签订的采购合同扫描件为准并能清晰反映所提供的服务类型、种类、金额，否则将不予计分；同一个编号的项目有两个或两个以上的分标中标的只算一次），每提供一个得</w:t>
            </w:r>
            <w:r>
              <w:rPr>
                <w:rFonts w:hint="eastAsia" w:ascii="宋体" w:hAnsi="宋体" w:cs="宋体"/>
                <w:bCs/>
                <w:color w:val="000000" w:themeColor="text1"/>
                <w:kern w:val="0"/>
                <w:szCs w:val="21"/>
                <w:highlight w:val="none"/>
                <w:lang w:val="en-US" w:eastAsia="zh-CN"/>
                <w14:textFill>
                  <w14:solidFill>
                    <w14:schemeClr w14:val="tx1"/>
                  </w14:solidFill>
                </w14:textFill>
              </w:rPr>
              <w:t>2</w:t>
            </w:r>
            <w:r>
              <w:rPr>
                <w:rFonts w:hint="eastAsia" w:ascii="宋体" w:hAnsi="宋体" w:cs="宋体"/>
                <w:bCs/>
                <w:color w:val="000000" w:themeColor="text1"/>
                <w:kern w:val="0"/>
                <w:szCs w:val="21"/>
                <w:highlight w:val="none"/>
                <w14:textFill>
                  <w14:solidFill>
                    <w14:schemeClr w14:val="tx1"/>
                  </w14:solidFill>
                </w14:textFill>
              </w:rPr>
              <w:t>分，满分</w:t>
            </w:r>
            <w:r>
              <w:rPr>
                <w:rFonts w:hint="eastAsia" w:ascii="宋体" w:hAnsi="宋体" w:cs="宋体"/>
                <w:bCs/>
                <w:color w:val="000000" w:themeColor="text1"/>
                <w:kern w:val="0"/>
                <w:szCs w:val="21"/>
                <w:highlight w:val="none"/>
                <w:lang w:val="en-US" w:eastAsia="zh-CN"/>
                <w14:textFill>
                  <w14:solidFill>
                    <w14:schemeClr w14:val="tx1"/>
                  </w14:solidFill>
                </w14:textFill>
              </w:rPr>
              <w:t>6</w:t>
            </w:r>
            <w:r>
              <w:rPr>
                <w:rFonts w:hint="eastAsia" w:ascii="宋体" w:hAnsi="宋体" w:cs="宋体"/>
                <w:bCs/>
                <w:color w:val="000000" w:themeColor="text1"/>
                <w:kern w:val="0"/>
                <w:szCs w:val="21"/>
                <w:highlight w:val="none"/>
                <w14:textFill>
                  <w14:solidFill>
                    <w14:schemeClr w14:val="tx1"/>
                  </w14:solidFill>
                </w14:textFill>
              </w:rPr>
              <w:t>分。</w:t>
            </w:r>
            <w:r>
              <w:rPr>
                <w:rFonts w:hint="eastAsia" w:ascii="宋体" w:hAnsi="宋体" w:cs="宋体"/>
                <w:b/>
                <w:bCs w:val="0"/>
                <w:color w:val="000000" w:themeColor="text1"/>
                <w:kern w:val="0"/>
                <w:szCs w:val="21"/>
                <w:highlight w:val="none"/>
                <w14:textFill>
                  <w14:solidFill>
                    <w14:schemeClr w14:val="tx1"/>
                  </w14:solidFill>
                </w14:textFill>
              </w:rPr>
              <w:t>（</w:t>
            </w:r>
            <w:r>
              <w:rPr>
                <w:rFonts w:hint="eastAsia" w:ascii="宋体" w:hAnsi="宋体" w:cs="宋体"/>
                <w:b/>
                <w:bCs w:val="0"/>
                <w:color w:val="000000" w:themeColor="text1"/>
                <w:kern w:val="0"/>
                <w:szCs w:val="21"/>
                <w:highlight w:val="none"/>
                <w:lang w:val="en-US" w:eastAsia="zh-CN"/>
                <w14:textFill>
                  <w14:solidFill>
                    <w14:schemeClr w14:val="tx1"/>
                  </w14:solidFill>
                </w14:textFill>
              </w:rPr>
              <w:t>须</w:t>
            </w:r>
            <w:r>
              <w:rPr>
                <w:rFonts w:hint="eastAsia" w:ascii="宋体" w:hAnsi="宋体" w:cs="宋体"/>
                <w:b/>
                <w:bCs w:val="0"/>
                <w:color w:val="000000" w:themeColor="text1"/>
                <w:kern w:val="0"/>
                <w:szCs w:val="21"/>
                <w:highlight w:val="none"/>
                <w14:textFill>
                  <w14:solidFill>
                    <w14:schemeClr w14:val="tx1"/>
                  </w14:solidFill>
                </w14:textFill>
              </w:rPr>
              <w:t>提供相关证明材料扫描件并加盖</w:t>
            </w:r>
            <w:r>
              <w:rPr>
                <w:rFonts w:hint="eastAsia" w:ascii="宋体" w:hAnsi="宋体" w:cs="宋体"/>
                <w:b/>
                <w:bCs w:val="0"/>
                <w:color w:val="000000" w:themeColor="text1"/>
                <w:kern w:val="0"/>
                <w:szCs w:val="21"/>
                <w:highlight w:val="none"/>
                <w:lang w:val="en-US" w:eastAsia="zh-CN"/>
                <w14:textFill>
                  <w14:solidFill>
                    <w14:schemeClr w14:val="tx1"/>
                  </w14:solidFill>
                </w14:textFill>
              </w:rPr>
              <w:t>投标人</w:t>
            </w:r>
            <w:r>
              <w:rPr>
                <w:rFonts w:hint="eastAsia" w:ascii="宋体" w:hAnsi="宋体" w:cs="宋体"/>
                <w:b/>
                <w:bCs w:val="0"/>
                <w:color w:val="000000" w:themeColor="text1"/>
                <w:kern w:val="0"/>
                <w:szCs w:val="21"/>
                <w:highlight w:val="none"/>
                <w14:textFill>
                  <w14:solidFill>
                    <w14:schemeClr w14:val="tx1"/>
                  </w14:solidFill>
                </w14:textFill>
              </w:rPr>
              <w:t>公章，否则不得分）</w:t>
            </w:r>
          </w:p>
        </w:tc>
      </w:tr>
      <w:tr w14:paraId="1E05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0E81BA48">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p>
        </w:tc>
        <w:tc>
          <w:tcPr>
            <w:tcW w:w="1494" w:type="dxa"/>
            <w:vAlign w:val="center"/>
          </w:tcPr>
          <w:p w14:paraId="1D9D737B">
            <w:pPr>
              <w:keepNext w:val="0"/>
              <w:keepLines w:val="0"/>
              <w:pageBreakBefore w:val="0"/>
              <w:widowControl w:val="0"/>
              <w:kinsoku/>
              <w:wordWrap/>
              <w:overflowPunct/>
              <w:topLinePunct w:val="0"/>
              <w:autoSpaceDE/>
              <w:autoSpaceDN/>
              <w:bidi w:val="0"/>
              <w:spacing w:line="360" w:lineRule="exact"/>
              <w:jc w:val="center"/>
              <w:rPr>
                <w:rFonts w:hint="default" w:ascii="宋体" w:hAnsi="宋体" w:eastAsia="宋体" w:cs="宋体"/>
                <w:b/>
                <w:szCs w:val="21"/>
                <w:highlight w:val="none"/>
                <w:lang w:val="en-US" w:eastAsia="zh-CN"/>
              </w:rPr>
            </w:pPr>
            <w:r>
              <w:rPr>
                <w:rFonts w:hint="eastAsia" w:ascii="宋体" w:hAnsi="宋体" w:cs="宋体"/>
                <w:b/>
                <w:szCs w:val="21"/>
                <w:highlight w:val="none"/>
                <w:lang w:val="en-US" w:eastAsia="zh-CN"/>
              </w:rPr>
              <w:t>总分（100分）</w:t>
            </w:r>
          </w:p>
        </w:tc>
        <w:tc>
          <w:tcPr>
            <w:tcW w:w="7760" w:type="dxa"/>
            <w:vAlign w:val="center"/>
          </w:tcPr>
          <w:p w14:paraId="5D672B83">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p>
        </w:tc>
      </w:tr>
      <w:bookmarkEnd w:id="118"/>
    </w:tbl>
    <w:p w14:paraId="1AD24FC6">
      <w:pPr>
        <w:keepNext w:val="0"/>
        <w:keepLines w:val="0"/>
        <w:pageBreakBefore w:val="0"/>
        <w:widowControl w:val="0"/>
        <w:kinsoku/>
        <w:wordWrap/>
        <w:overflowPunct/>
        <w:topLinePunct w:val="0"/>
        <w:autoSpaceDE/>
        <w:autoSpaceDN/>
        <w:bidi w:val="0"/>
        <w:adjustRightInd/>
        <w:snapToGrid w:val="0"/>
        <w:spacing w:line="240" w:lineRule="auto"/>
        <w:ind w:firstLine="426" w:firstLineChars="202"/>
        <w:jc w:val="left"/>
        <w:textAlignment w:val="auto"/>
        <w:rPr>
          <w:rFonts w:hint="eastAsia" w:ascii="宋体" w:hAnsi="宋体" w:cs="宋体"/>
          <w:b/>
          <w:bCs/>
          <w:color w:val="auto"/>
          <w:szCs w:val="21"/>
        </w:rPr>
      </w:pPr>
    </w:p>
    <w:p w14:paraId="75AF7E96">
      <w:pPr>
        <w:keepNext w:val="0"/>
        <w:keepLines w:val="0"/>
        <w:pageBreakBefore w:val="0"/>
        <w:widowControl w:val="0"/>
        <w:kinsoku/>
        <w:wordWrap/>
        <w:overflowPunct/>
        <w:topLinePunct w:val="0"/>
        <w:autoSpaceDE/>
        <w:autoSpaceDN/>
        <w:bidi w:val="0"/>
        <w:adjustRightInd/>
        <w:snapToGrid w:val="0"/>
        <w:spacing w:line="360" w:lineRule="exact"/>
        <w:ind w:firstLine="426" w:firstLineChars="202"/>
        <w:jc w:val="left"/>
        <w:textAlignment w:val="auto"/>
        <w:rPr>
          <w:rFonts w:hint="eastAsia" w:ascii="宋体" w:hAnsi="宋体" w:cs="宋体"/>
          <w:color w:val="auto"/>
          <w:szCs w:val="21"/>
        </w:rPr>
      </w:pPr>
      <w:r>
        <w:rPr>
          <w:rFonts w:hint="eastAsia" w:ascii="宋体" w:hAnsi="宋体" w:cs="宋体"/>
          <w:b/>
          <w:bCs/>
          <w:color w:val="auto"/>
          <w:szCs w:val="21"/>
        </w:rPr>
        <w:t>三、中标候选人推荐原则</w:t>
      </w:r>
    </w:p>
    <w:p w14:paraId="0EFC933C">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一）评标委员会将根据得分由高到低排列次序（得分相同时，以投标报价由低到高顺序排列；得分相同且投标报价相同的，按服务方案优劣顺序排列）并推荐中标候选人3名。得分最高的中标候选人（得分相同时，以投标报价由低到高顺序排列；得分相同且投标报价相同的，按服务方案优劣顺序排列）为中标人。采购人应当确定评审委员会推荐排名第一的中标候选人为中标人。</w:t>
      </w:r>
    </w:p>
    <w:p w14:paraId="0E7C6D5C">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排名第一的中标候选人放弃中标、因不可抗力提出不能履行合同，或者招标文件规定应当提交质量保证金而在规定的期限内未能提交的，采购人可以确定排名第二的中标候选人为中标人。排名第二的中标候选人因前款规定的同样原因不能签订合同的，采购人可以确定排名第三的中标候选人为中标人，其余以此类推。</w:t>
      </w:r>
    </w:p>
    <w:p w14:paraId="38E33248">
      <w:pPr>
        <w:pStyle w:val="26"/>
        <w:keepNext w:val="0"/>
        <w:keepLines w:val="0"/>
        <w:pageBreakBefore w:val="0"/>
        <w:widowControl w:val="0"/>
        <w:kinsoku/>
        <w:wordWrap/>
        <w:overflowPunct/>
        <w:topLinePunct w:val="0"/>
        <w:autoSpaceDE/>
        <w:autoSpaceDN/>
        <w:bidi w:val="0"/>
        <w:adjustRightInd/>
        <w:spacing w:line="360" w:lineRule="exact"/>
        <w:ind w:left="0" w:leftChars="0" w:firstLine="420" w:firstLineChars="200"/>
        <w:textAlignment w:val="auto"/>
        <w:rPr>
          <w:rFonts w:hint="eastAsia" w:ascii="宋体" w:hAnsi="宋体" w:cs="宋体"/>
          <w:color w:val="auto"/>
          <w:szCs w:val="21"/>
        </w:rPr>
      </w:pPr>
      <w:r>
        <w:rPr>
          <w:rFonts w:hint="eastAsia" w:ascii="宋体" w:hAnsi="宋体" w:cs="宋体"/>
          <w:color w:val="auto"/>
          <w:szCs w:val="21"/>
        </w:rPr>
        <w:t>（二）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128412D">
      <w:pPr>
        <w:rPr>
          <w:rFonts w:hint="eastAsia" w:ascii="宋体" w:hAnsi="宋体" w:cs="宋体"/>
          <w:color w:val="auto"/>
          <w:szCs w:val="21"/>
        </w:rPr>
      </w:pPr>
      <w:r>
        <w:rPr>
          <w:rFonts w:hint="eastAsia" w:ascii="宋体" w:hAnsi="宋体" w:cs="宋体"/>
          <w:color w:val="auto"/>
          <w:szCs w:val="21"/>
        </w:rPr>
        <w:br w:type="page"/>
      </w:r>
    </w:p>
    <w:p w14:paraId="714C5A48">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4"/>
          <w:szCs w:val="44"/>
          <w:highlight w:val="none"/>
          <w:lang w:val="en-US" w:eastAsia="zh-CN"/>
        </w:rPr>
      </w:pPr>
      <w:bookmarkStart w:id="119" w:name="_Toc971"/>
      <w:bookmarkStart w:id="120" w:name="_Toc4121"/>
      <w:r>
        <w:rPr>
          <w:rFonts w:hint="eastAsia" w:ascii="宋体" w:hAnsi="宋体" w:eastAsia="宋体" w:cs="宋体"/>
          <w:b/>
          <w:bCs/>
          <w:color w:val="auto"/>
          <w:kern w:val="44"/>
          <w:sz w:val="44"/>
          <w:szCs w:val="44"/>
          <w:lang w:val="en-US" w:eastAsia="zh-CN" w:bidi="ar-SA"/>
        </w:rPr>
        <w:t xml:space="preserve">第五章 </w:t>
      </w:r>
      <w:r>
        <w:rPr>
          <w:rFonts w:hint="eastAsia" w:ascii="宋体" w:hAnsi="宋体" w:eastAsia="宋体" w:cs="宋体"/>
          <w:color w:val="auto"/>
          <w:sz w:val="44"/>
          <w:szCs w:val="44"/>
          <w:highlight w:val="none"/>
          <w:lang w:val="en-US" w:eastAsia="zh-CN"/>
        </w:rPr>
        <w:t>拟签订的合同文本</w:t>
      </w:r>
      <w:bookmarkEnd w:id="119"/>
      <w:bookmarkEnd w:id="120"/>
    </w:p>
    <w:p w14:paraId="380953A7">
      <w:pPr>
        <w:pStyle w:val="3"/>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21" w:name="_Toc12316"/>
      <w:bookmarkStart w:id="122" w:name="_Toc6256"/>
      <w:bookmarkStart w:id="123" w:name="_Toc3136"/>
      <w:bookmarkStart w:id="124" w:name="_Toc19470"/>
      <w:bookmarkStart w:id="125" w:name="_Toc2695"/>
      <w:bookmarkStart w:id="126" w:name="_Toc1521"/>
      <w:bookmarkStart w:id="127" w:name="_Toc18478"/>
      <w:r>
        <w:rPr>
          <w:rFonts w:hint="eastAsia" w:ascii="宋体" w:hAnsi="宋体" w:eastAsia="宋体" w:cs="宋体"/>
          <w:color w:val="auto"/>
          <w:sz w:val="24"/>
          <w:szCs w:val="24"/>
          <w:highlight w:val="none"/>
        </w:rPr>
        <w:t>拟签订的合同文本</w:t>
      </w:r>
      <w:bookmarkEnd w:id="121"/>
      <w:bookmarkEnd w:id="122"/>
      <w:bookmarkEnd w:id="123"/>
      <w:bookmarkEnd w:id="124"/>
      <w:bookmarkEnd w:id="125"/>
      <w:bookmarkEnd w:id="126"/>
      <w:bookmarkEnd w:id="127"/>
    </w:p>
    <w:p w14:paraId="3A51929F">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甲方（采购人）：                                      合同编号：</w:t>
      </w:r>
    </w:p>
    <w:p w14:paraId="23137B21">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乙方（中标人）：                                      签订地点：</w:t>
      </w:r>
    </w:p>
    <w:p w14:paraId="28044632">
      <w:pPr>
        <w:pStyle w:val="10"/>
        <w:pageBreakBefore w:val="0"/>
        <w:kinsoku/>
        <w:overflowPunct/>
        <w:topLinePunct w:val="0"/>
        <w:bidi w:val="0"/>
        <w:spacing w:line="240" w:lineRule="auto"/>
        <w:ind w:firstLine="420" w:firstLineChars="200"/>
        <w:rPr>
          <w:rFonts w:hAnsi="宋体"/>
          <w:bCs/>
          <w:sz w:val="21"/>
        </w:rPr>
      </w:pPr>
    </w:p>
    <w:p w14:paraId="7A2927BC">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根据《中华人民共和国政府采购法》、《中华人民共和国</w:t>
      </w:r>
      <w:r>
        <w:rPr>
          <w:rFonts w:hint="eastAsia" w:ascii="宋体" w:hAnsi="宋体"/>
          <w:szCs w:val="21"/>
          <w:lang w:val="en-US" w:eastAsia="zh-CN"/>
        </w:rPr>
        <w:t>民法典</w:t>
      </w:r>
      <w:r>
        <w:rPr>
          <w:rFonts w:hint="eastAsia" w:ascii="宋体" w:hAnsi="宋体"/>
          <w:szCs w:val="21"/>
        </w:rPr>
        <w:t>》</w:t>
      </w:r>
      <w:r>
        <w:rPr>
          <w:rFonts w:hint="eastAsia" w:ascii="宋体" w:hAnsi="宋体"/>
          <w:szCs w:val="21"/>
          <w:lang w:val="en-US" w:eastAsia="zh-CN"/>
        </w:rPr>
        <w:t>以及</w:t>
      </w:r>
      <w:r>
        <w:rPr>
          <w:rFonts w:hint="eastAsia" w:ascii="宋体" w:hAnsi="宋体" w:cs="宋体"/>
          <w:color w:val="auto"/>
          <w:kern w:val="0"/>
          <w:szCs w:val="21"/>
          <w:highlight w:val="none"/>
        </w:rPr>
        <w:t>国家和地方政府有关物业管理的法律、法规和政策规定</w:t>
      </w:r>
      <w:r>
        <w:rPr>
          <w:rFonts w:hint="eastAsia" w:ascii="宋体" w:hAnsi="宋体"/>
          <w:szCs w:val="21"/>
        </w:rPr>
        <w:t>，为保证所购的服务质量，明确双方的权利义务，甲乙双方在平等、自愿、协商一致的基础上，就有关事宜达成如下协议：</w:t>
      </w:r>
    </w:p>
    <w:p w14:paraId="7ACE99F7">
      <w:pPr>
        <w:pageBreakBefore w:val="0"/>
        <w:kinsoku/>
        <w:overflowPunct/>
        <w:topLinePunct w:val="0"/>
        <w:bidi w:val="0"/>
        <w:spacing w:line="240" w:lineRule="auto"/>
        <w:ind w:firstLine="422" w:firstLineChars="200"/>
        <w:rPr>
          <w:rFonts w:hint="default" w:ascii="宋体" w:hAnsi="宋体"/>
          <w:b/>
          <w:bCs/>
          <w:szCs w:val="21"/>
          <w:lang w:val="en-US" w:eastAsia="zh-CN"/>
        </w:rPr>
      </w:pPr>
      <w:r>
        <w:rPr>
          <w:rFonts w:hint="eastAsia" w:ascii="宋体" w:hAnsi="宋体"/>
          <w:b/>
          <w:bCs/>
          <w:szCs w:val="21"/>
          <w:lang w:val="en-US" w:eastAsia="zh-CN"/>
        </w:rPr>
        <w:t>一、合同内容</w:t>
      </w:r>
    </w:p>
    <w:p w14:paraId="61856979">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依据采购文件（含补充、修改文件）和乙方的投标文件（含澄清、补充文件）</w:t>
      </w:r>
      <w:r>
        <w:rPr>
          <w:rFonts w:hint="eastAsia" w:ascii="宋体" w:hAnsi="宋体"/>
          <w:szCs w:val="21"/>
          <w:lang w:val="en-US" w:eastAsia="zh-CN"/>
        </w:rPr>
        <w:t>内容</w:t>
      </w:r>
      <w:r>
        <w:rPr>
          <w:rFonts w:hint="eastAsia" w:ascii="宋体" w:hAnsi="宋体"/>
          <w:szCs w:val="21"/>
        </w:rPr>
        <w:t>，乙方向甲方提供物业管理服务。</w:t>
      </w:r>
    </w:p>
    <w:p w14:paraId="561AD004">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二、</w:t>
      </w:r>
      <w:r>
        <w:rPr>
          <w:rFonts w:hint="eastAsia" w:hAnsi="宋体"/>
          <w:b/>
          <w:bCs/>
          <w:sz w:val="21"/>
        </w:rPr>
        <w:t>物业基本情况</w:t>
      </w:r>
    </w:p>
    <w:p w14:paraId="0F57CFA6">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 xml:space="preserve">1、物业名称：             </w:t>
      </w:r>
    </w:p>
    <w:p w14:paraId="721757FF">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 xml:space="preserve">2、座落位置：                                     </w:t>
      </w:r>
    </w:p>
    <w:p w14:paraId="1733D3F5">
      <w:pPr>
        <w:pageBreakBefore w:val="0"/>
        <w:kinsoku/>
        <w:overflowPunct/>
        <w:topLinePunct w:val="0"/>
        <w:bidi w:val="0"/>
        <w:spacing w:line="240" w:lineRule="auto"/>
        <w:ind w:firstLine="420" w:firstLineChars="200"/>
        <w:rPr>
          <w:rFonts w:ascii="宋体" w:hAnsi="宋体"/>
          <w:bCs/>
          <w:szCs w:val="21"/>
        </w:rPr>
      </w:pPr>
      <w:r>
        <w:rPr>
          <w:rFonts w:hint="eastAsia" w:ascii="宋体" w:hAnsi="宋体"/>
          <w:szCs w:val="21"/>
        </w:rPr>
        <w:t xml:space="preserve">3、物业管理范围：   </w:t>
      </w:r>
      <w:r>
        <w:rPr>
          <w:rFonts w:hint="eastAsia" w:ascii="宋体" w:hAnsi="宋体"/>
          <w:bCs/>
          <w:szCs w:val="21"/>
        </w:rPr>
        <w:t xml:space="preserve">      </w:t>
      </w:r>
      <w:r>
        <w:rPr>
          <w:rFonts w:hint="eastAsia" w:ascii="宋体" w:hAnsi="宋体"/>
          <w:bCs/>
          <w:szCs w:val="21"/>
          <w:lang w:eastAsia="zh-CN"/>
        </w:rPr>
        <w:t>（</w:t>
      </w:r>
      <w:r>
        <w:rPr>
          <w:rFonts w:hint="eastAsia" w:ascii="宋体" w:hAnsi="宋体"/>
          <w:bCs/>
          <w:szCs w:val="21"/>
        </w:rPr>
        <w:t>具体物业范围及构成</w:t>
      </w:r>
      <w:r>
        <w:rPr>
          <w:rFonts w:hint="eastAsia" w:ascii="宋体" w:hAnsi="宋体"/>
          <w:bCs/>
          <w:szCs w:val="21"/>
          <w:lang w:val="en-US" w:eastAsia="zh-CN"/>
        </w:rPr>
        <w:t>详</w:t>
      </w:r>
      <w:r>
        <w:rPr>
          <w:rFonts w:hint="eastAsia" w:ascii="宋体" w:hAnsi="宋体"/>
          <w:bCs/>
          <w:szCs w:val="21"/>
        </w:rPr>
        <w:t>见本项目招标文件中第二章《采购需求》的相关内容。</w:t>
      </w:r>
      <w:r>
        <w:rPr>
          <w:rFonts w:hint="eastAsia" w:ascii="宋体" w:hAnsi="宋体"/>
          <w:bCs/>
          <w:szCs w:val="21"/>
          <w:lang w:eastAsia="zh-CN"/>
        </w:rPr>
        <w:t>）</w:t>
      </w:r>
      <w:r>
        <w:rPr>
          <w:rFonts w:hint="eastAsia" w:ascii="宋体" w:hAnsi="宋体"/>
          <w:bCs/>
          <w:szCs w:val="21"/>
        </w:rPr>
        <w:t xml:space="preserve">                                      </w:t>
      </w:r>
    </w:p>
    <w:p w14:paraId="149B7A20">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三</w:t>
      </w:r>
      <w:r>
        <w:rPr>
          <w:rFonts w:hint="eastAsia" w:hAnsi="宋体"/>
          <w:b/>
          <w:bCs/>
          <w:sz w:val="21"/>
        </w:rPr>
        <w:t>、</w:t>
      </w:r>
      <w:r>
        <w:rPr>
          <w:rFonts w:hint="eastAsia" w:hAnsi="宋体"/>
          <w:b/>
          <w:bCs/>
          <w:sz w:val="21"/>
          <w:lang w:val="en-US" w:eastAsia="zh-CN"/>
        </w:rPr>
        <w:t>物业</w:t>
      </w:r>
      <w:r>
        <w:rPr>
          <w:rFonts w:hint="eastAsia" w:hAnsi="宋体"/>
          <w:b/>
          <w:bCs/>
          <w:sz w:val="21"/>
        </w:rPr>
        <w:t>管理</w:t>
      </w:r>
      <w:r>
        <w:rPr>
          <w:rFonts w:hint="eastAsia" w:hAnsi="宋体"/>
          <w:b/>
          <w:bCs/>
          <w:sz w:val="21"/>
          <w:lang w:val="en-US" w:eastAsia="zh-CN"/>
        </w:rPr>
        <w:t>服务内容</w:t>
      </w:r>
    </w:p>
    <w:p w14:paraId="05DEE80D">
      <w:pPr>
        <w:pageBreakBefore w:val="0"/>
        <w:kinsoku/>
        <w:overflowPunct/>
        <w:topLinePunct w:val="0"/>
        <w:bidi w:val="0"/>
        <w:spacing w:line="240" w:lineRule="auto"/>
        <w:ind w:firstLine="420" w:firstLineChars="200"/>
        <w:rPr>
          <w:rFonts w:hint="eastAsia" w:ascii="宋体" w:hAnsi="宋体"/>
          <w:szCs w:val="21"/>
          <w:lang w:val="en-US" w:eastAsia="zh-CN"/>
        </w:rPr>
      </w:pPr>
      <w:r>
        <w:rPr>
          <w:rFonts w:hint="eastAsia" w:ascii="宋体" w:hAnsi="宋体"/>
          <w:szCs w:val="21"/>
          <w:lang w:val="en-US" w:eastAsia="zh-CN"/>
        </w:rPr>
        <w:t>1、            ；</w:t>
      </w:r>
    </w:p>
    <w:p w14:paraId="049E07E2">
      <w:pPr>
        <w:pageBreakBefore w:val="0"/>
        <w:numPr>
          <w:ilvl w:val="0"/>
          <w:numId w:val="9"/>
        </w:numPr>
        <w:kinsoku/>
        <w:overflowPunct/>
        <w:topLinePunct w:val="0"/>
        <w:bidi w:val="0"/>
        <w:spacing w:line="240" w:lineRule="auto"/>
        <w:ind w:firstLine="420" w:firstLineChars="200"/>
        <w:rPr>
          <w:rFonts w:ascii="宋体" w:hAnsi="宋体"/>
          <w:szCs w:val="21"/>
        </w:rPr>
      </w:pPr>
      <w:r>
        <w:rPr>
          <w:rFonts w:hint="eastAsia" w:ascii="宋体" w:hAnsi="宋体"/>
          <w:szCs w:val="21"/>
          <w:lang w:val="en-US" w:eastAsia="zh-CN"/>
        </w:rPr>
        <w:t xml:space="preserve">           ；</w:t>
      </w:r>
      <w:r>
        <w:rPr>
          <w:rFonts w:hint="eastAsia" w:ascii="宋体" w:hAnsi="宋体"/>
          <w:szCs w:val="21"/>
        </w:rPr>
        <w:t xml:space="preserve">  </w:t>
      </w:r>
    </w:p>
    <w:p w14:paraId="4DD2ECDE">
      <w:pPr>
        <w:widowControl/>
        <w:spacing w:line="400" w:lineRule="exact"/>
        <w:ind w:firstLine="422" w:firstLineChars="201"/>
        <w:jc w:val="left"/>
        <w:rPr>
          <w:rFonts w:hint="eastAsia" w:ascii="宋体" w:hAnsi="宋体" w:cs="宋体"/>
          <w:color w:val="auto"/>
          <w:kern w:val="0"/>
          <w:szCs w:val="21"/>
          <w:highlight w:val="none"/>
        </w:rPr>
      </w:pPr>
      <w:r>
        <w:rPr>
          <w:rFonts w:hint="eastAsia" w:ascii="宋体" w:hAnsi="宋体"/>
          <w:szCs w:val="21"/>
          <w:lang w:val="en-US" w:eastAsia="zh-CN"/>
        </w:rPr>
        <w:t>3、</w:t>
      </w:r>
      <w:r>
        <w:rPr>
          <w:rFonts w:hint="eastAsia" w:ascii="宋体" w:hAnsi="宋体" w:cs="宋体"/>
          <w:color w:val="auto"/>
          <w:kern w:val="0"/>
          <w:szCs w:val="21"/>
          <w:highlight w:val="none"/>
        </w:rPr>
        <w:t>具体服务内容包含招标文件的《采购需求》、投标文件的《服务方案》和乙方的所有承诺服务内容；</w:t>
      </w:r>
    </w:p>
    <w:p w14:paraId="77F10E72">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四</w:t>
      </w:r>
      <w:r>
        <w:rPr>
          <w:rFonts w:hint="eastAsia" w:hAnsi="宋体"/>
          <w:b/>
          <w:bCs/>
          <w:sz w:val="21"/>
        </w:rPr>
        <w:t>、物业管理质量</w:t>
      </w:r>
    </w:p>
    <w:p w14:paraId="5E137A6B">
      <w:pPr>
        <w:pStyle w:val="10"/>
        <w:pageBreakBefore w:val="0"/>
        <w:kinsoku/>
        <w:overflowPunct/>
        <w:topLinePunct w:val="0"/>
        <w:bidi w:val="0"/>
        <w:spacing w:line="240" w:lineRule="auto"/>
        <w:ind w:firstLine="420" w:firstLineChars="200"/>
        <w:rPr>
          <w:rFonts w:hint="eastAsia" w:hAnsi="宋体"/>
          <w:b/>
          <w:bCs/>
          <w:sz w:val="21"/>
        </w:rPr>
      </w:pPr>
      <w:r>
        <w:rPr>
          <w:rFonts w:hint="eastAsia" w:hAnsi="宋体"/>
          <w:sz w:val="21"/>
        </w:rPr>
        <w:t>乙方提供的服务质量标准按国家和地方政府的规定和本合同约定的物业服务质量要求及乙方在投标文件中的承诺执行。</w:t>
      </w:r>
    </w:p>
    <w:p w14:paraId="350E29A2">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五</w:t>
      </w:r>
      <w:r>
        <w:rPr>
          <w:rFonts w:hint="eastAsia" w:hAnsi="宋体"/>
          <w:b/>
          <w:bCs/>
          <w:sz w:val="21"/>
        </w:rPr>
        <w:t>、</w:t>
      </w:r>
      <w:r>
        <w:rPr>
          <w:rFonts w:hint="eastAsia" w:hAnsi="宋体"/>
          <w:b/>
          <w:bCs/>
          <w:sz w:val="21"/>
          <w:lang w:val="en-US" w:eastAsia="zh-CN"/>
        </w:rPr>
        <w:t>物业</w:t>
      </w:r>
      <w:r>
        <w:rPr>
          <w:rFonts w:hint="eastAsia" w:hAnsi="宋体"/>
          <w:b/>
          <w:bCs/>
          <w:sz w:val="21"/>
        </w:rPr>
        <w:t>管理</w:t>
      </w:r>
      <w:r>
        <w:rPr>
          <w:rFonts w:hint="eastAsia" w:hAnsi="宋体"/>
          <w:b/>
          <w:bCs/>
          <w:sz w:val="21"/>
          <w:lang w:val="en-US" w:eastAsia="zh-CN"/>
        </w:rPr>
        <w:t>服务</w:t>
      </w:r>
      <w:r>
        <w:rPr>
          <w:rFonts w:hint="eastAsia" w:hAnsi="宋体"/>
          <w:b/>
          <w:bCs/>
          <w:sz w:val="21"/>
        </w:rPr>
        <w:t>期限</w:t>
      </w:r>
    </w:p>
    <w:p w14:paraId="1C0977BA">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lang w:val="en-US" w:eastAsia="zh-CN"/>
        </w:rPr>
        <w:t>乙方提供物业</w:t>
      </w:r>
      <w:r>
        <w:rPr>
          <w:rFonts w:hint="eastAsia" w:ascii="宋体" w:hAnsi="宋体"/>
          <w:szCs w:val="21"/>
        </w:rPr>
        <w:t>管理</w:t>
      </w:r>
      <w:r>
        <w:rPr>
          <w:rFonts w:hint="eastAsia" w:ascii="宋体" w:hAnsi="宋体"/>
          <w:szCs w:val="21"/>
          <w:lang w:val="en-US" w:eastAsia="zh-CN"/>
        </w:rPr>
        <w:t>服务的</w:t>
      </w:r>
      <w:r>
        <w:rPr>
          <w:rFonts w:hint="eastAsia" w:ascii="宋体" w:hAnsi="宋体"/>
          <w:szCs w:val="21"/>
        </w:rPr>
        <w:t>期限为</w:t>
      </w:r>
      <w:r>
        <w:rPr>
          <w:rFonts w:hint="eastAsia" w:ascii="宋体" w:hAnsi="宋体"/>
          <w:szCs w:val="21"/>
          <w:lang w:val="en-US" w:eastAsia="zh-CN"/>
        </w:rPr>
        <w:t>3年，即</w:t>
      </w:r>
      <w:r>
        <w:rPr>
          <w:rFonts w:hint="eastAsia" w:ascii="宋体" w:hAnsi="宋体"/>
          <w:szCs w:val="21"/>
        </w:rPr>
        <w:t>自    年  月  日至   年  月  日止。在此期间未履行合同，不遵守承诺或达不到甲方要求，甲方有权解除合同，其一切责任由乙方负责，乙方不得以任何理由向甲方提出任何索赔要求。</w:t>
      </w:r>
    </w:p>
    <w:p w14:paraId="236B5E9F">
      <w:pPr>
        <w:pageBreakBefore w:val="0"/>
        <w:numPr>
          <w:ilvl w:val="0"/>
          <w:numId w:val="0"/>
        </w:numPr>
        <w:kinsoku/>
        <w:overflowPunct/>
        <w:topLinePunct w:val="0"/>
        <w:bidi w:val="0"/>
        <w:spacing w:line="240" w:lineRule="auto"/>
        <w:ind w:firstLine="422" w:firstLineChars="200"/>
        <w:rPr>
          <w:rFonts w:hint="eastAsia" w:ascii="宋体" w:hAnsi="宋体"/>
          <w:color w:val="auto"/>
          <w:szCs w:val="21"/>
        </w:rPr>
      </w:pPr>
      <w:r>
        <w:rPr>
          <w:rFonts w:hint="eastAsia" w:ascii="宋体" w:hAnsi="宋体" w:cs="Times New Roman"/>
          <w:b/>
          <w:bCs/>
          <w:color w:val="auto"/>
          <w:kern w:val="2"/>
          <w:sz w:val="21"/>
          <w:szCs w:val="21"/>
          <w:lang w:val="en-US" w:eastAsia="zh-CN" w:bidi="ar-SA"/>
        </w:rPr>
        <w:t>六</w:t>
      </w:r>
      <w:r>
        <w:rPr>
          <w:rFonts w:hint="eastAsia" w:ascii="宋体" w:hAnsi="宋体" w:eastAsia="宋体" w:cs="Times New Roman"/>
          <w:b/>
          <w:bCs/>
          <w:color w:val="auto"/>
          <w:kern w:val="2"/>
          <w:sz w:val="21"/>
          <w:szCs w:val="21"/>
          <w:lang w:val="en-US" w:eastAsia="zh-CN" w:bidi="ar-SA"/>
        </w:rPr>
        <w:t>、</w:t>
      </w:r>
      <w:r>
        <w:rPr>
          <w:rFonts w:hint="eastAsia" w:ascii="宋体" w:hAnsi="宋体"/>
          <w:b/>
          <w:bCs/>
          <w:color w:val="auto"/>
          <w:szCs w:val="21"/>
        </w:rPr>
        <w:t>支付</w:t>
      </w:r>
      <w:r>
        <w:rPr>
          <w:rFonts w:hint="eastAsia" w:ascii="宋体" w:hAnsi="宋体"/>
          <w:b/>
          <w:bCs/>
          <w:color w:val="auto"/>
          <w:szCs w:val="21"/>
          <w:lang w:val="en-US" w:eastAsia="zh-CN"/>
        </w:rPr>
        <w:t>时间</w:t>
      </w:r>
      <w:r>
        <w:rPr>
          <w:rFonts w:hint="eastAsia" w:ascii="宋体" w:hAnsi="宋体"/>
          <w:b/>
          <w:bCs/>
          <w:color w:val="auto"/>
          <w:szCs w:val="21"/>
        </w:rPr>
        <w:t>及付款方式</w:t>
      </w:r>
      <w:r>
        <w:rPr>
          <w:rFonts w:hint="eastAsia" w:ascii="宋体" w:hAnsi="宋体"/>
          <w:color w:val="auto"/>
          <w:szCs w:val="21"/>
        </w:rPr>
        <w:t>：</w:t>
      </w:r>
    </w:p>
    <w:p w14:paraId="0B5BF2A5">
      <w:pPr>
        <w:pageBreakBefore w:val="0"/>
        <w:numPr>
          <w:ilvl w:val="0"/>
          <w:numId w:val="0"/>
        </w:numPr>
        <w:kinsoku/>
        <w:overflowPunct/>
        <w:topLinePunct w:val="0"/>
        <w:bidi w:val="0"/>
        <w:spacing w:line="240" w:lineRule="auto"/>
        <w:ind w:firstLine="420" w:firstLineChars="200"/>
        <w:rPr>
          <w:rFonts w:hint="default" w:ascii="宋体" w:hAnsi="宋体" w:eastAsia="宋体" w:cs="Times New Roman"/>
          <w:color w:val="auto"/>
          <w:sz w:val="21"/>
          <w:szCs w:val="21"/>
          <w:lang w:val="en-US" w:bidi="zh-CN"/>
        </w:rPr>
      </w:pPr>
      <w:r>
        <w:rPr>
          <w:rFonts w:hint="eastAsia"/>
          <w:color w:val="auto"/>
          <w:lang w:val="en-US" w:eastAsia="zh-CN"/>
        </w:rPr>
        <w:t>乙方圆满完成上月服务内容后，结合考核实际和工作情况，次月15日前按月以银行转账方式支付服务费用，乙方应当向甲方开具合法有效的增值税发票。</w:t>
      </w:r>
    </w:p>
    <w:p w14:paraId="1C1379DF">
      <w:pPr>
        <w:pStyle w:val="10"/>
        <w:pageBreakBefore w:val="0"/>
        <w:kinsoku/>
        <w:overflowPunct/>
        <w:topLinePunct w:val="0"/>
        <w:bidi w:val="0"/>
        <w:spacing w:line="240" w:lineRule="auto"/>
        <w:ind w:firstLine="422" w:firstLineChars="200"/>
        <w:rPr>
          <w:rFonts w:hAnsi="宋体"/>
          <w:b/>
          <w:bCs/>
          <w:color w:val="000000" w:themeColor="text1"/>
          <w:sz w:val="21"/>
          <w14:textFill>
            <w14:solidFill>
              <w14:schemeClr w14:val="tx1"/>
            </w14:solidFill>
          </w14:textFill>
        </w:rPr>
      </w:pPr>
      <w:r>
        <w:rPr>
          <w:rFonts w:hint="eastAsia" w:hAnsi="宋体"/>
          <w:b/>
          <w:bCs/>
          <w:color w:val="000000" w:themeColor="text1"/>
          <w:sz w:val="21"/>
          <w:lang w:val="en-US" w:eastAsia="zh-CN"/>
          <w14:textFill>
            <w14:solidFill>
              <w14:schemeClr w14:val="tx1"/>
            </w14:solidFill>
          </w14:textFill>
        </w:rPr>
        <w:t>七</w:t>
      </w:r>
      <w:r>
        <w:rPr>
          <w:rFonts w:hint="eastAsia" w:hAnsi="宋体"/>
          <w:b/>
          <w:bCs/>
          <w:color w:val="000000" w:themeColor="text1"/>
          <w:sz w:val="21"/>
          <w14:textFill>
            <w14:solidFill>
              <w14:schemeClr w14:val="tx1"/>
            </w14:solidFill>
          </w14:textFill>
        </w:rPr>
        <w:t>、履约保证金的支付</w:t>
      </w:r>
    </w:p>
    <w:p w14:paraId="5527F28C">
      <w:pPr>
        <w:pStyle w:val="10"/>
        <w:pageBreakBefore w:val="0"/>
        <w:kinsoku/>
        <w:overflowPunct/>
        <w:topLinePunct w:val="0"/>
        <w:bidi w:val="0"/>
        <w:spacing w:line="240" w:lineRule="auto"/>
        <w:ind w:firstLine="420" w:firstLineChars="200"/>
        <w:rPr>
          <w:rFonts w:hint="eastAsia" w:ascii="宋体" w:hAnsi="宋体" w:cs="Times New Roman" w:eastAsiaTheme="minorEastAsia"/>
          <w:color w:val="000000" w:themeColor="text1"/>
          <w:kern w:val="2"/>
          <w:sz w:val="21"/>
          <w:szCs w:val="21"/>
          <w:lang w:val="en-US" w:eastAsia="zh-CN" w:bidi="zh-CN"/>
          <w14:textFill>
            <w14:solidFill>
              <w14:schemeClr w14:val="tx1"/>
            </w14:solidFill>
          </w14:textFill>
        </w:rPr>
      </w:pPr>
      <w:r>
        <w:rPr>
          <w:rFonts w:hint="eastAsia" w:ascii="宋体" w:hAnsi="宋体" w:cs="Times New Roman" w:eastAsiaTheme="minorEastAsia"/>
          <w:color w:val="000000" w:themeColor="text1"/>
          <w:kern w:val="2"/>
          <w:sz w:val="21"/>
          <w:szCs w:val="21"/>
          <w:lang w:val="en-US" w:eastAsia="zh-CN" w:bidi="zh-CN"/>
          <w14:textFill>
            <w14:solidFill>
              <w14:schemeClr w14:val="tx1"/>
            </w14:solidFill>
          </w14:textFill>
        </w:rPr>
        <w:t>无履约保证金。</w:t>
      </w:r>
    </w:p>
    <w:p w14:paraId="02BA8B4A">
      <w:pPr>
        <w:pStyle w:val="10"/>
        <w:pageBreakBefore w:val="0"/>
        <w:kinsoku/>
        <w:overflowPunct/>
        <w:topLinePunct w:val="0"/>
        <w:bidi w:val="0"/>
        <w:spacing w:line="240" w:lineRule="auto"/>
        <w:ind w:firstLine="422" w:firstLineChars="200"/>
        <w:rPr>
          <w:rFonts w:hAnsi="宋体"/>
          <w:b/>
          <w:bCs/>
          <w:sz w:val="21"/>
        </w:rPr>
      </w:pPr>
      <w:r>
        <w:rPr>
          <w:rFonts w:hint="eastAsia" w:hAnsi="宋体"/>
          <w:b/>
          <w:bCs/>
          <w:color w:val="000000" w:themeColor="text1"/>
          <w:sz w:val="21"/>
          <w:lang w:val="en-US" w:eastAsia="zh-CN"/>
          <w14:textFill>
            <w14:solidFill>
              <w14:schemeClr w14:val="tx1"/>
            </w14:solidFill>
          </w14:textFill>
        </w:rPr>
        <w:t>八</w:t>
      </w:r>
      <w:r>
        <w:rPr>
          <w:rFonts w:hint="eastAsia" w:hAnsi="宋体"/>
          <w:b/>
          <w:bCs/>
          <w:sz w:val="21"/>
        </w:rPr>
        <w:t>、</w:t>
      </w:r>
      <w:r>
        <w:rPr>
          <w:rFonts w:hAnsi="宋体"/>
          <w:b/>
          <w:bCs/>
          <w:sz w:val="21"/>
        </w:rPr>
        <w:t>双方权利义务</w:t>
      </w:r>
    </w:p>
    <w:p w14:paraId="148E56D4">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rPr>
        <w:t>（一）甲方的权利和义务</w:t>
      </w:r>
    </w:p>
    <w:p w14:paraId="144A0E09">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1、代表和维护产权人、使用人的合法权益。积极协助乙方做好物业管理工作。</w:t>
      </w:r>
    </w:p>
    <w:p w14:paraId="57A010B5">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2、审定乙方制定的物业管理制度及实施细则，并监督使用人遵守。</w:t>
      </w:r>
    </w:p>
    <w:p w14:paraId="0201A1D3">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3、审定乙方提出的物业管理年度计划、年度费用概预算、决算报告等。抽查物业管理经费的使用情况。</w:t>
      </w:r>
    </w:p>
    <w:p w14:paraId="243E8536">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4、对乙方的物业管理实施监督检查，每年进行</w:t>
      </w:r>
      <w:r>
        <w:rPr>
          <w:rFonts w:hint="eastAsia" w:ascii="宋体" w:hAnsi="宋体"/>
          <w:szCs w:val="21"/>
          <w:lang w:val="en-US" w:eastAsia="zh-CN"/>
        </w:rPr>
        <w:t>___</w:t>
      </w:r>
      <w:r>
        <w:rPr>
          <w:rFonts w:hint="eastAsia" w:ascii="宋体" w:hAnsi="宋体"/>
          <w:szCs w:val="21"/>
        </w:rPr>
        <w:t>次全面的考核评定，考核实施细则按照采购文件规定执行，甲乙双方可进一步协商完善。</w:t>
      </w:r>
    </w:p>
    <w:p w14:paraId="05EFED3C">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5、在合同生效之日起10日内向乙方提供</w:t>
      </w:r>
      <w:r>
        <w:rPr>
          <w:rFonts w:hint="eastAsia" w:ascii="宋体" w:hAnsi="宋体"/>
          <w:szCs w:val="21"/>
          <w:lang w:val="en-US" w:eastAsia="zh-CN"/>
        </w:rPr>
        <w:t>_____</w:t>
      </w:r>
      <w:r>
        <w:rPr>
          <w:rFonts w:hint="eastAsia" w:ascii="宋体" w:hAnsi="宋体"/>
          <w:szCs w:val="21"/>
        </w:rPr>
        <w:t>平方米建筑面积的办公用房，由乙方无偿使用，水、电、通讯等费用由</w:t>
      </w:r>
      <w:r>
        <w:rPr>
          <w:rFonts w:hint="eastAsia" w:ascii="宋体" w:hAnsi="宋体"/>
          <w:szCs w:val="21"/>
          <w:u w:val="single"/>
        </w:rPr>
        <w:t xml:space="preserve">    </w:t>
      </w:r>
      <w:r>
        <w:rPr>
          <w:rFonts w:hint="eastAsia" w:ascii="宋体" w:hAnsi="宋体"/>
          <w:szCs w:val="21"/>
        </w:rPr>
        <w:t>承担。</w:t>
      </w:r>
    </w:p>
    <w:p w14:paraId="46243A98">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6、负责对物业设施、设备进行清点、核查，在合同生效之日起20日内与乙方办理交接验收手续，移交相关的物业及其附属设施、设备、物业管理的原始资料和技术档案（工程建设竣工资料）等，并在乙方管理期满时予以收回。</w:t>
      </w:r>
    </w:p>
    <w:p w14:paraId="6C37E8B3">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7、依照本合同约定，按时支付物业管理费。</w:t>
      </w:r>
    </w:p>
    <w:p w14:paraId="7A080D14">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rPr>
        <w:t>（二）乙方的权利和义务</w:t>
      </w:r>
    </w:p>
    <w:p w14:paraId="07FC2131">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1、不得将物业管理项目转让给他人；未经甲方同意，也不得将项目分包给他人。</w:t>
      </w:r>
    </w:p>
    <w:p w14:paraId="180FF64A">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2、严格遵守有关法律法规和采购文件的规定，对物业实行专业规范、安全高质的管理。</w:t>
      </w:r>
    </w:p>
    <w:p w14:paraId="530C6A63">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3、接受物业管理行政主管部门和甲方的监督、指导。</w:t>
      </w:r>
    </w:p>
    <w:p w14:paraId="6308FE9B">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4、制定物业管理的各项办法、规章制度及岗位责任。建立健全本项目的物业管理档案，及时记载有关变动情况。</w:t>
      </w:r>
    </w:p>
    <w:p w14:paraId="25883CA5">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5、拟定物业管理年度计划、费用概预算决算，每半年向甲方上报财务开支情况并作出说明。</w:t>
      </w:r>
    </w:p>
    <w:p w14:paraId="257CEE09">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6、对管理范围内的物业和公用设施不得擅自占用或改变使用功能，如需在本物业内改扩建完善配套项目，须报甲方和有关部门批准后方可实施。</w:t>
      </w:r>
    </w:p>
    <w:p w14:paraId="39DDCE7F">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7、对业主和使用人违反制度的行为，针对具体行为并根据情节轻重，采取批评、规劝、警告、制止等措施。</w:t>
      </w:r>
    </w:p>
    <w:p w14:paraId="4EFBD9B9">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8、对其员工管理应符合当地政府的有关规定及甲方有关的要求。员工证件应齐全，包括身份证等，有关证件复印件乙方应送甲方备案。乙方员工食宿自行安排。</w:t>
      </w:r>
    </w:p>
    <w:p w14:paraId="720CF7EA">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9、应按劳动部门的政策给员工办好社会养老保险并对保安工作人员办好意外伤害保险等手续，有关手续费用已含在本合同中。在合同执行期间，乙方人员工作时若发生工伤或保安人员发生意外伤害，由乙方承担全部民事责任，甲方不承担任何责任。</w:t>
      </w:r>
    </w:p>
    <w:p w14:paraId="16AEA66B">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10、本合同终止时，乙方须向甲方移交原委托管理的全部物业及其各类管理档案、财务等资料；移交其管理范围内的全部公共财产，并接受甲方指定专业机构的移交审核。向甲方移交时，要确保各项设施的性能良好。</w:t>
      </w:r>
    </w:p>
    <w:p w14:paraId="668B6D65">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11、有权按时从甲方处支取物业管理费。</w:t>
      </w:r>
    </w:p>
    <w:p w14:paraId="1451284A">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九</w:t>
      </w:r>
      <w:r>
        <w:rPr>
          <w:rFonts w:hint="eastAsia" w:hAnsi="宋体"/>
          <w:b/>
          <w:bCs/>
          <w:sz w:val="21"/>
        </w:rPr>
        <w:t>、违约责任</w:t>
      </w:r>
    </w:p>
    <w:p w14:paraId="4E2DAFDC">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1、如因乙方管理不善，造成重大经济损失，经有关部门认定，甲方有权终止本合同，并追究乙方的经济责任。</w:t>
      </w:r>
    </w:p>
    <w:p w14:paraId="4EB4F5C1">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2、乙方未完成合同规定的各项管理目标，甲方可发出警告或整改通知，甲方连续二次或半年内三次发出警告或整改通知而又无彻底改善的，视为乙方无能力继续履行合同，甲方有权终止合同，并没收其履约保证金</w:t>
      </w:r>
      <w:r>
        <w:rPr>
          <w:rFonts w:hint="eastAsia" w:ascii="宋体" w:hAnsi="宋体"/>
          <w:szCs w:val="21"/>
          <w:lang w:eastAsia="zh-CN"/>
        </w:rPr>
        <w:t>，</w:t>
      </w:r>
      <w:r>
        <w:rPr>
          <w:rFonts w:hint="eastAsia" w:ascii="宋体" w:hAnsi="宋体" w:cs="宋体"/>
          <w:color w:val="auto"/>
          <w:kern w:val="0"/>
          <w:szCs w:val="21"/>
          <w:highlight w:val="none"/>
        </w:rPr>
        <w:t>且无需支付合同解除后的合同后续费用</w:t>
      </w:r>
      <w:r>
        <w:rPr>
          <w:rFonts w:hint="eastAsia" w:ascii="宋体" w:hAnsi="宋体"/>
          <w:szCs w:val="21"/>
        </w:rPr>
        <w:t>。</w:t>
      </w:r>
    </w:p>
    <w:p w14:paraId="6AE2202C">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szCs w:val="21"/>
        </w:rPr>
        <w:t>3、乙方不能按时履行合同约定的，每延误一天应向甲方偿付不能按时履行部分款项</w:t>
      </w:r>
      <w:r>
        <w:rPr>
          <w:rFonts w:hint="eastAsia" w:ascii="宋体" w:hAnsi="宋体"/>
          <w:color w:val="000000" w:themeColor="text1"/>
          <w:szCs w:val="21"/>
          <w:u w:val="single"/>
          <w14:textFill>
            <w14:solidFill>
              <w14:schemeClr w14:val="tx1"/>
            </w14:solidFill>
          </w14:textFill>
        </w:rPr>
        <w:t>百分比</w:t>
      </w:r>
      <w:r>
        <w:rPr>
          <w:rFonts w:hint="eastAsia" w:ascii="宋体" w:hAnsi="宋体"/>
          <w:color w:val="000000" w:themeColor="text1"/>
          <w:szCs w:val="21"/>
          <w14:textFill>
            <w14:solidFill>
              <w14:schemeClr w14:val="tx1"/>
            </w14:solidFill>
          </w14:textFill>
        </w:rPr>
        <w:t>的违约金。</w:t>
      </w:r>
    </w:p>
    <w:p w14:paraId="498DB049">
      <w:pPr>
        <w:pageBreakBefore w:val="0"/>
        <w:kinsoku/>
        <w:overflowPunct/>
        <w:topLinePunct w:val="0"/>
        <w:bidi w:val="0"/>
        <w:spacing w:line="240" w:lineRule="auto"/>
        <w:ind w:firstLine="420" w:firstLineChars="200"/>
        <w:rPr>
          <w:rFonts w:hint="eastAsia" w:ascii="宋体" w:hAnsi="宋体"/>
          <w:szCs w:val="21"/>
        </w:rPr>
      </w:pPr>
      <w:r>
        <w:rPr>
          <w:rFonts w:hint="eastAsia" w:ascii="宋体" w:hAnsi="宋体"/>
          <w:color w:val="000000" w:themeColor="text1"/>
          <w:szCs w:val="21"/>
          <w14:textFill>
            <w14:solidFill>
              <w14:schemeClr w14:val="tx1"/>
            </w14:solidFill>
          </w14:textFill>
        </w:rPr>
        <w:t>4、甲方不能按照本合同约定的价款和支付方式如期支付，每逾期一天，应支付逾期部分总价款2‰</w:t>
      </w:r>
      <w:r>
        <w:rPr>
          <w:rFonts w:hint="eastAsia" w:ascii="宋体" w:hAnsi="宋体"/>
          <w:szCs w:val="21"/>
        </w:rPr>
        <w:t>的违约金。</w:t>
      </w:r>
    </w:p>
    <w:p w14:paraId="288F498C">
      <w:pPr>
        <w:pStyle w:val="26"/>
        <w:spacing w:line="400" w:lineRule="exact"/>
        <w:rPr>
          <w:rFonts w:hint="eastAsia" w:ascii="宋体" w:hAnsi="宋体" w:eastAsia="宋体"/>
          <w:szCs w:val="21"/>
          <w:lang w:val="en-US" w:eastAsia="zh-CN"/>
        </w:rPr>
      </w:pPr>
      <w:r>
        <w:rPr>
          <w:rFonts w:hint="eastAsia" w:ascii="宋体" w:hAnsi="宋体" w:eastAsia="宋体"/>
          <w:szCs w:val="21"/>
          <w:lang w:val="en-US" w:eastAsia="zh-CN"/>
        </w:rPr>
        <w:t>5、乙方不得将本合同项目转包或分包给第三方，否则甲方有权单方终止本合同，乙方应承担因此给甲方造成的经济损失，包括但不限于依法应重新招标产生的各项费用、甲方向乙方追偿而支出的律师费、诉讼费等。</w:t>
      </w:r>
    </w:p>
    <w:p w14:paraId="53B47459">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十</w:t>
      </w:r>
      <w:r>
        <w:rPr>
          <w:rFonts w:hint="eastAsia" w:hAnsi="宋体"/>
          <w:b/>
          <w:bCs/>
          <w:sz w:val="21"/>
        </w:rPr>
        <w:t>、其他事项</w:t>
      </w:r>
    </w:p>
    <w:p w14:paraId="13368581">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如遇突发或重大事件，乙方管理人员应在第一时间报告甲方有关部门，乙方项目负责人应在第一时间到达现场，适时处理或协助处理有关问题，甲方如认为情况危及到甲方的安定管理，乙方应无条件同意甲方直接调配乙方资源直至危机结束。</w:t>
      </w:r>
    </w:p>
    <w:p w14:paraId="515431D0">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2、委托管理楼宇内的设施，每年被盗率不得超过</w:t>
      </w:r>
      <w:r>
        <w:rPr>
          <w:rFonts w:hint="eastAsia" w:ascii="宋体" w:hAnsi="宋体"/>
          <w:color w:val="000000" w:themeColor="text1"/>
          <w:szCs w:val="21"/>
          <w14:textFill>
            <w14:solidFill>
              <w14:schemeClr w14:val="tx1"/>
            </w14:solidFill>
          </w14:textFill>
        </w:rPr>
        <w:t>1‰</w:t>
      </w:r>
      <w:r>
        <w:rPr>
          <w:rFonts w:hint="eastAsia" w:ascii="宋体" w:hAnsi="宋体"/>
          <w:szCs w:val="21"/>
        </w:rPr>
        <w:t>件，超过此比率的，由乙方全额赔偿。委托管理区域内发生人身伤害事故，按照物业管理有关的法律、法规、文件规定，乙方承担相应的管理责任。</w:t>
      </w:r>
    </w:p>
    <w:p w14:paraId="43527F03">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3、乙方人员必须严格遵守操作规程，如因违反操作规程而造成甲方财物损失的，乙方应负全部赔偿责任。</w:t>
      </w:r>
      <w:r>
        <w:rPr>
          <w:rFonts w:ascii="宋体" w:hAnsi="宋体"/>
          <w:szCs w:val="21"/>
        </w:rPr>
        <w:t>因房屋建筑质量、设备设施质量或安装技术等原因，达不到使用功能，造成重大事故的，由甲方承担责任并作善后处理，产生质量事故的直接原因，以政府主管部门的鉴定为准。</w:t>
      </w:r>
    </w:p>
    <w:p w14:paraId="21B4BEFB">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4、由于乙方原因而损坏甲方财产的，由乙方负责赔偿。因甲方原因，造成乙方未完成规定管理目标或直接造成乙方经济损失的，甲方应给予乙方相应补偿。</w:t>
      </w:r>
    </w:p>
    <w:p w14:paraId="345F7E21">
      <w:pPr>
        <w:pageBreakBefore w:val="0"/>
        <w:kinsoku/>
        <w:overflowPunct/>
        <w:topLinePunct w:val="0"/>
        <w:bidi w:val="0"/>
        <w:spacing w:line="240" w:lineRule="auto"/>
        <w:ind w:firstLine="422" w:firstLineChars="200"/>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一</w:t>
      </w:r>
      <w:r>
        <w:rPr>
          <w:rFonts w:hint="eastAsia" w:ascii="宋体" w:hAnsi="宋体"/>
          <w:b/>
          <w:color w:val="000000" w:themeColor="text1"/>
          <w:szCs w:val="21"/>
          <w14:textFill>
            <w14:solidFill>
              <w14:schemeClr w14:val="tx1"/>
            </w14:solidFill>
          </w14:textFill>
        </w:rPr>
        <w:t>、不可抗力</w:t>
      </w:r>
      <w:r>
        <w:rPr>
          <w:rFonts w:hint="eastAsia" w:ascii="宋体" w:hAnsi="宋体"/>
          <w:color w:val="000000" w:themeColor="text1"/>
          <w:szCs w:val="21"/>
          <w14:textFill>
            <w14:solidFill>
              <w14:schemeClr w14:val="tx1"/>
            </w14:solidFill>
          </w14:textFill>
        </w:rPr>
        <w:t>：由于不可抗力的原因不能履行合同时，应及时向对方通报不能履行或不能完全履行的理由，在取得有关权威部门的证明以后，允许延期履行、部分履行或者不履行合同，并根据情况可部分或全部免予承担违约责任。</w:t>
      </w:r>
    </w:p>
    <w:p w14:paraId="7BE97524">
      <w:pPr>
        <w:pageBreakBefore w:val="0"/>
        <w:kinsoku/>
        <w:overflowPunct/>
        <w:topLinePunct w:val="0"/>
        <w:bidi w:val="0"/>
        <w:spacing w:line="24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二</w:t>
      </w:r>
      <w:r>
        <w:rPr>
          <w:rFonts w:hint="eastAsia" w:ascii="宋体" w:hAnsi="宋体"/>
          <w:b/>
          <w:color w:val="000000" w:themeColor="text1"/>
          <w:szCs w:val="21"/>
          <w14:textFill>
            <w14:solidFill>
              <w14:schemeClr w14:val="tx1"/>
            </w14:solidFill>
          </w14:textFill>
        </w:rPr>
        <w:t>、本合同的其他组成文件：</w:t>
      </w:r>
    </w:p>
    <w:p w14:paraId="424CC2A6">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1、采购文件（含补充、修改文件）</w:t>
      </w:r>
    </w:p>
    <w:p w14:paraId="236FB01B">
      <w:pPr>
        <w:pageBreakBefore w:val="0"/>
        <w:kinsoku/>
        <w:overflowPunct/>
        <w:topLinePunct w:val="0"/>
        <w:bidi w:val="0"/>
        <w:spacing w:line="240" w:lineRule="auto"/>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2、乙方的投标文件（含澄清、补充文件）</w:t>
      </w:r>
    </w:p>
    <w:p w14:paraId="680A0A9A">
      <w:pPr>
        <w:spacing w:line="240" w:lineRule="auto"/>
        <w:ind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s="Times New Roman"/>
          <w:color w:val="000000" w:themeColor="text1"/>
          <w:kern w:val="2"/>
          <w:szCs w:val="21"/>
          <w:lang w:val="en-US" w:eastAsia="zh-CN"/>
          <w14:textFill>
            <w14:solidFill>
              <w14:schemeClr w14:val="tx1"/>
            </w14:solidFill>
          </w14:textFill>
        </w:rPr>
        <w:t>3、</w:t>
      </w:r>
      <w:r>
        <w:rPr>
          <w:rFonts w:hint="eastAsia" w:ascii="宋体" w:hAnsi="宋体" w:eastAsia="宋体"/>
          <w:color w:val="000000" w:themeColor="text1"/>
          <w:szCs w:val="21"/>
          <w14:textFill>
            <w14:solidFill>
              <w14:schemeClr w14:val="tx1"/>
            </w14:solidFill>
          </w14:textFill>
        </w:rPr>
        <w:t>投标承诺书；</w:t>
      </w:r>
    </w:p>
    <w:p w14:paraId="51020EF5">
      <w:pPr>
        <w:spacing w:line="240" w:lineRule="auto"/>
        <w:ind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s="Times New Roman"/>
          <w:color w:val="000000" w:themeColor="text1"/>
          <w:kern w:val="2"/>
          <w:szCs w:val="21"/>
          <w:lang w:val="en-US" w:eastAsia="zh-CN"/>
          <w14:textFill>
            <w14:solidFill>
              <w14:schemeClr w14:val="tx1"/>
            </w14:solidFill>
          </w14:textFill>
        </w:rPr>
        <w:t>4、</w:t>
      </w:r>
      <w:r>
        <w:rPr>
          <w:rFonts w:hint="eastAsia" w:ascii="宋体" w:hAnsi="宋体" w:eastAsia="宋体"/>
          <w:color w:val="000000" w:themeColor="text1"/>
          <w:szCs w:val="21"/>
          <w14:textFill>
            <w14:solidFill>
              <w14:schemeClr w14:val="tx1"/>
            </w14:solidFill>
          </w14:textFill>
        </w:rPr>
        <w:t>中标通知书。</w:t>
      </w:r>
    </w:p>
    <w:p w14:paraId="084E3F51">
      <w:pPr>
        <w:pageBreakBefore w:val="0"/>
        <w:kinsoku/>
        <w:overflowPunct/>
        <w:topLinePunct w:val="0"/>
        <w:bidi w:val="0"/>
        <w:spacing w:line="240" w:lineRule="auto"/>
        <w:ind w:firstLine="422" w:firstLineChars="200"/>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三</w:t>
      </w:r>
      <w:r>
        <w:rPr>
          <w:rFonts w:hint="eastAsia" w:ascii="宋体" w:hAnsi="宋体"/>
          <w:b/>
          <w:color w:val="000000" w:themeColor="text1"/>
          <w:szCs w:val="21"/>
          <w14:textFill>
            <w14:solidFill>
              <w14:schemeClr w14:val="tx1"/>
            </w14:solidFill>
          </w14:textFill>
        </w:rPr>
        <w:t>、合同补充和修改</w:t>
      </w:r>
      <w:r>
        <w:rPr>
          <w:rFonts w:hint="eastAsia" w:ascii="宋体" w:hAnsi="宋体"/>
          <w:color w:val="000000" w:themeColor="text1"/>
          <w:szCs w:val="21"/>
          <w14:textFill>
            <w14:solidFill>
              <w14:schemeClr w14:val="tx1"/>
            </w14:solidFill>
          </w14:textFill>
        </w:rPr>
        <w:t>：对合同条款作任何改动或偏离，增加补充条款，均须由甲、乙双方签订书面的补充合同。</w:t>
      </w:r>
    </w:p>
    <w:p w14:paraId="7EB0A39B">
      <w:pPr>
        <w:pageBreakBefore w:val="0"/>
        <w:kinsoku/>
        <w:overflowPunct/>
        <w:topLinePunct w:val="0"/>
        <w:bidi w:val="0"/>
        <w:spacing w:line="24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四</w:t>
      </w:r>
      <w:r>
        <w:rPr>
          <w:rFonts w:hint="eastAsia" w:ascii="宋体" w:hAnsi="宋体"/>
          <w:b/>
          <w:color w:val="000000" w:themeColor="text1"/>
          <w:szCs w:val="21"/>
          <w14:textFill>
            <w14:solidFill>
              <w14:schemeClr w14:val="tx1"/>
            </w14:solidFill>
          </w14:textFill>
        </w:rPr>
        <w:t>、违约终止合同</w:t>
      </w:r>
    </w:p>
    <w:p w14:paraId="36379321">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1、在乙方收到甲方发出的违约通知后</w:t>
      </w:r>
      <w:r>
        <w:rPr>
          <w:rFonts w:hint="eastAsia" w:ascii="宋体" w:hAnsi="宋体"/>
          <w:color w:val="000000" w:themeColor="text1"/>
          <w:szCs w:val="21"/>
          <w:u w:val="single"/>
          <w14:textFill>
            <w14:solidFill>
              <w14:schemeClr w14:val="tx1"/>
            </w14:solidFill>
          </w14:textFill>
        </w:rPr>
        <w:t>10</w:t>
      </w:r>
      <w:r>
        <w:rPr>
          <w:rFonts w:hint="eastAsia" w:ascii="宋体" w:hAnsi="宋体"/>
          <w:color w:val="000000" w:themeColor="text1"/>
          <w:szCs w:val="21"/>
          <w14:textFill>
            <w14:solidFill>
              <w14:schemeClr w14:val="tx1"/>
            </w14:solidFill>
          </w14:textFill>
        </w:rPr>
        <w:t>天内，乙方仍未纠正其下述任何一种违约行为，甲方可向乙方发出终止合同通知，终止部分或全部合同，由此带来的一切损失由乙方承担：</w:t>
      </w:r>
    </w:p>
    <w:p w14:paraId="7FF4CEBB">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（1）乙方未能在合同规定的期限内及时进场；</w:t>
      </w:r>
    </w:p>
    <w:p w14:paraId="2D86E0C9">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（2）乙方提供的服务质量不符合合同规定，且未及时纠正的；</w:t>
      </w:r>
    </w:p>
    <w:p w14:paraId="050662C6">
      <w:pPr>
        <w:pageBreakBefore w:val="0"/>
        <w:kinsoku/>
        <w:overflowPunct/>
        <w:topLinePunct w:val="0"/>
        <w:bidi w:val="0"/>
        <w:spacing w:line="240" w:lineRule="auto"/>
        <w:ind w:firstLine="420" w:firstLineChars="200"/>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hint="eastAsia" w:ascii="宋体" w:hAnsi="宋体"/>
          <w:color w:val="000000" w:themeColor="text1"/>
          <w:szCs w:val="21"/>
          <w:lang w:val="en-US" w:eastAsia="zh-CN"/>
          <w14:textFill>
            <w14:solidFill>
              <w14:schemeClr w14:val="tx1"/>
            </w14:solidFill>
          </w14:textFill>
        </w:rPr>
        <w:t>乙方违法转包、分包的；</w:t>
      </w:r>
    </w:p>
    <w:p w14:paraId="7116DFB4">
      <w:pPr>
        <w:pageBreakBefore w:val="0"/>
        <w:kinsoku/>
        <w:overflowPunct/>
        <w:topLinePunct w:val="0"/>
        <w:bidi w:val="0"/>
        <w:spacing w:line="240" w:lineRule="auto"/>
        <w:ind w:firstLine="420" w:firstLineChars="200"/>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4）其他合同或招标文件约定的甲方有权单独解除合同的情形</w:t>
      </w:r>
      <w:r>
        <w:rPr>
          <w:rFonts w:hint="eastAsia" w:ascii="宋体" w:hAnsi="宋体"/>
          <w:color w:val="000000" w:themeColor="text1"/>
          <w:szCs w:val="21"/>
          <w:lang w:eastAsia="zh-CN"/>
          <w14:textFill>
            <w14:solidFill>
              <w14:schemeClr w14:val="tx1"/>
            </w14:solidFill>
          </w14:textFill>
        </w:rPr>
        <w:t>。</w:t>
      </w:r>
    </w:p>
    <w:p w14:paraId="54F2AFA6">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2、甲方终止部分合同，甲方可以按适当的条件和方式采购类似的由于乙方未交付部分的服务；乙方应承担甲方购买类似服务的额外费用并继续履行合同中未终止的部分。</w:t>
      </w:r>
    </w:p>
    <w:p w14:paraId="2C69AE2D">
      <w:pPr>
        <w:pageBreakBefore w:val="0"/>
        <w:kinsoku/>
        <w:overflowPunct/>
        <w:topLinePunct w:val="0"/>
        <w:bidi w:val="0"/>
        <w:spacing w:line="24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五</w:t>
      </w:r>
      <w:r>
        <w:rPr>
          <w:rFonts w:hint="eastAsia" w:ascii="宋体" w:hAnsi="宋体"/>
          <w:b/>
          <w:color w:val="000000" w:themeColor="text1"/>
          <w:szCs w:val="21"/>
          <w14:textFill>
            <w14:solidFill>
              <w14:schemeClr w14:val="tx1"/>
            </w14:solidFill>
          </w14:textFill>
        </w:rPr>
        <w:t>、破产终止合同</w:t>
      </w:r>
    </w:p>
    <w:p w14:paraId="3562B24E">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1、当乙方破产或无清偿能力时，乙方应书面通知甲方终止合同，在甲方知情而未收到乙方终止合同书面通知时，甲方亦可书面通知乙方终止合同。</w:t>
      </w:r>
    </w:p>
    <w:p w14:paraId="42AD9D66">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2、因不可抗力的自然灾害原因造成自然终止合同时按破产终止合同办法终止合同。</w:t>
      </w:r>
    </w:p>
    <w:p w14:paraId="6441AA79">
      <w:pPr>
        <w:pageBreakBefore w:val="0"/>
        <w:kinsoku/>
        <w:overflowPunct/>
        <w:topLinePunct w:val="0"/>
        <w:bidi w:val="0"/>
        <w:spacing w:line="240" w:lineRule="auto"/>
        <w:ind w:firstLine="422" w:firstLineChars="200"/>
        <w:jc w:val="left"/>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六</w:t>
      </w:r>
      <w:r>
        <w:rPr>
          <w:rFonts w:hint="eastAsia" w:ascii="宋体" w:hAnsi="宋体"/>
          <w:b/>
          <w:color w:val="000000" w:themeColor="text1"/>
          <w:szCs w:val="21"/>
          <w14:textFill>
            <w14:solidFill>
              <w14:schemeClr w14:val="tx1"/>
            </w14:solidFill>
          </w14:textFill>
        </w:rPr>
        <w:t>、</w:t>
      </w:r>
      <w:r>
        <w:rPr>
          <w:rFonts w:hint="eastAsia" w:ascii="宋体" w:hAnsi="宋体"/>
          <w:b/>
          <w:color w:val="000000" w:themeColor="text1"/>
          <w:szCs w:val="21"/>
          <w:lang w:val="en-US" w:eastAsia="zh-CN"/>
          <w14:textFill>
            <w14:solidFill>
              <w14:schemeClr w14:val="tx1"/>
            </w14:solidFill>
          </w14:textFill>
        </w:rPr>
        <w:t>争议解决</w:t>
      </w:r>
      <w:r>
        <w:rPr>
          <w:rFonts w:hint="eastAsia" w:ascii="宋体" w:hAnsi="宋体"/>
          <w:color w:val="000000" w:themeColor="text1"/>
          <w:szCs w:val="21"/>
          <w14:textFill>
            <w14:solidFill>
              <w14:schemeClr w14:val="tx1"/>
            </w14:solidFill>
          </w14:textFill>
        </w:rPr>
        <w:t>：如发生合同纠纷，甲、乙双方协商解决；协商不成时，可提请政府采购管理部门调解；调解不成，双方约定向甲方所在地人民法院提起</w:t>
      </w:r>
      <w:r>
        <w:rPr>
          <w:rFonts w:hint="eastAsia" w:ascii="宋体" w:hAnsi="宋体"/>
          <w:color w:val="000000" w:themeColor="text1"/>
          <w:szCs w:val="21"/>
          <w:lang w:val="en-US" w:eastAsia="zh-CN"/>
          <w14:textFill>
            <w14:solidFill>
              <w14:schemeClr w14:val="tx1"/>
            </w14:solidFill>
          </w14:textFill>
        </w:rPr>
        <w:t>诉讼。</w:t>
      </w:r>
      <w:r>
        <w:rPr>
          <w:rFonts w:hint="eastAsia" w:ascii="宋体" w:hAnsi="宋体"/>
          <w:color w:val="000000" w:themeColor="text1"/>
          <w:szCs w:val="21"/>
          <w14:textFill>
            <w14:solidFill>
              <w14:schemeClr w14:val="tx1"/>
            </w14:solidFill>
          </w14:textFill>
        </w:rPr>
        <w:t xml:space="preserve">                    。</w:t>
      </w:r>
    </w:p>
    <w:p w14:paraId="5CEF2AA4">
      <w:pPr>
        <w:pageBreakBefore w:val="0"/>
        <w:kinsoku/>
        <w:overflowPunct/>
        <w:topLinePunct w:val="0"/>
        <w:bidi w:val="0"/>
        <w:spacing w:line="240" w:lineRule="auto"/>
        <w:ind w:firstLine="422" w:firstLineChars="200"/>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七</w:t>
      </w:r>
      <w:r>
        <w:rPr>
          <w:rFonts w:hint="eastAsia" w:ascii="宋体" w:hAnsi="宋体"/>
          <w:b/>
          <w:color w:val="000000" w:themeColor="text1"/>
          <w:szCs w:val="21"/>
          <w14:textFill>
            <w14:solidFill>
              <w14:schemeClr w14:val="tx1"/>
            </w14:solidFill>
          </w14:textFill>
        </w:rPr>
        <w:t>、未尽事宜</w:t>
      </w:r>
      <w:r>
        <w:rPr>
          <w:rFonts w:hint="eastAsia" w:ascii="宋体" w:hAnsi="宋体"/>
          <w:color w:val="000000" w:themeColor="text1"/>
          <w:szCs w:val="21"/>
          <w14:textFill>
            <w14:solidFill>
              <w14:schemeClr w14:val="tx1"/>
            </w14:solidFill>
          </w14:textFill>
        </w:rPr>
        <w:t>：合同如有未尽事宜，须经甲、乙方双方共同协商，作出补充约定；补充约定与本合同具有同等效力。</w:t>
      </w:r>
    </w:p>
    <w:p w14:paraId="327A5083">
      <w:pPr>
        <w:pageBreakBefore w:val="0"/>
        <w:kinsoku/>
        <w:overflowPunct/>
        <w:topLinePunct w:val="0"/>
        <w:bidi w:val="0"/>
        <w:spacing w:line="240" w:lineRule="auto"/>
        <w:ind w:firstLine="422" w:firstLineChars="200"/>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八</w:t>
      </w:r>
      <w:r>
        <w:rPr>
          <w:rFonts w:hint="eastAsia" w:ascii="宋体" w:hAnsi="宋体"/>
          <w:b/>
          <w:color w:val="000000" w:themeColor="text1"/>
          <w:szCs w:val="21"/>
          <w14:textFill>
            <w14:solidFill>
              <w14:schemeClr w14:val="tx1"/>
            </w14:solidFill>
          </w14:textFill>
        </w:rPr>
        <w:t>、</w:t>
      </w:r>
      <w:r>
        <w:rPr>
          <w:rFonts w:hint="eastAsia" w:ascii="宋体" w:hAnsi="宋体"/>
          <w:b/>
          <w:color w:val="000000" w:themeColor="text1"/>
          <w:szCs w:val="21"/>
          <w:lang w:val="en-US" w:eastAsia="zh-CN"/>
          <w14:textFill>
            <w14:solidFill>
              <w14:schemeClr w14:val="tx1"/>
            </w14:solidFill>
          </w14:textFill>
        </w:rPr>
        <w:t>其他</w:t>
      </w:r>
      <w:r>
        <w:rPr>
          <w:rFonts w:hint="eastAsia" w:ascii="宋体" w:hAnsi="宋体"/>
          <w:b/>
          <w:color w:val="000000" w:themeColor="text1"/>
          <w:szCs w:val="21"/>
          <w14:textFill>
            <w14:solidFill>
              <w14:schemeClr w14:val="tx1"/>
            </w14:solidFill>
          </w14:textFill>
        </w:rPr>
        <w:t>：</w:t>
      </w:r>
    </w:p>
    <w:p w14:paraId="2B0C3EE2">
      <w:pPr>
        <w:pageBreakBefore w:val="0"/>
        <w:numPr>
          <w:ilvl w:val="0"/>
          <w:numId w:val="10"/>
        </w:numPr>
        <w:kinsoku/>
        <w:overflowPunct/>
        <w:topLinePunct w:val="0"/>
        <w:bidi w:val="0"/>
        <w:spacing w:line="400" w:lineRule="exact"/>
        <w:ind w:firstLine="420" w:firstLineChars="200"/>
        <w:rPr>
          <w:rFonts w:hint="eastAsia" w:ascii="宋体" w:hAnsi="宋体"/>
          <w:szCs w:val="21"/>
        </w:rPr>
      </w:pPr>
      <w:r>
        <w:rPr>
          <w:rFonts w:hint="eastAsia" w:ascii="宋体" w:hAnsi="宋体"/>
          <w:szCs w:val="21"/>
        </w:rPr>
        <w:t>本合同一式四份，甲方、乙方各一份，政府采购管理部门一份，采购代理机构一份。本合同经甲、乙双方</w:t>
      </w:r>
      <w:r>
        <w:rPr>
          <w:rFonts w:hint="eastAsia" w:ascii="宋体" w:hAnsi="宋体"/>
          <w:szCs w:val="21"/>
          <w:lang w:val="en-US" w:eastAsia="zh-CN"/>
        </w:rPr>
        <w:t>法定代表人或授权代表签字并加</w:t>
      </w:r>
      <w:r>
        <w:rPr>
          <w:rFonts w:hint="eastAsia" w:ascii="宋体" w:hAnsi="宋体"/>
          <w:szCs w:val="21"/>
        </w:rPr>
        <w:t>盖</w:t>
      </w:r>
      <w:r>
        <w:rPr>
          <w:rFonts w:hint="eastAsia" w:ascii="宋体" w:hAnsi="宋体"/>
          <w:szCs w:val="21"/>
          <w:lang w:val="en-US" w:eastAsia="zh-CN"/>
        </w:rPr>
        <w:t>双方公</w:t>
      </w:r>
      <w:r>
        <w:rPr>
          <w:rFonts w:hint="eastAsia" w:ascii="宋体" w:hAnsi="宋体"/>
          <w:szCs w:val="21"/>
        </w:rPr>
        <w:t>章后生效。</w:t>
      </w:r>
    </w:p>
    <w:p w14:paraId="7564882C">
      <w:pPr>
        <w:pStyle w:val="26"/>
        <w:numPr>
          <w:ilvl w:val="0"/>
          <w:numId w:val="10"/>
        </w:numPr>
        <w:spacing w:line="400" w:lineRule="exact"/>
        <w:rPr>
          <w:rFonts w:hint="eastAsia" w:ascii="宋体" w:hAnsi="宋体" w:eastAsia="宋体"/>
          <w:szCs w:val="21"/>
        </w:rPr>
      </w:pPr>
      <w:r>
        <w:rPr>
          <w:rFonts w:hint="eastAsia" w:ascii="宋体" w:hAnsi="宋体" w:eastAsia="宋体"/>
          <w:szCs w:val="21"/>
        </w:rPr>
        <w:t>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tbl>
      <w:tblPr>
        <w:tblStyle w:val="18"/>
        <w:tblW w:w="8573" w:type="dxa"/>
        <w:tblInd w:w="108" w:type="dxa"/>
        <w:tblLayout w:type="fixed"/>
        <w:tblCellMar>
          <w:top w:w="0" w:type="dxa"/>
          <w:left w:w="108" w:type="dxa"/>
          <w:bottom w:w="0" w:type="dxa"/>
          <w:right w:w="108" w:type="dxa"/>
        </w:tblCellMar>
      </w:tblPr>
      <w:tblGrid>
        <w:gridCol w:w="4664"/>
        <w:gridCol w:w="3909"/>
      </w:tblGrid>
      <w:tr w14:paraId="385763D1">
        <w:tblPrEx>
          <w:tblCellMar>
            <w:top w:w="0" w:type="dxa"/>
            <w:left w:w="108" w:type="dxa"/>
            <w:bottom w:w="0" w:type="dxa"/>
            <w:right w:w="108" w:type="dxa"/>
          </w:tblCellMar>
        </w:tblPrEx>
        <w:trPr>
          <w:cantSplit/>
          <w:trHeight w:val="2608" w:hRule="atLeast"/>
        </w:trPr>
        <w:tc>
          <w:tcPr>
            <w:tcW w:w="4664" w:type="dxa"/>
            <w:noWrap w:val="0"/>
            <w:vAlign w:val="top"/>
          </w:tcPr>
          <w:p w14:paraId="7C271C66">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甲方（盖章）</w:t>
            </w:r>
          </w:p>
          <w:p w14:paraId="213D88CC">
            <w:pPr>
              <w:pStyle w:val="10"/>
              <w:pageBreakBefore w:val="0"/>
              <w:kinsoku/>
              <w:overflowPunct/>
              <w:topLinePunct w:val="0"/>
              <w:bidi w:val="0"/>
              <w:spacing w:line="240" w:lineRule="auto"/>
              <w:ind w:firstLine="420" w:firstLineChars="200"/>
              <w:rPr>
                <w:rFonts w:hAnsi="宋体"/>
                <w:bCs/>
                <w:sz w:val="21"/>
              </w:rPr>
            </w:pPr>
          </w:p>
          <w:p w14:paraId="40ED6DAA">
            <w:pPr>
              <w:pStyle w:val="10"/>
              <w:pageBreakBefore w:val="0"/>
              <w:kinsoku/>
              <w:overflowPunct/>
              <w:topLinePunct w:val="0"/>
              <w:bidi w:val="0"/>
              <w:spacing w:line="240" w:lineRule="auto"/>
              <w:ind w:firstLine="420" w:firstLineChars="200"/>
              <w:rPr>
                <w:rFonts w:hAnsi="宋体"/>
                <w:bCs/>
                <w:sz w:val="21"/>
              </w:rPr>
            </w:pPr>
          </w:p>
          <w:p w14:paraId="10112CB5">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lang w:val="en-US" w:eastAsia="zh-CN"/>
              </w:rPr>
              <w:t>法定代表人/</w:t>
            </w:r>
            <w:r>
              <w:rPr>
                <w:rFonts w:hint="eastAsia" w:hAnsi="宋体"/>
                <w:bCs/>
                <w:sz w:val="21"/>
              </w:rPr>
              <w:t>授权代表（签字）：</w:t>
            </w:r>
          </w:p>
          <w:p w14:paraId="067B73B9">
            <w:pPr>
              <w:pStyle w:val="10"/>
              <w:pageBreakBefore w:val="0"/>
              <w:kinsoku/>
              <w:overflowPunct/>
              <w:topLinePunct w:val="0"/>
              <w:bidi w:val="0"/>
              <w:spacing w:line="240" w:lineRule="auto"/>
              <w:ind w:firstLine="420" w:firstLineChars="200"/>
              <w:rPr>
                <w:rFonts w:hAnsi="宋体"/>
                <w:bCs/>
                <w:sz w:val="21"/>
              </w:rPr>
            </w:pPr>
          </w:p>
          <w:p w14:paraId="13EC2CE2">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联系电话：</w:t>
            </w:r>
          </w:p>
          <w:p w14:paraId="10ED73D6">
            <w:pPr>
              <w:pStyle w:val="10"/>
              <w:pageBreakBefore w:val="0"/>
              <w:kinsoku/>
              <w:overflowPunct/>
              <w:topLinePunct w:val="0"/>
              <w:bidi w:val="0"/>
              <w:spacing w:line="240" w:lineRule="auto"/>
              <w:ind w:firstLine="420" w:firstLineChars="200"/>
              <w:rPr>
                <w:rFonts w:hAnsi="宋体"/>
                <w:bCs/>
                <w:sz w:val="21"/>
              </w:rPr>
            </w:pPr>
          </w:p>
          <w:p w14:paraId="219EC245">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单位地址：</w:t>
            </w:r>
          </w:p>
          <w:p w14:paraId="3DB6D992">
            <w:pPr>
              <w:pStyle w:val="10"/>
              <w:pageBreakBefore w:val="0"/>
              <w:kinsoku/>
              <w:overflowPunct/>
              <w:topLinePunct w:val="0"/>
              <w:bidi w:val="0"/>
              <w:spacing w:line="240" w:lineRule="auto"/>
              <w:ind w:firstLine="420" w:firstLineChars="200"/>
              <w:rPr>
                <w:rFonts w:hAnsi="宋体"/>
                <w:bCs/>
                <w:sz w:val="21"/>
              </w:rPr>
            </w:pPr>
          </w:p>
          <w:p w14:paraId="5B56E50E">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签订时间：</w:t>
            </w:r>
          </w:p>
        </w:tc>
        <w:tc>
          <w:tcPr>
            <w:tcW w:w="3909" w:type="dxa"/>
            <w:noWrap w:val="0"/>
            <w:vAlign w:val="top"/>
          </w:tcPr>
          <w:p w14:paraId="1BA27D51">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乙方（盖章）</w:t>
            </w:r>
          </w:p>
          <w:p w14:paraId="14484597">
            <w:pPr>
              <w:pStyle w:val="10"/>
              <w:pageBreakBefore w:val="0"/>
              <w:kinsoku/>
              <w:overflowPunct/>
              <w:topLinePunct w:val="0"/>
              <w:bidi w:val="0"/>
              <w:spacing w:line="240" w:lineRule="auto"/>
              <w:ind w:firstLine="420" w:firstLineChars="200"/>
              <w:rPr>
                <w:rFonts w:hAnsi="宋体"/>
                <w:bCs/>
                <w:sz w:val="21"/>
              </w:rPr>
            </w:pPr>
          </w:p>
          <w:p w14:paraId="1AF20BDD">
            <w:pPr>
              <w:pStyle w:val="10"/>
              <w:pageBreakBefore w:val="0"/>
              <w:kinsoku/>
              <w:overflowPunct/>
              <w:topLinePunct w:val="0"/>
              <w:bidi w:val="0"/>
              <w:spacing w:line="240" w:lineRule="auto"/>
              <w:ind w:firstLine="420" w:firstLineChars="200"/>
              <w:rPr>
                <w:rFonts w:hAnsi="宋体"/>
                <w:bCs/>
                <w:sz w:val="21"/>
              </w:rPr>
            </w:pPr>
          </w:p>
          <w:p w14:paraId="7170B95C">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lang w:val="en-US" w:eastAsia="zh-CN"/>
              </w:rPr>
              <w:t>法定代表人/</w:t>
            </w:r>
            <w:r>
              <w:rPr>
                <w:rFonts w:hint="eastAsia" w:hAnsi="宋体"/>
                <w:bCs/>
                <w:sz w:val="21"/>
              </w:rPr>
              <w:t>授权代表（签字）：</w:t>
            </w:r>
          </w:p>
          <w:p w14:paraId="77C4CC53">
            <w:pPr>
              <w:pStyle w:val="10"/>
              <w:pageBreakBefore w:val="0"/>
              <w:kinsoku/>
              <w:overflowPunct/>
              <w:topLinePunct w:val="0"/>
              <w:bidi w:val="0"/>
              <w:spacing w:line="240" w:lineRule="auto"/>
              <w:ind w:firstLine="420" w:firstLineChars="200"/>
              <w:rPr>
                <w:rFonts w:hAnsi="宋体"/>
                <w:bCs/>
                <w:sz w:val="21"/>
              </w:rPr>
            </w:pPr>
          </w:p>
          <w:p w14:paraId="07891816">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联系电话：</w:t>
            </w:r>
          </w:p>
          <w:p w14:paraId="02DA99D2">
            <w:pPr>
              <w:pStyle w:val="10"/>
              <w:pageBreakBefore w:val="0"/>
              <w:kinsoku/>
              <w:overflowPunct/>
              <w:topLinePunct w:val="0"/>
              <w:bidi w:val="0"/>
              <w:spacing w:line="240" w:lineRule="auto"/>
              <w:ind w:firstLine="420" w:firstLineChars="200"/>
              <w:rPr>
                <w:rFonts w:hAnsi="宋体"/>
                <w:bCs/>
                <w:sz w:val="21"/>
              </w:rPr>
            </w:pPr>
          </w:p>
          <w:p w14:paraId="28597D57">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单位地址：</w:t>
            </w:r>
          </w:p>
          <w:p w14:paraId="46AF4E83">
            <w:pPr>
              <w:pStyle w:val="10"/>
              <w:pageBreakBefore w:val="0"/>
              <w:kinsoku/>
              <w:overflowPunct/>
              <w:topLinePunct w:val="0"/>
              <w:bidi w:val="0"/>
              <w:spacing w:line="240" w:lineRule="auto"/>
              <w:ind w:firstLine="420" w:firstLineChars="200"/>
              <w:rPr>
                <w:rFonts w:hAnsi="宋体"/>
                <w:bCs/>
                <w:sz w:val="21"/>
              </w:rPr>
            </w:pPr>
          </w:p>
          <w:p w14:paraId="2CE249CE">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开户银行：</w:t>
            </w:r>
          </w:p>
          <w:p w14:paraId="233F21FE">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账    号：</w:t>
            </w:r>
          </w:p>
          <w:p w14:paraId="161BFB2B">
            <w:pPr>
              <w:pStyle w:val="10"/>
              <w:pageBreakBefore w:val="0"/>
              <w:kinsoku/>
              <w:overflowPunct/>
              <w:topLinePunct w:val="0"/>
              <w:bidi w:val="0"/>
              <w:spacing w:line="240" w:lineRule="auto"/>
              <w:ind w:firstLine="420" w:firstLineChars="200"/>
              <w:rPr>
                <w:rFonts w:hAnsi="宋体"/>
                <w:bCs/>
                <w:sz w:val="21"/>
              </w:rPr>
            </w:pPr>
          </w:p>
          <w:p w14:paraId="05B5CF72">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签订时间：</w:t>
            </w:r>
          </w:p>
          <w:p w14:paraId="52F398F2">
            <w:pPr>
              <w:pStyle w:val="10"/>
              <w:pageBreakBefore w:val="0"/>
              <w:kinsoku/>
              <w:overflowPunct/>
              <w:topLinePunct w:val="0"/>
              <w:bidi w:val="0"/>
              <w:spacing w:line="240" w:lineRule="auto"/>
              <w:ind w:firstLine="420" w:firstLineChars="200"/>
              <w:rPr>
                <w:rFonts w:hAnsi="宋体"/>
                <w:bCs/>
                <w:sz w:val="21"/>
              </w:rPr>
            </w:pPr>
          </w:p>
        </w:tc>
      </w:tr>
    </w:tbl>
    <w:p w14:paraId="713154A2">
      <w:pPr>
        <w:rPr>
          <w:rFonts w:hint="eastAsia" w:ascii="宋体" w:hAnsi="宋体" w:cs="宋体"/>
          <w:color w:val="auto"/>
          <w:szCs w:val="21"/>
          <w:lang w:val="en-US" w:eastAsia="zh-CN"/>
        </w:rPr>
      </w:pPr>
      <w:r>
        <w:rPr>
          <w:rFonts w:hint="eastAsia" w:ascii="宋体" w:hAnsi="宋体" w:cs="宋体"/>
          <w:color w:val="auto"/>
          <w:szCs w:val="21"/>
          <w:lang w:val="en-US" w:eastAsia="zh-CN"/>
        </w:rPr>
        <w:br w:type="page"/>
      </w:r>
    </w:p>
    <w:p w14:paraId="3D948CA2">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4"/>
          <w:szCs w:val="44"/>
          <w:highlight w:val="none"/>
          <w:lang w:val="en-US" w:eastAsia="zh-CN"/>
        </w:rPr>
      </w:pPr>
      <w:bookmarkStart w:id="128" w:name="_Toc9058"/>
      <w:bookmarkStart w:id="129" w:name="_Toc16478"/>
      <w:r>
        <w:rPr>
          <w:rFonts w:hint="eastAsia" w:ascii="宋体" w:hAnsi="宋体" w:eastAsia="宋体" w:cs="宋体"/>
          <w:b/>
          <w:bCs/>
          <w:color w:val="auto"/>
          <w:kern w:val="44"/>
          <w:sz w:val="44"/>
          <w:szCs w:val="44"/>
          <w:lang w:val="en-US" w:eastAsia="zh-CN" w:bidi="ar-SA"/>
        </w:rPr>
        <w:t xml:space="preserve">第六章 </w:t>
      </w:r>
      <w:r>
        <w:rPr>
          <w:rFonts w:hint="eastAsia" w:ascii="宋体" w:hAnsi="宋体" w:eastAsia="宋体" w:cs="宋体"/>
          <w:color w:val="auto"/>
          <w:sz w:val="44"/>
          <w:szCs w:val="44"/>
          <w:highlight w:val="none"/>
          <w:lang w:val="en-US" w:eastAsia="zh-CN"/>
        </w:rPr>
        <w:t>投标文件格式</w:t>
      </w:r>
      <w:bookmarkEnd w:id="128"/>
      <w:bookmarkEnd w:id="129"/>
    </w:p>
    <w:p w14:paraId="5A8F403A">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72AB0642">
      <w:pPr>
        <w:pageBreakBefore w:val="0"/>
        <w:kinsoku/>
        <w:overflowPunct/>
        <w:topLinePunct w:val="0"/>
        <w:bidi w:val="0"/>
        <w:spacing w:line="240" w:lineRule="auto"/>
        <w:rPr>
          <w:rFonts w:hint="eastAsia" w:ascii="宋体" w:hAnsi="宋体" w:eastAsia="宋体" w:cs="宋体"/>
          <w:b/>
          <w:color w:val="auto"/>
          <w:sz w:val="32"/>
          <w:szCs w:val="32"/>
          <w:highlight w:val="none"/>
        </w:rPr>
      </w:pPr>
      <w:bookmarkStart w:id="130" w:name="_Toc19686836"/>
      <w:r>
        <w:rPr>
          <w:rFonts w:hint="eastAsia" w:ascii="宋体" w:hAnsi="宋体" w:eastAsia="宋体" w:cs="宋体"/>
          <w:b/>
          <w:color w:val="auto"/>
          <w:sz w:val="32"/>
          <w:szCs w:val="32"/>
          <w:highlight w:val="none"/>
        </w:rPr>
        <w:t>一、报价文件格式</w:t>
      </w:r>
      <w:bookmarkEnd w:id="130"/>
    </w:p>
    <w:p w14:paraId="1B393BC3">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1.报价文件封面格式： </w:t>
      </w:r>
    </w:p>
    <w:p w14:paraId="45281D2A">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2"/>
          <w:szCs w:val="32"/>
          <w:highlight w:val="none"/>
        </w:rPr>
      </w:pPr>
    </w:p>
    <w:p w14:paraId="21893D4E">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2"/>
          <w:szCs w:val="32"/>
          <w:highlight w:val="none"/>
        </w:rPr>
      </w:pPr>
    </w:p>
    <w:p w14:paraId="21DFD8FC">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电子投标文件</w:t>
      </w:r>
    </w:p>
    <w:p w14:paraId="2CF62771">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p>
    <w:p w14:paraId="66114DE9">
      <w:pPr>
        <w:pageBreakBefore w:val="0"/>
        <w:kinsoku/>
        <w:overflowPunct/>
        <w:topLinePunct w:val="0"/>
        <w:bidi w:val="0"/>
        <w:snapToGrid w:val="0"/>
        <w:spacing w:before="120" w:beforeLines="50" w:after="50" w:line="24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报  价  文  件</w:t>
      </w:r>
    </w:p>
    <w:p w14:paraId="51A98956">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1F6124BF">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3A93283B">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6EEC689F">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206B27D">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 xml:space="preserve">项目名称： </w:t>
      </w:r>
    </w:p>
    <w:p w14:paraId="572D2DF7">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272A781D">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 xml:space="preserve">项目编号： </w:t>
      </w:r>
    </w:p>
    <w:p w14:paraId="6E293833">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lang w:val="en-US" w:eastAsia="zh-CN"/>
        </w:rPr>
      </w:pPr>
    </w:p>
    <w:p w14:paraId="719FFBE4">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分标：</w:t>
      </w:r>
    </w:p>
    <w:p w14:paraId="4DB08598">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149ACE3F">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投标人名称：</w:t>
      </w:r>
    </w:p>
    <w:p w14:paraId="0DC1841B">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5D9F3154">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投标人地址：</w:t>
      </w:r>
    </w:p>
    <w:p w14:paraId="24DE86BB">
      <w:pPr>
        <w:pStyle w:val="6"/>
        <w:pageBreakBefore w:val="0"/>
        <w:kinsoku/>
        <w:overflowPunct/>
        <w:topLinePunct w:val="0"/>
        <w:bidi w:val="0"/>
        <w:snapToGrid w:val="0"/>
        <w:spacing w:before="50" w:after="50" w:line="240" w:lineRule="auto"/>
        <w:ind w:firstLine="840" w:firstLineChars="400"/>
        <w:rPr>
          <w:rFonts w:hint="eastAsia" w:ascii="宋体" w:hAnsi="宋体" w:eastAsia="宋体" w:cs="宋体"/>
          <w:bCs/>
          <w:color w:val="auto"/>
          <w:sz w:val="21"/>
          <w:szCs w:val="21"/>
          <w:highlight w:val="none"/>
        </w:rPr>
      </w:pPr>
    </w:p>
    <w:p w14:paraId="7ADACAE5">
      <w:pPr>
        <w:pageBreakBefore w:val="0"/>
        <w:kinsoku/>
        <w:overflowPunct/>
        <w:topLinePunct w:val="0"/>
        <w:bidi w:val="0"/>
        <w:snapToGrid w:val="0"/>
        <w:spacing w:before="120" w:beforeLines="50" w:after="50"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8"/>
          <w:szCs w:val="28"/>
          <w:highlight w:val="none"/>
        </w:rPr>
        <w:t xml:space="preserve">  年  月  日</w:t>
      </w:r>
    </w:p>
    <w:p w14:paraId="2F45A561">
      <w:pPr>
        <w:rPr>
          <w:rFonts w:hint="eastAsia"/>
        </w:rPr>
      </w:pPr>
      <w:r>
        <w:rPr>
          <w:rFonts w:hint="eastAsia" w:ascii="宋体" w:hAnsi="宋体" w:eastAsia="宋体" w:cs="宋体"/>
          <w:color w:val="auto"/>
          <w:sz w:val="21"/>
          <w:szCs w:val="21"/>
          <w:highlight w:val="none"/>
        </w:rPr>
        <w:br w:type="page"/>
      </w:r>
    </w:p>
    <w:p w14:paraId="669B682A">
      <w:pPr>
        <w:pageBreakBefore w:val="0"/>
        <w:kinsoku/>
        <w:overflowPunct/>
        <w:topLinePunct w:val="0"/>
        <w:bidi w:val="0"/>
        <w:snapToGrid w:val="0"/>
        <w:spacing w:before="120" w:beforeLines="50" w:after="50" w:line="240" w:lineRule="auto"/>
        <w:jc w:val="left"/>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2.</w:t>
      </w:r>
      <w:r>
        <w:rPr>
          <w:rFonts w:hint="eastAsia" w:ascii="宋体" w:hAnsi="宋体" w:eastAsia="宋体" w:cs="宋体"/>
          <w:b/>
          <w:bCs/>
          <w:color w:val="auto"/>
          <w:sz w:val="30"/>
          <w:szCs w:val="30"/>
          <w:highlight w:val="none"/>
        </w:rPr>
        <w:t>报价文件目录</w:t>
      </w:r>
    </w:p>
    <w:p w14:paraId="1C81E7D5">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根据</w:t>
      </w:r>
      <w:r>
        <w:rPr>
          <w:rFonts w:hint="eastAsia" w:ascii="宋体" w:hAnsi="宋体" w:cs="宋体"/>
          <w:color w:val="auto"/>
          <w:sz w:val="28"/>
          <w:szCs w:val="28"/>
          <w:highlight w:val="none"/>
          <w:lang w:eastAsia="zh-CN"/>
        </w:rPr>
        <w:t>采购</w:t>
      </w:r>
      <w:r>
        <w:rPr>
          <w:rFonts w:hint="eastAsia" w:ascii="宋体" w:hAnsi="宋体" w:eastAsia="宋体" w:cs="宋体"/>
          <w:color w:val="auto"/>
          <w:sz w:val="28"/>
          <w:szCs w:val="28"/>
          <w:highlight w:val="none"/>
        </w:rPr>
        <w:t>文件规定及投标人提供的材料自行编写目录。</w:t>
      </w:r>
    </w:p>
    <w:p w14:paraId="51626897">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b/>
          <w:color w:val="auto"/>
          <w:sz w:val="30"/>
          <w:szCs w:val="30"/>
          <w:highlight w:val="none"/>
        </w:rPr>
        <w:t>3.投标函格式：</w:t>
      </w:r>
    </w:p>
    <w:p w14:paraId="7A3A8D38">
      <w:pPr>
        <w:pageBreakBefore w:val="0"/>
        <w:kinsoku/>
        <w:overflowPunct/>
        <w:topLinePunct w:val="0"/>
        <w:bidi w:val="0"/>
        <w:snapToGrid w:val="0"/>
        <w:spacing w:before="120" w:beforeLines="50" w:after="50" w:line="240" w:lineRule="auto"/>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投 标 函</w:t>
      </w:r>
    </w:p>
    <w:p w14:paraId="500C2579">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采购人名称</w:t>
      </w:r>
      <w:r>
        <w:rPr>
          <w:rFonts w:hint="eastAsia" w:ascii="宋体" w:hAnsi="宋体" w:eastAsia="宋体" w:cs="宋体"/>
          <w:color w:val="auto"/>
          <w:sz w:val="24"/>
          <w:szCs w:val="24"/>
          <w:highlight w:val="none"/>
        </w:rPr>
        <w:t>：</w:t>
      </w:r>
    </w:p>
    <w:p w14:paraId="24E441C3">
      <w:pPr>
        <w:pageBreakBefore w:val="0"/>
        <w:kinsoku/>
        <w:overflowPunct/>
        <w:topLinePunct w:val="0"/>
        <w:bidi w:val="0"/>
        <w:spacing w:line="240" w:lineRule="auto"/>
        <w:ind w:firstLine="48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w:t>
      </w:r>
      <w:r>
        <w:rPr>
          <w:rFonts w:hint="eastAsia" w:ascii="宋体" w:hAnsi="宋体" w:eastAsia="宋体" w:cs="宋体"/>
          <w:color w:val="auto"/>
          <w:sz w:val="24"/>
          <w:szCs w:val="24"/>
          <w:highlight w:val="none"/>
          <w:u w:val="single"/>
        </w:rPr>
        <w:t xml:space="preserve"> 项目名称</w:t>
      </w: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公告，签字代表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（姓名）经正式授权并代表投标人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（投标人名称）提交投标文件。</w:t>
      </w:r>
    </w:p>
    <w:p w14:paraId="6CDD7B44">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据此函，我方宣布同意如下：</w:t>
      </w:r>
    </w:p>
    <w:p w14:paraId="616EEC0C">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1.我方已详细审查全部“</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文件”，包括修改文件（如有的话）以及全部参考资料和有关附件，已经了解我方对于</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文件、采购过程、采购结果有依法进行询问、质疑、投诉的权利及相关渠道和要求。</w:t>
      </w:r>
    </w:p>
    <w:p w14:paraId="37831ABD">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2.我方在投标之前已经完全理解并接受</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文件的各项规定和要求，对</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文件的合理性、合法性不再有异议。</w:t>
      </w:r>
    </w:p>
    <w:p w14:paraId="02C01733">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3.本投标有效期自投标截止之日起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DF63D56">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4.如中标，本投标文件至本项目合同履行完毕止均保持有效，我方将按“</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文件”及政府采购法律、法规的规定履行合同责任和义务。</w:t>
      </w:r>
    </w:p>
    <w:p w14:paraId="06BB40D4">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5.我方同意按照贵方要求提供与投标有关的一切数据或者资料。</w:t>
      </w:r>
    </w:p>
    <w:p w14:paraId="5D3D6FF9">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6.我方向贵方提交的所有投标文件、资料都是准确的和真实的。</w:t>
      </w:r>
    </w:p>
    <w:p w14:paraId="6F6BEA62">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7.以上事项如有虚假或者隐瞒，我方愿意承担一切后果，并不再寻求任何旨在减轻或者免除法律责任的辩解。</w:t>
      </w:r>
    </w:p>
    <w:p w14:paraId="51A1BEC3">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154E0849">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□我方本次投标文件</w:t>
      </w:r>
      <w:r>
        <w:rPr>
          <w:rFonts w:hint="eastAsia" w:ascii="宋体" w:hAnsi="宋体" w:eastAsia="宋体" w:cs="宋体"/>
          <w:color w:val="auto"/>
          <w:kern w:val="0"/>
          <w:sz w:val="24"/>
          <w:szCs w:val="24"/>
          <w:highlight w:val="none"/>
        </w:rPr>
        <w:t>内容中</w:t>
      </w:r>
      <w:r>
        <w:rPr>
          <w:rFonts w:hint="eastAsia" w:ascii="宋体" w:hAnsi="宋体" w:eastAsia="宋体" w:cs="宋体"/>
          <w:color w:val="auto"/>
          <w:sz w:val="24"/>
          <w:szCs w:val="24"/>
          <w:highlight w:val="none"/>
        </w:rPr>
        <w:t>未</w:t>
      </w:r>
      <w:r>
        <w:rPr>
          <w:rFonts w:hint="eastAsia" w:ascii="宋体" w:hAnsi="宋体" w:eastAsia="宋体" w:cs="宋体"/>
          <w:color w:val="auto"/>
          <w:kern w:val="0"/>
          <w:sz w:val="24"/>
          <w:szCs w:val="24"/>
          <w:highlight w:val="none"/>
        </w:rPr>
        <w:t>涉及商业秘密；</w:t>
      </w:r>
    </w:p>
    <w:p w14:paraId="0D130FCF">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□我方本次投标文件</w:t>
      </w:r>
      <w:r>
        <w:rPr>
          <w:rFonts w:hint="eastAsia" w:ascii="宋体" w:hAnsi="宋体" w:eastAsia="宋体" w:cs="宋体"/>
          <w:color w:val="auto"/>
          <w:kern w:val="0"/>
          <w:sz w:val="24"/>
          <w:szCs w:val="24"/>
          <w:highlight w:val="none"/>
        </w:rPr>
        <w:t>涉及商业秘密的内容有：</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0CDBB07D">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9.与本投标有关的一切正式往来信函请寄：</w:t>
      </w:r>
    </w:p>
    <w:p w14:paraId="1D1350D7">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single"/>
        </w:rPr>
        <w:t xml:space="preserve">            </w:t>
      </w:r>
    </w:p>
    <w:p w14:paraId="28883AF0">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电子邮箱：</w:t>
      </w:r>
      <w:r>
        <w:rPr>
          <w:rFonts w:hint="eastAsia" w:ascii="宋体" w:hAnsi="宋体" w:eastAsia="宋体" w:cs="宋体"/>
          <w:color w:val="auto"/>
          <w:sz w:val="24"/>
          <w:szCs w:val="24"/>
          <w:highlight w:val="none"/>
          <w:u w:val="single"/>
        </w:rPr>
        <w:t xml:space="preserve">         </w:t>
      </w:r>
    </w:p>
    <w:p w14:paraId="3AAF5110">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p>
    <w:p w14:paraId="56939A34">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银行帐号：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C2E2B14">
      <w:pPr>
        <w:pStyle w:val="2"/>
        <w:pageBreakBefore w:val="0"/>
        <w:kinsoku/>
        <w:overflowPunct/>
        <w:topLinePunct w:val="0"/>
        <w:bidi w:val="0"/>
        <w:spacing w:line="240" w:lineRule="auto"/>
        <w:rPr>
          <w:rFonts w:hint="eastAsia" w:ascii="宋体" w:hAnsi="宋体" w:eastAsia="宋体" w:cs="宋体"/>
          <w:color w:val="auto"/>
          <w:sz w:val="24"/>
          <w:szCs w:val="24"/>
          <w:highlight w:val="none"/>
        </w:rPr>
      </w:pPr>
    </w:p>
    <w:p w14:paraId="13F043D7">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法定代表人或者委托代理人（签名）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_______ </w:t>
      </w:r>
    </w:p>
    <w:p w14:paraId="1687D938">
      <w:pPr>
        <w:pStyle w:val="10"/>
        <w:pageBreakBefore w:val="0"/>
        <w:kinsoku/>
        <w:overflowPunct/>
        <w:topLinePunct w:val="0"/>
        <w:bidi w:val="0"/>
        <w:spacing w:line="240" w:lineRule="auto"/>
        <w:contextualSpacing/>
        <w:jc w:val="cente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投标人名称（公章）：</w:t>
      </w:r>
    </w:p>
    <w:p w14:paraId="5D38C351">
      <w:pPr>
        <w:pStyle w:val="10"/>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0CC030C">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lang w:eastAsia="zh-CN"/>
        </w:rPr>
      </w:pPr>
      <w:r>
        <w:rPr>
          <w:rFonts w:hint="eastAsia"/>
          <w:lang w:val="en-US" w:eastAsia="zh-CN"/>
        </w:rPr>
        <w:br w:type="page"/>
      </w:r>
      <w:r>
        <w:rPr>
          <w:rFonts w:hint="eastAsia" w:ascii="宋体" w:hAnsi="宋体" w:eastAsia="宋体" w:cs="宋体"/>
          <w:b/>
          <w:color w:val="auto"/>
          <w:sz w:val="30"/>
          <w:szCs w:val="30"/>
          <w:highlight w:val="none"/>
        </w:rPr>
        <w:t>4.</w:t>
      </w:r>
      <w:r>
        <w:rPr>
          <w:rFonts w:hint="eastAsia" w:ascii="宋体" w:hAnsi="宋体" w:eastAsia="宋体" w:cs="宋体"/>
          <w:b/>
          <w:color w:val="auto"/>
          <w:sz w:val="30"/>
          <w:szCs w:val="30"/>
          <w:highlight w:val="none"/>
          <w:lang w:eastAsia="zh-CN"/>
        </w:rPr>
        <w:t>开标一览表</w:t>
      </w:r>
    </w:p>
    <w:p w14:paraId="0B3E1EDE">
      <w:pPr>
        <w:pageBreakBefore w:val="0"/>
        <w:kinsoku/>
        <w:overflowPunct/>
        <w:topLinePunct w:val="0"/>
        <w:bidi w:val="0"/>
        <w:snapToGrid w:val="0"/>
        <w:spacing w:before="50" w:after="50" w:line="240" w:lineRule="auto"/>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开标一览表</w:t>
      </w:r>
    </w:p>
    <w:p w14:paraId="01336012">
      <w:pPr>
        <w:pageBreakBefore w:val="0"/>
        <w:kinsoku/>
        <w:overflowPunct/>
        <w:topLinePunct w:val="0"/>
        <w:bidi w:val="0"/>
        <w:snapToGrid w:val="0"/>
        <w:spacing w:before="50" w:after="50" w:line="240" w:lineRule="auto"/>
        <w:jc w:val="center"/>
        <w:rPr>
          <w:rFonts w:hint="eastAsia" w:ascii="宋体" w:hAnsi="宋体" w:eastAsia="宋体" w:cs="宋体"/>
          <w:b/>
          <w:color w:val="auto"/>
          <w:sz w:val="21"/>
          <w:szCs w:val="21"/>
          <w:highlight w:val="none"/>
        </w:rPr>
      </w:pPr>
    </w:p>
    <w:p w14:paraId="20DCC5AA">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分标：</w:t>
      </w:r>
      <w:r>
        <w:rPr>
          <w:rFonts w:hint="eastAsia" w:ascii="宋体" w:hAnsi="宋体" w:eastAsia="宋体" w:cs="宋体"/>
          <w:color w:val="auto"/>
          <w:sz w:val="21"/>
          <w:szCs w:val="21"/>
          <w:highlight w:val="none"/>
          <w:u w:val="single"/>
        </w:rPr>
        <w:t xml:space="preserve">      </w:t>
      </w:r>
    </w:p>
    <w:p w14:paraId="35C86E99">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单位：</w:t>
      </w:r>
      <w:r>
        <w:rPr>
          <w:rFonts w:hint="eastAsia" w:ascii="宋体" w:hAnsi="宋体" w:cs="宋体"/>
          <w:color w:val="auto"/>
          <w:sz w:val="21"/>
          <w:szCs w:val="21"/>
          <w:highlight w:val="none"/>
          <w:lang w:val="en-US" w:eastAsia="zh-CN"/>
        </w:rPr>
        <w:t>元</w:t>
      </w:r>
    </w:p>
    <w:tbl>
      <w:tblPr>
        <w:tblStyle w:val="18"/>
        <w:tblW w:w="952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712"/>
        <w:gridCol w:w="1521"/>
        <w:gridCol w:w="1418"/>
        <w:gridCol w:w="1673"/>
        <w:gridCol w:w="1184"/>
      </w:tblGrid>
      <w:tr w14:paraId="7FF3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446B32FD">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2EEA3812">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b/>
                <w:color w:val="auto"/>
                <w:sz w:val="24"/>
              </w:rPr>
              <w:t>标的的名称</w:t>
            </w:r>
          </w:p>
        </w:tc>
        <w:tc>
          <w:tcPr>
            <w:tcW w:w="1521" w:type="dxa"/>
            <w:tcBorders>
              <w:top w:val="single" w:color="auto" w:sz="4" w:space="0"/>
              <w:left w:val="single" w:color="auto" w:sz="4" w:space="0"/>
              <w:bottom w:val="single" w:color="auto" w:sz="4" w:space="0"/>
              <w:right w:val="single" w:color="auto" w:sz="4" w:space="0"/>
            </w:tcBorders>
            <w:vAlign w:val="center"/>
          </w:tcPr>
          <w:p w14:paraId="6BE7B28C">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数量及单位</w:t>
            </w:r>
          </w:p>
        </w:tc>
        <w:tc>
          <w:tcPr>
            <w:tcW w:w="1418" w:type="dxa"/>
            <w:tcBorders>
              <w:top w:val="single" w:color="auto" w:sz="4" w:space="0"/>
              <w:left w:val="single" w:color="auto" w:sz="4" w:space="0"/>
              <w:bottom w:val="single" w:color="auto" w:sz="4" w:space="0"/>
              <w:right w:val="single" w:color="auto" w:sz="4" w:space="0"/>
            </w:tcBorders>
            <w:vAlign w:val="center"/>
          </w:tcPr>
          <w:p w14:paraId="5E2599C4">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单价</w:t>
            </w:r>
          </w:p>
        </w:tc>
        <w:tc>
          <w:tcPr>
            <w:tcW w:w="1673" w:type="dxa"/>
            <w:tcBorders>
              <w:top w:val="single" w:color="auto" w:sz="4" w:space="0"/>
              <w:left w:val="single" w:color="auto" w:sz="4" w:space="0"/>
              <w:bottom w:val="single" w:color="auto" w:sz="4" w:space="0"/>
              <w:right w:val="single" w:color="auto" w:sz="4" w:space="0"/>
            </w:tcBorders>
            <w:vAlign w:val="center"/>
          </w:tcPr>
          <w:p w14:paraId="5A6A5A2A">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28E4FC5C">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备注</w:t>
            </w:r>
          </w:p>
        </w:tc>
      </w:tr>
      <w:tr w14:paraId="3600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1F9B7A82">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1</w:t>
            </w:r>
          </w:p>
        </w:tc>
        <w:tc>
          <w:tcPr>
            <w:tcW w:w="2712" w:type="dxa"/>
            <w:tcBorders>
              <w:top w:val="single" w:color="auto" w:sz="4" w:space="0"/>
              <w:left w:val="single" w:color="auto" w:sz="4" w:space="0"/>
              <w:bottom w:val="single" w:color="auto" w:sz="4" w:space="0"/>
              <w:right w:val="single" w:color="auto" w:sz="4" w:space="0"/>
            </w:tcBorders>
            <w:vAlign w:val="center"/>
          </w:tcPr>
          <w:p w14:paraId="19064D72">
            <w:pPr>
              <w:pageBreakBefore w:val="0"/>
              <w:kinsoku/>
              <w:overflowPunct/>
              <w:topLinePunct w:val="0"/>
              <w:bidi w:val="0"/>
              <w:spacing w:line="240" w:lineRule="auto"/>
              <w:jc w:val="center"/>
              <w:rPr>
                <w:rFonts w:hint="eastAsia" w:ascii="宋体" w:hAnsi="宋体" w:cs="宋体"/>
                <w:color w:val="auto"/>
                <w:sz w:val="24"/>
              </w:rPr>
            </w:pPr>
          </w:p>
        </w:tc>
        <w:tc>
          <w:tcPr>
            <w:tcW w:w="1521" w:type="dxa"/>
            <w:tcBorders>
              <w:top w:val="single" w:color="auto" w:sz="4" w:space="0"/>
              <w:left w:val="single" w:color="auto" w:sz="4" w:space="0"/>
              <w:bottom w:val="single" w:color="auto" w:sz="4" w:space="0"/>
              <w:right w:val="single" w:color="auto" w:sz="4" w:space="0"/>
            </w:tcBorders>
            <w:vAlign w:val="center"/>
          </w:tcPr>
          <w:p w14:paraId="367C8F7B">
            <w:pPr>
              <w:pageBreakBefore w:val="0"/>
              <w:kinsoku/>
              <w:overflowPunct/>
              <w:topLinePunct w:val="0"/>
              <w:bidi w:val="0"/>
              <w:spacing w:line="240" w:lineRule="auto"/>
              <w:rPr>
                <w:rFonts w:hint="eastAsia" w:ascii="宋体" w:hAnsi="宋体" w:cs="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14:paraId="7B25EFCD">
            <w:pPr>
              <w:pageBreakBefore w:val="0"/>
              <w:kinsoku/>
              <w:overflowPunct/>
              <w:topLinePunct w:val="0"/>
              <w:bidi w:val="0"/>
              <w:spacing w:line="240" w:lineRule="auto"/>
              <w:rPr>
                <w:rFonts w:hint="eastAsia" w:ascii="宋体" w:hAnsi="宋体" w:cs="宋体"/>
                <w:color w:val="auto"/>
                <w:sz w:val="24"/>
              </w:rPr>
            </w:pPr>
          </w:p>
        </w:tc>
        <w:tc>
          <w:tcPr>
            <w:tcW w:w="1673" w:type="dxa"/>
            <w:tcBorders>
              <w:top w:val="single" w:color="auto" w:sz="4" w:space="0"/>
              <w:left w:val="single" w:color="auto" w:sz="4" w:space="0"/>
              <w:bottom w:val="single" w:color="auto" w:sz="4" w:space="0"/>
              <w:right w:val="single" w:color="auto" w:sz="4" w:space="0"/>
            </w:tcBorders>
          </w:tcPr>
          <w:p w14:paraId="42882C6F">
            <w:pPr>
              <w:pageBreakBefore w:val="0"/>
              <w:kinsoku/>
              <w:overflowPunct/>
              <w:topLinePunct w:val="0"/>
              <w:bidi w:val="0"/>
              <w:spacing w:line="240" w:lineRule="auto"/>
              <w:rPr>
                <w:rFonts w:hint="eastAsia"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4E807D18">
            <w:pPr>
              <w:pageBreakBefore w:val="0"/>
              <w:kinsoku/>
              <w:overflowPunct/>
              <w:topLinePunct w:val="0"/>
              <w:bidi w:val="0"/>
              <w:spacing w:line="240" w:lineRule="auto"/>
              <w:rPr>
                <w:rFonts w:hint="eastAsia" w:ascii="宋体" w:hAnsi="宋体" w:cs="宋体"/>
                <w:color w:val="auto"/>
                <w:sz w:val="24"/>
              </w:rPr>
            </w:pPr>
          </w:p>
        </w:tc>
      </w:tr>
      <w:tr w14:paraId="4E82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56DA93C5">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2</w:t>
            </w:r>
          </w:p>
        </w:tc>
        <w:tc>
          <w:tcPr>
            <w:tcW w:w="2712" w:type="dxa"/>
            <w:tcBorders>
              <w:top w:val="single" w:color="auto" w:sz="4" w:space="0"/>
              <w:left w:val="single" w:color="auto" w:sz="4" w:space="0"/>
              <w:bottom w:val="single" w:color="auto" w:sz="4" w:space="0"/>
              <w:right w:val="single" w:color="auto" w:sz="4" w:space="0"/>
            </w:tcBorders>
            <w:vAlign w:val="center"/>
          </w:tcPr>
          <w:p w14:paraId="2D5CCB3A">
            <w:pPr>
              <w:pageBreakBefore w:val="0"/>
              <w:kinsoku/>
              <w:overflowPunct/>
              <w:topLinePunct w:val="0"/>
              <w:bidi w:val="0"/>
              <w:spacing w:line="240" w:lineRule="auto"/>
              <w:jc w:val="center"/>
              <w:rPr>
                <w:rFonts w:hint="eastAsia" w:ascii="宋体" w:hAnsi="宋体" w:cs="宋体"/>
                <w:color w:val="auto"/>
                <w:sz w:val="24"/>
              </w:rPr>
            </w:pPr>
          </w:p>
        </w:tc>
        <w:tc>
          <w:tcPr>
            <w:tcW w:w="1521" w:type="dxa"/>
            <w:tcBorders>
              <w:top w:val="single" w:color="auto" w:sz="4" w:space="0"/>
              <w:left w:val="single" w:color="auto" w:sz="4" w:space="0"/>
              <w:bottom w:val="single" w:color="auto" w:sz="4" w:space="0"/>
              <w:right w:val="single" w:color="auto" w:sz="4" w:space="0"/>
            </w:tcBorders>
            <w:vAlign w:val="center"/>
          </w:tcPr>
          <w:p w14:paraId="66D78F4F">
            <w:pPr>
              <w:pageBreakBefore w:val="0"/>
              <w:kinsoku/>
              <w:overflowPunct/>
              <w:topLinePunct w:val="0"/>
              <w:bidi w:val="0"/>
              <w:spacing w:line="240" w:lineRule="auto"/>
              <w:rPr>
                <w:rFonts w:hint="eastAsia" w:ascii="宋体" w:hAnsi="宋体" w:cs="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14:paraId="11017A1B">
            <w:pPr>
              <w:pageBreakBefore w:val="0"/>
              <w:kinsoku/>
              <w:overflowPunct/>
              <w:topLinePunct w:val="0"/>
              <w:bidi w:val="0"/>
              <w:spacing w:line="240" w:lineRule="auto"/>
              <w:rPr>
                <w:rFonts w:hint="eastAsia" w:ascii="宋体" w:hAnsi="宋体" w:cs="宋体"/>
                <w:color w:val="auto"/>
                <w:sz w:val="24"/>
              </w:rPr>
            </w:pPr>
          </w:p>
        </w:tc>
        <w:tc>
          <w:tcPr>
            <w:tcW w:w="1673" w:type="dxa"/>
            <w:tcBorders>
              <w:top w:val="single" w:color="auto" w:sz="4" w:space="0"/>
              <w:left w:val="single" w:color="auto" w:sz="4" w:space="0"/>
              <w:bottom w:val="single" w:color="auto" w:sz="4" w:space="0"/>
              <w:right w:val="single" w:color="auto" w:sz="4" w:space="0"/>
            </w:tcBorders>
          </w:tcPr>
          <w:p w14:paraId="344B1478">
            <w:pPr>
              <w:pageBreakBefore w:val="0"/>
              <w:kinsoku/>
              <w:overflowPunct/>
              <w:topLinePunct w:val="0"/>
              <w:bidi w:val="0"/>
              <w:spacing w:line="240" w:lineRule="auto"/>
              <w:rPr>
                <w:rFonts w:hint="eastAsia"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2B4CE326">
            <w:pPr>
              <w:pageBreakBefore w:val="0"/>
              <w:kinsoku/>
              <w:overflowPunct/>
              <w:topLinePunct w:val="0"/>
              <w:bidi w:val="0"/>
              <w:spacing w:line="240" w:lineRule="auto"/>
              <w:rPr>
                <w:rFonts w:hint="eastAsia" w:ascii="宋体" w:hAnsi="宋体" w:cs="宋体"/>
                <w:color w:val="auto"/>
                <w:sz w:val="24"/>
              </w:rPr>
            </w:pPr>
          </w:p>
        </w:tc>
      </w:tr>
      <w:tr w14:paraId="1634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4E811F75">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b/>
                <w:color w:val="auto"/>
                <w:sz w:val="24"/>
              </w:rPr>
              <w:t>……</w:t>
            </w:r>
          </w:p>
        </w:tc>
        <w:tc>
          <w:tcPr>
            <w:tcW w:w="2712" w:type="dxa"/>
            <w:tcBorders>
              <w:top w:val="single" w:color="auto" w:sz="4" w:space="0"/>
              <w:left w:val="single" w:color="auto" w:sz="4" w:space="0"/>
              <w:bottom w:val="single" w:color="auto" w:sz="4" w:space="0"/>
              <w:right w:val="single" w:color="auto" w:sz="4" w:space="0"/>
            </w:tcBorders>
            <w:vAlign w:val="center"/>
          </w:tcPr>
          <w:p w14:paraId="0891D968">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b/>
                <w:color w:val="auto"/>
                <w:sz w:val="24"/>
              </w:rPr>
              <w:t>……</w:t>
            </w:r>
          </w:p>
        </w:tc>
        <w:tc>
          <w:tcPr>
            <w:tcW w:w="1521" w:type="dxa"/>
            <w:tcBorders>
              <w:top w:val="single" w:color="auto" w:sz="4" w:space="0"/>
              <w:left w:val="single" w:color="auto" w:sz="4" w:space="0"/>
              <w:bottom w:val="single" w:color="auto" w:sz="4" w:space="0"/>
              <w:right w:val="single" w:color="auto" w:sz="4" w:space="0"/>
            </w:tcBorders>
            <w:vAlign w:val="center"/>
          </w:tcPr>
          <w:p w14:paraId="11AA6718">
            <w:pPr>
              <w:pageBreakBefore w:val="0"/>
              <w:kinsoku/>
              <w:overflowPunct/>
              <w:topLinePunct w:val="0"/>
              <w:bidi w:val="0"/>
              <w:spacing w:line="240" w:lineRule="auto"/>
              <w:rPr>
                <w:rFonts w:hint="eastAsia" w:ascii="宋体" w:hAnsi="宋体" w:cs="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14:paraId="3D070AC9">
            <w:pPr>
              <w:pageBreakBefore w:val="0"/>
              <w:kinsoku/>
              <w:overflowPunct/>
              <w:topLinePunct w:val="0"/>
              <w:bidi w:val="0"/>
              <w:spacing w:line="240" w:lineRule="auto"/>
              <w:rPr>
                <w:rFonts w:hint="eastAsia" w:ascii="宋体" w:hAnsi="宋体" w:cs="宋体"/>
                <w:color w:val="auto"/>
                <w:sz w:val="24"/>
              </w:rPr>
            </w:pPr>
          </w:p>
        </w:tc>
        <w:tc>
          <w:tcPr>
            <w:tcW w:w="1673" w:type="dxa"/>
            <w:tcBorders>
              <w:top w:val="single" w:color="auto" w:sz="4" w:space="0"/>
              <w:left w:val="single" w:color="auto" w:sz="4" w:space="0"/>
              <w:bottom w:val="single" w:color="auto" w:sz="4" w:space="0"/>
              <w:right w:val="single" w:color="auto" w:sz="4" w:space="0"/>
            </w:tcBorders>
          </w:tcPr>
          <w:p w14:paraId="486A8A7F">
            <w:pPr>
              <w:pageBreakBefore w:val="0"/>
              <w:kinsoku/>
              <w:overflowPunct/>
              <w:topLinePunct w:val="0"/>
              <w:bidi w:val="0"/>
              <w:spacing w:line="240" w:lineRule="auto"/>
              <w:rPr>
                <w:rFonts w:hint="eastAsia"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04941F29">
            <w:pPr>
              <w:pageBreakBefore w:val="0"/>
              <w:kinsoku/>
              <w:overflowPunct/>
              <w:topLinePunct w:val="0"/>
              <w:bidi w:val="0"/>
              <w:spacing w:line="240" w:lineRule="auto"/>
              <w:rPr>
                <w:rFonts w:hint="eastAsia" w:ascii="宋体" w:hAnsi="宋体" w:cs="宋体"/>
                <w:color w:val="auto"/>
                <w:sz w:val="24"/>
              </w:rPr>
            </w:pPr>
          </w:p>
        </w:tc>
      </w:tr>
      <w:tr w14:paraId="487B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7" w:hRule="atLeast"/>
          <w:jc w:val="right"/>
        </w:trPr>
        <w:tc>
          <w:tcPr>
            <w:tcW w:w="9520" w:type="dxa"/>
            <w:gridSpan w:val="6"/>
            <w:tcBorders>
              <w:top w:val="single" w:color="auto" w:sz="4" w:space="0"/>
              <w:left w:val="single" w:color="auto" w:sz="4" w:space="0"/>
              <w:bottom w:val="single" w:color="auto" w:sz="4" w:space="0"/>
              <w:right w:val="single" w:color="auto" w:sz="4" w:space="0"/>
            </w:tcBorders>
            <w:vAlign w:val="center"/>
          </w:tcPr>
          <w:p w14:paraId="75C0078E">
            <w:pPr>
              <w:pageBreakBefore w:val="0"/>
              <w:kinsoku/>
              <w:overflowPunct/>
              <w:topLinePunct w:val="0"/>
              <w:bidi w:val="0"/>
              <w:snapToGrid w:val="0"/>
              <w:spacing w:before="50" w:after="50" w:line="240" w:lineRule="auto"/>
              <w:rPr>
                <w:rFonts w:hint="eastAsia" w:ascii="宋体" w:hAnsi="宋体" w:cs="宋体"/>
                <w:color w:val="auto"/>
                <w:sz w:val="24"/>
              </w:rPr>
            </w:pPr>
            <w:r>
              <w:rPr>
                <w:rFonts w:hint="eastAsia" w:ascii="宋体" w:hAnsi="宋体" w:cs="宋体"/>
                <w:color w:val="auto"/>
                <w:sz w:val="24"/>
              </w:rPr>
              <w:t>合计金额大写：人民币（￥）</w:t>
            </w:r>
          </w:p>
        </w:tc>
      </w:tr>
    </w:tbl>
    <w:p w14:paraId="1536A691">
      <w:pPr>
        <w:pageBreakBefore w:val="0"/>
        <w:kinsoku/>
        <w:overflowPunct/>
        <w:topLinePunct w:val="0"/>
        <w:bidi w:val="0"/>
        <w:snapToGrid w:val="0"/>
        <w:spacing w:before="50" w:after="50" w:line="240" w:lineRule="auto"/>
        <w:jc w:val="left"/>
        <w:rPr>
          <w:rFonts w:hint="eastAsia" w:ascii="宋体" w:hAnsi="宋体" w:eastAsia="宋体" w:cs="宋体"/>
          <w:color w:val="auto"/>
          <w:sz w:val="21"/>
          <w:szCs w:val="21"/>
          <w:highlight w:val="none"/>
        </w:rPr>
      </w:pPr>
    </w:p>
    <w:p w14:paraId="290CE798">
      <w:pPr>
        <w:pageBreakBefore w:val="0"/>
        <w:kinsoku/>
        <w:overflowPunct/>
        <w:topLinePunct w:val="0"/>
        <w:bidi w:val="0"/>
        <w:snapToGrid w:val="0"/>
        <w:spacing w:before="50" w:after="50" w:line="240" w:lineRule="auto"/>
        <w:jc w:val="left"/>
        <w:rPr>
          <w:rFonts w:hint="eastAsia" w:ascii="宋体" w:hAnsi="宋体" w:cs="宋体"/>
          <w:color w:val="auto"/>
          <w:sz w:val="24"/>
        </w:rPr>
      </w:pPr>
      <w:r>
        <w:rPr>
          <w:rFonts w:hint="eastAsia" w:ascii="宋体" w:hAnsi="宋体" w:cs="宋体"/>
          <w:color w:val="auto"/>
          <w:sz w:val="24"/>
        </w:rPr>
        <w:t>注</w:t>
      </w:r>
      <w:r>
        <w:rPr>
          <w:rFonts w:hint="eastAsia" w:ascii="宋体" w:hAnsi="宋体" w:cs="宋体"/>
          <w:color w:val="auto"/>
          <w:sz w:val="24"/>
          <w:lang w:eastAsia="zh-CN"/>
        </w:rPr>
        <w:t>：</w:t>
      </w:r>
      <w:r>
        <w:rPr>
          <w:rFonts w:hint="eastAsia" w:ascii="宋体" w:hAnsi="宋体" w:cs="宋体"/>
          <w:color w:val="auto"/>
          <w:sz w:val="24"/>
        </w:rPr>
        <w:t xml:space="preserve"> </w:t>
      </w:r>
    </w:p>
    <w:p w14:paraId="2509A5B1">
      <w:pPr>
        <w:pageBreakBefore w:val="0"/>
        <w:kinsoku/>
        <w:overflowPunct/>
        <w:topLinePunct w:val="0"/>
        <w:bidi w:val="0"/>
        <w:snapToGrid w:val="0"/>
        <w:spacing w:before="50" w:after="50" w:line="240" w:lineRule="auto"/>
        <w:ind w:firstLine="480" w:firstLineChars="200"/>
        <w:jc w:val="left"/>
        <w:rPr>
          <w:rFonts w:hint="eastAsia" w:ascii="宋体" w:hAnsi="宋体" w:cs="宋体"/>
          <w:color w:val="auto"/>
          <w:sz w:val="24"/>
        </w:rPr>
      </w:pPr>
      <w:r>
        <w:rPr>
          <w:rFonts w:hint="eastAsia" w:ascii="宋体" w:hAnsi="宋体" w:cs="宋体"/>
          <w:color w:val="auto"/>
          <w:sz w:val="24"/>
        </w:rPr>
        <w:t>1.投标人的开标一览表必须加盖投标人公章并由法定代表人或者委托代理人签字，</w:t>
      </w:r>
      <w:r>
        <w:rPr>
          <w:rFonts w:hint="eastAsia" w:ascii="宋体" w:hAnsi="宋体" w:cs="宋体"/>
          <w:b/>
          <w:color w:val="auto"/>
          <w:sz w:val="24"/>
        </w:rPr>
        <w:t>否则其投标作无效标处理</w:t>
      </w:r>
      <w:r>
        <w:rPr>
          <w:rFonts w:hint="eastAsia" w:ascii="宋体" w:hAnsi="宋体" w:cs="宋体"/>
          <w:color w:val="auto"/>
          <w:sz w:val="24"/>
        </w:rPr>
        <w:t>。</w:t>
      </w:r>
    </w:p>
    <w:p w14:paraId="5E7DCB58">
      <w:pPr>
        <w:pageBreakBefore w:val="0"/>
        <w:kinsoku/>
        <w:overflowPunct/>
        <w:topLinePunct w:val="0"/>
        <w:bidi w:val="0"/>
        <w:snapToGrid w:val="0"/>
        <w:spacing w:before="50" w:after="50" w:line="240" w:lineRule="auto"/>
        <w:ind w:firstLine="480" w:firstLineChars="200"/>
        <w:jc w:val="left"/>
        <w:rPr>
          <w:rFonts w:hint="eastAsia" w:ascii="宋体" w:hAnsi="宋体" w:cs="宋体"/>
          <w:b/>
          <w:color w:val="auto"/>
          <w:sz w:val="24"/>
        </w:rPr>
      </w:pPr>
      <w:r>
        <w:rPr>
          <w:rFonts w:hint="eastAsia" w:ascii="宋体" w:hAnsi="宋体" w:cs="宋体"/>
          <w:bCs/>
          <w:color w:val="auto"/>
          <w:sz w:val="24"/>
        </w:rPr>
        <w:t>2.</w:t>
      </w:r>
      <w:r>
        <w:rPr>
          <w:rFonts w:hint="eastAsia" w:ascii="宋体" w:hAnsi="宋体" w:cs="宋体"/>
          <w:color w:val="auto"/>
          <w:sz w:val="24"/>
        </w:rPr>
        <w:t>报价一经涂改，应在涂改处加盖投标人公章或者由法定代表人或者委托代理人签字或者盖章</w:t>
      </w:r>
      <w:r>
        <w:rPr>
          <w:rFonts w:hint="eastAsia" w:ascii="宋体" w:hAnsi="宋体" w:cs="宋体"/>
          <w:b/>
          <w:color w:val="auto"/>
          <w:sz w:val="24"/>
        </w:rPr>
        <w:t>，否则其投标作无效标处理。</w:t>
      </w:r>
    </w:p>
    <w:p w14:paraId="4FC45823">
      <w:pPr>
        <w:pageBreakBefore w:val="0"/>
        <w:kinsoku/>
        <w:overflowPunct/>
        <w:topLinePunct w:val="0"/>
        <w:bidi w:val="0"/>
        <w:snapToGrid w:val="0"/>
        <w:spacing w:before="50" w:after="50" w:line="240" w:lineRule="auto"/>
        <w:ind w:firstLine="480" w:firstLineChars="200"/>
        <w:jc w:val="left"/>
        <w:rPr>
          <w:rFonts w:hint="eastAsia" w:ascii="宋体" w:hAnsi="宋体" w:cs="宋体"/>
          <w:color w:val="auto"/>
          <w:sz w:val="24"/>
        </w:rPr>
      </w:pPr>
      <w:r>
        <w:rPr>
          <w:rFonts w:hint="eastAsia" w:ascii="宋体" w:hAnsi="宋体" w:cs="宋体"/>
          <w:color w:val="auto"/>
          <w:sz w:val="24"/>
        </w:rPr>
        <w:t>3.如为联合体投标，“投标人名称”处必须列明联合体各方名称，并标注联合体牵头人名称，</w:t>
      </w:r>
      <w:r>
        <w:rPr>
          <w:rFonts w:hint="eastAsia" w:ascii="宋体" w:hAnsi="宋体" w:cs="宋体"/>
          <w:b/>
          <w:color w:val="auto"/>
          <w:sz w:val="24"/>
        </w:rPr>
        <w:t>否则其投标作无效标处理。</w:t>
      </w:r>
    </w:p>
    <w:p w14:paraId="54CC1569">
      <w:pPr>
        <w:pageBreakBefore w:val="0"/>
        <w:kinsoku/>
        <w:overflowPunct/>
        <w:topLinePunct w:val="0"/>
        <w:bidi w:val="0"/>
        <w:snapToGrid w:val="0"/>
        <w:spacing w:before="50" w:after="50" w:line="240" w:lineRule="auto"/>
        <w:ind w:firstLine="480" w:firstLineChars="200"/>
        <w:jc w:val="left"/>
        <w:rPr>
          <w:rFonts w:hint="eastAsia" w:ascii="宋体" w:hAnsi="宋体" w:cs="宋体"/>
          <w:color w:val="auto"/>
          <w:sz w:val="24"/>
        </w:rPr>
      </w:pPr>
      <w:r>
        <w:rPr>
          <w:rFonts w:hint="eastAsia" w:ascii="宋体" w:hAnsi="宋体" w:cs="宋体"/>
          <w:color w:val="auto"/>
          <w:sz w:val="24"/>
        </w:rPr>
        <w:t>4.如为联合体投标，盖章处须加盖联合体各方公章，</w:t>
      </w:r>
      <w:r>
        <w:rPr>
          <w:rFonts w:hint="eastAsia" w:ascii="宋体" w:hAnsi="宋体" w:cs="宋体"/>
          <w:b/>
          <w:color w:val="auto"/>
          <w:sz w:val="24"/>
        </w:rPr>
        <w:t>否则其投标作无效标处理。</w:t>
      </w:r>
    </w:p>
    <w:p w14:paraId="59C24A3A">
      <w:pPr>
        <w:pageBreakBefore w:val="0"/>
        <w:kinsoku/>
        <w:overflowPunct/>
        <w:topLinePunct w:val="0"/>
        <w:bidi w:val="0"/>
        <w:snapToGrid w:val="0"/>
        <w:spacing w:before="50" w:after="50" w:line="240" w:lineRule="auto"/>
        <w:ind w:firstLine="480" w:firstLineChars="200"/>
        <w:rPr>
          <w:rFonts w:hint="eastAsia" w:ascii="宋体" w:hAnsi="宋体" w:cs="宋体"/>
          <w:color w:val="auto"/>
          <w:sz w:val="24"/>
        </w:rPr>
      </w:pPr>
      <w:r>
        <w:rPr>
          <w:rFonts w:hint="eastAsia" w:ascii="宋体" w:hAnsi="宋体" w:cs="宋体"/>
          <w:color w:val="auto"/>
          <w:sz w:val="24"/>
        </w:rPr>
        <w:t>5.如有多分标，按分标分别提供开标一览表，</w:t>
      </w:r>
      <w:r>
        <w:rPr>
          <w:rFonts w:hint="eastAsia" w:ascii="宋体" w:hAnsi="宋体" w:cs="宋体"/>
          <w:b/>
          <w:color w:val="auto"/>
          <w:sz w:val="24"/>
        </w:rPr>
        <w:t>否则投标无效。</w:t>
      </w:r>
    </w:p>
    <w:p w14:paraId="7F922366">
      <w:pPr>
        <w:pageBreakBefore w:val="0"/>
        <w:kinsoku/>
        <w:overflowPunct/>
        <w:topLinePunct w:val="0"/>
        <w:bidi w:val="0"/>
        <w:snapToGrid w:val="0"/>
        <w:spacing w:before="50" w:after="50" w:line="240" w:lineRule="auto"/>
        <w:ind w:left="-2" w:right="-817" w:rightChars="-389"/>
        <w:rPr>
          <w:rFonts w:hint="eastAsia" w:ascii="宋体" w:hAnsi="宋体" w:cs="宋体"/>
          <w:color w:val="auto"/>
          <w:sz w:val="24"/>
        </w:rPr>
      </w:pPr>
    </w:p>
    <w:p w14:paraId="478DD1DC">
      <w:pPr>
        <w:pageBreakBefore w:val="0"/>
        <w:kinsoku/>
        <w:overflowPunct/>
        <w:topLinePunct w:val="0"/>
        <w:bidi w:val="0"/>
        <w:snapToGrid w:val="0"/>
        <w:spacing w:before="50" w:after="50" w:line="240" w:lineRule="auto"/>
        <w:ind w:left="-2" w:right="-817" w:rightChars="-389"/>
        <w:rPr>
          <w:rFonts w:hint="eastAsia" w:ascii="宋体" w:hAnsi="宋体" w:cs="宋体"/>
          <w:color w:val="auto"/>
          <w:sz w:val="24"/>
        </w:rPr>
      </w:pPr>
      <w:r>
        <w:rPr>
          <w:rFonts w:hint="eastAsia" w:ascii="宋体" w:hAnsi="宋体" w:cs="宋体"/>
          <w:color w:val="auto"/>
          <w:sz w:val="24"/>
        </w:rPr>
        <w:t xml:space="preserve">法定代表人或者委托代理人（签字）：                    </w:t>
      </w:r>
    </w:p>
    <w:p w14:paraId="6029E2AB">
      <w:pPr>
        <w:pageBreakBefore w:val="0"/>
        <w:kinsoku/>
        <w:overflowPunct/>
        <w:topLinePunct w:val="0"/>
        <w:bidi w:val="0"/>
        <w:snapToGrid w:val="0"/>
        <w:spacing w:before="50" w:after="50" w:line="240" w:lineRule="auto"/>
        <w:ind w:left="-3" w:leftChars="-72" w:right="-817" w:rightChars="-389" w:hanging="148" w:hangingChars="62"/>
        <w:rPr>
          <w:rFonts w:hint="eastAsia" w:ascii="宋体" w:hAnsi="宋体" w:cs="宋体"/>
          <w:color w:val="auto"/>
          <w:sz w:val="24"/>
        </w:rPr>
      </w:pPr>
    </w:p>
    <w:p w14:paraId="55E654E7">
      <w:pPr>
        <w:pageBreakBefore w:val="0"/>
        <w:kinsoku/>
        <w:overflowPunct/>
        <w:topLinePunct w:val="0"/>
        <w:bidi w:val="0"/>
        <w:snapToGrid w:val="0"/>
        <w:spacing w:before="50" w:after="50" w:line="240" w:lineRule="auto"/>
        <w:ind w:left="-3" w:leftChars="-15" w:right="-817" w:rightChars="-389" w:hanging="28" w:hangingChars="12"/>
        <w:rPr>
          <w:rFonts w:hint="eastAsia" w:ascii="宋体" w:hAnsi="宋体" w:cs="宋体"/>
          <w:color w:val="auto"/>
          <w:sz w:val="24"/>
        </w:rPr>
      </w:pPr>
      <w:r>
        <w:rPr>
          <w:rFonts w:hint="eastAsia" w:ascii="宋体" w:hAnsi="宋体" w:cs="宋体"/>
          <w:color w:val="auto"/>
          <w:sz w:val="24"/>
        </w:rPr>
        <w:t>投标人（盖公章）：                                 日期：    年   月   日</w:t>
      </w:r>
    </w:p>
    <w:p w14:paraId="4EE14D10">
      <w:pPr>
        <w:rPr>
          <w:rFonts w:hint="eastAsia"/>
        </w:rPr>
      </w:pPr>
      <w:r>
        <w:rPr>
          <w:rFonts w:hint="eastAsia" w:ascii="宋体" w:hAnsi="宋体" w:cs="宋体"/>
          <w:color w:val="auto"/>
          <w:sz w:val="24"/>
        </w:rPr>
        <w:br w:type="page"/>
      </w:r>
    </w:p>
    <w:p w14:paraId="186E1E33">
      <w:pPr>
        <w:pageBreakBefore w:val="0"/>
        <w:kinsoku/>
        <w:overflowPunct/>
        <w:topLinePunct w:val="0"/>
        <w:bidi w:val="0"/>
        <w:spacing w:line="240" w:lineRule="auto"/>
        <w:rPr>
          <w:rFonts w:hint="eastAsia" w:ascii="宋体" w:hAnsi="宋体" w:eastAsia="宋体" w:cs="宋体"/>
          <w:b/>
          <w:color w:val="auto"/>
          <w:sz w:val="32"/>
          <w:szCs w:val="32"/>
          <w:highlight w:val="none"/>
        </w:rPr>
      </w:pPr>
      <w:bookmarkStart w:id="131" w:name="_Toc19686837"/>
      <w:r>
        <w:rPr>
          <w:rFonts w:hint="eastAsia" w:ascii="宋体" w:hAnsi="宋体" w:eastAsia="宋体" w:cs="宋体"/>
          <w:b/>
          <w:color w:val="auto"/>
          <w:sz w:val="32"/>
          <w:szCs w:val="32"/>
          <w:highlight w:val="none"/>
        </w:rPr>
        <w:t>二、资格证明文件格式</w:t>
      </w:r>
      <w:bookmarkEnd w:id="131"/>
    </w:p>
    <w:p w14:paraId="0899EB95">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1.</w:t>
      </w:r>
      <w:r>
        <w:rPr>
          <w:rFonts w:hint="eastAsia" w:ascii="宋体" w:hAnsi="宋体" w:eastAsia="宋体" w:cs="宋体"/>
          <w:b/>
          <w:color w:val="auto"/>
          <w:sz w:val="30"/>
          <w:szCs w:val="30"/>
          <w:highlight w:val="none"/>
        </w:rPr>
        <w:t xml:space="preserve">资格证明文件封面格式： </w:t>
      </w:r>
    </w:p>
    <w:p w14:paraId="5F047F15">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p>
    <w:p w14:paraId="44284E21">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电子投标文件</w:t>
      </w:r>
    </w:p>
    <w:p w14:paraId="62ECA18D">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44"/>
          <w:szCs w:val="44"/>
          <w:highlight w:val="none"/>
        </w:rPr>
      </w:pPr>
    </w:p>
    <w:p w14:paraId="7BFAB3AF">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格</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证</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明</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文</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件</w:t>
      </w:r>
    </w:p>
    <w:p w14:paraId="359E8858">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15948238">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67F05184">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7923F4F">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709EEBD0">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B3E7B83">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7B47F30E">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0B4D73F">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项目名称：</w:t>
      </w:r>
    </w:p>
    <w:p w14:paraId="6FE7BD1C">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p>
    <w:p w14:paraId="0396A6F4">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项目编号：</w:t>
      </w:r>
    </w:p>
    <w:p w14:paraId="68D9309F">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lang w:val="en-US" w:eastAsia="zh-CN"/>
        </w:rPr>
      </w:pPr>
    </w:p>
    <w:p w14:paraId="1CC9976A">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分标：</w:t>
      </w:r>
    </w:p>
    <w:p w14:paraId="52424857">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p>
    <w:p w14:paraId="5A16D303">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投标人名称：</w:t>
      </w:r>
    </w:p>
    <w:p w14:paraId="2AC471F7">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p>
    <w:p w14:paraId="21AFC191">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投标人地址：</w:t>
      </w:r>
    </w:p>
    <w:p w14:paraId="1B4BC7F4">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p>
    <w:p w14:paraId="23F42AB7">
      <w:pPr>
        <w:pStyle w:val="6"/>
        <w:pageBreakBefore w:val="0"/>
        <w:kinsoku/>
        <w:overflowPunct/>
        <w:topLinePunct w:val="0"/>
        <w:bidi w:val="0"/>
        <w:snapToGrid w:val="0"/>
        <w:spacing w:before="50" w:after="50" w:line="240" w:lineRule="auto"/>
        <w:ind w:firstLine="1120" w:firstLineChars="400"/>
        <w:rPr>
          <w:rFonts w:hint="eastAsia" w:ascii="宋体" w:hAnsi="宋体" w:eastAsia="宋体" w:cs="宋体"/>
          <w:bCs/>
          <w:color w:val="auto"/>
          <w:sz w:val="28"/>
          <w:szCs w:val="28"/>
          <w:highlight w:val="none"/>
        </w:rPr>
      </w:pPr>
    </w:p>
    <w:p w14:paraId="2049606E">
      <w:pPr>
        <w:pageBreakBefore w:val="0"/>
        <w:kinsoku/>
        <w:overflowPunct/>
        <w:topLinePunct w:val="0"/>
        <w:bidi w:val="0"/>
        <w:snapToGrid w:val="0"/>
        <w:spacing w:before="120" w:beforeLines="50" w:after="50" w:line="240" w:lineRule="auto"/>
        <w:ind w:firstLine="645"/>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年  月  日</w:t>
      </w:r>
    </w:p>
    <w:p w14:paraId="615F6657">
      <w:pPr>
        <w:rPr>
          <w:rFonts w:hint="eastAsia"/>
          <w:lang w:val="en-US" w:eastAsia="zh-CN"/>
        </w:rPr>
      </w:pPr>
      <w:r>
        <w:rPr>
          <w:rFonts w:hint="eastAsia"/>
          <w:lang w:val="en-US" w:eastAsia="zh-CN"/>
        </w:rPr>
        <w:br w:type="page"/>
      </w:r>
    </w:p>
    <w:p w14:paraId="6197E3B9">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lang w:val="en-US" w:eastAsia="zh-CN"/>
        </w:rPr>
        <w:t>2.</w:t>
      </w:r>
      <w:r>
        <w:rPr>
          <w:rFonts w:hint="eastAsia" w:ascii="宋体" w:hAnsi="宋体" w:eastAsia="宋体" w:cs="宋体"/>
          <w:b/>
          <w:bCs/>
          <w:color w:val="auto"/>
          <w:sz w:val="30"/>
          <w:szCs w:val="30"/>
          <w:highlight w:val="none"/>
        </w:rPr>
        <w:t>资格证明文件目录</w:t>
      </w:r>
    </w:p>
    <w:p w14:paraId="6DEA33BF">
      <w:pPr>
        <w:pageBreakBefore w:val="0"/>
        <w:kinsoku/>
        <w:overflowPunct/>
        <w:topLinePunct w:val="0"/>
        <w:bidi w:val="0"/>
        <w:snapToGrid w:val="0"/>
        <w:spacing w:line="240" w:lineRule="auto"/>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根据</w:t>
      </w:r>
      <w:r>
        <w:rPr>
          <w:rFonts w:hint="eastAsia" w:ascii="宋体" w:hAnsi="宋体" w:cs="宋体"/>
          <w:color w:val="auto"/>
          <w:sz w:val="28"/>
          <w:szCs w:val="28"/>
          <w:highlight w:val="none"/>
          <w:lang w:eastAsia="zh-CN"/>
        </w:rPr>
        <w:t>采购</w:t>
      </w:r>
      <w:r>
        <w:rPr>
          <w:rFonts w:hint="eastAsia" w:ascii="宋体" w:hAnsi="宋体" w:eastAsia="宋体" w:cs="宋体"/>
          <w:color w:val="auto"/>
          <w:sz w:val="28"/>
          <w:szCs w:val="28"/>
          <w:highlight w:val="none"/>
        </w:rPr>
        <w:t>文件规定及投标人提供的材料自行编写目录。</w:t>
      </w:r>
    </w:p>
    <w:p w14:paraId="054DD74E">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299E338D">
      <w:pP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3.</w:t>
      </w:r>
      <w:r>
        <w:rPr>
          <w:rFonts w:hint="eastAsia" w:ascii="宋体" w:hAnsi="宋体" w:eastAsia="宋体" w:cs="宋体"/>
          <w:b/>
          <w:color w:val="auto"/>
          <w:sz w:val="30"/>
          <w:szCs w:val="30"/>
          <w:highlight w:val="none"/>
        </w:rPr>
        <w:t>防城港市政府采购供应商信用承诺函</w:t>
      </w:r>
    </w:p>
    <w:p w14:paraId="5DD36995">
      <w:pPr>
        <w:pStyle w:val="12"/>
        <w:pageBreakBefore w:val="0"/>
        <w:kinsoku/>
        <w:overflowPunct/>
        <w:topLinePunct w:val="0"/>
        <w:bidi w:val="0"/>
        <w:spacing w:line="240" w:lineRule="auto"/>
        <w:rPr>
          <w:rFonts w:hint="eastAsia" w:ascii="宋体" w:hAnsi="宋体" w:eastAsia="宋体" w:cs="宋体"/>
          <w:color w:val="auto"/>
          <w:sz w:val="21"/>
          <w:szCs w:val="21"/>
          <w:highlight w:val="none"/>
        </w:rPr>
      </w:pPr>
    </w:p>
    <w:p w14:paraId="3C7C2071">
      <w:pPr>
        <w:pageBreakBefore w:val="0"/>
        <w:kinsoku/>
        <w:overflowPunct/>
        <w:topLinePunct w:val="0"/>
        <w:bidi w:val="0"/>
        <w:spacing w:line="24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防城港市政府采购供应商信用承诺函</w:t>
      </w:r>
    </w:p>
    <w:p w14:paraId="485D96E0">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p>
    <w:p w14:paraId="705FA071">
      <w:pPr>
        <w:pageBreakBefore w:val="0"/>
        <w:kinsoku/>
        <w:overflowPunct/>
        <w:topLinePunct w:val="0"/>
        <w:bidi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致（采购人或采购代理机构） ：</w:t>
      </w:r>
    </w:p>
    <w:p w14:paraId="3A072276">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我方自愿参加</w:t>
      </w:r>
      <w:r>
        <w:rPr>
          <w:rFonts w:hint="eastAsia" w:ascii="宋体" w:hAnsi="宋体" w:eastAsia="宋体" w:cs="宋体"/>
          <w:color w:val="auto"/>
          <w:sz w:val="24"/>
          <w:szCs w:val="24"/>
          <w:highlight w:val="none"/>
          <w:u w:val="single"/>
        </w:rPr>
        <w:t xml:space="preserve"> （项目名称） </w:t>
      </w: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u w:val="single"/>
        </w:rPr>
        <w:t xml:space="preserve">项目编号：         </w:t>
      </w:r>
      <w:r>
        <w:rPr>
          <w:rFonts w:hint="eastAsia" w:ascii="宋体" w:hAnsi="宋体" w:eastAsia="宋体" w:cs="宋体"/>
          <w:color w:val="auto"/>
          <w:sz w:val="24"/>
          <w:szCs w:val="24"/>
          <w:highlight w:val="none"/>
        </w:rPr>
        <w:t xml:space="preserve">）的政府采购活动，严格遵守《中华人民共和国政府采购法》及相关法律法规，依法诚信经营，无条件遵守本次政府采购活动的各项规定，并郑重承诺： </w:t>
      </w:r>
    </w:p>
    <w:p w14:paraId="73BFD98B">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1.我方具有符合采购文件资格要求的财务状况报告。 </w:t>
      </w:r>
    </w:p>
    <w:p w14:paraId="02772582">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2.我方具有符合采购文件资格要求的依法缴纳税收和社会保障资金的良好记录。 </w:t>
      </w:r>
    </w:p>
    <w:p w14:paraId="3C2348E8">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3.我方参加政府采购活动前三年内在经营活动中没有重大违法记录。 </w:t>
      </w:r>
    </w:p>
    <w:p w14:paraId="29EA9D53">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我方对以上承诺内容的真实性负责。如有虚假，将依法承担相应责任。</w:t>
      </w:r>
    </w:p>
    <w:p w14:paraId="74EE7167">
      <w:pPr>
        <w:pageBreakBefore w:val="0"/>
        <w:kinsoku/>
        <w:overflowPunct/>
        <w:topLinePunct w:val="0"/>
        <w:bidi w:val="0"/>
        <w:spacing w:line="240" w:lineRule="auto"/>
        <w:ind w:firstLine="2760" w:firstLineChars="1150"/>
        <w:rPr>
          <w:rFonts w:hint="eastAsia" w:ascii="宋体" w:hAnsi="宋体" w:eastAsia="宋体" w:cs="宋体"/>
          <w:color w:val="auto"/>
          <w:sz w:val="24"/>
          <w:szCs w:val="24"/>
          <w:highlight w:val="none"/>
        </w:rPr>
      </w:pPr>
    </w:p>
    <w:p w14:paraId="2BECE58A">
      <w:pPr>
        <w:pageBreakBefore w:val="0"/>
        <w:kinsoku/>
        <w:overflowPunct/>
        <w:topLinePunct w:val="0"/>
        <w:bidi w:val="0"/>
        <w:spacing w:line="240" w:lineRule="auto"/>
        <w:ind w:firstLine="2760" w:firstLineChars="1150"/>
        <w:rPr>
          <w:rFonts w:hint="eastAsia" w:ascii="宋体" w:hAnsi="宋体" w:eastAsia="宋体" w:cs="宋体"/>
          <w:color w:val="auto"/>
          <w:sz w:val="24"/>
          <w:szCs w:val="24"/>
          <w:highlight w:val="none"/>
        </w:rPr>
      </w:pPr>
    </w:p>
    <w:p w14:paraId="255856BD">
      <w:pPr>
        <w:pageBreakBefore w:val="0"/>
        <w:kinsoku/>
        <w:overflowPunct/>
        <w:topLinePunct w:val="0"/>
        <w:bidi w:val="0"/>
        <w:spacing w:line="240" w:lineRule="auto"/>
        <w:ind w:firstLine="2760" w:firstLineChars="1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供应商名称（公章）：</w:t>
      </w:r>
      <w:r>
        <w:rPr>
          <w:rFonts w:hint="eastAsia" w:ascii="宋体" w:hAnsi="宋体" w:eastAsia="宋体" w:cs="宋体"/>
          <w:color w:val="auto"/>
          <w:sz w:val="24"/>
          <w:szCs w:val="24"/>
          <w:highlight w:val="none"/>
          <w:u w:val="single"/>
        </w:rPr>
        <w:t xml:space="preserve">               </w:t>
      </w:r>
    </w:p>
    <w:p w14:paraId="3C0CC069">
      <w:pPr>
        <w:pageBreakBefore w:val="0"/>
        <w:kinsoku/>
        <w:overflowPunct/>
        <w:topLinePunct w:val="0"/>
        <w:bidi w:val="0"/>
        <w:spacing w:line="240" w:lineRule="auto"/>
        <w:ind w:firstLine="2640" w:firstLineChars="1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r>
        <w:rPr>
          <w:rFonts w:hint="eastAsia" w:ascii="宋体" w:hAnsi="宋体" w:eastAsia="宋体" w:cs="宋体"/>
          <w:color w:val="auto"/>
          <w:sz w:val="24"/>
          <w:szCs w:val="24"/>
          <w:highlight w:val="none"/>
          <w:u w:val="single"/>
        </w:rPr>
        <w:t xml:space="preserve">                  </w:t>
      </w:r>
    </w:p>
    <w:p w14:paraId="68F54F52">
      <w:pPr>
        <w:pageBreakBefore w:val="0"/>
        <w:kinsoku/>
        <w:overflowPunct/>
        <w:topLinePunct w:val="0"/>
        <w:bidi w:val="0"/>
        <w:spacing w:line="240" w:lineRule="auto"/>
        <w:ind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法定代表人或授权代表(签名)：</w:t>
      </w:r>
      <w:r>
        <w:rPr>
          <w:rFonts w:hint="eastAsia" w:ascii="宋体" w:hAnsi="宋体" w:eastAsia="宋体" w:cs="宋体"/>
          <w:color w:val="auto"/>
          <w:sz w:val="24"/>
          <w:szCs w:val="24"/>
          <w:highlight w:val="none"/>
          <w:u w:val="single"/>
        </w:rPr>
        <w:t xml:space="preserve">                </w:t>
      </w:r>
    </w:p>
    <w:p w14:paraId="194B5B4E">
      <w:pPr>
        <w:pageBreakBefore w:val="0"/>
        <w:kinsoku/>
        <w:overflowPunct/>
        <w:topLinePunct w:val="0"/>
        <w:bidi w:val="0"/>
        <w:spacing w:line="240" w:lineRule="auto"/>
        <w:ind w:firstLine="3120" w:firstLineChars="1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7BEDAF52">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p>
    <w:p w14:paraId="5B365EC3">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注：1.供应商须在投标（响应）文件中按此模板提供承诺函，未提供视为未实质性响应</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（采购）文件要求，按无效投标（响应）处理。</w:t>
      </w:r>
    </w:p>
    <w:p w14:paraId="4A647282">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2.供应商的法定代表人（其他组织的为负责人）或者授权代表的签名或盖章应真实、有效，如由授权代表签名或盖章的，应提供“法定代表人授权书”。</w:t>
      </w:r>
    </w:p>
    <w:p w14:paraId="45D6EE57">
      <w:pPr>
        <w:rPr>
          <w:rFonts w:hint="eastAsia"/>
          <w:lang w:val="en-US" w:eastAsia="zh-CN"/>
        </w:rPr>
      </w:pPr>
      <w:r>
        <w:rPr>
          <w:rFonts w:hint="eastAsia"/>
          <w:lang w:val="en-US" w:eastAsia="zh-CN"/>
        </w:rPr>
        <w:br w:type="page"/>
      </w:r>
    </w:p>
    <w:p w14:paraId="34727AA3">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4.</w:t>
      </w:r>
      <w:r>
        <w:rPr>
          <w:rFonts w:hint="eastAsia" w:ascii="宋体" w:hAnsi="宋体" w:eastAsia="宋体" w:cs="宋体"/>
          <w:b/>
          <w:color w:val="auto"/>
          <w:sz w:val="30"/>
          <w:szCs w:val="30"/>
          <w:highlight w:val="none"/>
        </w:rPr>
        <w:t>投标人直接控股、管理关系信息表</w:t>
      </w:r>
    </w:p>
    <w:p w14:paraId="195EADF8">
      <w:pPr>
        <w:pageBreakBefore w:val="0"/>
        <w:kinsoku/>
        <w:overflowPunct/>
        <w:topLinePunct w:val="0"/>
        <w:bidi w:val="0"/>
        <w:snapToGrid w:val="0"/>
        <w:spacing w:before="50" w:after="120" w:afterLines="50" w:line="240" w:lineRule="auto"/>
        <w:jc w:val="center"/>
        <w:rPr>
          <w:rFonts w:hint="eastAsia" w:ascii="宋体" w:hAnsi="宋体" w:eastAsia="宋体" w:cs="宋体"/>
          <w:b/>
          <w:color w:val="auto"/>
          <w:sz w:val="28"/>
          <w:szCs w:val="28"/>
          <w:highlight w:val="none"/>
        </w:rPr>
      </w:pPr>
    </w:p>
    <w:p w14:paraId="62A1FABA">
      <w:pPr>
        <w:pageBreakBefore w:val="0"/>
        <w:kinsoku/>
        <w:overflowPunct/>
        <w:topLinePunct w:val="0"/>
        <w:bidi w:val="0"/>
        <w:snapToGrid w:val="0"/>
        <w:spacing w:before="50" w:after="120" w:afterLines="50" w:line="24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投标人直接控股股东信息表</w:t>
      </w:r>
    </w:p>
    <w:tbl>
      <w:tblPr>
        <w:tblStyle w:val="18"/>
        <w:tblW w:w="9476" w:type="dxa"/>
        <w:jc w:val="center"/>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68DB6C5B">
        <w:trPr>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5158395">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8E89831">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8DED1F1">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7E06DEC">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E4DFE46">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48AA9D32">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5FC06C">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D42C0B">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4D8BE4">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0612CF">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8029F0">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19B75C34">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1147E3">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E85D39">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28929B">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7AAEC9">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B16646">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77234491">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DD7F98">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2D7DAC9">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2B1D52">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63DBD4">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40EFD3">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30CEC793">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211840C">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669CE0">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5D963B">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60BB0D">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E31E9A">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bl>
    <w:p w14:paraId="2D077B9F">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24B60350">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41C31DB">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2.本表所指的控股关系仅限于直接控股关系，不包括间接的控股关系。公司实际控制人与公司之间的关系不属于本表所指的直接控股关系。</w:t>
      </w:r>
    </w:p>
    <w:p w14:paraId="44B89184">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不存在直接控股股东的，则在“</w:t>
      </w:r>
      <w:r>
        <w:rPr>
          <w:rFonts w:hint="eastAsia" w:ascii="宋体" w:hAnsi="宋体" w:eastAsia="宋体" w:cs="宋体"/>
          <w:b/>
          <w:bCs/>
          <w:color w:val="auto"/>
          <w:kern w:val="0"/>
          <w:sz w:val="24"/>
          <w:szCs w:val="24"/>
          <w:highlight w:val="none"/>
        </w:rPr>
        <w:t>直接控股股东名称</w:t>
      </w:r>
      <w:r>
        <w:rPr>
          <w:rFonts w:hint="eastAsia" w:ascii="宋体" w:hAnsi="宋体" w:eastAsia="宋体" w:cs="宋体"/>
          <w:color w:val="auto"/>
          <w:sz w:val="24"/>
          <w:szCs w:val="24"/>
          <w:highlight w:val="none"/>
        </w:rPr>
        <w:t>”中填“无”。</w:t>
      </w:r>
    </w:p>
    <w:p w14:paraId="1BA54C3F">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744264D3">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16454DC0">
      <w:pPr>
        <w:pageBreakBefore w:val="0"/>
        <w:kinsoku/>
        <w:overflowPunct/>
        <w:topLinePunct w:val="0"/>
        <w:bidi w:val="0"/>
        <w:snapToGrid w:val="0"/>
        <w:spacing w:line="240" w:lineRule="auto"/>
        <w:ind w:left="-2" w:right="-817" w:rightChars="-38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法定代表人或者委托代理人（签名）： </w:t>
      </w:r>
    </w:p>
    <w:p w14:paraId="7B8AEA44">
      <w:pPr>
        <w:pageBreakBefore w:val="0"/>
        <w:kinsoku/>
        <w:overflowPunct/>
        <w:topLinePunct w:val="0"/>
        <w:bidi w:val="0"/>
        <w:snapToGrid w:val="0"/>
        <w:spacing w:line="240" w:lineRule="auto"/>
        <w:ind w:left="-3" w:leftChars="-15" w:right="-817" w:rightChars="-389" w:hanging="28" w:hangingChars="1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p>
    <w:p w14:paraId="081088CA">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 xml:space="preserve">                                    日期：    年   月   日</w:t>
      </w:r>
    </w:p>
    <w:p w14:paraId="7E03207A">
      <w:pPr>
        <w:rPr>
          <w:rFonts w:hint="eastAsia"/>
          <w:lang w:val="en-US" w:eastAsia="zh-CN"/>
        </w:rPr>
      </w:pPr>
      <w:r>
        <w:rPr>
          <w:rFonts w:hint="eastAsia"/>
          <w:lang w:val="en-US" w:eastAsia="zh-CN"/>
        </w:rPr>
        <w:br w:type="page"/>
      </w:r>
    </w:p>
    <w:p w14:paraId="69EC45B6">
      <w:pPr>
        <w:keepNext w:val="0"/>
        <w:keepLines w:val="0"/>
        <w:pageBreakBefore w:val="0"/>
        <w:widowControl w:val="0"/>
        <w:kinsoku/>
        <w:wordWrap/>
        <w:overflowPunct/>
        <w:topLinePunct w:val="0"/>
        <w:autoSpaceDE/>
        <w:autoSpaceDN/>
        <w:bidi w:val="0"/>
        <w:adjustRightInd/>
        <w:snapToGrid w:val="0"/>
        <w:spacing w:after="157" w:afterLines="50" w:line="24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投标人直接管理关系信息表</w:t>
      </w:r>
    </w:p>
    <w:tbl>
      <w:tblPr>
        <w:tblStyle w:val="18"/>
        <w:tblW w:w="9652" w:type="dxa"/>
        <w:jc w:val="center"/>
        <w:shd w:val="clear" w:color="auto" w:fill="FBFBFB"/>
        <w:tblLayout w:type="fixed"/>
        <w:tblCellMar>
          <w:top w:w="0" w:type="dxa"/>
          <w:left w:w="0" w:type="dxa"/>
          <w:bottom w:w="0" w:type="dxa"/>
          <w:right w:w="0" w:type="dxa"/>
        </w:tblCellMar>
      </w:tblPr>
      <w:tblGrid>
        <w:gridCol w:w="1005"/>
        <w:gridCol w:w="2659"/>
        <w:gridCol w:w="3924"/>
        <w:gridCol w:w="2064"/>
      </w:tblGrid>
      <w:tr w14:paraId="0B0C036F">
        <w:tblPrEx>
          <w:shd w:val="clear" w:color="auto" w:fill="FBFBFB"/>
          <w:tblCellMar>
            <w:top w:w="0" w:type="dxa"/>
            <w:left w:w="0" w:type="dxa"/>
            <w:bottom w:w="0" w:type="dxa"/>
            <w:right w:w="0" w:type="dxa"/>
          </w:tblCellMar>
        </w:tblPrEx>
        <w:trPr>
          <w:tblHeader/>
          <w:jc w:val="cent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0706CA0">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87405D1">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5110C09">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C851EE0">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01C9F2C4">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4160FF">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EB0C45">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A2F661">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EF31ED">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2E4E6EC6">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7152C4">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6349D1">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BD41A65">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A143C5">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6377DBC7">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76DB52">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45ACF15">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1B8FBB">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ED6AE0">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379D01CA">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86C206">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FBAF93">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12FC89">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62A634">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bl>
    <w:p w14:paraId="05E8EB8E">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385DEB5">
      <w:pPr>
        <w:pageBreakBefore w:val="0"/>
        <w:kinsoku/>
        <w:overflowPunct/>
        <w:topLinePunct w:val="0"/>
        <w:bidi w:val="0"/>
        <w:snapToGrid w:val="0"/>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1.管理关系：是指不具有出资持股关系的其他单位之间存在的管理与被管理关系，如一些上下级关系的事业单位和团体组织。</w:t>
      </w:r>
    </w:p>
    <w:p w14:paraId="59E818CE">
      <w:pPr>
        <w:pageBreakBefore w:val="0"/>
        <w:kinsoku/>
        <w:overflowPunct/>
        <w:topLinePunct w:val="0"/>
        <w:bidi w:val="0"/>
        <w:snapToGrid w:val="0"/>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pacing w:val="-6"/>
          <w:sz w:val="24"/>
          <w:szCs w:val="24"/>
          <w:highlight w:val="none"/>
        </w:rPr>
        <w:t>本表所指的管理关系仅限于直接管理关系，不包括间接的管理关系。</w:t>
      </w:r>
    </w:p>
    <w:p w14:paraId="42FA8472">
      <w:pPr>
        <w:pageBreakBefore w:val="0"/>
        <w:kinsoku/>
        <w:overflowPunct/>
        <w:topLinePunct w:val="0"/>
        <w:bidi w:val="0"/>
        <w:snapToGrid w:val="0"/>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不存在直接管理关系的，则在“</w:t>
      </w:r>
      <w:r>
        <w:rPr>
          <w:rFonts w:hint="eastAsia" w:ascii="宋体" w:hAnsi="宋体" w:eastAsia="宋体" w:cs="宋体"/>
          <w:b/>
          <w:bCs/>
          <w:color w:val="auto"/>
          <w:kern w:val="0"/>
          <w:sz w:val="24"/>
          <w:szCs w:val="24"/>
          <w:highlight w:val="none"/>
        </w:rPr>
        <w:t>直接管理关系单位名称</w:t>
      </w:r>
      <w:r>
        <w:rPr>
          <w:rFonts w:hint="eastAsia" w:ascii="宋体" w:hAnsi="宋体" w:eastAsia="宋体" w:cs="宋体"/>
          <w:color w:val="auto"/>
          <w:sz w:val="24"/>
          <w:szCs w:val="24"/>
          <w:highlight w:val="none"/>
        </w:rPr>
        <w:t>”中填“无”。</w:t>
      </w:r>
    </w:p>
    <w:p w14:paraId="1B024AA8">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7FE7C286">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059FE5C6">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36E604A7">
      <w:pPr>
        <w:pageBreakBefore w:val="0"/>
        <w:kinsoku/>
        <w:overflowPunct/>
        <w:topLinePunct w:val="0"/>
        <w:bidi w:val="0"/>
        <w:snapToGrid w:val="0"/>
        <w:spacing w:line="240" w:lineRule="auto"/>
        <w:ind w:left="-2" w:right="-817" w:rightChars="-38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法定代表人或者委托代理人（签名）： </w:t>
      </w:r>
    </w:p>
    <w:p w14:paraId="5E92D3FA">
      <w:pPr>
        <w:pageBreakBefore w:val="0"/>
        <w:kinsoku/>
        <w:overflowPunct/>
        <w:topLinePunct w:val="0"/>
        <w:bidi w:val="0"/>
        <w:snapToGrid w:val="0"/>
        <w:spacing w:line="240" w:lineRule="auto"/>
        <w:ind w:left="-3" w:leftChars="-15" w:right="-817" w:rightChars="-389" w:hanging="28" w:hangingChars="1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p>
    <w:p w14:paraId="000BFF51">
      <w:pPr>
        <w:pageBreakBefore w:val="0"/>
        <w:kinsoku/>
        <w:overflowPunct/>
        <w:topLinePunct w:val="0"/>
        <w:bidi w:val="0"/>
        <w:snapToGrid w:val="0"/>
        <w:spacing w:line="240" w:lineRule="auto"/>
        <w:ind w:right="480" w:firstLine="24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 xml:space="preserve">                                日期：    年   月   日</w:t>
      </w:r>
    </w:p>
    <w:p w14:paraId="395AB2CC">
      <w:pPr>
        <w:rPr>
          <w:rFonts w:hint="eastAsia"/>
          <w:lang w:val="en-US" w:eastAsia="zh-CN"/>
        </w:rPr>
      </w:pPr>
      <w:r>
        <w:rPr>
          <w:rFonts w:hint="eastAsia"/>
          <w:lang w:val="en-US" w:eastAsia="zh-CN"/>
        </w:rPr>
        <w:br w:type="page"/>
      </w:r>
    </w:p>
    <w:p w14:paraId="79073F3B">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5.</w:t>
      </w:r>
      <w:r>
        <w:rPr>
          <w:rFonts w:hint="eastAsia" w:ascii="宋体" w:hAnsi="宋体" w:eastAsia="宋体" w:cs="宋体"/>
          <w:b/>
          <w:color w:val="auto"/>
          <w:sz w:val="30"/>
          <w:szCs w:val="30"/>
          <w:highlight w:val="none"/>
        </w:rPr>
        <w:t>投标声明</w:t>
      </w:r>
    </w:p>
    <w:p w14:paraId="0A6BF496">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1"/>
          <w:szCs w:val="21"/>
          <w:highlight w:val="none"/>
        </w:rPr>
      </w:pPr>
    </w:p>
    <w:p w14:paraId="75045936">
      <w:pPr>
        <w:pageBreakBefore w:val="0"/>
        <w:kinsoku/>
        <w:overflowPunct/>
        <w:topLinePunct w:val="0"/>
        <w:bidi w:val="0"/>
        <w:snapToGrid w:val="0"/>
        <w:spacing w:before="50" w:after="120" w:afterLines="50" w:line="240" w:lineRule="auto"/>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投标声明</w:t>
      </w:r>
    </w:p>
    <w:p w14:paraId="163DC183">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p>
    <w:p w14:paraId="6A8D2272">
      <w:pPr>
        <w:pageBreakBefore w:val="0"/>
        <w:kinsoku/>
        <w:overflowPunct/>
        <w:topLinePunct w:val="0"/>
        <w:bidi w:val="0"/>
        <w:spacing w:line="240" w:lineRule="auto"/>
        <w:ind w:firstLine="523" w:firstLineChars="218"/>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我方参加贵单位组织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）的政府采购活动。我方在此郑重声明：</w:t>
      </w:r>
    </w:p>
    <w:p w14:paraId="05CC6D83">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56E66AF">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2.我方不是为本次采购项目提供整体设计、规范编制或者项目管理、监理、检测等服务的供应商。</w:t>
      </w:r>
    </w:p>
    <w:p w14:paraId="61FA74B6">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我方承诺符合《中华人民共和国政府采购法》第二十二条规定：</w:t>
      </w:r>
    </w:p>
    <w:p w14:paraId="0FD15324">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（一）具有独立承担民事责任的能力；</w:t>
      </w:r>
    </w:p>
    <w:p w14:paraId="4B7679D8">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（二）具有良好的商业信誉和健全的财务会计制度；</w:t>
      </w:r>
    </w:p>
    <w:p w14:paraId="22CBED46">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（三）具有履行合同所必需的设备和专业技术能力；</w:t>
      </w:r>
    </w:p>
    <w:p w14:paraId="620AD94A">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（四）有依法缴纳税收和社会保障资金的良好记录；</w:t>
      </w:r>
    </w:p>
    <w:p w14:paraId="10EC9E73">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（五）参加政府采购活动前三年内，在经营活动中没有重大违法记录；</w:t>
      </w:r>
    </w:p>
    <w:p w14:paraId="3522C433">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（六）法律、行政法规规定的其他条件。</w:t>
      </w:r>
    </w:p>
    <w:p w14:paraId="55972EEF">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4.以上事项如有虚假或者隐瞒，我方愿意承担一切后果，并不再寻求任何旨在减轻或者免除法律责任的辩解。</w:t>
      </w:r>
    </w:p>
    <w:p w14:paraId="6E7BC890">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特此承诺。</w:t>
      </w:r>
    </w:p>
    <w:p w14:paraId="371FF0C0">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 xml:space="preserve">            法定代表人（签名）：</w:t>
      </w:r>
      <w:r>
        <w:rPr>
          <w:rFonts w:hint="eastAsia" w:ascii="宋体" w:hAnsi="宋体" w:eastAsia="宋体" w:cs="宋体"/>
          <w:color w:val="auto"/>
          <w:sz w:val="24"/>
          <w:szCs w:val="24"/>
          <w:highlight w:val="none"/>
          <w:u w:val="single"/>
        </w:rPr>
        <w:t xml:space="preserve">             </w:t>
      </w:r>
    </w:p>
    <w:p w14:paraId="67676074">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r>
        <w:rPr>
          <w:rFonts w:hint="eastAsia" w:ascii="宋体" w:hAnsi="宋体" w:eastAsia="宋体" w:cs="宋体"/>
          <w:color w:val="auto"/>
          <w:sz w:val="24"/>
          <w:szCs w:val="24"/>
          <w:highlight w:val="none"/>
          <w:u w:val="single"/>
        </w:rPr>
        <w:t xml:space="preserve">                 </w:t>
      </w:r>
    </w:p>
    <w:p w14:paraId="13F81023">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 xml:space="preserve">                                                  年    月    日</w:t>
      </w:r>
    </w:p>
    <w:p w14:paraId="5040D465">
      <w:pPr>
        <w:rPr>
          <w:rFonts w:hint="eastAsia"/>
          <w:lang w:val="en-US" w:eastAsia="zh-CN"/>
        </w:rPr>
      </w:pPr>
      <w:r>
        <w:rPr>
          <w:rFonts w:hint="eastAsia"/>
          <w:lang w:val="en-US" w:eastAsia="zh-CN"/>
        </w:rPr>
        <w:br w:type="page"/>
      </w:r>
    </w:p>
    <w:p w14:paraId="33F851D5">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6.</w:t>
      </w:r>
      <w:r>
        <w:rPr>
          <w:rFonts w:hint="eastAsia" w:ascii="宋体" w:hAnsi="宋体" w:eastAsia="宋体" w:cs="宋体"/>
          <w:b/>
          <w:color w:val="auto"/>
          <w:sz w:val="30"/>
          <w:szCs w:val="30"/>
          <w:highlight w:val="none"/>
        </w:rPr>
        <w:t>中小企业声明函或监狱企业证明材料或</w:t>
      </w:r>
      <w:r>
        <w:rPr>
          <w:rFonts w:hint="eastAsia" w:ascii="宋体" w:hAnsi="宋体" w:eastAsia="宋体" w:cs="宋体"/>
          <w:b/>
          <w:color w:val="auto"/>
          <w:sz w:val="30"/>
          <w:szCs w:val="30"/>
          <w:highlight w:val="none"/>
          <w:lang w:val="en-US" w:eastAsia="zh-CN"/>
        </w:rPr>
        <w:t>残疾人福利性单位</w:t>
      </w:r>
      <w:r>
        <w:rPr>
          <w:rFonts w:hint="eastAsia" w:ascii="宋体" w:hAnsi="宋体" w:eastAsia="宋体" w:cs="宋体"/>
          <w:b/>
          <w:color w:val="auto"/>
          <w:sz w:val="30"/>
          <w:szCs w:val="30"/>
          <w:highlight w:val="none"/>
        </w:rPr>
        <w:t>声明函</w:t>
      </w:r>
    </w:p>
    <w:p w14:paraId="7F5D7099">
      <w:pPr>
        <w:pStyle w:val="12"/>
        <w:pageBreakBefore w:val="0"/>
        <w:kinsoku/>
        <w:overflowPunct/>
        <w:topLinePunct w:val="0"/>
        <w:bidi w:val="0"/>
        <w:spacing w:line="240" w:lineRule="auto"/>
        <w:rPr>
          <w:rFonts w:hint="eastAsia" w:ascii="宋体" w:hAnsi="宋体" w:eastAsia="宋体" w:cs="宋体"/>
          <w:color w:val="auto"/>
          <w:sz w:val="21"/>
          <w:szCs w:val="21"/>
          <w:highlight w:val="none"/>
        </w:rPr>
      </w:pPr>
    </w:p>
    <w:p w14:paraId="61D60755">
      <w:pPr>
        <w:pageBreakBefore w:val="0"/>
        <w:kinsoku/>
        <w:overflowPunct/>
        <w:topLinePunct w:val="0"/>
        <w:bidi w:val="0"/>
        <w:snapToGrid w:val="0"/>
        <w:spacing w:before="120" w:beforeLines="50" w:after="50" w:line="240" w:lineRule="auto"/>
        <w:jc w:val="center"/>
        <w:rPr>
          <w:rFonts w:hint="eastAsia" w:ascii="宋体" w:hAnsi="宋体" w:eastAsia="宋体" w:cs="宋体"/>
          <w:color w:val="auto"/>
          <w:sz w:val="28"/>
          <w:szCs w:val="28"/>
          <w:highlight w:val="none"/>
        </w:rPr>
      </w:pPr>
      <w:r>
        <w:rPr>
          <w:rFonts w:hint="eastAsia" w:ascii="宋体" w:hAnsi="宋体" w:cs="宋体"/>
          <w:b/>
          <w:color w:val="auto"/>
          <w:sz w:val="28"/>
          <w:szCs w:val="28"/>
          <w:highlight w:val="none"/>
          <w:lang w:eastAsia="zh-CN"/>
        </w:rPr>
        <w:t>中小</w:t>
      </w:r>
      <w:r>
        <w:rPr>
          <w:rFonts w:hint="eastAsia" w:ascii="宋体" w:hAnsi="宋体" w:eastAsia="宋体" w:cs="宋体"/>
          <w:b/>
          <w:color w:val="auto"/>
          <w:sz w:val="28"/>
          <w:szCs w:val="28"/>
          <w:highlight w:val="none"/>
        </w:rPr>
        <w:t>企业声明函格式</w:t>
      </w:r>
    </w:p>
    <w:p w14:paraId="3860B4C8">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3DCB01F1">
      <w:pPr>
        <w:pageBreakBefore w:val="0"/>
        <w:kinsoku/>
        <w:overflowPunct/>
        <w:topLinePunct w:val="0"/>
        <w:bidi w:val="0"/>
        <w:spacing w:line="240" w:lineRule="auto"/>
        <w:ind w:left="-426" w:leftChars="-203" w:right="142" w:firstLine="480" w:firstLineChars="200"/>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0"/>
          <w:sz w:val="24"/>
          <w:szCs w:val="24"/>
          <w:highlight w:val="none"/>
        </w:rPr>
        <w:t>本公司（联合体）郑重声明，根据《政府采购促进中小企业发展管理办法》（财库﹝2020﹞46号）的规定，本公司（联合体）参加</w:t>
      </w:r>
      <w:r>
        <w:rPr>
          <w:rFonts w:hint="eastAsia" w:ascii="宋体" w:hAnsi="宋体" w:eastAsia="宋体" w:cs="宋体"/>
          <w:color w:val="auto"/>
          <w:kern w:val="0"/>
          <w:sz w:val="24"/>
          <w:szCs w:val="24"/>
          <w:highlight w:val="none"/>
          <w:u w:val="single"/>
        </w:rPr>
        <w:t>（单位名称）</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u w:val="single"/>
        </w:rPr>
        <w:t>（项目名称）</w:t>
      </w:r>
      <w:r>
        <w:rPr>
          <w:rFonts w:hint="eastAsia" w:ascii="宋体" w:hAnsi="宋体" w:eastAsia="宋体" w:cs="宋体"/>
          <w:color w:val="auto"/>
          <w:kern w:val="0"/>
          <w:sz w:val="24"/>
          <w:szCs w:val="24"/>
          <w:highlight w:val="none"/>
        </w:rPr>
        <w:t>采购活动，服务全部由符合政策要求的中小企业承接。相关企业（含联合体中的中小企业、签订分包意向协议的中小企业）的具体情况如下：</w:t>
      </w:r>
    </w:p>
    <w:p w14:paraId="1D7D6C2C">
      <w:pPr>
        <w:pageBreakBefore w:val="0"/>
        <w:tabs>
          <w:tab w:val="left" w:pos="1384"/>
          <w:tab w:val="left" w:pos="4562"/>
          <w:tab w:val="left" w:pos="6803"/>
        </w:tabs>
        <w:kinsoku/>
        <w:overflowPunct/>
        <w:topLinePunct w:val="0"/>
        <w:bidi w:val="0"/>
        <w:spacing w:line="240" w:lineRule="auto"/>
        <w:ind w:left="-426" w:right="-58" w:firstLine="655"/>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1.</w:t>
      </w:r>
      <w:r>
        <w:rPr>
          <w:rFonts w:hint="eastAsia" w:ascii="宋体" w:hAnsi="宋体" w:eastAsia="宋体" w:cs="宋体"/>
          <w:color w:val="auto"/>
          <w:kern w:val="24"/>
          <w:sz w:val="24"/>
          <w:szCs w:val="24"/>
          <w:highlight w:val="none"/>
          <w:u w:val="single"/>
        </w:rPr>
        <w:t>（标的名称）</w:t>
      </w:r>
      <w:r>
        <w:rPr>
          <w:rFonts w:hint="eastAsia" w:ascii="宋体" w:hAnsi="宋体" w:eastAsia="宋体" w:cs="宋体"/>
          <w:color w:val="auto"/>
          <w:kern w:val="24"/>
          <w:sz w:val="24"/>
          <w:szCs w:val="24"/>
          <w:highlight w:val="none"/>
        </w:rPr>
        <w:t>，属于</w:t>
      </w:r>
      <w:r>
        <w:rPr>
          <w:rFonts w:hint="eastAsia" w:ascii="宋体" w:hAnsi="宋体" w:eastAsia="宋体" w:cs="宋体"/>
          <w:color w:val="auto"/>
          <w:kern w:val="24"/>
          <w:sz w:val="24"/>
          <w:szCs w:val="24"/>
          <w:highlight w:val="none"/>
          <w:u w:val="single"/>
        </w:rPr>
        <w:t>（采购文件中明确的所属行业）</w:t>
      </w:r>
      <w:r>
        <w:rPr>
          <w:rFonts w:hint="eastAsia" w:ascii="宋体" w:hAnsi="宋体" w:eastAsia="宋体" w:cs="宋体"/>
          <w:color w:val="auto"/>
          <w:kern w:val="24"/>
          <w:sz w:val="24"/>
          <w:szCs w:val="24"/>
          <w:highlight w:val="none"/>
        </w:rPr>
        <w:t>行业；承接企业为</w:t>
      </w:r>
      <w:r>
        <w:rPr>
          <w:rFonts w:hint="eastAsia" w:ascii="宋体" w:hAnsi="宋体" w:eastAsia="宋体" w:cs="宋体"/>
          <w:color w:val="auto"/>
          <w:kern w:val="24"/>
          <w:sz w:val="24"/>
          <w:szCs w:val="24"/>
          <w:highlight w:val="none"/>
          <w:u w:val="single"/>
        </w:rPr>
        <w:t>（企业名称）</w:t>
      </w:r>
      <w:r>
        <w:rPr>
          <w:rFonts w:hint="eastAsia" w:ascii="宋体" w:hAnsi="宋体" w:eastAsia="宋体" w:cs="宋体"/>
          <w:color w:val="auto"/>
          <w:kern w:val="24"/>
          <w:sz w:val="24"/>
          <w:szCs w:val="24"/>
          <w:highlight w:val="none"/>
        </w:rPr>
        <w:t>，从业人员</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人，营业收入为</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万元，资产总额为</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万元，属于</w:t>
      </w:r>
      <w:r>
        <w:rPr>
          <w:rFonts w:hint="eastAsia" w:ascii="宋体" w:hAnsi="宋体" w:eastAsia="宋体" w:cs="宋体"/>
          <w:color w:val="auto"/>
          <w:kern w:val="24"/>
          <w:sz w:val="24"/>
          <w:szCs w:val="24"/>
          <w:highlight w:val="none"/>
          <w:u w:val="single"/>
        </w:rPr>
        <w:t>（中型企业、小型企业、微型企业）</w:t>
      </w:r>
      <w:r>
        <w:rPr>
          <w:rFonts w:hint="eastAsia" w:ascii="宋体" w:hAnsi="宋体" w:eastAsia="宋体" w:cs="宋体"/>
          <w:color w:val="auto"/>
          <w:kern w:val="24"/>
          <w:sz w:val="24"/>
          <w:szCs w:val="24"/>
          <w:highlight w:val="none"/>
        </w:rPr>
        <w:t>；</w:t>
      </w:r>
    </w:p>
    <w:p w14:paraId="10AEF711">
      <w:pPr>
        <w:pageBreakBefore w:val="0"/>
        <w:tabs>
          <w:tab w:val="left" w:pos="1065"/>
          <w:tab w:val="left" w:pos="6477"/>
        </w:tabs>
        <w:kinsoku/>
        <w:overflowPunct/>
        <w:topLinePunct w:val="0"/>
        <w:bidi w:val="0"/>
        <w:spacing w:line="240" w:lineRule="auto"/>
        <w:ind w:left="-426" w:right="-58" w:firstLine="655"/>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2.</w:t>
      </w:r>
      <w:r>
        <w:rPr>
          <w:rFonts w:hint="eastAsia" w:ascii="宋体" w:hAnsi="宋体" w:eastAsia="宋体" w:cs="宋体"/>
          <w:color w:val="auto"/>
          <w:kern w:val="24"/>
          <w:sz w:val="24"/>
          <w:szCs w:val="24"/>
          <w:highlight w:val="none"/>
          <w:u w:val="single"/>
        </w:rPr>
        <w:t>（标的名称）</w:t>
      </w:r>
      <w:r>
        <w:rPr>
          <w:rFonts w:hint="eastAsia" w:ascii="宋体" w:hAnsi="宋体" w:eastAsia="宋体" w:cs="宋体"/>
          <w:color w:val="auto"/>
          <w:kern w:val="24"/>
          <w:sz w:val="24"/>
          <w:szCs w:val="24"/>
          <w:highlight w:val="none"/>
        </w:rPr>
        <w:t>，属于</w:t>
      </w:r>
      <w:r>
        <w:rPr>
          <w:rFonts w:hint="eastAsia" w:ascii="宋体" w:hAnsi="宋体" w:eastAsia="宋体" w:cs="宋体"/>
          <w:color w:val="auto"/>
          <w:kern w:val="24"/>
          <w:sz w:val="24"/>
          <w:szCs w:val="24"/>
          <w:highlight w:val="none"/>
          <w:u w:val="single"/>
        </w:rPr>
        <w:t>（采购文件中明确的所属行业）</w:t>
      </w:r>
      <w:r>
        <w:rPr>
          <w:rFonts w:hint="eastAsia" w:ascii="宋体" w:hAnsi="宋体" w:eastAsia="宋体" w:cs="宋体"/>
          <w:color w:val="auto"/>
          <w:kern w:val="24"/>
          <w:sz w:val="24"/>
          <w:szCs w:val="24"/>
          <w:highlight w:val="none"/>
        </w:rPr>
        <w:t>行业；承接企业为</w:t>
      </w:r>
      <w:r>
        <w:rPr>
          <w:rFonts w:hint="eastAsia" w:ascii="宋体" w:hAnsi="宋体" w:eastAsia="宋体" w:cs="宋体"/>
          <w:color w:val="auto"/>
          <w:kern w:val="24"/>
          <w:sz w:val="24"/>
          <w:szCs w:val="24"/>
          <w:highlight w:val="none"/>
          <w:u w:val="single"/>
        </w:rPr>
        <w:t>（企业名称）</w:t>
      </w:r>
      <w:r>
        <w:rPr>
          <w:rFonts w:hint="eastAsia" w:ascii="宋体" w:hAnsi="宋体" w:eastAsia="宋体" w:cs="宋体"/>
          <w:color w:val="auto"/>
          <w:kern w:val="24"/>
          <w:sz w:val="24"/>
          <w:szCs w:val="24"/>
          <w:highlight w:val="none"/>
        </w:rPr>
        <w:t>，从业人员</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人，营业收入为</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万元，资产总额为</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万元，属于</w:t>
      </w:r>
      <w:r>
        <w:rPr>
          <w:rFonts w:hint="eastAsia" w:ascii="宋体" w:hAnsi="宋体" w:eastAsia="宋体" w:cs="宋体"/>
          <w:color w:val="auto"/>
          <w:kern w:val="24"/>
          <w:sz w:val="24"/>
          <w:szCs w:val="24"/>
          <w:highlight w:val="none"/>
          <w:u w:val="single"/>
        </w:rPr>
        <w:t>（中型企业、小型企业、微型企业）</w:t>
      </w:r>
      <w:r>
        <w:rPr>
          <w:rFonts w:hint="eastAsia" w:ascii="宋体" w:hAnsi="宋体" w:eastAsia="宋体" w:cs="宋体"/>
          <w:color w:val="auto"/>
          <w:kern w:val="24"/>
          <w:sz w:val="24"/>
          <w:szCs w:val="24"/>
          <w:highlight w:val="none"/>
        </w:rPr>
        <w:t>；</w:t>
      </w:r>
    </w:p>
    <w:p w14:paraId="6F9676E5">
      <w:pPr>
        <w:pageBreakBefore w:val="0"/>
        <w:kinsoku/>
        <w:overflowPunct/>
        <w:topLinePunct w:val="0"/>
        <w:bidi w:val="0"/>
        <w:spacing w:line="240" w:lineRule="auto"/>
        <w:ind w:left="142" w:right="142"/>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 xml:space="preserve">…… </w:t>
      </w:r>
    </w:p>
    <w:p w14:paraId="23D6E2A2">
      <w:pPr>
        <w:pageBreakBefore w:val="0"/>
        <w:kinsoku/>
        <w:overflowPunct/>
        <w:topLinePunct w:val="0"/>
        <w:bidi w:val="0"/>
        <w:spacing w:line="240" w:lineRule="auto"/>
        <w:ind w:left="-405" w:leftChars="-193" w:right="142" w:firstLine="453" w:firstLineChars="189"/>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以上企业，不属于大企业的分支机构，不存在控股股东为大企业的情形，也不存在与大企业的负责人为同一人的情形。</w:t>
      </w:r>
    </w:p>
    <w:p w14:paraId="608D337D">
      <w:pPr>
        <w:pageBreakBefore w:val="0"/>
        <w:kinsoku/>
        <w:overflowPunct/>
        <w:topLinePunct w:val="0"/>
        <w:bidi w:val="0"/>
        <w:spacing w:line="240" w:lineRule="auto"/>
        <w:ind w:left="-426" w:right="142" w:firstLine="567"/>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本企业对上述声明内容的真实性负责。如有虚假，将依法承担相应责任。</w:t>
      </w:r>
    </w:p>
    <w:p w14:paraId="7E9123BF">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p>
    <w:p w14:paraId="40C89790">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企业名称（</w:t>
      </w:r>
      <w:r>
        <w:rPr>
          <w:rFonts w:hint="eastAsia" w:ascii="宋体" w:hAnsi="宋体" w:eastAsia="宋体" w:cs="宋体"/>
          <w:color w:val="auto"/>
          <w:sz w:val="24"/>
          <w:szCs w:val="24"/>
          <w:highlight w:val="none"/>
        </w:rPr>
        <w:t>公章</w:t>
      </w:r>
      <w:r>
        <w:rPr>
          <w:rFonts w:hint="eastAsia" w:ascii="宋体" w:hAnsi="宋体" w:eastAsia="宋体" w:cs="宋体"/>
          <w:color w:val="auto"/>
          <w:kern w:val="24"/>
          <w:sz w:val="24"/>
          <w:szCs w:val="24"/>
          <w:highlight w:val="none"/>
        </w:rPr>
        <w:t>）：</w:t>
      </w:r>
    </w:p>
    <w:p w14:paraId="62B3876B">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日 期：</w:t>
      </w:r>
    </w:p>
    <w:p w14:paraId="5BF72BEE">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p>
    <w:p w14:paraId="0B50B4EC">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p>
    <w:p w14:paraId="5BC060E4">
      <w:pPr>
        <w:pageBreakBefore w:val="0"/>
        <w:kinsoku/>
        <w:overflowPunct/>
        <w:topLinePunct w:val="0"/>
        <w:bidi w:val="0"/>
        <w:spacing w:line="240" w:lineRule="auto"/>
        <w:ind w:left="-426" w:right="142" w:firstLine="567"/>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5B232D74">
      <w:pPr>
        <w:rPr>
          <w:rFonts w:hint="eastAsia" w:ascii="宋体" w:hAnsi="宋体" w:eastAsia="宋体" w:cs="宋体"/>
          <w:b/>
          <w:color w:val="auto"/>
          <w:spacing w:val="6"/>
          <w:sz w:val="21"/>
          <w:szCs w:val="21"/>
          <w:highlight w:val="none"/>
        </w:rPr>
      </w:pPr>
      <w:r>
        <w:rPr>
          <w:rFonts w:hint="eastAsia"/>
          <w:lang w:val="en-US" w:eastAsia="zh-CN"/>
        </w:rPr>
        <w:br w:type="page"/>
      </w:r>
    </w:p>
    <w:p w14:paraId="33294A99">
      <w:pPr>
        <w:pageBreakBefore w:val="0"/>
        <w:kinsoku/>
        <w:overflowPunct/>
        <w:topLinePunct w:val="0"/>
        <w:bidi w:val="0"/>
        <w:spacing w:line="240" w:lineRule="auto"/>
        <w:jc w:val="center"/>
        <w:rPr>
          <w:rFonts w:hint="eastAsia" w:ascii="宋体" w:hAnsi="宋体" w:eastAsia="宋体" w:cs="宋体"/>
          <w:b/>
          <w:bCs w:val="0"/>
          <w:color w:val="auto"/>
          <w:spacing w:val="6"/>
          <w:sz w:val="28"/>
          <w:szCs w:val="28"/>
          <w:highlight w:val="none"/>
        </w:rPr>
      </w:pPr>
      <w:r>
        <w:rPr>
          <w:rFonts w:hint="eastAsia" w:ascii="宋体" w:hAnsi="宋体" w:eastAsia="宋体" w:cs="宋体"/>
          <w:b/>
          <w:bCs w:val="0"/>
          <w:color w:val="auto"/>
          <w:spacing w:val="6"/>
          <w:sz w:val="28"/>
          <w:szCs w:val="28"/>
          <w:highlight w:val="none"/>
        </w:rPr>
        <w:t>残疾人福利性单位声明函</w:t>
      </w:r>
    </w:p>
    <w:p w14:paraId="59BE36DE">
      <w:pPr>
        <w:pageBreakBefore w:val="0"/>
        <w:kinsoku/>
        <w:overflowPunct/>
        <w:topLinePunct w:val="0"/>
        <w:bidi w:val="0"/>
        <w:spacing w:line="240" w:lineRule="auto"/>
        <w:contextualSpacing/>
        <w:rPr>
          <w:rFonts w:hint="eastAsia" w:ascii="宋体" w:hAnsi="宋体" w:eastAsia="宋体" w:cs="宋体"/>
          <w:bCs/>
          <w:color w:val="auto"/>
          <w:spacing w:val="6"/>
          <w:sz w:val="24"/>
          <w:szCs w:val="24"/>
          <w:highlight w:val="none"/>
        </w:rPr>
      </w:pPr>
    </w:p>
    <w:p w14:paraId="74830C2C">
      <w:pPr>
        <w:pageBreakBefore w:val="0"/>
        <w:kinsoku/>
        <w:overflowPunct/>
        <w:topLinePunct w:val="0"/>
        <w:bidi w:val="0"/>
        <w:spacing w:line="240" w:lineRule="auto"/>
        <w:ind w:firstLine="504" w:firstLineChars="200"/>
        <w:contextualSpacing/>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 141</w:t>
      </w:r>
      <w:r>
        <w:rPr>
          <w:rFonts w:hint="eastAsia" w:ascii="宋体" w:hAnsi="宋体" w:eastAsia="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eastAsia="宋体" w:cs="宋体"/>
          <w:color w:val="auto"/>
          <w:spacing w:val="-6"/>
          <w:sz w:val="24"/>
          <w:szCs w:val="24"/>
          <w:highlight w:val="none"/>
        </w:rPr>
        <w:t>疾人福利性单位制造的货物（不包括使用非残疾人福利性单位注册商标的货物）。</w:t>
      </w:r>
    </w:p>
    <w:p w14:paraId="3B91AA1C">
      <w:pPr>
        <w:pageBreakBefore w:val="0"/>
        <w:kinsoku/>
        <w:overflowPunct/>
        <w:topLinePunct w:val="0"/>
        <w:bidi w:val="0"/>
        <w:spacing w:line="240" w:lineRule="auto"/>
        <w:ind w:firstLine="504" w:firstLineChars="200"/>
        <w:contextualSpacing/>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40B14CA5">
      <w:pPr>
        <w:pageBreakBefore w:val="0"/>
        <w:kinsoku/>
        <w:overflowPunct/>
        <w:topLinePunct w:val="0"/>
        <w:bidi w:val="0"/>
        <w:spacing w:line="240" w:lineRule="auto"/>
        <w:ind w:firstLine="504" w:firstLineChars="200"/>
        <w:contextualSpacing/>
        <w:rPr>
          <w:rFonts w:hint="eastAsia" w:ascii="宋体" w:hAnsi="宋体" w:eastAsia="宋体" w:cs="宋体"/>
          <w:color w:val="auto"/>
          <w:spacing w:val="6"/>
          <w:sz w:val="24"/>
          <w:szCs w:val="24"/>
          <w:highlight w:val="none"/>
        </w:rPr>
      </w:pPr>
    </w:p>
    <w:p w14:paraId="2427F613">
      <w:pPr>
        <w:pageBreakBefore w:val="0"/>
        <w:kinsoku/>
        <w:overflowPunct/>
        <w:topLinePunct w:val="0"/>
        <w:bidi w:val="0"/>
        <w:spacing w:line="240" w:lineRule="auto"/>
        <w:ind w:firstLine="504" w:firstLineChars="200"/>
        <w:contextualSpacing/>
        <w:rPr>
          <w:rFonts w:hint="eastAsia" w:ascii="宋体" w:hAnsi="宋体" w:eastAsia="宋体" w:cs="宋体"/>
          <w:color w:val="auto"/>
          <w:spacing w:val="6"/>
          <w:sz w:val="24"/>
          <w:szCs w:val="24"/>
          <w:highlight w:val="none"/>
        </w:rPr>
      </w:pPr>
    </w:p>
    <w:p w14:paraId="201BBA75">
      <w:pPr>
        <w:pageBreakBefore w:val="0"/>
        <w:tabs>
          <w:tab w:val="left" w:pos="4860"/>
        </w:tabs>
        <w:kinsoku/>
        <w:overflowPunct/>
        <w:topLinePunct w:val="0"/>
        <w:bidi w:val="0"/>
        <w:spacing w:line="240" w:lineRule="auto"/>
        <w:ind w:right="1560" w:firstLine="504" w:firstLineChars="200"/>
        <w:contextualSpacing/>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单位名称（</w:t>
      </w:r>
      <w:r>
        <w:rPr>
          <w:rFonts w:hint="eastAsia" w:ascii="宋体" w:hAnsi="宋体" w:eastAsia="宋体" w:cs="宋体"/>
          <w:color w:val="auto"/>
          <w:sz w:val="24"/>
          <w:szCs w:val="24"/>
          <w:highlight w:val="none"/>
        </w:rPr>
        <w:t>公章</w:t>
      </w:r>
      <w:r>
        <w:rPr>
          <w:rFonts w:hint="eastAsia" w:ascii="宋体" w:hAnsi="宋体" w:eastAsia="宋体" w:cs="宋体"/>
          <w:color w:val="auto"/>
          <w:spacing w:val="6"/>
          <w:sz w:val="24"/>
          <w:szCs w:val="24"/>
          <w:highlight w:val="none"/>
        </w:rPr>
        <w:t>）：</w:t>
      </w:r>
    </w:p>
    <w:p w14:paraId="5B68138A">
      <w:pPr>
        <w:pageBreakBefore w:val="0"/>
        <w:tabs>
          <w:tab w:val="left" w:pos="4860"/>
        </w:tabs>
        <w:kinsoku/>
        <w:overflowPunct/>
        <w:topLinePunct w:val="0"/>
        <w:bidi w:val="0"/>
        <w:spacing w:line="240" w:lineRule="auto"/>
        <w:ind w:right="1560" w:firstLine="504" w:firstLineChars="200"/>
        <w:contextualSpacing/>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日  期：</w:t>
      </w:r>
    </w:p>
    <w:p w14:paraId="42E15531">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p>
    <w:p w14:paraId="067B04FC">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p>
    <w:p w14:paraId="4C6A9C45">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p>
    <w:p w14:paraId="226293BE">
      <w:pPr>
        <w:pageBreakBefore w:val="0"/>
        <w:kinsoku/>
        <w:overflowPunct/>
        <w:topLinePunct w:val="0"/>
        <w:bidi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03D1C1D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23FBE02">
      <w:pPr>
        <w:spacing w:line="500" w:lineRule="exact"/>
        <w:jc w:val="left"/>
        <w:rPr>
          <w:rFonts w:hint="eastAsia" w:ascii="宋体" w:hAnsi="宋体" w:eastAsia="宋体" w:cs="宋体"/>
          <w:b/>
          <w:sz w:val="30"/>
          <w:szCs w:val="30"/>
          <w:lang w:eastAsia="zh-CN"/>
        </w:rPr>
      </w:pPr>
      <w:r>
        <w:rPr>
          <w:rFonts w:hint="eastAsia" w:ascii="宋体" w:hAnsi="宋体" w:eastAsia="宋体" w:cs="宋体"/>
          <w:b/>
          <w:sz w:val="30"/>
          <w:szCs w:val="30"/>
          <w:lang w:val="en-US" w:eastAsia="zh-CN"/>
        </w:rPr>
        <w:t>7.</w:t>
      </w:r>
      <w:r>
        <w:rPr>
          <w:rFonts w:hint="eastAsia" w:ascii="宋体" w:hAnsi="宋体" w:eastAsia="宋体" w:cs="宋体"/>
          <w:b/>
          <w:sz w:val="30"/>
          <w:szCs w:val="30"/>
          <w:lang w:eastAsia="zh-CN"/>
        </w:rPr>
        <w:t>具备履行合同所必需的设备和专业技术能力的证明材料</w:t>
      </w:r>
    </w:p>
    <w:p w14:paraId="2046C653">
      <w:pPr>
        <w:jc w:val="both"/>
        <w:rPr>
          <w:rFonts w:hint="eastAsia" w:ascii="宋体" w:hAnsi="宋体" w:cs="Times New Roman"/>
          <w:kern w:val="2"/>
          <w:sz w:val="24"/>
          <w:szCs w:val="24"/>
          <w:lang w:val="en-US" w:eastAsia="zh-CN" w:bidi="ar-SA"/>
        </w:rPr>
      </w:pPr>
    </w:p>
    <w:p w14:paraId="2D49BBE5">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必须提供，格式自拟</w:t>
      </w:r>
      <w:r>
        <w:rPr>
          <w:rFonts w:hint="eastAsia" w:ascii="宋体" w:hAnsi="宋体" w:cs="Times New Roman"/>
          <w:b/>
          <w:bCs/>
          <w:kern w:val="2"/>
          <w:sz w:val="24"/>
          <w:szCs w:val="24"/>
          <w:lang w:val="en-US" w:eastAsia="zh-CN" w:bidi="ar-SA"/>
        </w:rPr>
        <w:t>】</w:t>
      </w:r>
    </w:p>
    <w:p w14:paraId="0245305E">
      <w:pPr>
        <w:rPr>
          <w:rFonts w:hint="eastAsia"/>
          <w:lang w:val="en-US" w:eastAsia="zh-CN"/>
        </w:rPr>
      </w:pPr>
      <w:r>
        <w:rPr>
          <w:rFonts w:hint="eastAsia"/>
          <w:lang w:val="en-US" w:eastAsia="zh-CN"/>
        </w:rPr>
        <w:br w:type="page"/>
      </w:r>
    </w:p>
    <w:p w14:paraId="121FE618">
      <w:pPr>
        <w:pageBreakBefore w:val="0"/>
        <w:kinsoku/>
        <w:overflowPunct/>
        <w:topLinePunct w:val="0"/>
        <w:bidi w:val="0"/>
        <w:spacing w:line="240" w:lineRule="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三、商务文件格式</w:t>
      </w:r>
    </w:p>
    <w:p w14:paraId="0725DFEE">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1.商务文件封面格式： </w:t>
      </w:r>
    </w:p>
    <w:p w14:paraId="20929946">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p>
    <w:p w14:paraId="68FE5823">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电子投标文件</w:t>
      </w:r>
    </w:p>
    <w:p w14:paraId="1CB41B3F">
      <w:pPr>
        <w:pageBreakBefore w:val="0"/>
        <w:kinsoku/>
        <w:overflowPunct/>
        <w:topLinePunct w:val="0"/>
        <w:bidi w:val="0"/>
        <w:snapToGrid w:val="0"/>
        <w:spacing w:before="120" w:beforeLines="50" w:after="50" w:line="240" w:lineRule="auto"/>
        <w:jc w:val="center"/>
        <w:rPr>
          <w:rFonts w:hint="eastAsia" w:ascii="宋体" w:hAnsi="宋体" w:eastAsia="宋体" w:cs="宋体"/>
          <w:color w:val="auto"/>
          <w:sz w:val="44"/>
          <w:szCs w:val="44"/>
          <w:highlight w:val="none"/>
        </w:rPr>
      </w:pPr>
    </w:p>
    <w:p w14:paraId="1BEAA051">
      <w:pPr>
        <w:pageBreakBefore w:val="0"/>
        <w:kinsoku/>
        <w:overflowPunct/>
        <w:topLinePunct w:val="0"/>
        <w:bidi w:val="0"/>
        <w:snapToGrid w:val="0"/>
        <w:spacing w:before="120" w:beforeLines="50" w:after="50" w:line="24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44"/>
          <w:szCs w:val="44"/>
          <w:highlight w:val="none"/>
        </w:rPr>
        <w:t>商  务  文  件</w:t>
      </w:r>
    </w:p>
    <w:p w14:paraId="2F6BDF44">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A8AF921">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67A0B333">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0FBD86DE">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393CE0B">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1A1159CD">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3AABF1D6">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项目名称：</w:t>
      </w:r>
    </w:p>
    <w:p w14:paraId="7C07C65E">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p>
    <w:p w14:paraId="0A6E8B3E">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项目编号：</w:t>
      </w:r>
    </w:p>
    <w:p w14:paraId="5F15B191">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lang w:val="en-US" w:eastAsia="zh-CN"/>
        </w:rPr>
      </w:pPr>
    </w:p>
    <w:p w14:paraId="11FCE121">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分标：</w:t>
      </w:r>
    </w:p>
    <w:p w14:paraId="0E956700">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p>
    <w:p w14:paraId="15B37957">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投标人名称：</w:t>
      </w:r>
    </w:p>
    <w:p w14:paraId="5942FEF2">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p>
    <w:p w14:paraId="743B7CF2">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投标人地址：</w:t>
      </w:r>
    </w:p>
    <w:p w14:paraId="0AF04224">
      <w:pPr>
        <w:pStyle w:val="6"/>
        <w:pageBreakBefore w:val="0"/>
        <w:kinsoku/>
        <w:overflowPunct/>
        <w:topLinePunct w:val="0"/>
        <w:bidi w:val="0"/>
        <w:snapToGrid w:val="0"/>
        <w:spacing w:before="50" w:after="50" w:line="240" w:lineRule="auto"/>
        <w:ind w:firstLine="1120" w:firstLineChars="400"/>
        <w:rPr>
          <w:rFonts w:hint="eastAsia" w:ascii="宋体" w:hAnsi="宋体" w:eastAsia="宋体" w:cs="宋体"/>
          <w:bCs/>
          <w:color w:val="auto"/>
          <w:sz w:val="28"/>
          <w:szCs w:val="28"/>
          <w:highlight w:val="none"/>
        </w:rPr>
      </w:pPr>
    </w:p>
    <w:p w14:paraId="727E6D83">
      <w:pPr>
        <w:pageBreakBefore w:val="0"/>
        <w:kinsoku/>
        <w:overflowPunct/>
        <w:topLinePunct w:val="0"/>
        <w:bidi w:val="0"/>
        <w:snapToGrid w:val="0"/>
        <w:spacing w:before="120" w:beforeLines="50" w:after="50" w:line="240" w:lineRule="auto"/>
        <w:ind w:firstLine="645"/>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0D9C87C1">
      <w:pPr>
        <w:rPr>
          <w:rFonts w:hint="eastAsia"/>
          <w:lang w:val="en-US" w:eastAsia="zh-CN"/>
        </w:rPr>
      </w:pPr>
      <w:r>
        <w:rPr>
          <w:rFonts w:hint="eastAsia"/>
          <w:lang w:val="en-US" w:eastAsia="zh-CN"/>
        </w:rPr>
        <w:br w:type="page"/>
      </w:r>
    </w:p>
    <w:p w14:paraId="3084E173">
      <w:pPr>
        <w:pageBreakBefore w:val="0"/>
        <w:kinsoku/>
        <w:overflowPunct/>
        <w:topLinePunct w:val="0"/>
        <w:bidi w:val="0"/>
        <w:snapToGrid w:val="0"/>
        <w:spacing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2.商务文件目录</w:t>
      </w:r>
    </w:p>
    <w:p w14:paraId="683BA2EA">
      <w:pPr>
        <w:pageBreakBefore w:val="0"/>
        <w:kinsoku/>
        <w:overflowPunct/>
        <w:topLinePunct w:val="0"/>
        <w:bidi w:val="0"/>
        <w:snapToGrid w:val="0"/>
        <w:spacing w:before="50" w:after="120" w:afterLines="50" w:line="240" w:lineRule="auto"/>
        <w:jc w:val="left"/>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t>根据</w:t>
      </w:r>
      <w:r>
        <w:rPr>
          <w:rFonts w:hint="eastAsia" w:ascii="宋体" w:hAnsi="宋体" w:cs="宋体"/>
          <w:color w:val="auto"/>
          <w:sz w:val="28"/>
          <w:szCs w:val="28"/>
          <w:highlight w:val="none"/>
          <w:lang w:eastAsia="zh-CN"/>
        </w:rPr>
        <w:t>采购</w:t>
      </w:r>
      <w:r>
        <w:rPr>
          <w:rFonts w:hint="eastAsia" w:ascii="宋体" w:hAnsi="宋体" w:eastAsia="宋体" w:cs="宋体"/>
          <w:color w:val="auto"/>
          <w:sz w:val="28"/>
          <w:szCs w:val="28"/>
          <w:highlight w:val="none"/>
        </w:rPr>
        <w:t>文件规定及投标人提供的材料自行编写目录。</w:t>
      </w:r>
    </w:p>
    <w:p w14:paraId="19173402">
      <w:pPr>
        <w:rPr>
          <w:rFonts w:hint="eastAsia"/>
          <w:lang w:val="en-US" w:eastAsia="zh-CN"/>
        </w:rPr>
      </w:pPr>
      <w:r>
        <w:rPr>
          <w:rFonts w:hint="eastAsia"/>
          <w:lang w:val="en-US" w:eastAsia="zh-CN"/>
        </w:rPr>
        <w:br w:type="page"/>
      </w:r>
    </w:p>
    <w:p w14:paraId="6D4D462B">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3.投标人参加本项目无围标串标行为的承诺</w:t>
      </w:r>
    </w:p>
    <w:p w14:paraId="2010C273">
      <w:pPr>
        <w:pageBreakBefore w:val="0"/>
        <w:kinsoku/>
        <w:overflowPunct/>
        <w:topLinePunct w:val="0"/>
        <w:bidi w:val="0"/>
        <w:snapToGrid w:val="0"/>
        <w:spacing w:before="120" w:beforeLines="50" w:after="50" w:line="240" w:lineRule="auto"/>
        <w:jc w:val="left"/>
        <w:rPr>
          <w:rFonts w:hint="eastAsia" w:ascii="宋体" w:hAnsi="宋体" w:eastAsia="宋体" w:cs="宋体"/>
          <w:b/>
          <w:bCs w:val="0"/>
          <w:color w:val="auto"/>
          <w:sz w:val="28"/>
          <w:szCs w:val="28"/>
          <w:highlight w:val="none"/>
        </w:rPr>
      </w:pPr>
    </w:p>
    <w:p w14:paraId="6895A5B9">
      <w:pPr>
        <w:pageBreakBefore w:val="0"/>
        <w:kinsoku/>
        <w:overflowPunct/>
        <w:topLinePunct w:val="0"/>
        <w:bidi w:val="0"/>
        <w:spacing w:line="240" w:lineRule="auto"/>
        <w:ind w:left="420"/>
        <w:contextualSpacing/>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pacing w:val="-11"/>
          <w:sz w:val="28"/>
          <w:szCs w:val="28"/>
          <w:highlight w:val="none"/>
        </w:rPr>
        <w:t>投标人参加本项目无围标串标行为的承诺函</w:t>
      </w:r>
    </w:p>
    <w:p w14:paraId="471A985D">
      <w:pPr>
        <w:pageBreakBefore w:val="0"/>
        <w:kinsoku/>
        <w:overflowPunct/>
        <w:topLinePunct w:val="0"/>
        <w:bidi w:val="0"/>
        <w:spacing w:line="240" w:lineRule="auto"/>
        <w:contextualSpacing/>
        <w:jc w:val="left"/>
        <w:rPr>
          <w:rFonts w:hint="eastAsia" w:ascii="宋体" w:hAnsi="宋体" w:eastAsia="宋体" w:cs="宋体"/>
          <w:b/>
          <w:color w:val="auto"/>
          <w:sz w:val="21"/>
          <w:szCs w:val="21"/>
          <w:highlight w:val="none"/>
        </w:rPr>
      </w:pPr>
    </w:p>
    <w:p w14:paraId="5AC24458">
      <w:pPr>
        <w:pageBreakBefore w:val="0"/>
        <w:kinsoku/>
        <w:overflowPunct/>
        <w:topLinePunct w:val="0"/>
        <w:bidi w:val="0"/>
        <w:spacing w:line="240" w:lineRule="auto"/>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一、我方承诺无下列相互串通投标的情形：</w:t>
      </w:r>
    </w:p>
    <w:p w14:paraId="396C8E54">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1.不同投标人的投标文件由同一单位或者个人编制；</w:t>
      </w:r>
    </w:p>
    <w:p w14:paraId="2A967F20">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2.不同投标人委托同一单位或者个人办理投标事宜；</w:t>
      </w:r>
    </w:p>
    <w:p w14:paraId="47E9FF91">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3.不同的投标人的投标文件载明的项目管理员为同一个人；</w:t>
      </w:r>
    </w:p>
    <w:p w14:paraId="53252DCE">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4.不同投标人的投标文件异常一致或者投标报价呈规律性差异；</w:t>
      </w:r>
    </w:p>
    <w:p w14:paraId="6D614543">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5.不同投标人的投标文件相互混装；</w:t>
      </w:r>
    </w:p>
    <w:p w14:paraId="2C18AF3F">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6.不同投标人的投标保证金从同一单位或者个人账户转出。</w:t>
      </w:r>
    </w:p>
    <w:p w14:paraId="560D0C91">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二、我方承诺无下列恶意串通的情形：</w:t>
      </w:r>
    </w:p>
    <w:p w14:paraId="0C3CA9E5">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1.投标人直接或者间接从采购人或者采购代理机构处获得其他投标人的相关信息并修改其投标文件或者投标文件；</w:t>
      </w:r>
    </w:p>
    <w:p w14:paraId="2DE214A9">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2.投标人按照采购人或者采购代理机构的授意撤换、修改投标文件或者投标文件；</w:t>
      </w:r>
    </w:p>
    <w:p w14:paraId="2AA6460E">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3.投标人之间协商报价、技术方案等投标文件或者投标文件的实质性内容；</w:t>
      </w:r>
    </w:p>
    <w:p w14:paraId="178E6C49">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4.属于同一集团、协会、商会等组织成员的投标人按照该组织要求协同参加政府采购活动；</w:t>
      </w:r>
    </w:p>
    <w:p w14:paraId="3CAE186D">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5.投标人之间事先约定一致抬高或者压低投标报价，或者在</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项目中事先约定轮流以高价位或者低价位中标，或者事先约定由某一特定投标人中标，然后再参加投标；</w:t>
      </w:r>
    </w:p>
    <w:p w14:paraId="125678A5">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6.投标人之间商定部分投标人放弃参加政府采购活动或者放弃中标；</w:t>
      </w:r>
    </w:p>
    <w:p w14:paraId="145CDDED">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7.投标人与采购人或者采购代理机构之间、投标人相互之间，为谋求特定投标人中标或者排斥其他投标人的其他串通行为。</w:t>
      </w:r>
    </w:p>
    <w:p w14:paraId="6D58338F">
      <w:pPr>
        <w:pageBreakBefore w:val="0"/>
        <w:kinsoku/>
        <w:overflowPunct/>
        <w:topLinePunct w:val="0"/>
        <w:bidi w:val="0"/>
        <w:spacing w:line="240" w:lineRule="auto"/>
        <w:ind w:firstLine="472" w:firstLineChars="196"/>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以上情形一经核查属实，我方愿意承担一切后果，并不再寻求任何旨在减轻或者免除法律责任的辩解。</w:t>
      </w:r>
    </w:p>
    <w:p w14:paraId="33836D5B">
      <w:pPr>
        <w:pStyle w:val="10"/>
        <w:pageBreakBefore w:val="0"/>
        <w:kinsoku/>
        <w:overflowPunct/>
        <w:topLinePunct w:val="0"/>
        <w:bidi w:val="0"/>
        <w:spacing w:line="240" w:lineRule="auto"/>
        <w:ind w:firstLine="6840" w:firstLineChars="2850"/>
        <w:contextualSpacing/>
        <w:rPr>
          <w:rFonts w:hint="eastAsia" w:ascii="宋体" w:hAnsi="宋体" w:eastAsia="宋体" w:cs="宋体"/>
          <w:color w:val="auto"/>
          <w:sz w:val="24"/>
          <w:szCs w:val="24"/>
          <w:highlight w:val="none"/>
        </w:rPr>
      </w:pPr>
    </w:p>
    <w:p w14:paraId="466C1393">
      <w:pPr>
        <w:pStyle w:val="10"/>
        <w:pageBreakBefore w:val="0"/>
        <w:kinsoku/>
        <w:overflowPunct/>
        <w:topLinePunct w:val="0"/>
        <w:bidi w:val="0"/>
        <w:spacing w:line="240" w:lineRule="auto"/>
        <w:contextualSpacing/>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p>
    <w:p w14:paraId="79FF1D49">
      <w:pPr>
        <w:pStyle w:val="10"/>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F13AA21">
      <w:pPr>
        <w:rPr>
          <w:rFonts w:hint="eastAsia"/>
          <w:lang w:val="en-US" w:eastAsia="zh-CN"/>
        </w:rPr>
      </w:pPr>
      <w:r>
        <w:rPr>
          <w:rFonts w:hint="eastAsia"/>
          <w:lang w:val="en-US" w:eastAsia="zh-CN"/>
        </w:rPr>
        <w:br w:type="page"/>
      </w:r>
    </w:p>
    <w:p w14:paraId="35E65A68">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4.法定代表人身份证明</w:t>
      </w:r>
    </w:p>
    <w:p w14:paraId="3332CA65">
      <w:pPr>
        <w:pageBreakBefore w:val="0"/>
        <w:kinsoku/>
        <w:overflowPunct/>
        <w:topLinePunct w:val="0"/>
        <w:bidi w:val="0"/>
        <w:spacing w:before="240" w:beforeLines="100" w:after="120" w:afterLines="50" w:line="240" w:lineRule="auto"/>
        <w:ind w:left="540"/>
        <w:jc w:val="center"/>
        <w:rPr>
          <w:rFonts w:hint="eastAsia" w:ascii="宋体" w:hAnsi="宋体" w:eastAsia="宋体" w:cs="宋体"/>
          <w:b/>
          <w:color w:val="auto"/>
          <w:sz w:val="21"/>
          <w:szCs w:val="21"/>
          <w:highlight w:val="none"/>
        </w:rPr>
      </w:pPr>
    </w:p>
    <w:p w14:paraId="17E45FCB">
      <w:pPr>
        <w:pageBreakBefore w:val="0"/>
        <w:kinsoku/>
        <w:overflowPunct/>
        <w:topLinePunct w:val="0"/>
        <w:bidi w:val="0"/>
        <w:spacing w:before="240" w:beforeLines="100" w:after="120" w:afterLines="50" w:line="240" w:lineRule="auto"/>
        <w:ind w:left="540"/>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法定代表人身份证明</w:t>
      </w:r>
    </w:p>
    <w:p w14:paraId="0B823734">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 标 人：</w:t>
      </w:r>
      <w:r>
        <w:rPr>
          <w:rFonts w:hint="eastAsia" w:ascii="宋体" w:hAnsi="宋体" w:eastAsia="宋体" w:cs="宋体"/>
          <w:color w:val="auto"/>
          <w:sz w:val="24"/>
          <w:szCs w:val="24"/>
          <w:highlight w:val="none"/>
          <w:u w:val="single"/>
        </w:rPr>
        <w:t xml:space="preserve">                                                        </w:t>
      </w:r>
    </w:p>
    <w:p w14:paraId="459C9F14">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p>
    <w:p w14:paraId="44851C0A">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性      别：</w:t>
      </w:r>
      <w:r>
        <w:rPr>
          <w:rFonts w:hint="eastAsia" w:ascii="宋体" w:hAnsi="宋体" w:eastAsia="宋体" w:cs="宋体"/>
          <w:color w:val="auto"/>
          <w:sz w:val="24"/>
          <w:szCs w:val="24"/>
          <w:highlight w:val="none"/>
          <w:u w:val="single"/>
        </w:rPr>
        <w:t xml:space="preserve">                </w:t>
      </w:r>
    </w:p>
    <w:p w14:paraId="04D4B930">
      <w:pPr>
        <w:pageBreakBefore w:val="0"/>
        <w:kinsoku/>
        <w:overflowPunct/>
        <w:topLinePunct w:val="0"/>
        <w:bidi w:val="0"/>
        <w:spacing w:line="240" w:lineRule="auto"/>
        <w:ind w:left="54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年    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      务：</w:t>
      </w:r>
      <w:r>
        <w:rPr>
          <w:rFonts w:hint="eastAsia" w:ascii="宋体" w:hAnsi="宋体" w:eastAsia="宋体" w:cs="宋体"/>
          <w:color w:val="auto"/>
          <w:sz w:val="24"/>
          <w:szCs w:val="24"/>
          <w:highlight w:val="none"/>
          <w:u w:val="single"/>
        </w:rPr>
        <w:t xml:space="preserve">                </w:t>
      </w:r>
    </w:p>
    <w:p w14:paraId="1157807F">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165C3C1F">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（投标人名称）              </w:t>
      </w:r>
      <w:r>
        <w:rPr>
          <w:rFonts w:hint="eastAsia" w:ascii="宋体" w:hAnsi="宋体" w:eastAsia="宋体" w:cs="宋体"/>
          <w:color w:val="auto"/>
          <w:sz w:val="24"/>
          <w:szCs w:val="24"/>
          <w:highlight w:val="none"/>
        </w:rPr>
        <w:t>的法定代表人。</w:t>
      </w:r>
    </w:p>
    <w:p w14:paraId="6D8C7684">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特此证明。</w:t>
      </w:r>
    </w:p>
    <w:p w14:paraId="14504918">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p>
    <w:p w14:paraId="692BBADB">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p>
    <w:p w14:paraId="446E8E01">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附件：法定代表人有效身份证正反面复印件</w:t>
      </w:r>
    </w:p>
    <w:p w14:paraId="361B6AB8">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p>
    <w:p w14:paraId="2FC16A37">
      <w:pPr>
        <w:pageBreakBefore w:val="0"/>
        <w:kinsoku/>
        <w:overflowPunct/>
        <w:topLinePunct w:val="0"/>
        <w:bidi w:val="0"/>
        <w:spacing w:line="240" w:lineRule="auto"/>
        <w:ind w:left="54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投标人名称（公章）</w:t>
      </w:r>
    </w:p>
    <w:p w14:paraId="6BCDE2F4">
      <w:pPr>
        <w:pageBreakBefore w:val="0"/>
        <w:kinsoku/>
        <w:overflowPunct/>
        <w:topLinePunct w:val="0"/>
        <w:bidi w:val="0"/>
        <w:spacing w:line="240" w:lineRule="auto"/>
        <w:ind w:left="540"/>
        <w:jc w:val="right"/>
        <w:rPr>
          <w:rFonts w:hint="eastAsia" w:ascii="宋体" w:hAnsi="宋体" w:eastAsia="宋体" w:cs="宋体"/>
          <w:color w:val="auto"/>
          <w:sz w:val="24"/>
          <w:szCs w:val="24"/>
          <w:highlight w:val="none"/>
        </w:rPr>
      </w:pPr>
    </w:p>
    <w:p w14:paraId="75E572A2">
      <w:pPr>
        <w:pageBreakBefore w:val="0"/>
        <w:kinsoku/>
        <w:overflowPunct/>
        <w:topLinePunct w:val="0"/>
        <w:bidi w:val="0"/>
        <w:snapToGrid w:val="0"/>
        <w:spacing w:before="120" w:beforeLines="50" w:after="50" w:line="240" w:lineRule="auto"/>
        <w:ind w:left="54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D3D3309">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24"/>
          <w:szCs w:val="24"/>
          <w:highlight w:val="none"/>
        </w:rPr>
      </w:pPr>
    </w:p>
    <w:p w14:paraId="35BA6234">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注：自然人投标的无需提供</w:t>
      </w:r>
    </w:p>
    <w:p w14:paraId="5A334040">
      <w:pPr>
        <w:rPr>
          <w:rFonts w:hint="eastAsia"/>
          <w:lang w:val="en-US" w:eastAsia="zh-CN"/>
        </w:rPr>
      </w:pPr>
      <w:r>
        <w:rPr>
          <w:rFonts w:hint="eastAsia"/>
          <w:lang w:val="en-US" w:eastAsia="zh-CN"/>
        </w:rPr>
        <w:br w:type="page"/>
      </w:r>
    </w:p>
    <w:p w14:paraId="4EE3E6B5">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5.授权委托书格式</w:t>
      </w:r>
    </w:p>
    <w:p w14:paraId="370F97F9">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21"/>
          <w:szCs w:val="21"/>
          <w:highlight w:val="none"/>
        </w:rPr>
      </w:pPr>
    </w:p>
    <w:p w14:paraId="78ED8922">
      <w:pPr>
        <w:pageBreakBefore w:val="0"/>
        <w:kinsoku/>
        <w:overflowPunct/>
        <w:topLinePunct w:val="0"/>
        <w:bidi w:val="0"/>
        <w:spacing w:line="240" w:lineRule="auto"/>
        <w:contextualSpacing/>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授权委托书</w:t>
      </w:r>
    </w:p>
    <w:p w14:paraId="1BDD002B">
      <w:pPr>
        <w:pageBreakBefore w:val="0"/>
        <w:kinsoku/>
        <w:overflowPunct/>
        <w:topLinePunct w:val="0"/>
        <w:bidi w:val="0"/>
        <w:spacing w:line="240" w:lineRule="auto"/>
        <w:contextualSpacing/>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（如有委托时）</w:t>
      </w:r>
    </w:p>
    <w:p w14:paraId="43B39E44">
      <w:pPr>
        <w:pageBreakBefore w:val="0"/>
        <w:kinsoku/>
        <w:overflowPunct/>
        <w:topLinePunct w:val="0"/>
        <w:bidi w:val="0"/>
        <w:spacing w:line="240" w:lineRule="auto"/>
        <w:contextualSpacing/>
        <w:jc w:val="center"/>
        <w:rPr>
          <w:rFonts w:hint="eastAsia" w:ascii="宋体" w:hAnsi="宋体" w:eastAsia="宋体" w:cs="宋体"/>
          <w:b/>
          <w:color w:val="auto"/>
          <w:sz w:val="21"/>
          <w:szCs w:val="21"/>
          <w:highlight w:val="none"/>
        </w:rPr>
      </w:pPr>
    </w:p>
    <w:p w14:paraId="316FA830">
      <w:pPr>
        <w:pageBreakBefore w:val="0"/>
        <w:kinsoku/>
        <w:overflowPunct/>
        <w:topLinePunct w:val="0"/>
        <w:bidi w:val="0"/>
        <w:spacing w:line="240" w:lineRule="auto"/>
        <w:contextualSpacing/>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rPr>
        <w:t>致：</w:t>
      </w:r>
      <w:r>
        <w:rPr>
          <w:rFonts w:hint="eastAsia" w:ascii="宋体" w:hAnsi="宋体" w:eastAsia="宋体" w:cs="宋体"/>
          <w:color w:val="auto"/>
          <w:sz w:val="24"/>
          <w:szCs w:val="24"/>
          <w:highlight w:val="none"/>
          <w:u w:val="single"/>
        </w:rPr>
        <w:t>采购人名称</w:t>
      </w:r>
      <w:r>
        <w:rPr>
          <w:rFonts w:hint="eastAsia" w:ascii="宋体" w:hAnsi="宋体" w:eastAsia="宋体" w:cs="宋体"/>
          <w:color w:val="auto"/>
          <w:sz w:val="24"/>
          <w:szCs w:val="24"/>
          <w:highlight w:val="none"/>
        </w:rPr>
        <w:t>：</w:t>
      </w:r>
    </w:p>
    <w:p w14:paraId="665B8772">
      <w:pPr>
        <w:pageBreakBefore w:val="0"/>
        <w:kinsoku/>
        <w:overflowPunct/>
        <w:topLinePunct w:val="0"/>
        <w:bidi w:val="0"/>
        <w:spacing w:line="240" w:lineRule="auto"/>
        <w:ind w:firstLine="566" w:firstLineChars="236"/>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（投标人名称）的法定代表人，现授权委托</w:t>
      </w:r>
      <w:r>
        <w:rPr>
          <w:rFonts w:hint="eastAsia" w:ascii="宋体" w:hAnsi="宋体" w:eastAsia="宋体" w:cs="宋体"/>
          <w:color w:val="auto"/>
          <w:sz w:val="24"/>
          <w:szCs w:val="24"/>
          <w:highlight w:val="none"/>
          <w:u w:val="single"/>
        </w:rPr>
        <w:t xml:space="preserve">              （姓名）</w:t>
      </w:r>
      <w:r>
        <w:rPr>
          <w:rFonts w:hint="eastAsia" w:ascii="宋体" w:hAnsi="宋体" w:eastAsia="宋体" w:cs="宋体"/>
          <w:color w:val="auto"/>
          <w:sz w:val="24"/>
          <w:szCs w:val="24"/>
          <w:highlight w:val="none"/>
        </w:rPr>
        <w:t>以我方的名义参加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项目的投标活动，并代表我方全权办理针对上述项目的所有采购程序和环节的具体事务和签署相关文件。</w:t>
      </w:r>
    </w:p>
    <w:p w14:paraId="18D23072">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我方对委托代理人的签字或者电子签名事项负全部责任。</w:t>
      </w:r>
    </w:p>
    <w:p w14:paraId="30CE9E30">
      <w:pPr>
        <w:pageBreakBefore w:val="0"/>
        <w:kinsoku/>
        <w:overflowPunct/>
        <w:topLinePunct w:val="0"/>
        <w:bidi w:val="0"/>
        <w:spacing w:line="240" w:lineRule="auto"/>
        <w:ind w:firstLine="48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本授权书自签署之日起生效，在撤销授权的书面通知以前，本授权书一直有效。委托代理人在授权书有效期内签署的所有文件不因授权的撤销而失效。</w:t>
      </w:r>
    </w:p>
    <w:p w14:paraId="7CB2E80E">
      <w:pPr>
        <w:pageBreakBefore w:val="0"/>
        <w:kinsoku/>
        <w:overflowPunct/>
        <w:topLinePunct w:val="0"/>
        <w:bidi w:val="0"/>
        <w:spacing w:line="240" w:lineRule="auto"/>
        <w:ind w:firstLine="48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委托代理人无转委托权，特此委托。</w:t>
      </w:r>
    </w:p>
    <w:p w14:paraId="0A5249C8">
      <w:pPr>
        <w:pageBreakBefore w:val="0"/>
        <w:kinsoku/>
        <w:overflowPunct/>
        <w:topLinePunct w:val="0"/>
        <w:bidi w:val="0"/>
        <w:spacing w:line="240" w:lineRule="auto"/>
        <w:ind w:firstLine="48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附：法定代表人身份证明及委托代理人有效身份证正反面复印件</w:t>
      </w:r>
    </w:p>
    <w:p w14:paraId="13055443">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p>
    <w:p w14:paraId="7029F07B">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5D41F4F">
      <w:pPr>
        <w:pageBreakBefore w:val="0"/>
        <w:kinsoku/>
        <w:overflowPunct/>
        <w:topLinePunct w:val="0"/>
        <w:bidi w:val="0"/>
        <w:spacing w:line="240" w:lineRule="auto"/>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委托代理人身份证号码：</w:t>
      </w:r>
      <w:r>
        <w:rPr>
          <w:rFonts w:hint="eastAsia" w:ascii="宋体" w:hAnsi="宋体" w:eastAsia="宋体" w:cs="宋体"/>
          <w:color w:val="auto"/>
          <w:sz w:val="24"/>
          <w:szCs w:val="24"/>
          <w:highlight w:val="none"/>
          <w:u w:val="single"/>
        </w:rPr>
        <w:t xml:space="preserve">                             </w:t>
      </w:r>
    </w:p>
    <w:p w14:paraId="35B0D16A">
      <w:pPr>
        <w:pageBreakBefore w:val="0"/>
        <w:kinsoku/>
        <w:overflowPunct/>
        <w:topLinePunct w:val="0"/>
        <w:bidi w:val="0"/>
        <w:spacing w:line="240" w:lineRule="auto"/>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法定代表人（签名）：</w:t>
      </w:r>
      <w:r>
        <w:rPr>
          <w:rFonts w:hint="eastAsia" w:ascii="宋体" w:hAnsi="宋体" w:eastAsia="宋体" w:cs="宋体"/>
          <w:color w:val="auto"/>
          <w:sz w:val="24"/>
          <w:szCs w:val="24"/>
          <w:highlight w:val="none"/>
          <w:u w:val="single"/>
        </w:rPr>
        <w:t xml:space="preserve">              </w:t>
      </w:r>
    </w:p>
    <w:p w14:paraId="6A02CB09">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48EA9E3D">
      <w:pPr>
        <w:pageBreakBefore w:val="0"/>
        <w:kinsoku/>
        <w:overflowPunct/>
        <w:topLinePunct w:val="0"/>
        <w:bidi w:val="0"/>
        <w:spacing w:line="240" w:lineRule="auto"/>
        <w:contextualSpacing/>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p>
    <w:p w14:paraId="75FB9C9A">
      <w:pPr>
        <w:pageBreakBefore w:val="0"/>
        <w:kinsoku/>
        <w:overflowPunct/>
        <w:topLinePunct w:val="0"/>
        <w:bidi w:val="0"/>
        <w:spacing w:line="240" w:lineRule="auto"/>
        <w:contextualSpacing/>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12AB8212">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w:t>
      </w:r>
      <w:bookmarkStart w:id="132" w:name="_Hlk65851555"/>
      <w:bookmarkStart w:id="133" w:name="_Hlk65851620"/>
      <w:r>
        <w:rPr>
          <w:rFonts w:hint="eastAsia" w:ascii="宋体" w:hAnsi="宋体" w:eastAsia="宋体" w:cs="宋体"/>
          <w:color w:val="auto"/>
          <w:sz w:val="24"/>
          <w:szCs w:val="24"/>
          <w:highlight w:val="none"/>
        </w:rPr>
        <w:t>法定代表人必须在授权委托书上签字或者盖章或者电子签名，</w:t>
      </w:r>
      <w:bookmarkEnd w:id="132"/>
      <w:r>
        <w:rPr>
          <w:rFonts w:hint="eastAsia" w:ascii="宋体" w:hAnsi="宋体" w:eastAsia="宋体" w:cs="宋体"/>
          <w:color w:val="auto"/>
          <w:sz w:val="24"/>
          <w:szCs w:val="24"/>
          <w:highlight w:val="none"/>
        </w:rPr>
        <w:t>委托代理人必须在授权委托书上签字或者电子签名，</w:t>
      </w:r>
      <w:r>
        <w:rPr>
          <w:rFonts w:hint="eastAsia" w:ascii="宋体" w:hAnsi="宋体" w:eastAsia="宋体" w:cs="宋体"/>
          <w:b/>
          <w:bCs/>
          <w:color w:val="auto"/>
          <w:sz w:val="24"/>
          <w:szCs w:val="24"/>
          <w:highlight w:val="none"/>
        </w:rPr>
        <w:t>否则按无效投标处理</w:t>
      </w:r>
      <w:r>
        <w:rPr>
          <w:rFonts w:hint="eastAsia" w:ascii="宋体" w:hAnsi="宋体" w:eastAsia="宋体" w:cs="宋体"/>
          <w:color w:val="auto"/>
          <w:sz w:val="24"/>
          <w:szCs w:val="24"/>
          <w:highlight w:val="none"/>
        </w:rPr>
        <w:t>；</w:t>
      </w:r>
      <w:bookmarkEnd w:id="133"/>
    </w:p>
    <w:p w14:paraId="127253C0">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2.法人、其他组织投标时“我方”是指“我单位”，自然人投标时“我方”是指“本人”。</w:t>
      </w:r>
    </w:p>
    <w:p w14:paraId="7982C5D3">
      <w:pPr>
        <w:rPr>
          <w:rFonts w:hint="eastAsia"/>
          <w:lang w:val="en-US" w:eastAsia="zh-CN"/>
        </w:rPr>
      </w:pPr>
      <w:r>
        <w:rPr>
          <w:rFonts w:hint="eastAsia"/>
          <w:lang w:val="en-US" w:eastAsia="zh-CN"/>
        </w:rPr>
        <w:br w:type="page"/>
      </w:r>
    </w:p>
    <w:p w14:paraId="792DB423">
      <w:pPr>
        <w:pageBreakBefore w:val="0"/>
        <w:numPr>
          <w:ilvl w:val="0"/>
          <w:numId w:val="11"/>
        </w:numPr>
        <w:kinsoku/>
        <w:overflowPunct/>
        <w:topLinePunct w:val="0"/>
        <w:bidi w:val="0"/>
        <w:spacing w:line="24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商务要求偏离表格式</w:t>
      </w:r>
    </w:p>
    <w:p w14:paraId="3FA8ECDF">
      <w:pPr>
        <w:spacing w:line="500" w:lineRule="exact"/>
        <w:jc w:val="center"/>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商务要求偏离表</w:t>
      </w:r>
    </w:p>
    <w:p w14:paraId="72F7A79C">
      <w:pPr>
        <w:pageBreakBefore w:val="0"/>
        <w:numPr>
          <w:ilvl w:val="0"/>
          <w:numId w:val="0"/>
        </w:numPr>
        <w:kinsoku/>
        <w:overflowPunct/>
        <w:topLinePunct w:val="0"/>
        <w:bidi w:val="0"/>
        <w:spacing w:line="240" w:lineRule="auto"/>
        <w:rPr>
          <w:rFonts w:hint="eastAsia" w:ascii="宋体" w:hAnsi="宋体" w:eastAsia="宋体" w:cs="宋体"/>
          <w:b/>
          <w:color w:val="auto"/>
          <w:sz w:val="30"/>
          <w:szCs w:val="30"/>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6C2A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04CD15EA">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项号</w:t>
            </w:r>
          </w:p>
        </w:tc>
        <w:tc>
          <w:tcPr>
            <w:tcW w:w="2143" w:type="dxa"/>
            <w:vAlign w:val="center"/>
          </w:tcPr>
          <w:p w14:paraId="7F440498">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标的的名称</w:t>
            </w:r>
          </w:p>
        </w:tc>
        <w:tc>
          <w:tcPr>
            <w:tcW w:w="1834" w:type="dxa"/>
            <w:vAlign w:val="center"/>
          </w:tcPr>
          <w:p w14:paraId="6F36802F">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文件商务要求</w:t>
            </w:r>
          </w:p>
        </w:tc>
        <w:tc>
          <w:tcPr>
            <w:tcW w:w="2181" w:type="dxa"/>
            <w:vAlign w:val="center"/>
          </w:tcPr>
          <w:p w14:paraId="6F546DCF">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文件商务要求</w:t>
            </w:r>
          </w:p>
        </w:tc>
        <w:tc>
          <w:tcPr>
            <w:tcW w:w="1934" w:type="dxa"/>
            <w:vAlign w:val="center"/>
          </w:tcPr>
          <w:p w14:paraId="79F1198C">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3293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4E79261">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2143" w:type="dxa"/>
            <w:vAlign w:val="center"/>
          </w:tcPr>
          <w:p w14:paraId="4BF437FC">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1834" w:type="dxa"/>
            <w:vAlign w:val="center"/>
          </w:tcPr>
          <w:p w14:paraId="62DB1827">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2181" w:type="dxa"/>
            <w:vAlign w:val="center"/>
          </w:tcPr>
          <w:p w14:paraId="4D61B4BF">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1934" w:type="dxa"/>
            <w:vAlign w:val="center"/>
          </w:tcPr>
          <w:p w14:paraId="418D6D8F">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r>
      <w:tr w14:paraId="5EAC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89B6BC0">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727F9FA6">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257A92CF">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56AD5E3C">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0639345E">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60C5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55B99A8">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594F0D66">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10B2168A">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033DE39C">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578BB8A9">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461A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6FA58F2">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1B8D8A5C">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66D45D96">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6EAD4BE9">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4860EA6B">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1A0B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DFF2A9E">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5E07884F">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59C936EE">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4FAB7F6B">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4B66C494">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3193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EB6F155">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1D5E4A2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760FF49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2C1EF9F0">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1DC8DB65">
            <w:pPr>
              <w:pageBreakBefore w:val="0"/>
              <w:kinsoku/>
              <w:overflowPunct/>
              <w:topLinePunct w:val="0"/>
              <w:bidi w:val="0"/>
              <w:spacing w:line="240" w:lineRule="auto"/>
              <w:rPr>
                <w:rFonts w:hint="eastAsia" w:ascii="宋体" w:hAnsi="宋体" w:eastAsia="宋体" w:cs="宋体"/>
                <w:color w:val="auto"/>
                <w:sz w:val="24"/>
                <w:szCs w:val="24"/>
                <w:highlight w:val="none"/>
              </w:rPr>
            </w:pPr>
          </w:p>
        </w:tc>
      </w:tr>
    </w:tbl>
    <w:p w14:paraId="43CDE82F">
      <w:pPr>
        <w:pStyle w:val="8"/>
        <w:pageBreakBefore w:val="0"/>
        <w:kinsoku/>
        <w:overflowPunct/>
        <w:topLinePunct w:val="0"/>
        <w:bidi w:val="0"/>
        <w:spacing w:line="240" w:lineRule="auto"/>
        <w:rPr>
          <w:rFonts w:hint="eastAsia" w:ascii="宋体" w:hAnsi="宋体" w:eastAsia="宋体" w:cs="宋体"/>
          <w:color w:val="auto"/>
          <w:sz w:val="24"/>
          <w:szCs w:val="24"/>
          <w:highlight w:val="none"/>
        </w:rPr>
      </w:pPr>
    </w:p>
    <w:p w14:paraId="2634E5C7">
      <w:pPr>
        <w:pStyle w:val="8"/>
        <w:pageBreakBefore w:val="0"/>
        <w:kinsoku/>
        <w:overflowPunct/>
        <w:topLinePunct w:val="0"/>
        <w:bidi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58F5EB24">
      <w:pPr>
        <w:pStyle w:val="9"/>
        <w:pageBreakBefore w:val="0"/>
        <w:kinsoku/>
        <w:overflowPunct/>
        <w:topLinePunct w:val="0"/>
        <w:bidi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说明：应对照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文件“第二章 采购需求”中的商务要求逐条作明确的投标响应，并作出偏离说明。</w:t>
      </w:r>
    </w:p>
    <w:p w14:paraId="2444251E">
      <w:pPr>
        <w:pStyle w:val="8"/>
        <w:pageBreakBefore w:val="0"/>
        <w:kinsoku/>
        <w:overflowPunct/>
        <w:topLinePunct w:val="0"/>
        <w:bidi w:val="0"/>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2.投标人应根据自身的承诺，对照</w:t>
      </w:r>
      <w:r>
        <w:rPr>
          <w:rFonts w:hint="eastAsia" w:ascii="宋体" w:hAnsi="宋体" w:cs="宋体"/>
          <w:b w:val="0"/>
          <w:bCs w:val="0"/>
          <w:color w:val="auto"/>
          <w:sz w:val="24"/>
          <w:szCs w:val="24"/>
          <w:highlight w:val="none"/>
          <w:lang w:eastAsia="zh-CN"/>
        </w:rPr>
        <w:t>采购</w:t>
      </w:r>
      <w:r>
        <w:rPr>
          <w:rFonts w:hint="eastAsia" w:ascii="宋体" w:hAnsi="宋体" w:eastAsia="宋体" w:cs="宋体"/>
          <w:b w:val="0"/>
          <w:bCs w:val="0"/>
          <w:color w:val="auto"/>
          <w:sz w:val="24"/>
          <w:szCs w:val="24"/>
          <w:highlight w:val="none"/>
        </w:rPr>
        <w:t>文件要求在“偏离说明”中注明“</w:t>
      </w:r>
      <w:r>
        <w:rPr>
          <w:rFonts w:hint="eastAsia" w:ascii="宋体" w:hAnsi="宋体" w:eastAsia="宋体" w:cs="宋体"/>
          <w:color w:val="auto"/>
          <w:sz w:val="24"/>
          <w:szCs w:val="24"/>
          <w:highlight w:val="none"/>
        </w:rPr>
        <w:t>正偏离</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rPr>
        <w:t>负偏离</w:t>
      </w:r>
      <w:r>
        <w:rPr>
          <w:rFonts w:hint="eastAsia" w:ascii="宋体" w:hAnsi="宋体" w:eastAsia="宋体" w:cs="宋体"/>
          <w:b w:val="0"/>
          <w:bCs w:val="0"/>
          <w:color w:val="auto"/>
          <w:sz w:val="24"/>
          <w:szCs w:val="24"/>
          <w:highlight w:val="none"/>
        </w:rPr>
        <w:t>”或者“</w:t>
      </w:r>
      <w:r>
        <w:rPr>
          <w:rFonts w:hint="eastAsia" w:ascii="宋体" w:hAnsi="宋体" w:eastAsia="宋体" w:cs="宋体"/>
          <w:color w:val="auto"/>
          <w:sz w:val="24"/>
          <w:szCs w:val="24"/>
          <w:highlight w:val="none"/>
        </w:rPr>
        <w:t>无偏离</w:t>
      </w:r>
      <w:r>
        <w:rPr>
          <w:rFonts w:hint="eastAsia" w:ascii="宋体" w:hAnsi="宋体" w:eastAsia="宋体" w:cs="宋体"/>
          <w:b w:val="0"/>
          <w:bCs w:val="0"/>
          <w:color w:val="auto"/>
          <w:sz w:val="24"/>
          <w:szCs w:val="24"/>
          <w:highlight w:val="none"/>
        </w:rPr>
        <w:t>”。既不属于“</w:t>
      </w:r>
      <w:r>
        <w:rPr>
          <w:rFonts w:hint="eastAsia" w:ascii="宋体" w:hAnsi="宋体" w:eastAsia="宋体" w:cs="宋体"/>
          <w:color w:val="auto"/>
          <w:sz w:val="24"/>
          <w:szCs w:val="24"/>
          <w:highlight w:val="none"/>
        </w:rPr>
        <w:t>正偏离</w:t>
      </w:r>
      <w:r>
        <w:rPr>
          <w:rFonts w:hint="eastAsia" w:ascii="宋体" w:hAnsi="宋体" w:eastAsia="宋体" w:cs="宋体"/>
          <w:b w:val="0"/>
          <w:bCs w:val="0"/>
          <w:color w:val="auto"/>
          <w:sz w:val="24"/>
          <w:szCs w:val="24"/>
          <w:highlight w:val="none"/>
        </w:rPr>
        <w:t>”也不属于“</w:t>
      </w:r>
      <w:r>
        <w:rPr>
          <w:rFonts w:hint="eastAsia" w:ascii="宋体" w:hAnsi="宋体" w:eastAsia="宋体" w:cs="宋体"/>
          <w:color w:val="auto"/>
          <w:sz w:val="24"/>
          <w:szCs w:val="24"/>
          <w:highlight w:val="none"/>
        </w:rPr>
        <w:t>负偏离</w:t>
      </w:r>
      <w:r>
        <w:rPr>
          <w:rFonts w:hint="eastAsia" w:ascii="宋体" w:hAnsi="宋体" w:eastAsia="宋体" w:cs="宋体"/>
          <w:b w:val="0"/>
          <w:bCs w:val="0"/>
          <w:color w:val="auto"/>
          <w:sz w:val="24"/>
          <w:szCs w:val="24"/>
          <w:highlight w:val="none"/>
        </w:rPr>
        <w:t>”即为“</w:t>
      </w:r>
      <w:r>
        <w:rPr>
          <w:rFonts w:hint="eastAsia" w:ascii="宋体" w:hAnsi="宋体" w:eastAsia="宋体" w:cs="宋体"/>
          <w:color w:val="auto"/>
          <w:sz w:val="24"/>
          <w:szCs w:val="24"/>
          <w:highlight w:val="none"/>
        </w:rPr>
        <w:t>无偏离</w:t>
      </w:r>
      <w:r>
        <w:rPr>
          <w:rFonts w:hint="eastAsia" w:ascii="宋体" w:hAnsi="宋体" w:eastAsia="宋体" w:cs="宋体"/>
          <w:b w:val="0"/>
          <w:bCs w:val="0"/>
          <w:color w:val="auto"/>
          <w:sz w:val="24"/>
          <w:szCs w:val="24"/>
          <w:highlight w:val="none"/>
        </w:rPr>
        <w:t>”。</w:t>
      </w:r>
    </w:p>
    <w:p w14:paraId="0A1CAA61">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4C178AE4">
      <w:pPr>
        <w:pageBreakBefore w:val="0"/>
        <w:kinsoku/>
        <w:overflowPunct/>
        <w:topLinePunct w:val="0"/>
        <w:bidi w:val="0"/>
        <w:snapToGrid w:val="0"/>
        <w:spacing w:before="50" w:after="50" w:line="240" w:lineRule="auto"/>
        <w:rPr>
          <w:rFonts w:hint="eastAsia" w:ascii="宋体" w:hAnsi="宋体" w:eastAsia="宋体" w:cs="宋体"/>
          <w:color w:val="auto"/>
          <w:spacing w:val="20"/>
          <w:sz w:val="24"/>
          <w:szCs w:val="24"/>
          <w:highlight w:val="none"/>
          <w:u w:val="single"/>
        </w:rPr>
      </w:pPr>
      <w:r>
        <w:rPr>
          <w:rFonts w:hint="eastAsia" w:ascii="宋体" w:hAnsi="宋体" w:eastAsia="宋体" w:cs="宋体"/>
          <w:color w:val="auto"/>
          <w:sz w:val="24"/>
          <w:szCs w:val="24"/>
          <w:highlight w:val="none"/>
        </w:rPr>
        <w:t>法定代表人或者委托代理人</w:t>
      </w:r>
      <w:r>
        <w:rPr>
          <w:rFonts w:hint="eastAsia" w:ascii="宋体" w:hAnsi="宋体" w:eastAsia="宋体" w:cs="宋体"/>
          <w:color w:val="auto"/>
          <w:spacing w:val="20"/>
          <w:sz w:val="24"/>
          <w:szCs w:val="24"/>
          <w:highlight w:val="none"/>
        </w:rPr>
        <w:t>（签名）：</w:t>
      </w:r>
      <w:r>
        <w:rPr>
          <w:rFonts w:hint="eastAsia" w:ascii="宋体" w:hAnsi="宋体" w:eastAsia="宋体" w:cs="宋体"/>
          <w:color w:val="auto"/>
          <w:spacing w:val="20"/>
          <w:sz w:val="24"/>
          <w:szCs w:val="24"/>
          <w:highlight w:val="none"/>
          <w:u w:val="single"/>
        </w:rPr>
        <w:t xml:space="preserve">        </w:t>
      </w:r>
    </w:p>
    <w:p w14:paraId="0A7900CC">
      <w:pPr>
        <w:pageBreakBefore w:val="0"/>
        <w:kinsoku/>
        <w:overflowPunct/>
        <w:topLinePunct w:val="0"/>
        <w:bidi w:val="0"/>
        <w:snapToGrid w:val="0"/>
        <w:spacing w:before="120" w:beforeLines="50" w:line="240" w:lineRule="auto"/>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投标人名称（</w:t>
      </w:r>
      <w:r>
        <w:rPr>
          <w:rFonts w:hint="eastAsia" w:ascii="宋体" w:hAnsi="宋体" w:eastAsia="宋体" w:cs="宋体"/>
          <w:color w:val="auto"/>
          <w:sz w:val="24"/>
          <w:szCs w:val="24"/>
          <w:highlight w:val="none"/>
        </w:rPr>
        <w:t>公章</w:t>
      </w:r>
      <w:r>
        <w:rPr>
          <w:rFonts w:hint="eastAsia" w:ascii="宋体" w:hAnsi="宋体" w:eastAsia="宋体" w:cs="宋体"/>
          <w:color w:val="auto"/>
          <w:spacing w:val="20"/>
          <w:sz w:val="24"/>
          <w:szCs w:val="24"/>
          <w:highlight w:val="none"/>
        </w:rPr>
        <w:t>）：</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color w:val="auto"/>
          <w:spacing w:val="20"/>
          <w:sz w:val="24"/>
          <w:szCs w:val="24"/>
          <w:highlight w:val="none"/>
        </w:rPr>
        <w:t xml:space="preserve">   </w:t>
      </w:r>
    </w:p>
    <w:p w14:paraId="710796B9">
      <w:pPr>
        <w:pageBreakBefore w:val="0"/>
        <w:kinsoku/>
        <w:overflowPunct/>
        <w:topLinePunct w:val="0"/>
        <w:bidi w:val="0"/>
        <w:snapToGrid w:val="0"/>
        <w:spacing w:before="120" w:beforeLines="50" w:line="240" w:lineRule="auto"/>
        <w:rPr>
          <w:rFonts w:hint="eastAsia" w:ascii="宋体" w:hAnsi="宋体" w:eastAsia="宋体" w:cs="宋体"/>
          <w:color w:val="auto"/>
          <w:sz w:val="21"/>
          <w:szCs w:val="21"/>
          <w:highlight w:val="none"/>
        </w:rPr>
      </w:pPr>
      <w:r>
        <w:rPr>
          <w:rFonts w:hint="eastAsia" w:ascii="宋体" w:hAnsi="宋体" w:eastAsia="宋体" w:cs="宋体"/>
          <w:color w:val="auto"/>
          <w:spacing w:val="20"/>
          <w:sz w:val="24"/>
          <w:szCs w:val="24"/>
          <w:highlight w:val="none"/>
        </w:rPr>
        <w:t>日  期：</w:t>
      </w:r>
      <w:r>
        <w:rPr>
          <w:rFonts w:hint="eastAsia" w:ascii="宋体" w:hAnsi="宋体" w:eastAsia="宋体" w:cs="宋体"/>
          <w:color w:val="auto"/>
          <w:spacing w:val="20"/>
          <w:sz w:val="24"/>
          <w:szCs w:val="24"/>
          <w:highlight w:val="none"/>
          <w:u w:val="single"/>
        </w:rPr>
        <w:t xml:space="preserve">         </w:t>
      </w:r>
    </w:p>
    <w:p w14:paraId="26ECAA2F">
      <w:pPr>
        <w:numPr>
          <w:ilvl w:val="0"/>
          <w:numId w:val="0"/>
        </w:numPr>
        <w:ind w:leftChars="0"/>
        <w:rPr>
          <w:rFonts w:hint="eastAsia"/>
          <w:lang w:val="en-US" w:eastAsia="zh-CN"/>
        </w:rPr>
        <w:sectPr>
          <w:footerReference r:id="rId5" w:type="default"/>
          <w:pgSz w:w="11906" w:h="16838"/>
          <w:pgMar w:top="1440" w:right="1080" w:bottom="1440" w:left="1080" w:header="851" w:footer="992" w:gutter="0"/>
          <w:pgNumType w:fmt="decimal"/>
          <w:cols w:space="425" w:num="1"/>
          <w:docGrid w:type="lines" w:linePitch="312" w:charSpace="0"/>
        </w:sectPr>
      </w:pPr>
      <w:r>
        <w:rPr>
          <w:rFonts w:hint="eastAsia"/>
          <w:lang w:val="en-US" w:eastAsia="zh-CN"/>
        </w:rPr>
        <w:br w:type="page"/>
      </w:r>
    </w:p>
    <w:p w14:paraId="51D210D7">
      <w:pPr>
        <w:pageBreakBefore w:val="0"/>
        <w:numPr>
          <w:ilvl w:val="0"/>
          <w:numId w:val="0"/>
        </w:numPr>
        <w:kinsoku/>
        <w:overflowPunct/>
        <w:topLinePunct w:val="0"/>
        <w:bidi w:val="0"/>
        <w:spacing w:line="240" w:lineRule="auto"/>
        <w:rPr>
          <w:rFonts w:hint="default"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7.服务承诺</w:t>
      </w:r>
    </w:p>
    <w:p w14:paraId="0F510CC9">
      <w:pPr>
        <w:pageBreakBefore w:val="0"/>
        <w:kinsoku/>
        <w:overflowPunct/>
        <w:topLinePunct w:val="0"/>
        <w:bidi w:val="0"/>
        <w:spacing w:line="240" w:lineRule="auto"/>
        <w:jc w:val="center"/>
        <w:rPr>
          <w:rFonts w:hint="eastAsia" w:ascii="宋体" w:hAnsi="宋体" w:cs="Times New Roman"/>
          <w:b/>
          <w:bCs/>
          <w:kern w:val="2"/>
          <w:sz w:val="24"/>
          <w:szCs w:val="24"/>
          <w:lang w:val="en-US" w:eastAsia="zh-CN" w:bidi="ar-SA"/>
        </w:rPr>
      </w:pPr>
    </w:p>
    <w:p w14:paraId="2C603959">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必须提供，格式自拟</w:t>
      </w:r>
      <w:r>
        <w:rPr>
          <w:rFonts w:hint="eastAsia" w:ascii="宋体" w:hAnsi="宋体" w:cs="Times New Roman"/>
          <w:b/>
          <w:bCs/>
          <w:kern w:val="2"/>
          <w:sz w:val="24"/>
          <w:szCs w:val="24"/>
          <w:lang w:val="en-US" w:eastAsia="zh-CN" w:bidi="ar-SA"/>
        </w:rPr>
        <w:t>】</w:t>
      </w:r>
    </w:p>
    <w:p w14:paraId="6E3EEA00">
      <w:pPr>
        <w:numPr>
          <w:ilvl w:val="0"/>
          <w:numId w:val="0"/>
        </w:numPr>
        <w:ind w:leftChars="0"/>
        <w:rPr>
          <w:rFonts w:hint="eastAsia"/>
          <w:lang w:val="en-US" w:eastAsia="zh-CN"/>
        </w:rPr>
        <w:sectPr>
          <w:pgSz w:w="11906" w:h="16838"/>
          <w:pgMar w:top="1440" w:right="1080" w:bottom="1440" w:left="1080" w:header="851" w:footer="992" w:gutter="0"/>
          <w:pgNumType w:fmt="decimal"/>
          <w:cols w:space="425" w:num="1"/>
          <w:docGrid w:type="lines" w:linePitch="312" w:charSpace="0"/>
        </w:sectPr>
      </w:pPr>
    </w:p>
    <w:p w14:paraId="447E938E">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四、技术文件格式</w:t>
      </w:r>
    </w:p>
    <w:p w14:paraId="2DDC6C6B">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1.技术文件封面格式： </w:t>
      </w:r>
    </w:p>
    <w:p w14:paraId="556CD71F">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p>
    <w:p w14:paraId="1CB608A6">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电子投标文件</w:t>
      </w:r>
    </w:p>
    <w:p w14:paraId="790FE017">
      <w:pPr>
        <w:pageBreakBefore w:val="0"/>
        <w:kinsoku/>
        <w:overflowPunct/>
        <w:topLinePunct w:val="0"/>
        <w:bidi w:val="0"/>
        <w:snapToGrid w:val="0"/>
        <w:spacing w:before="120" w:beforeLines="50" w:after="50" w:line="240" w:lineRule="auto"/>
        <w:jc w:val="center"/>
        <w:rPr>
          <w:rFonts w:hint="eastAsia" w:ascii="宋体" w:hAnsi="宋体" w:eastAsia="宋体" w:cs="宋体"/>
          <w:b/>
          <w:bCs/>
          <w:color w:val="auto"/>
          <w:sz w:val="44"/>
          <w:szCs w:val="44"/>
          <w:highlight w:val="none"/>
        </w:rPr>
      </w:pPr>
    </w:p>
    <w:p w14:paraId="24E48E9D">
      <w:pPr>
        <w:pageBreakBefore w:val="0"/>
        <w:kinsoku/>
        <w:overflowPunct/>
        <w:topLinePunct w:val="0"/>
        <w:bidi w:val="0"/>
        <w:snapToGrid w:val="0"/>
        <w:spacing w:before="120" w:beforeLines="50" w:after="50" w:line="24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技</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术</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文</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件</w:t>
      </w:r>
    </w:p>
    <w:p w14:paraId="7F1C2902">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26306BE4">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E5496D6">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7AAE3A1">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75870135">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D7020E3">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2FDE30C0">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3C4A7AE4">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 xml:space="preserve">项目名称： </w:t>
      </w:r>
    </w:p>
    <w:p w14:paraId="5CD3C01F">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102D3398">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项目编号：</w:t>
      </w:r>
    </w:p>
    <w:p w14:paraId="32295128">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lang w:val="en-US" w:eastAsia="zh-CN"/>
        </w:rPr>
      </w:pPr>
    </w:p>
    <w:p w14:paraId="3859E35B">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分标：</w:t>
      </w:r>
      <w:r>
        <w:rPr>
          <w:rFonts w:hint="eastAsia" w:ascii="宋体" w:hAnsi="宋体" w:eastAsia="宋体" w:cs="宋体"/>
          <w:bCs/>
          <w:color w:val="auto"/>
          <w:sz w:val="28"/>
          <w:szCs w:val="28"/>
          <w:highlight w:val="none"/>
        </w:rPr>
        <w:t xml:space="preserve"> </w:t>
      </w:r>
    </w:p>
    <w:p w14:paraId="263231C2">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199F21F5">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投标人名称：</w:t>
      </w:r>
    </w:p>
    <w:p w14:paraId="1D1D80B2">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0E31B08E">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投标人地址：</w:t>
      </w:r>
    </w:p>
    <w:p w14:paraId="0F1B4C17">
      <w:pPr>
        <w:pageBreakBefore w:val="0"/>
        <w:kinsoku/>
        <w:overflowPunct/>
        <w:topLinePunct w:val="0"/>
        <w:bidi w:val="0"/>
        <w:snapToGrid w:val="0"/>
        <w:spacing w:before="120" w:beforeLines="50" w:after="50" w:line="240" w:lineRule="auto"/>
        <w:ind w:firstLine="645"/>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02F3FB6">
      <w:pPr>
        <w:rPr>
          <w:rFonts w:hint="eastAsia"/>
          <w:lang w:val="en-US" w:eastAsia="zh-CN"/>
        </w:rPr>
      </w:pPr>
      <w:r>
        <w:rPr>
          <w:rFonts w:hint="eastAsia"/>
          <w:lang w:val="en-US" w:eastAsia="zh-CN"/>
        </w:rPr>
        <w:br w:type="page"/>
      </w:r>
    </w:p>
    <w:p w14:paraId="2C04568F">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2.技术文件目录</w:t>
      </w:r>
    </w:p>
    <w:p w14:paraId="27DA1C00">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根据</w:t>
      </w:r>
      <w:r>
        <w:rPr>
          <w:rFonts w:hint="eastAsia" w:ascii="宋体" w:hAnsi="宋体" w:cs="宋体"/>
          <w:color w:val="auto"/>
          <w:sz w:val="28"/>
          <w:szCs w:val="28"/>
          <w:highlight w:val="none"/>
          <w:lang w:eastAsia="zh-CN"/>
        </w:rPr>
        <w:t>采购</w:t>
      </w:r>
      <w:r>
        <w:rPr>
          <w:rFonts w:hint="eastAsia" w:ascii="宋体" w:hAnsi="宋体" w:eastAsia="宋体" w:cs="宋体"/>
          <w:color w:val="auto"/>
          <w:sz w:val="28"/>
          <w:szCs w:val="28"/>
          <w:highlight w:val="none"/>
        </w:rPr>
        <w:t>文件规定及投标人提供的材料自行编写目录。</w:t>
      </w:r>
    </w:p>
    <w:p w14:paraId="4DFE5214">
      <w:pPr>
        <w:rPr>
          <w:rFonts w:hint="eastAsia"/>
          <w:lang w:val="en-US" w:eastAsia="zh-CN"/>
        </w:rPr>
      </w:pPr>
      <w:r>
        <w:rPr>
          <w:rFonts w:hint="eastAsia"/>
          <w:lang w:val="en-US" w:eastAsia="zh-CN"/>
        </w:rPr>
        <w:br w:type="page"/>
      </w:r>
    </w:p>
    <w:p w14:paraId="215E2BEA">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3.技术要求偏离表格式</w:t>
      </w:r>
    </w:p>
    <w:p w14:paraId="7FF77065">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p>
    <w:p w14:paraId="79AAC45B">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技术要求偏离表</w:t>
      </w:r>
    </w:p>
    <w:p w14:paraId="4592B6A1">
      <w:pPr>
        <w:pageBreakBefore w:val="0"/>
        <w:kinsoku/>
        <w:overflowPunct/>
        <w:topLinePunct w:val="0"/>
        <w:bidi w:val="0"/>
        <w:spacing w:line="240" w:lineRule="auto"/>
        <w:rPr>
          <w:rFonts w:hint="eastAsia" w:ascii="宋体" w:hAnsi="宋体" w:eastAsia="宋体" w:cs="宋体"/>
          <w:color w:val="auto"/>
          <w:kern w:val="0"/>
          <w:sz w:val="21"/>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5EDC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1E73FB0B">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项号</w:t>
            </w:r>
          </w:p>
        </w:tc>
        <w:tc>
          <w:tcPr>
            <w:tcW w:w="2143" w:type="dxa"/>
            <w:vAlign w:val="center"/>
          </w:tcPr>
          <w:p w14:paraId="7F29BE5A">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标的的名称</w:t>
            </w:r>
          </w:p>
        </w:tc>
        <w:tc>
          <w:tcPr>
            <w:tcW w:w="1834" w:type="dxa"/>
            <w:vAlign w:val="center"/>
          </w:tcPr>
          <w:p w14:paraId="0762EB13">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技术要求</w:t>
            </w:r>
          </w:p>
        </w:tc>
        <w:tc>
          <w:tcPr>
            <w:tcW w:w="2181" w:type="dxa"/>
            <w:vAlign w:val="center"/>
          </w:tcPr>
          <w:p w14:paraId="2E176846">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投标响应</w:t>
            </w:r>
          </w:p>
        </w:tc>
        <w:tc>
          <w:tcPr>
            <w:tcW w:w="1934" w:type="dxa"/>
            <w:vAlign w:val="center"/>
          </w:tcPr>
          <w:p w14:paraId="414F81C9">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0DC1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023B379">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2143" w:type="dxa"/>
            <w:vAlign w:val="center"/>
          </w:tcPr>
          <w:p w14:paraId="232FD3D4">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1834" w:type="dxa"/>
            <w:vAlign w:val="center"/>
          </w:tcPr>
          <w:p w14:paraId="3FDAA539">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2181" w:type="dxa"/>
            <w:vAlign w:val="center"/>
          </w:tcPr>
          <w:p w14:paraId="70189943">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1934" w:type="dxa"/>
            <w:vAlign w:val="center"/>
          </w:tcPr>
          <w:p w14:paraId="03A6ABFE">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r>
      <w:tr w14:paraId="6B94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E02A744">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7F83D5EB">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43E9A93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52977D1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13E2B4A2">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6F54E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AA9FAB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226B80DD">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3A060992">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5F05DAB4">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757D17AD">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7966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7E0EE2A">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12AB3224">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281D27B7">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6A4A592A">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267A090C">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4AB66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DC8422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36ABDE2E">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051A1A9E">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09A5D4A8">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36BEA1F4">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5E05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AEC1093">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75CF3A1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7AC00537">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2B730556">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39573A29">
            <w:pPr>
              <w:pageBreakBefore w:val="0"/>
              <w:kinsoku/>
              <w:overflowPunct/>
              <w:topLinePunct w:val="0"/>
              <w:bidi w:val="0"/>
              <w:spacing w:line="240" w:lineRule="auto"/>
              <w:rPr>
                <w:rFonts w:hint="eastAsia" w:ascii="宋体" w:hAnsi="宋体" w:eastAsia="宋体" w:cs="宋体"/>
                <w:color w:val="auto"/>
                <w:sz w:val="24"/>
                <w:szCs w:val="24"/>
                <w:highlight w:val="none"/>
              </w:rPr>
            </w:pPr>
          </w:p>
        </w:tc>
      </w:tr>
    </w:tbl>
    <w:p w14:paraId="47254525">
      <w:pPr>
        <w:pageBreakBefore w:val="0"/>
        <w:kinsoku/>
        <w:overflowPunct/>
        <w:topLinePunct w:val="0"/>
        <w:bidi w:val="0"/>
        <w:spacing w:line="240" w:lineRule="auto"/>
        <w:rPr>
          <w:rFonts w:hint="eastAsia" w:ascii="宋体" w:hAnsi="宋体" w:eastAsia="宋体" w:cs="宋体"/>
          <w:b/>
          <w:bCs/>
          <w:color w:val="auto"/>
          <w:kern w:val="0"/>
          <w:sz w:val="24"/>
          <w:szCs w:val="24"/>
          <w:highlight w:val="none"/>
        </w:rPr>
      </w:pPr>
    </w:p>
    <w:p w14:paraId="6A73C693">
      <w:pPr>
        <w:pageBreakBefore w:val="0"/>
        <w:kinsoku/>
        <w:overflowPunct/>
        <w:topLinePunct w:val="0"/>
        <w:bidi w:val="0"/>
        <w:spacing w:line="24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注：</w:t>
      </w:r>
    </w:p>
    <w:p w14:paraId="76388C7B">
      <w:pPr>
        <w:pageBreakBefore w:val="0"/>
        <w:kinsoku/>
        <w:overflowPunct/>
        <w:topLinePunct w:val="0"/>
        <w:bidi w:val="0"/>
        <w:spacing w:line="240" w:lineRule="auto"/>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1.说明：应对照</w:t>
      </w:r>
      <w:r>
        <w:rPr>
          <w:rFonts w:hint="eastAsia" w:ascii="宋体" w:hAnsi="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文件“第二章 采购需求”中的“技术要求”</w:t>
      </w:r>
      <w:r>
        <w:rPr>
          <w:rFonts w:hint="eastAsia" w:ascii="宋体" w:hAnsi="宋体" w:eastAsia="宋体" w:cs="宋体"/>
          <w:b/>
          <w:bCs/>
          <w:color w:val="auto"/>
          <w:kern w:val="0"/>
          <w:sz w:val="24"/>
          <w:szCs w:val="24"/>
          <w:highlight w:val="none"/>
        </w:rPr>
        <w:t>逐条</w:t>
      </w:r>
      <w:r>
        <w:rPr>
          <w:rFonts w:hint="eastAsia" w:ascii="宋体" w:hAnsi="宋体" w:eastAsia="宋体" w:cs="宋体"/>
          <w:color w:val="auto"/>
          <w:kern w:val="0"/>
          <w:sz w:val="24"/>
          <w:szCs w:val="24"/>
          <w:highlight w:val="none"/>
        </w:rPr>
        <w:t>作明确的投标响应，并作出偏离说明。</w:t>
      </w:r>
    </w:p>
    <w:p w14:paraId="4424B56B">
      <w:pPr>
        <w:pageBreakBefore w:val="0"/>
        <w:kinsoku/>
        <w:overflowPunct/>
        <w:topLinePunct w:val="0"/>
        <w:bidi w:val="0"/>
        <w:spacing w:line="240" w:lineRule="auto"/>
        <w:contextualSpacing/>
        <w:rPr>
          <w:rFonts w:hint="eastAsia" w:ascii="宋体" w:hAnsi="宋体" w:eastAsia="宋体" w:cs="宋体"/>
          <w:b/>
          <w:bCs/>
          <w:color w:val="auto"/>
          <w:kern w:val="0"/>
          <w:sz w:val="24"/>
          <w:szCs w:val="24"/>
          <w:highlight w:val="none"/>
        </w:rPr>
      </w:pPr>
      <w:r>
        <w:rPr>
          <w:rFonts w:hint="eastAsia" w:ascii="宋体" w:hAnsi="宋体" w:eastAsia="宋体" w:cs="宋体"/>
          <w:color w:val="auto"/>
          <w:kern w:val="0"/>
          <w:sz w:val="24"/>
          <w:szCs w:val="24"/>
          <w:highlight w:val="none"/>
        </w:rPr>
        <w:t>2.投标人应根据自身的承诺，对照</w:t>
      </w:r>
      <w:r>
        <w:rPr>
          <w:rFonts w:hint="eastAsia" w:ascii="宋体" w:hAnsi="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文件要求，在“偏离说明”中注明“</w:t>
      </w:r>
      <w:r>
        <w:rPr>
          <w:rFonts w:hint="eastAsia" w:ascii="宋体" w:hAnsi="宋体" w:eastAsia="宋体" w:cs="宋体"/>
          <w:b/>
          <w:bCs/>
          <w:color w:val="auto"/>
          <w:kern w:val="0"/>
          <w:sz w:val="24"/>
          <w:szCs w:val="24"/>
          <w:highlight w:val="none"/>
        </w:rPr>
        <w:t>正偏离</w:t>
      </w:r>
      <w:r>
        <w:rPr>
          <w:rFonts w:hint="eastAsia" w:ascii="宋体" w:hAnsi="宋体" w:eastAsia="宋体" w:cs="宋体"/>
          <w:color w:val="auto"/>
          <w:kern w:val="0"/>
          <w:sz w:val="24"/>
          <w:szCs w:val="24"/>
          <w:highlight w:val="none"/>
        </w:rPr>
        <w:t>”、“</w:t>
      </w:r>
      <w:r>
        <w:rPr>
          <w:rFonts w:hint="eastAsia" w:ascii="宋体" w:hAnsi="宋体" w:eastAsia="宋体" w:cs="宋体"/>
          <w:b/>
          <w:bCs/>
          <w:color w:val="auto"/>
          <w:kern w:val="0"/>
          <w:sz w:val="24"/>
          <w:szCs w:val="24"/>
          <w:highlight w:val="none"/>
        </w:rPr>
        <w:t>负偏离</w:t>
      </w:r>
      <w:r>
        <w:rPr>
          <w:rFonts w:hint="eastAsia" w:ascii="宋体" w:hAnsi="宋体" w:eastAsia="宋体" w:cs="宋体"/>
          <w:color w:val="auto"/>
          <w:kern w:val="0"/>
          <w:sz w:val="24"/>
          <w:szCs w:val="24"/>
          <w:highlight w:val="none"/>
        </w:rPr>
        <w:t>”或者“</w:t>
      </w:r>
      <w:r>
        <w:rPr>
          <w:rFonts w:hint="eastAsia" w:ascii="宋体" w:hAnsi="宋体" w:eastAsia="宋体" w:cs="宋体"/>
          <w:b/>
          <w:bCs/>
          <w:color w:val="auto"/>
          <w:kern w:val="0"/>
          <w:sz w:val="24"/>
          <w:szCs w:val="24"/>
          <w:highlight w:val="none"/>
        </w:rPr>
        <w:t>无偏离</w:t>
      </w:r>
      <w:r>
        <w:rPr>
          <w:rFonts w:hint="eastAsia" w:ascii="宋体" w:hAnsi="宋体" w:eastAsia="宋体" w:cs="宋体"/>
          <w:color w:val="auto"/>
          <w:kern w:val="0"/>
          <w:sz w:val="24"/>
          <w:szCs w:val="24"/>
          <w:highlight w:val="none"/>
        </w:rPr>
        <w:t>”。既不属于“</w:t>
      </w:r>
      <w:r>
        <w:rPr>
          <w:rFonts w:hint="eastAsia" w:ascii="宋体" w:hAnsi="宋体" w:eastAsia="宋体" w:cs="宋体"/>
          <w:b/>
          <w:bCs/>
          <w:color w:val="auto"/>
          <w:kern w:val="0"/>
          <w:sz w:val="24"/>
          <w:szCs w:val="24"/>
          <w:highlight w:val="none"/>
        </w:rPr>
        <w:t>正偏离</w:t>
      </w:r>
      <w:r>
        <w:rPr>
          <w:rFonts w:hint="eastAsia" w:ascii="宋体" w:hAnsi="宋体" w:eastAsia="宋体" w:cs="宋体"/>
          <w:color w:val="auto"/>
          <w:kern w:val="0"/>
          <w:sz w:val="24"/>
          <w:szCs w:val="24"/>
          <w:highlight w:val="none"/>
        </w:rPr>
        <w:t>”也不属于“</w:t>
      </w:r>
      <w:r>
        <w:rPr>
          <w:rFonts w:hint="eastAsia" w:ascii="宋体" w:hAnsi="宋体" w:eastAsia="宋体" w:cs="宋体"/>
          <w:b/>
          <w:bCs/>
          <w:color w:val="auto"/>
          <w:kern w:val="0"/>
          <w:sz w:val="24"/>
          <w:szCs w:val="24"/>
          <w:highlight w:val="none"/>
        </w:rPr>
        <w:t>负偏离</w:t>
      </w:r>
      <w:r>
        <w:rPr>
          <w:rFonts w:hint="eastAsia" w:ascii="宋体" w:hAnsi="宋体" w:eastAsia="宋体" w:cs="宋体"/>
          <w:color w:val="auto"/>
          <w:kern w:val="0"/>
          <w:sz w:val="24"/>
          <w:szCs w:val="24"/>
          <w:highlight w:val="none"/>
        </w:rPr>
        <w:t>”即为“</w:t>
      </w:r>
      <w:r>
        <w:rPr>
          <w:rFonts w:hint="eastAsia" w:ascii="宋体" w:hAnsi="宋体" w:eastAsia="宋体" w:cs="宋体"/>
          <w:b/>
          <w:bCs/>
          <w:color w:val="auto"/>
          <w:kern w:val="0"/>
          <w:sz w:val="24"/>
          <w:szCs w:val="24"/>
          <w:highlight w:val="none"/>
        </w:rPr>
        <w:t>无偏离</w:t>
      </w:r>
      <w:r>
        <w:rPr>
          <w:rFonts w:hint="eastAsia" w:ascii="宋体" w:hAnsi="宋体" w:eastAsia="宋体" w:cs="宋体"/>
          <w:color w:val="auto"/>
          <w:kern w:val="0"/>
          <w:sz w:val="24"/>
          <w:szCs w:val="24"/>
          <w:highlight w:val="none"/>
        </w:rPr>
        <w:t>”。</w:t>
      </w:r>
    </w:p>
    <w:p w14:paraId="722D9B78">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30EA8E55">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4039F13A">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03706490">
      <w:pPr>
        <w:pageBreakBefore w:val="0"/>
        <w:kinsoku/>
        <w:overflowPunct/>
        <w:topLinePunct w:val="0"/>
        <w:bidi w:val="0"/>
        <w:snapToGrid w:val="0"/>
        <w:spacing w:before="50" w:after="50" w:line="240" w:lineRule="auto"/>
        <w:rPr>
          <w:rFonts w:hint="eastAsia" w:ascii="宋体" w:hAnsi="宋体" w:eastAsia="宋体" w:cs="宋体"/>
          <w:color w:val="auto"/>
          <w:spacing w:val="20"/>
          <w:sz w:val="24"/>
          <w:szCs w:val="24"/>
          <w:highlight w:val="none"/>
          <w:u w:val="single"/>
        </w:rPr>
      </w:pPr>
      <w:r>
        <w:rPr>
          <w:rFonts w:hint="eastAsia" w:ascii="宋体" w:hAnsi="宋体" w:eastAsia="宋体" w:cs="宋体"/>
          <w:color w:val="auto"/>
          <w:sz w:val="24"/>
          <w:szCs w:val="24"/>
          <w:highlight w:val="none"/>
        </w:rPr>
        <w:t>法定代表人或者委托代理人</w:t>
      </w:r>
      <w:r>
        <w:rPr>
          <w:rFonts w:hint="eastAsia" w:ascii="宋体" w:hAnsi="宋体" w:eastAsia="宋体" w:cs="宋体"/>
          <w:color w:val="auto"/>
          <w:spacing w:val="20"/>
          <w:sz w:val="24"/>
          <w:szCs w:val="24"/>
          <w:highlight w:val="none"/>
        </w:rPr>
        <w:t>（签名）：</w:t>
      </w:r>
      <w:r>
        <w:rPr>
          <w:rFonts w:hint="eastAsia" w:ascii="宋体" w:hAnsi="宋体" w:eastAsia="宋体" w:cs="宋体"/>
          <w:color w:val="auto"/>
          <w:spacing w:val="20"/>
          <w:sz w:val="24"/>
          <w:szCs w:val="24"/>
          <w:highlight w:val="none"/>
          <w:u w:val="single"/>
        </w:rPr>
        <w:t xml:space="preserve">        </w:t>
      </w:r>
    </w:p>
    <w:p w14:paraId="3D05D31B">
      <w:pPr>
        <w:pageBreakBefore w:val="0"/>
        <w:kinsoku/>
        <w:overflowPunct/>
        <w:topLinePunct w:val="0"/>
        <w:bidi w:val="0"/>
        <w:snapToGrid w:val="0"/>
        <w:spacing w:before="50" w:after="50" w:line="240" w:lineRule="auto"/>
        <w:rPr>
          <w:rFonts w:hint="eastAsia" w:ascii="宋体" w:hAnsi="宋体" w:eastAsia="宋体" w:cs="宋体"/>
          <w:color w:val="auto"/>
          <w:spacing w:val="20"/>
          <w:sz w:val="24"/>
          <w:szCs w:val="24"/>
          <w:highlight w:val="none"/>
          <w:u w:val="single"/>
        </w:rPr>
      </w:pPr>
      <w:r>
        <w:rPr>
          <w:rFonts w:hint="eastAsia" w:ascii="宋体" w:hAnsi="宋体" w:eastAsia="宋体" w:cs="宋体"/>
          <w:color w:val="auto"/>
          <w:spacing w:val="20"/>
          <w:sz w:val="24"/>
          <w:szCs w:val="24"/>
          <w:highlight w:val="none"/>
        </w:rPr>
        <w:t>投标人（公章）：</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color w:val="auto"/>
          <w:spacing w:val="20"/>
          <w:sz w:val="24"/>
          <w:szCs w:val="24"/>
          <w:highlight w:val="none"/>
        </w:rPr>
        <w:t xml:space="preserve">              日 期：</w:t>
      </w:r>
      <w:r>
        <w:rPr>
          <w:rFonts w:hint="eastAsia" w:ascii="宋体" w:hAnsi="宋体" w:eastAsia="宋体" w:cs="宋体"/>
          <w:color w:val="auto"/>
          <w:spacing w:val="20"/>
          <w:sz w:val="24"/>
          <w:szCs w:val="24"/>
          <w:highlight w:val="none"/>
          <w:u w:val="single"/>
        </w:rPr>
        <w:t xml:space="preserve">        </w:t>
      </w:r>
    </w:p>
    <w:p w14:paraId="54B2620D">
      <w:pPr>
        <w:rPr>
          <w:rFonts w:hint="eastAsia"/>
          <w:sz w:val="24"/>
          <w:szCs w:val="24"/>
          <w:lang w:val="en-US" w:eastAsia="zh-CN"/>
        </w:rPr>
        <w:sectPr>
          <w:pgSz w:w="11906" w:h="16838"/>
          <w:pgMar w:top="1440" w:right="1080" w:bottom="1440" w:left="1080" w:header="851" w:footer="992" w:gutter="0"/>
          <w:pgNumType w:fmt="decimal"/>
          <w:cols w:space="425" w:num="1"/>
          <w:docGrid w:type="lines" w:linePitch="312" w:charSpace="0"/>
        </w:sectPr>
      </w:pPr>
      <w:r>
        <w:rPr>
          <w:rFonts w:hint="eastAsia"/>
          <w:sz w:val="24"/>
          <w:szCs w:val="24"/>
          <w:lang w:val="en-US" w:eastAsia="zh-CN"/>
        </w:rPr>
        <w:br w:type="page"/>
      </w:r>
    </w:p>
    <w:p w14:paraId="607B7E3C">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4.服务方案</w:t>
      </w:r>
    </w:p>
    <w:p w14:paraId="0BB3CF48">
      <w:pPr>
        <w:rPr>
          <w:rFonts w:hint="eastAsia"/>
          <w:sz w:val="24"/>
          <w:szCs w:val="24"/>
          <w:lang w:val="en-US" w:eastAsia="zh-CN"/>
        </w:rPr>
      </w:pPr>
    </w:p>
    <w:p w14:paraId="766D6F1C">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必须提供，格式自拟</w:t>
      </w:r>
      <w:r>
        <w:rPr>
          <w:rFonts w:hint="eastAsia" w:ascii="宋体" w:hAnsi="宋体" w:cs="Times New Roman"/>
          <w:b/>
          <w:bCs/>
          <w:kern w:val="2"/>
          <w:sz w:val="24"/>
          <w:szCs w:val="24"/>
          <w:lang w:val="en-US" w:eastAsia="zh-CN" w:bidi="ar-SA"/>
        </w:rPr>
        <w:t>】</w:t>
      </w:r>
    </w:p>
    <w:p w14:paraId="2CB0C5AD">
      <w:pPr>
        <w:rPr>
          <w:rFonts w:hint="default"/>
          <w:sz w:val="24"/>
          <w:szCs w:val="24"/>
          <w:lang w:val="en-US" w:eastAsia="zh-CN"/>
        </w:rPr>
        <w:sectPr>
          <w:pgSz w:w="11906" w:h="16838"/>
          <w:pgMar w:top="1440" w:right="1080" w:bottom="1440" w:left="1080" w:header="851" w:footer="992" w:gutter="0"/>
          <w:pgNumType w:fmt="decimal"/>
          <w:cols w:space="425" w:num="1"/>
          <w:docGrid w:type="lines" w:linePitch="312" w:charSpace="0"/>
        </w:sectPr>
      </w:pPr>
    </w:p>
    <w:p w14:paraId="7DD74156">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5</w:t>
      </w:r>
      <w:r>
        <w:rPr>
          <w:rFonts w:hint="eastAsia" w:ascii="宋体" w:hAnsi="宋体" w:eastAsia="宋体" w:cs="宋体"/>
          <w:b/>
          <w:color w:val="auto"/>
          <w:sz w:val="30"/>
          <w:szCs w:val="30"/>
          <w:highlight w:val="none"/>
        </w:rPr>
        <w:t>.项目实施人员一览表格式</w:t>
      </w:r>
    </w:p>
    <w:p w14:paraId="2508DEEC">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p>
    <w:p w14:paraId="627911BB">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项目实施人员一览表</w:t>
      </w:r>
    </w:p>
    <w:p w14:paraId="39D7577B">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
          <w:color w:val="auto"/>
          <w:sz w:val="28"/>
          <w:szCs w:val="28"/>
          <w:highlight w:val="none"/>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611"/>
        <w:gridCol w:w="4888"/>
        <w:gridCol w:w="922"/>
        <w:gridCol w:w="1698"/>
        <w:gridCol w:w="1232"/>
      </w:tblGrid>
      <w:tr w14:paraId="5901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7E626C9">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0" w:type="auto"/>
            <w:vAlign w:val="center"/>
          </w:tcPr>
          <w:p w14:paraId="3B6D4A48">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0" w:type="auto"/>
            <w:vAlign w:val="center"/>
          </w:tcPr>
          <w:p w14:paraId="30399709">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专业技术资格（职称）或者职业资格或者执业资格证或者其他证书</w:t>
            </w:r>
          </w:p>
        </w:tc>
        <w:tc>
          <w:tcPr>
            <w:tcW w:w="0" w:type="auto"/>
            <w:vAlign w:val="center"/>
          </w:tcPr>
          <w:p w14:paraId="1356A7C4">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证书编号</w:t>
            </w:r>
          </w:p>
        </w:tc>
        <w:tc>
          <w:tcPr>
            <w:tcW w:w="0" w:type="auto"/>
            <w:vAlign w:val="center"/>
          </w:tcPr>
          <w:p w14:paraId="74A39C85">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参加本单位工作时间</w:t>
            </w:r>
          </w:p>
        </w:tc>
        <w:tc>
          <w:tcPr>
            <w:tcW w:w="0" w:type="auto"/>
            <w:vAlign w:val="center"/>
          </w:tcPr>
          <w:p w14:paraId="7E00D00D">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劳动合同编号</w:t>
            </w:r>
          </w:p>
        </w:tc>
      </w:tr>
      <w:tr w14:paraId="6AC2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7C56DA2">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601E7C26">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178B676A">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3942B42D">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4EB7DAB5">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631A0FDE">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r>
      <w:tr w14:paraId="2772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645BA47">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1ED2410A">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4B9C8457">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7A9F247C">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7B98E712">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3D683D86">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r>
      <w:tr w14:paraId="7F07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6EFBBE">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53EAD00C">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570EAEF4">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5FBFA622">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5D818A46">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08AFC0BD">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r>
    </w:tbl>
    <w:p w14:paraId="73CA4F5D">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4"/>
          <w:szCs w:val="24"/>
          <w:highlight w:val="none"/>
        </w:rPr>
      </w:pPr>
    </w:p>
    <w:p w14:paraId="1DA9437D">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5834CB1E">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1.在填写时，如本表格不适合投标单位的实际情况，可根据本表格式自行制表填写。</w:t>
      </w:r>
    </w:p>
    <w:p w14:paraId="16408912">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2.投标人应当附本表所列证书的复印件并加盖投标人公章。</w:t>
      </w:r>
    </w:p>
    <w:p w14:paraId="473F7772">
      <w:pPr>
        <w:pageBreakBefore w:val="0"/>
        <w:kinsoku/>
        <w:overflowPunct/>
        <w:topLinePunct w:val="0"/>
        <w:bidi w:val="0"/>
        <w:spacing w:line="240" w:lineRule="auto"/>
        <w:contextualSpacing/>
        <w:rPr>
          <w:rFonts w:hint="eastAsia" w:ascii="宋体" w:hAnsi="宋体" w:eastAsia="宋体" w:cs="宋体"/>
          <w:color w:val="auto"/>
          <w:spacing w:val="20"/>
          <w:sz w:val="24"/>
          <w:szCs w:val="24"/>
          <w:highlight w:val="none"/>
          <w:u w:val="single"/>
        </w:rPr>
      </w:pPr>
      <w:r>
        <w:rPr>
          <w:rFonts w:hint="eastAsia" w:ascii="宋体" w:hAnsi="宋体" w:eastAsia="宋体" w:cs="宋体"/>
          <w:color w:val="auto"/>
          <w:sz w:val="24"/>
          <w:szCs w:val="24"/>
          <w:highlight w:val="none"/>
        </w:rPr>
        <w:t>法定代表人或者委托代理人</w:t>
      </w:r>
      <w:r>
        <w:rPr>
          <w:rFonts w:hint="eastAsia" w:ascii="宋体" w:hAnsi="宋体" w:eastAsia="宋体" w:cs="宋体"/>
          <w:color w:val="auto"/>
          <w:spacing w:val="20"/>
          <w:sz w:val="24"/>
          <w:szCs w:val="24"/>
          <w:highlight w:val="none"/>
        </w:rPr>
        <w:t>（签名）：</w:t>
      </w:r>
      <w:r>
        <w:rPr>
          <w:rFonts w:hint="eastAsia" w:ascii="宋体" w:hAnsi="宋体" w:eastAsia="宋体" w:cs="宋体"/>
          <w:color w:val="auto"/>
          <w:spacing w:val="20"/>
          <w:sz w:val="24"/>
          <w:szCs w:val="24"/>
          <w:highlight w:val="none"/>
          <w:u w:val="single"/>
        </w:rPr>
        <w:t xml:space="preserve">        </w:t>
      </w:r>
    </w:p>
    <w:p w14:paraId="0BCD244E">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投标人（公章）：</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color w:val="auto"/>
          <w:spacing w:val="20"/>
          <w:sz w:val="24"/>
          <w:szCs w:val="24"/>
          <w:highlight w:val="none"/>
        </w:rPr>
        <w:t xml:space="preserve">              日 期：</w:t>
      </w:r>
      <w:r>
        <w:rPr>
          <w:rFonts w:hint="eastAsia" w:ascii="宋体" w:hAnsi="宋体" w:eastAsia="宋体" w:cs="宋体"/>
          <w:color w:val="auto"/>
          <w:spacing w:val="20"/>
          <w:sz w:val="24"/>
          <w:szCs w:val="24"/>
          <w:highlight w:val="none"/>
          <w:u w:val="single"/>
        </w:rPr>
        <w:t xml:space="preserve">         </w:t>
      </w:r>
    </w:p>
    <w:p w14:paraId="510217EE">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7D5ABF0B">
      <w:pPr>
        <w:rPr>
          <w:rFonts w:hint="eastAsia"/>
          <w:lang w:val="en-US" w:eastAsia="zh-CN"/>
        </w:rPr>
      </w:pPr>
      <w:r>
        <w:rPr>
          <w:rFonts w:hint="eastAsia"/>
          <w:lang w:val="en-US" w:eastAsia="zh-CN"/>
        </w:rPr>
        <w:br w:type="page"/>
      </w:r>
    </w:p>
    <w:p w14:paraId="58D4F7AB">
      <w:pPr>
        <w:pageBreakBefore w:val="0"/>
        <w:kinsoku/>
        <w:overflowPunct/>
        <w:topLinePunct w:val="0"/>
        <w:bidi w:val="0"/>
        <w:spacing w:line="240" w:lineRule="auto"/>
        <w:contextualSpacing/>
        <w:jc w:val="left"/>
        <w:rPr>
          <w:rFonts w:hint="eastAsia" w:ascii="宋体" w:hAnsi="宋体" w:eastAsia="宋体" w:cs="宋体"/>
          <w:b/>
          <w:color w:val="auto"/>
          <w:sz w:val="21"/>
          <w:szCs w:val="21"/>
          <w:highlight w:val="none"/>
        </w:rPr>
      </w:pPr>
      <w:r>
        <w:rPr>
          <w:rFonts w:hint="eastAsia" w:ascii="宋体" w:hAnsi="宋体" w:eastAsia="宋体" w:cs="宋体"/>
          <w:b/>
          <w:color w:val="auto"/>
          <w:sz w:val="32"/>
          <w:szCs w:val="32"/>
          <w:highlight w:val="none"/>
        </w:rPr>
        <w:t>五、其他文书、文件格式</w:t>
      </w:r>
    </w:p>
    <w:p w14:paraId="5514E874">
      <w:pPr>
        <w:pageBreakBefore w:val="0"/>
        <w:kinsoku/>
        <w:overflowPunct/>
        <w:topLinePunct w:val="0"/>
        <w:bidi w:val="0"/>
        <w:spacing w:line="240" w:lineRule="auto"/>
        <w:jc w:val="left"/>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1.质疑函（格式）</w:t>
      </w:r>
    </w:p>
    <w:p w14:paraId="765911BD">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8"/>
          <w:szCs w:val="28"/>
          <w:highlight w:val="none"/>
        </w:rPr>
        <w:t>质疑函（格式）</w:t>
      </w:r>
    </w:p>
    <w:p w14:paraId="09C39FE2">
      <w:pPr>
        <w:pStyle w:val="10"/>
        <w:pageBreakBefore w:val="0"/>
        <w:kinsoku/>
        <w:overflowPunct/>
        <w:topLinePunct w:val="0"/>
        <w:bidi w:val="0"/>
        <w:snapToGrid w:val="0"/>
        <w:spacing w:line="24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02C04F39">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511A656">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6FAFC4C">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54B6F298">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77E5C0C4">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1B19349">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ABDB6DA">
      <w:pPr>
        <w:pStyle w:val="10"/>
        <w:pageBreakBefore w:val="0"/>
        <w:kinsoku/>
        <w:overflowPunct/>
        <w:topLinePunct w:val="0"/>
        <w:bidi w:val="0"/>
        <w:snapToGrid w:val="0"/>
        <w:spacing w:line="24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6749F188">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4F692F38">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1BC6773F">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1AC30C13">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14B8D877">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68AB955D">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237912C2">
      <w:pPr>
        <w:pStyle w:val="10"/>
        <w:pageBreakBefore w:val="0"/>
        <w:kinsoku/>
        <w:overflowPunct/>
        <w:topLinePunct w:val="0"/>
        <w:bidi w:val="0"/>
        <w:spacing w:line="24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□采购结果   </w:t>
      </w:r>
    </w:p>
    <w:p w14:paraId="3E7BCCFE">
      <w:pPr>
        <w:pStyle w:val="10"/>
        <w:pageBreakBefore w:val="0"/>
        <w:kinsoku/>
        <w:overflowPunct/>
        <w:topLinePunct w:val="0"/>
        <w:bidi w:val="0"/>
        <w:spacing w:line="24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28CB82FD">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1981B89A">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2F587F6F">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4A6EBB89">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2E12849">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7AAF408">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53FA831C">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18A63483">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p>
    <w:p w14:paraId="0951EC25">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58650465">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1607C8D5">
      <w:pPr>
        <w:pStyle w:val="10"/>
        <w:pageBreakBefore w:val="0"/>
        <w:kinsoku/>
        <w:overflowPunct/>
        <w:topLinePunct w:val="0"/>
        <w:bidi w:val="0"/>
        <w:snapToGrid w:val="0"/>
        <w:spacing w:line="240" w:lineRule="auto"/>
        <w:rPr>
          <w:rFonts w:hint="eastAsia" w:ascii="宋体" w:hAnsi="宋体" w:eastAsia="宋体" w:cs="宋体"/>
          <w:b/>
          <w:color w:val="auto"/>
          <w:sz w:val="24"/>
          <w:szCs w:val="24"/>
          <w:highlight w:val="none"/>
        </w:rPr>
      </w:pPr>
    </w:p>
    <w:p w14:paraId="10B9D957">
      <w:pPr>
        <w:pStyle w:val="10"/>
        <w:pageBreakBefore w:val="0"/>
        <w:kinsoku/>
        <w:overflowPunct/>
        <w:topLinePunct w:val="0"/>
        <w:bidi w:val="0"/>
        <w:snapToGrid w:val="0"/>
        <w:spacing w:line="24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2B035FA">
      <w:pPr>
        <w:pStyle w:val="10"/>
        <w:pageBreakBefore w:val="0"/>
        <w:kinsoku/>
        <w:overflowPunct/>
        <w:topLinePunct w:val="0"/>
        <w:bidi w:val="0"/>
        <w:spacing w:line="24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43DF660F">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8724475">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0EB11715">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3CA38490">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130E0C7D">
      <w:pPr>
        <w:pStyle w:val="10"/>
        <w:pageBreakBefore w:val="0"/>
        <w:kinsoku/>
        <w:overflowPunct/>
        <w:topLinePunct w:val="0"/>
        <w:bidi w:val="0"/>
        <w:snapToGrid w:val="0"/>
        <w:spacing w:line="240" w:lineRule="auto"/>
        <w:rPr>
          <w:rFonts w:hint="eastAsia" w:ascii="宋体" w:hAnsi="宋体" w:eastAsia="宋体" w:cs="宋体"/>
          <w:b/>
          <w:color w:val="auto"/>
          <w:sz w:val="21"/>
          <w:szCs w:val="21"/>
          <w:highlight w:val="none"/>
        </w:rPr>
      </w:pPr>
    </w:p>
    <w:p w14:paraId="1045F535">
      <w:pPr>
        <w:rPr>
          <w:rFonts w:hint="eastAsia"/>
          <w:lang w:val="en-US" w:eastAsia="zh-CN"/>
        </w:rPr>
      </w:pPr>
      <w:r>
        <w:rPr>
          <w:rFonts w:hint="eastAsia"/>
          <w:lang w:val="en-US" w:eastAsia="zh-CN"/>
        </w:rPr>
        <w:br w:type="page"/>
      </w:r>
    </w:p>
    <w:p w14:paraId="652710E8">
      <w:pPr>
        <w:pageBreakBefore w:val="0"/>
        <w:kinsoku/>
        <w:overflowPunct/>
        <w:topLinePunct w:val="0"/>
        <w:bidi w:val="0"/>
        <w:spacing w:line="240" w:lineRule="auto"/>
        <w:jc w:val="left"/>
        <w:rPr>
          <w:rFonts w:hint="eastAsia" w:ascii="宋体" w:hAnsi="宋体" w:eastAsia="宋体" w:cs="宋体"/>
          <w:b/>
          <w:bCs/>
          <w:color w:val="auto"/>
          <w:sz w:val="30"/>
          <w:szCs w:val="30"/>
          <w:highlight w:val="none"/>
        </w:rPr>
      </w:pPr>
      <w:r>
        <w:rPr>
          <w:rFonts w:hint="eastAsia" w:ascii="宋体" w:hAnsi="宋体" w:eastAsia="宋体" w:cs="宋体"/>
          <w:b/>
          <w:color w:val="auto"/>
          <w:sz w:val="30"/>
          <w:szCs w:val="30"/>
          <w:highlight w:val="none"/>
        </w:rPr>
        <w:t>2.投诉书（格式）</w:t>
      </w:r>
    </w:p>
    <w:p w14:paraId="12D6E17D">
      <w:pPr>
        <w:pageBreakBefore w:val="0"/>
        <w:kinsoku/>
        <w:overflowPunct/>
        <w:topLinePunct w:val="0"/>
        <w:bidi w:val="0"/>
        <w:spacing w:line="24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投诉书（格式）</w:t>
      </w:r>
    </w:p>
    <w:p w14:paraId="3CC8B46F">
      <w:pPr>
        <w:pStyle w:val="10"/>
        <w:pageBreakBefore w:val="0"/>
        <w:kinsoku/>
        <w:overflowPunct/>
        <w:topLinePunct w:val="0"/>
        <w:bidi w:val="0"/>
        <w:snapToGrid w:val="0"/>
        <w:spacing w:line="24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487265D2">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投标人：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27A6095">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5D1B903">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5A84E3C5">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F5ADE58">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1794BB8">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1FB279C8">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598234F">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23FDF2B0">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338CB048">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299E795">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04AC071">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0E2DE8A7">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3DAE4450">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02A9585E">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3D45070B">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065983D">
      <w:pPr>
        <w:pStyle w:val="10"/>
        <w:pageBreakBefore w:val="0"/>
        <w:kinsoku/>
        <w:overflowPunct/>
        <w:topLinePunct w:val="0"/>
        <w:bidi w:val="0"/>
        <w:snapToGrid w:val="0"/>
        <w:spacing w:line="24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2788FD9A">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4E16C7C4">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5E52BA85">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7C9147CD">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12284970">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采购文件公告：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7962AB92">
      <w:pPr>
        <w:pStyle w:val="10"/>
        <w:pageBreakBefore w:val="0"/>
        <w:kinsoku/>
        <w:overflowPunct/>
        <w:topLinePunct w:val="0"/>
        <w:bidi w:val="0"/>
        <w:spacing w:line="24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1C05BFF">
      <w:pPr>
        <w:pStyle w:val="10"/>
        <w:pageBreakBefore w:val="0"/>
        <w:kinsoku/>
        <w:overflowPunct/>
        <w:topLinePunct w:val="0"/>
        <w:bidi w:val="0"/>
        <w:spacing w:line="24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14C7CFBE">
      <w:pPr>
        <w:pStyle w:val="10"/>
        <w:pageBreakBefore w:val="0"/>
        <w:kinsoku/>
        <w:overflowPunct/>
        <w:topLinePunct w:val="0"/>
        <w:bidi w:val="0"/>
        <w:spacing w:line="240" w:lineRule="auto"/>
        <w:ind w:left="25" w:leftChars="1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6A9D9FD3">
      <w:pPr>
        <w:pStyle w:val="10"/>
        <w:pageBreakBefore w:val="0"/>
        <w:kinsoku/>
        <w:overflowPunct/>
        <w:topLinePunct w:val="0"/>
        <w:bidi w:val="0"/>
        <w:spacing w:line="24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0498F3C">
      <w:pPr>
        <w:pStyle w:val="10"/>
        <w:pageBreakBefore w:val="0"/>
        <w:kinsoku/>
        <w:overflowPunct/>
        <w:topLinePunct w:val="0"/>
        <w:bidi w:val="0"/>
        <w:spacing w:line="24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6AFCAC9">
      <w:pPr>
        <w:pStyle w:val="10"/>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0E7DA0D7">
      <w:pPr>
        <w:pStyle w:val="10"/>
        <w:pageBreakBefore w:val="0"/>
        <w:kinsoku/>
        <w:overflowPunct/>
        <w:topLinePunct w:val="0"/>
        <w:bidi w:val="0"/>
        <w:spacing w:line="24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BB000F9">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03D41AAB">
      <w:pPr>
        <w:pStyle w:val="10"/>
        <w:pageBreakBefore w:val="0"/>
        <w:kinsoku/>
        <w:overflowPunct/>
        <w:topLinePunct w:val="0"/>
        <w:bidi w:val="0"/>
        <w:spacing w:line="24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0487C94">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193C6A98">
      <w:pPr>
        <w:pStyle w:val="10"/>
        <w:pageBreakBefore w:val="0"/>
        <w:kinsoku/>
        <w:overflowPunct/>
        <w:topLinePunct w:val="0"/>
        <w:bidi w:val="0"/>
        <w:spacing w:line="24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1B1CAF6">
      <w:pPr>
        <w:pStyle w:val="10"/>
        <w:pageBreakBefore w:val="0"/>
        <w:kinsoku/>
        <w:overflowPunct/>
        <w:topLinePunct w:val="0"/>
        <w:bidi w:val="0"/>
        <w:spacing w:line="24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4BC4F8F">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377F264E">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784D7E03">
      <w:pPr>
        <w:pStyle w:val="10"/>
        <w:pageBreakBefore w:val="0"/>
        <w:kinsoku/>
        <w:overflowPunct/>
        <w:topLinePunct w:val="0"/>
        <w:bidi w:val="0"/>
        <w:spacing w:line="24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37216154">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5BF0D8DC">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p>
    <w:p w14:paraId="36554663">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3FDDA4CD">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p>
    <w:p w14:paraId="31154401">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3BC38DBF">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3553808E">
      <w:pPr>
        <w:pStyle w:val="10"/>
        <w:pageBreakBefore w:val="0"/>
        <w:kinsoku/>
        <w:overflowPunct/>
        <w:topLinePunct w:val="0"/>
        <w:bidi w:val="0"/>
        <w:snapToGrid w:val="0"/>
        <w:spacing w:line="24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44C9A252">
      <w:pPr>
        <w:pStyle w:val="10"/>
        <w:pageBreakBefore w:val="0"/>
        <w:kinsoku/>
        <w:overflowPunct/>
        <w:topLinePunct w:val="0"/>
        <w:bidi w:val="0"/>
        <w:spacing w:line="24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0334AC93">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37E3EDF">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5C1A8E1F">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0578836F">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5FE77724">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307CD288"/>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Century">
    <w:altName w:val="Times New Roman"/>
    <w:panose1 w:val="02040604050505020304"/>
    <w:charset w:val="00"/>
    <w:family w:val="roman"/>
    <w:pitch w:val="default"/>
    <w:sig w:usb0="00000000"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EA26D">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13BB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9013BB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7C3E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D772F">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8D772F">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D897F">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0C272"/>
    <w:multiLevelType w:val="singleLevel"/>
    <w:tmpl w:val="CF50C272"/>
    <w:lvl w:ilvl="0" w:tentative="0">
      <w:start w:val="1"/>
      <w:numFmt w:val="decimal"/>
      <w:suff w:val="nothing"/>
      <w:lvlText w:val="（%1）"/>
      <w:lvlJc w:val="left"/>
    </w:lvl>
  </w:abstractNum>
  <w:abstractNum w:abstractNumId="1">
    <w:nsid w:val="EAE71651"/>
    <w:multiLevelType w:val="singleLevel"/>
    <w:tmpl w:val="EAE71651"/>
    <w:lvl w:ilvl="0" w:tentative="0">
      <w:start w:val="14"/>
      <w:numFmt w:val="decimal"/>
      <w:lvlText w:val="%1."/>
      <w:lvlJc w:val="left"/>
      <w:pPr>
        <w:tabs>
          <w:tab w:val="left" w:pos="312"/>
        </w:tabs>
      </w:pPr>
    </w:lvl>
  </w:abstractNum>
  <w:abstractNum w:abstractNumId="2">
    <w:nsid w:val="F6BEBEDD"/>
    <w:multiLevelType w:val="singleLevel"/>
    <w:tmpl w:val="F6BEBEDD"/>
    <w:lvl w:ilvl="0" w:tentative="0">
      <w:start w:val="6"/>
      <w:numFmt w:val="decimal"/>
      <w:lvlText w:val="%1."/>
      <w:lvlJc w:val="left"/>
      <w:pPr>
        <w:tabs>
          <w:tab w:val="left" w:pos="312"/>
        </w:tabs>
      </w:pPr>
    </w:lvl>
  </w:abstractNum>
  <w:abstractNum w:abstractNumId="3">
    <w:nsid w:val="FAF085C6"/>
    <w:multiLevelType w:val="singleLevel"/>
    <w:tmpl w:val="FAF085C6"/>
    <w:lvl w:ilvl="0" w:tentative="0">
      <w:start w:val="21"/>
      <w:numFmt w:val="decimal"/>
      <w:lvlText w:val="%1."/>
      <w:lvlJc w:val="left"/>
      <w:pPr>
        <w:tabs>
          <w:tab w:val="left" w:pos="312"/>
        </w:tabs>
      </w:pPr>
    </w:lvl>
  </w:abstractNum>
  <w:abstractNum w:abstractNumId="4">
    <w:nsid w:val="FDB17BBD"/>
    <w:multiLevelType w:val="singleLevel"/>
    <w:tmpl w:val="FDB17BBD"/>
    <w:lvl w:ilvl="0" w:tentative="0">
      <w:start w:val="2"/>
      <w:numFmt w:val="decimal"/>
      <w:suff w:val="space"/>
      <w:lvlText w:val="%1、"/>
      <w:lvlJc w:val="left"/>
    </w:lvl>
  </w:abstractNum>
  <w:abstractNum w:abstractNumId="5">
    <w:nsid w:val="FFBF38EA"/>
    <w:multiLevelType w:val="singleLevel"/>
    <w:tmpl w:val="FFBF38EA"/>
    <w:lvl w:ilvl="0" w:tentative="0">
      <w:start w:val="1"/>
      <w:numFmt w:val="decimal"/>
      <w:suff w:val="nothing"/>
      <w:lvlText w:val="%1、"/>
      <w:lvlJc w:val="left"/>
    </w:lvl>
  </w:abstractNum>
  <w:abstractNum w:abstractNumId="6">
    <w:nsid w:val="202502F8"/>
    <w:multiLevelType w:val="singleLevel"/>
    <w:tmpl w:val="202502F8"/>
    <w:lvl w:ilvl="0" w:tentative="0">
      <w:start w:val="31"/>
      <w:numFmt w:val="decimal"/>
      <w:lvlText w:val="%1."/>
      <w:lvlJc w:val="left"/>
      <w:pPr>
        <w:tabs>
          <w:tab w:val="left" w:pos="312"/>
        </w:tabs>
      </w:pPr>
    </w:lvl>
  </w:abstractNum>
  <w:abstractNum w:abstractNumId="7">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5"/>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8">
    <w:nsid w:val="43BC4724"/>
    <w:multiLevelType w:val="multilevel"/>
    <w:tmpl w:val="43BC4724"/>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4C601917"/>
    <w:multiLevelType w:val="singleLevel"/>
    <w:tmpl w:val="4C601917"/>
    <w:lvl w:ilvl="0" w:tentative="0">
      <w:start w:val="1"/>
      <w:numFmt w:val="decimal"/>
      <w:suff w:val="nothing"/>
      <w:lvlText w:val="（%1）"/>
      <w:lvlJc w:val="left"/>
      <w:pPr>
        <w:ind w:left="-2"/>
      </w:pPr>
    </w:lvl>
  </w:abstractNum>
  <w:abstractNum w:abstractNumId="10">
    <w:nsid w:val="5FABD14B"/>
    <w:multiLevelType w:val="singleLevel"/>
    <w:tmpl w:val="5FABD14B"/>
    <w:lvl w:ilvl="0" w:tentative="0">
      <w:start w:val="1"/>
      <w:numFmt w:val="decimal"/>
      <w:suff w:val="nothing"/>
      <w:lvlText w:val="（%1）"/>
      <w:lvlJc w:val="left"/>
    </w:lvl>
  </w:abstractNum>
  <w:num w:numId="1">
    <w:abstractNumId w:val="7"/>
  </w:num>
  <w:num w:numId="2">
    <w:abstractNumId w:val="8"/>
  </w:num>
  <w:num w:numId="3">
    <w:abstractNumId w:val="0"/>
  </w:num>
  <w:num w:numId="4">
    <w:abstractNumId w:val="1"/>
  </w:num>
  <w:num w:numId="5">
    <w:abstractNumId w:val="3"/>
  </w:num>
  <w:num w:numId="6">
    <w:abstractNumId w:val="6"/>
  </w:num>
  <w:num w:numId="7">
    <w:abstractNumId w:val="9"/>
  </w:num>
  <w:num w:numId="8">
    <w:abstractNumId w:val="10"/>
  </w:num>
  <w:num w:numId="9">
    <w:abstractNumId w:val="4"/>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DF104C"/>
    <w:rsid w:val="007F405A"/>
    <w:rsid w:val="077F358D"/>
    <w:rsid w:val="07DD2351"/>
    <w:rsid w:val="0CE43467"/>
    <w:rsid w:val="0EF7086E"/>
    <w:rsid w:val="10593779"/>
    <w:rsid w:val="105D1A82"/>
    <w:rsid w:val="13972A47"/>
    <w:rsid w:val="17B36104"/>
    <w:rsid w:val="1A277DD2"/>
    <w:rsid w:val="1B572CFB"/>
    <w:rsid w:val="1E436338"/>
    <w:rsid w:val="1F0E58E1"/>
    <w:rsid w:val="20516712"/>
    <w:rsid w:val="21FC728C"/>
    <w:rsid w:val="271651E8"/>
    <w:rsid w:val="287A25A4"/>
    <w:rsid w:val="2D486C2A"/>
    <w:rsid w:val="3A7572F2"/>
    <w:rsid w:val="3BED123C"/>
    <w:rsid w:val="3D356C89"/>
    <w:rsid w:val="40BE32FF"/>
    <w:rsid w:val="502954DF"/>
    <w:rsid w:val="547E6648"/>
    <w:rsid w:val="5BBD5946"/>
    <w:rsid w:val="5FE71D9B"/>
    <w:rsid w:val="62AC31F3"/>
    <w:rsid w:val="62C751DF"/>
    <w:rsid w:val="64DF104C"/>
    <w:rsid w:val="663042A7"/>
    <w:rsid w:val="665D0100"/>
    <w:rsid w:val="677604E8"/>
    <w:rsid w:val="69C32DBF"/>
    <w:rsid w:val="72416C26"/>
    <w:rsid w:val="739D1164"/>
    <w:rsid w:val="76624DD7"/>
    <w:rsid w:val="7DC564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5"/>
    <w:basedOn w:val="1"/>
    <w:next w:val="6"/>
    <w:qFormat/>
    <w:uiPriority w:val="0"/>
    <w:pPr>
      <w:keepNext/>
      <w:keepLines/>
      <w:numPr>
        <w:ilvl w:val="4"/>
        <w:numId w:val="1"/>
      </w:numPr>
      <w:spacing w:before="280" w:after="290" w:line="376" w:lineRule="auto"/>
      <w:outlineLvl w:val="4"/>
    </w:pPr>
    <w:rPr>
      <w:b/>
      <w:sz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6">
    <w:name w:val="Normal Indent"/>
    <w:basedOn w:val="1"/>
    <w:unhideWhenUsed/>
    <w:qFormat/>
    <w:uiPriority w:val="99"/>
    <w:pPr>
      <w:widowControl w:val="0"/>
      <w:adjustRightInd/>
      <w:snapToGrid/>
      <w:spacing w:after="0"/>
      <w:ind w:firstLine="420" w:firstLineChars="200"/>
      <w:jc w:val="both"/>
    </w:pPr>
    <w:rPr>
      <w:rFonts w:ascii="Times New Roman" w:hAnsi="Times New Roman" w:eastAsia="宋体" w:cs="Times New Roman"/>
      <w:kern w:val="2"/>
      <w:sz w:val="21"/>
      <w:szCs w:val="24"/>
    </w:rPr>
  </w:style>
  <w:style w:type="paragraph" w:styleId="7">
    <w:name w:val="annotation text"/>
    <w:basedOn w:val="1"/>
    <w:unhideWhenUsed/>
    <w:qFormat/>
    <w:uiPriority w:val="0"/>
    <w:pPr>
      <w:jc w:val="left"/>
    </w:pPr>
  </w:style>
  <w:style w:type="paragraph" w:styleId="8">
    <w:name w:val="Body Text 3"/>
    <w:basedOn w:val="1"/>
    <w:qFormat/>
    <w:uiPriority w:val="0"/>
    <w:pPr>
      <w:spacing w:line="500" w:lineRule="exact"/>
    </w:pPr>
    <w:rPr>
      <w:b/>
      <w:bCs/>
      <w:kern w:val="0"/>
      <w:sz w:val="24"/>
    </w:rPr>
  </w:style>
  <w:style w:type="paragraph" w:styleId="9">
    <w:name w:val="Body Text Indent"/>
    <w:basedOn w:val="1"/>
    <w:qFormat/>
    <w:uiPriority w:val="0"/>
    <w:pPr>
      <w:ind w:firstLine="830" w:firstLineChars="352"/>
    </w:pPr>
    <w:rPr>
      <w:rFonts w:ascii="仿宋_GB2312" w:eastAsia="仿宋_GB2312"/>
      <w:kern w:val="0"/>
      <w:sz w:val="32"/>
      <w:szCs w:val="20"/>
    </w:rPr>
  </w:style>
  <w:style w:type="paragraph" w:styleId="10">
    <w:name w:val="Plain Text"/>
    <w:basedOn w:val="1"/>
    <w:next w:val="11"/>
    <w:qFormat/>
    <w:uiPriority w:val="0"/>
    <w:rPr>
      <w:rFonts w:ascii="宋体" w:hAnsi="Courier New" w:cs="Courier New"/>
      <w:szCs w:val="21"/>
    </w:rPr>
  </w:style>
  <w:style w:type="paragraph" w:customStyle="1" w:styleId="11">
    <w:name w:val="TOC 标题2"/>
    <w:next w:val="1"/>
    <w:qFormat/>
    <w:uiPriority w:val="0"/>
    <w:pPr>
      <w:wordWrap w:val="0"/>
    </w:pPr>
    <w:rPr>
      <w:rFonts w:ascii="Times New Roman" w:hAnsi="Times New Roman" w:eastAsia="宋体" w:cs="Times New Roman"/>
      <w:sz w:val="32"/>
      <w:lang w:val="en-US" w:eastAsia="zh-CN" w:bidi="ar-SA"/>
    </w:rPr>
  </w:style>
  <w:style w:type="paragraph" w:styleId="12">
    <w:name w:val="footer"/>
    <w:basedOn w:val="1"/>
    <w:next w:val="1"/>
    <w:qFormat/>
    <w:uiPriority w:val="99"/>
    <w:pPr>
      <w:tabs>
        <w:tab w:val="center" w:pos="4153"/>
        <w:tab w:val="right" w:pos="8306"/>
      </w:tabs>
      <w:snapToGrid w:val="0"/>
      <w:jc w:val="left"/>
    </w:pPr>
    <w:rPr>
      <w:sz w:val="18"/>
      <w:szCs w:val="18"/>
    </w:rPr>
  </w:style>
  <w:style w:type="paragraph" w:styleId="13">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qFormat/>
    <w:uiPriority w:val="0"/>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7">
    <w:name w:val="Title"/>
    <w:basedOn w:val="1"/>
    <w:next w:val="1"/>
    <w:qFormat/>
    <w:uiPriority w:val="0"/>
    <w:pPr>
      <w:widowControl w:val="0"/>
      <w:adjustRightInd/>
      <w:snapToGrid/>
      <w:spacing w:before="60" w:after="120" w:line="560" w:lineRule="exact"/>
      <w:jc w:val="center"/>
      <w:outlineLvl w:val="0"/>
    </w:pPr>
    <w:rPr>
      <w:rFonts w:ascii="Times New Roman" w:hAnsi="Times New Roman" w:eastAsia="方正小标宋简体"/>
      <w:bCs/>
      <w:kern w:val="2"/>
      <w:sz w:val="44"/>
      <w:szCs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basedOn w:val="20"/>
    <w:qFormat/>
    <w:uiPriority w:val="0"/>
    <w:rPr>
      <w:color w:val="0000FF"/>
      <w:u w:val="single"/>
    </w:rPr>
  </w:style>
  <w:style w:type="paragraph" w:customStyle="1" w:styleId="23">
    <w:name w:val="一级条标题"/>
    <w:basedOn w:val="24"/>
    <w:next w:val="25"/>
    <w:qFormat/>
    <w:uiPriority w:val="0"/>
    <w:pPr>
      <w:spacing w:line="240" w:lineRule="auto"/>
      <w:ind w:left="420"/>
      <w:outlineLvl w:val="2"/>
    </w:pPr>
  </w:style>
  <w:style w:type="paragraph" w:customStyle="1" w:styleId="24">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25">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26">
    <w:name w:val="样式 0正文 + 首行缩进:  2 字符1"/>
    <w:basedOn w:val="1"/>
    <w:qFormat/>
    <w:uiPriority w:val="99"/>
    <w:pPr>
      <w:spacing w:line="360" w:lineRule="auto"/>
      <w:ind w:firstLine="200" w:firstLineChars="200"/>
    </w:pPr>
    <w:rPr>
      <w:szCs w:val="20"/>
    </w:rPr>
  </w:style>
  <w:style w:type="paragraph" w:customStyle="1" w:styleId="27">
    <w:name w:val="&gt;公告 正文"/>
    <w:qFormat/>
    <w:uiPriority w:val="0"/>
    <w:pPr>
      <w:spacing w:line="360" w:lineRule="auto"/>
      <w:ind w:firstLine="480" w:firstLineChars="200"/>
    </w:pPr>
    <w:rPr>
      <w:rFonts w:ascii="宋体" w:hAnsi="宋体" w:eastAsia="宋体" w:cs="Times New Roman"/>
      <w:kern w:val="2"/>
      <w:sz w:val="21"/>
      <w:szCs w:val="21"/>
      <w:lang w:val="en-US" w:eastAsia="zh-CN" w:bidi="ar-SA"/>
    </w:rPr>
  </w:style>
  <w:style w:type="paragraph" w:customStyle="1" w:styleId="28">
    <w:name w:val="Table Text"/>
    <w:basedOn w:val="1"/>
    <w:semiHidden/>
    <w:qFormat/>
    <w:uiPriority w:val="0"/>
    <w:rPr>
      <w:rFonts w:ascii="宋体" w:hAnsi="宋体" w:cs="宋体"/>
      <w:szCs w:val="21"/>
      <w:lang w:eastAsia="en-US"/>
    </w:rPr>
  </w:style>
  <w:style w:type="paragraph" w:customStyle="1" w:styleId="29">
    <w:name w:val="null3"/>
    <w:qFormat/>
    <w:uiPriority w:val="0"/>
    <w:rPr>
      <w:rFonts w:hint="eastAsia" w:ascii="Calibri" w:hAnsi="Calibri" w:eastAsia="宋体" w:cs="Times New Roman"/>
      <w:lang w:val="en-US" w:eastAsia="zh-Hans" w:bidi="ar-SA"/>
    </w:rPr>
  </w:style>
  <w:style w:type="character" w:customStyle="1" w:styleId="30">
    <w:name w:val="NormalCharacter"/>
    <w:qFormat/>
    <w:uiPriority w:val="0"/>
  </w:style>
  <w:style w:type="table" w:customStyle="1" w:styleId="31">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paragraph" w:customStyle="1" w:styleId="32">
    <w:name w:val="1"/>
    <w:basedOn w:val="1"/>
    <w:next w:val="33"/>
    <w:qFormat/>
    <w:uiPriority w:val="0"/>
    <w:rPr>
      <w:rFonts w:ascii="宋体" w:hAnsi="Courier New"/>
      <w:szCs w:val="20"/>
    </w:rPr>
  </w:style>
  <w:style w:type="paragraph" w:customStyle="1" w:styleId="33">
    <w:name w:val="纯文本1"/>
    <w:basedOn w:val="1"/>
    <w:qFormat/>
    <w:uiPriority w:val="0"/>
    <w:rPr>
      <w:rFonts w:ascii="宋体" w:hAnsi="Courier New" w:cs="Century"/>
      <w:szCs w:val="21"/>
    </w:rPr>
  </w:style>
  <w:style w:type="paragraph" w:customStyle="1" w:styleId="34">
    <w:name w:val="正文2"/>
    <w:basedOn w:val="1"/>
    <w:qFormat/>
    <w:uiPriority w:val="0"/>
    <w:pPr>
      <w:adjustRightInd w:val="0"/>
      <w:spacing w:before="156" w:line="360" w:lineRule="auto"/>
      <w:ind w:firstLine="510" w:firstLineChars="200"/>
    </w:pPr>
    <w:rPr>
      <w:sz w:val="24"/>
      <w:szCs w:val="20"/>
    </w:rPr>
  </w:style>
  <w:style w:type="paragraph" w:customStyle="1" w:styleId="35">
    <w:name w:val="表格文字"/>
    <w:basedOn w:val="9"/>
    <w:next w:val="2"/>
    <w:qFormat/>
    <w:uiPriority w:val="0"/>
    <w:pPr>
      <w:spacing w:before="25" w:after="25"/>
      <w:jc w:val="left"/>
    </w:pPr>
    <w:rPr>
      <w:bCs/>
      <w:spacing w:val="1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17722</Words>
  <Characters>18219</Characters>
  <Lines>0</Lines>
  <Paragraphs>0</Paragraphs>
  <TotalTime>0</TotalTime>
  <ScaleCrop>false</ScaleCrop>
  <LinksUpToDate>false</LinksUpToDate>
  <CharactersWithSpaces>18301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2026-01-08T01:38:00Z</dcterms:created>
  <dc:creator>admin</dc:creator>
  <cp:lastModifiedBy>admin</cp:lastModifiedBy>
  <cp:lastPrinted>2026-07-27T01:58:00Z</cp:lastPrinted>
  <dcterms:modified xsi:type="dcterms:W3CDTF">2026-08-04T03:55:51Z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F101817EC6C94D6482958129C08E7EB6_13</vt:lpwstr>
  </property>
  <property fmtid="{D5CDD505-2E9C-101B-9397-08002B2CF9AE}" pid="4" name="KSOTemplateDocerSaveRecord">
    <vt:lpwstr>eyJoZGlkIjoiMDVmYmQyNGQ0MjFlMTU1ZjczZjdkY2EyMmVhNTVmNWQifQ==</vt:lpwstr>
  </property>
</Properties>
</file>